
<file path=[Content_Types].xml><?xml version="1.0" encoding="utf-8"?>
<Types xmlns="http://schemas.openxmlformats.org/package/2006/content-types">
  <Default Extension="png" ContentType="image/png"/>
  <Default Extension="bin" ContentType="application/vnd.openxmlformats-officedocument.oleObject"/>
  <Default Extension="svg" ContentType="image/svg+xml"/>
  <Default Extension="emf" ContentType="image/x-emf"/>
  <Default Extension="jpeg" ContentType="image/jpeg"/>
  <Default Extension="rels" ContentType="application/vnd.openxmlformats-package.relationships+xml"/>
  <Default Extension="xml" ContentType="application/xml"/>
  <Default Extension="gif" ContentType="image/gif"/>
  <Default Extension="tiff" ContentType="image/tiff"/>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3.xml" ContentType="application/vnd.openxmlformats-officedocument.themeOverrid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4.xml" ContentType="application/vnd.openxmlformats-officedocument.themeOverrid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5.xml" ContentType="application/vnd.openxmlformats-officedocument.themeOverride+xml"/>
  <Override PartName="/word/footer4.xml" ContentType="application/vnd.openxmlformats-officedocument.wordprocessingml.footer+xml"/>
  <Override PartName="/word/footer5.xml" ContentType="application/vnd.openxmlformats-officedocument.wordprocessingml.footer+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6.xml" ContentType="application/vnd.openxmlformats-officedocument.themeOverride+xml"/>
  <Override PartName="/word/header4.xml" ContentType="application/vnd.openxmlformats-officedocument.wordprocessingml.header+xml"/>
  <Override PartName="/word/header5.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6.xml" ContentType="application/vnd.openxmlformats-officedocument.wordprocessingml.header+xml"/>
  <Override PartName="/word/footer8.xml" ContentType="application/vnd.openxmlformats-officedocument.wordprocessingml.footer+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theme/themeOverride7.xml" ContentType="application/vnd.openxmlformats-officedocument.themeOverride+xml"/>
  <Override PartName="/word/drawings/drawing1.xml" ContentType="application/vnd.openxmlformats-officedocument.drawingml.chartshapes+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theme/themeOverride8.xml" ContentType="application/vnd.openxmlformats-officedocument.themeOverride+xml"/>
  <Override PartName="/word/drawings/drawing2.xml" ContentType="application/vnd.openxmlformats-officedocument.drawingml.chartshapes+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theme/themeOverride9.xml" ContentType="application/vnd.openxmlformats-officedocument.themeOverride+xml"/>
  <Override PartName="/word/drawings/drawing3.xml" ContentType="application/vnd.openxmlformats-officedocument.drawingml.chartshapes+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theme/themeOverride10.xml" ContentType="application/vnd.openxmlformats-officedocument.themeOverrid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theme/themeOverride11.xml" ContentType="application/vnd.openxmlformats-officedocument.themeOverride+xml"/>
  <Override PartName="/word/drawings/drawing4.xml" ContentType="application/vnd.openxmlformats-officedocument.drawingml.chartshapes+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theme/themeOverride12.xml" ContentType="application/vnd.openxmlformats-officedocument.themeOverride+xml"/>
  <Override PartName="/word/drawings/drawing5.xml" ContentType="application/vnd.openxmlformats-officedocument.drawingml.chartshapes+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theme/themeOverride13.xml" ContentType="application/vnd.openxmlformats-officedocument.themeOverride+xml"/>
  <Override PartName="/word/drawings/drawing6.xml" ContentType="application/vnd.openxmlformats-officedocument.drawingml.chartshapes+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theme/themeOverride14.xml" ContentType="application/vnd.openxmlformats-officedocument.themeOverride+xml"/>
  <Override PartName="/word/drawings/drawing7.xml" ContentType="application/vnd.openxmlformats-officedocument.drawingml.chartshapes+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theme/themeOverride15.xml" ContentType="application/vnd.openxmlformats-officedocument.themeOverride+xml"/>
  <Override PartName="/word/drawings/drawing8.xml" ContentType="application/vnd.openxmlformats-officedocument.drawingml.chartshapes+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theme/themeOverride16.xml" ContentType="application/vnd.openxmlformats-officedocument.themeOverride+xml"/>
  <Override PartName="/word/drawings/drawing9.xml" ContentType="application/vnd.openxmlformats-officedocument.drawingml.chartshapes+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theme/themeOverride17.xml" ContentType="application/vnd.openxmlformats-officedocument.themeOverride+xml"/>
  <Override PartName="/word/drawings/drawing10.xml" ContentType="application/vnd.openxmlformats-officedocument.drawingml.chartshapes+xml"/>
  <Override PartName="/word/charts/chartEx1.xml" ContentType="application/vnd.ms-office.chartex+xml"/>
  <Override PartName="/word/charts/style19.xml" ContentType="application/vnd.ms-office.chartstyle+xml"/>
  <Override PartName="/word/charts/colors19.xml" ContentType="application/vnd.ms-office.chartcolorstyle+xml"/>
  <Override PartName="/word/charts/chartEx2.xml" ContentType="application/vnd.ms-office.chartex+xml"/>
  <Override PartName="/word/charts/style20.xml" ContentType="application/vnd.ms-office.chartstyle+xml"/>
  <Override PartName="/word/charts/colors20.xml" ContentType="application/vnd.ms-office.chartcolorstyle+xml"/>
  <Override PartName="/word/charts/chartEx3.xml" ContentType="application/vnd.ms-office.chartex+xml"/>
  <Override PartName="/word/charts/style21.xml" ContentType="application/vnd.ms-office.chartstyle+xml"/>
  <Override PartName="/word/charts/colors21.xml" ContentType="application/vnd.ms-office.chartcolorstyle+xml"/>
  <Override PartName="/word/charts/chartEx4.xml" ContentType="application/vnd.ms-office.chartex+xml"/>
  <Override PartName="/word/charts/style22.xml" ContentType="application/vnd.ms-office.chartstyle+xml"/>
  <Override PartName="/word/charts/colors22.xml" ContentType="application/vnd.ms-office.chartcolorstyle+xml"/>
  <Override PartName="/word/charts/chartEx5.xml" ContentType="application/vnd.ms-office.chartex+xml"/>
  <Override PartName="/word/charts/style23.xml" ContentType="application/vnd.ms-office.chartstyle+xml"/>
  <Override PartName="/word/charts/colors23.xml" ContentType="application/vnd.ms-office.chartcolorstyle+xml"/>
  <Override PartName="/word/charts/chartEx6.xml" ContentType="application/vnd.ms-office.chartex+xml"/>
  <Override PartName="/word/charts/style24.xml" ContentType="application/vnd.ms-office.chartstyle+xml"/>
  <Override PartName="/word/charts/colors24.xml" ContentType="application/vnd.ms-office.chartcolorstyle+xml"/>
  <Override PartName="/word/charts/chartEx7.xml" ContentType="application/vnd.ms-office.chartex+xml"/>
  <Override PartName="/word/charts/style25.xml" ContentType="application/vnd.ms-office.chartstyle+xml"/>
  <Override PartName="/word/charts/colors25.xml" ContentType="application/vnd.ms-office.chartcolorstyle+xml"/>
  <Override PartName="/word/footer9.xml" ContentType="application/vnd.openxmlformats-officedocument.wordprocessingml.footer+xml"/>
  <Override PartName="/word/charts/chart19.xml" ContentType="application/vnd.openxmlformats-officedocument.drawingml.chart+xml"/>
  <Override PartName="/word/charts/style26.xml" ContentType="application/vnd.ms-office.chartstyle+xml"/>
  <Override PartName="/word/charts/colors26.xml" ContentType="application/vnd.ms-office.chartcolorstyle+xml"/>
  <Override PartName="/word/header7.xml" ContentType="application/vnd.openxmlformats-officedocument.wordprocessingml.header+xml"/>
  <Override PartName="/word/header8.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9.xml" ContentType="application/vnd.openxmlformats-officedocument.wordprocessingml.header+xml"/>
  <Override PartName="/word/footer12.xml" ContentType="application/vnd.openxmlformats-officedocument.wordprocessingml.footer+xml"/>
  <Override PartName="/word/charts/chart20.xml" ContentType="application/vnd.openxmlformats-officedocument.drawingml.chart+xml"/>
  <Override PartName="/word/charts/style27.xml" ContentType="application/vnd.ms-office.chartstyle+xml"/>
  <Override PartName="/word/charts/colors27.xml" ContentType="application/vnd.ms-office.chartcolorstyle+xml"/>
  <Override PartName="/word/theme/themeOverride18.xml" ContentType="application/vnd.openxmlformats-officedocument.themeOverride+xml"/>
  <Override PartName="/word/drawings/drawing11.xml" ContentType="application/vnd.openxmlformats-officedocument.drawingml.chartshapes+xml"/>
  <Override PartName="/word/charts/chart21.xml" ContentType="application/vnd.openxmlformats-officedocument.drawingml.chart+xml"/>
  <Override PartName="/word/charts/style28.xml" ContentType="application/vnd.ms-office.chartstyle+xml"/>
  <Override PartName="/word/charts/colors28.xml" ContentType="application/vnd.ms-office.chartcolorstyle+xml"/>
  <Override PartName="/word/theme/themeOverride19.xml" ContentType="application/vnd.openxmlformats-officedocument.themeOverride+xml"/>
  <Override PartName="/word/drawings/drawing12.xml" ContentType="application/vnd.openxmlformats-officedocument.drawingml.chartshapes+xml"/>
  <Override PartName="/word/charts/chart22.xml" ContentType="application/vnd.openxmlformats-officedocument.drawingml.chart+xml"/>
  <Override PartName="/word/charts/style29.xml" ContentType="application/vnd.ms-office.chartstyle+xml"/>
  <Override PartName="/word/charts/colors29.xml" ContentType="application/vnd.ms-office.chartcolorstyle+xml"/>
  <Override PartName="/word/theme/themeOverride20.xml" ContentType="application/vnd.openxmlformats-officedocument.themeOverride+xml"/>
  <Override PartName="/word/drawings/drawing13.xml" ContentType="application/vnd.openxmlformats-officedocument.drawingml.chartshapes+xml"/>
  <Override PartName="/word/charts/chart23.xml" ContentType="application/vnd.openxmlformats-officedocument.drawingml.chart+xml"/>
  <Override PartName="/word/charts/style30.xml" ContentType="application/vnd.ms-office.chartstyle+xml"/>
  <Override PartName="/word/charts/colors30.xml" ContentType="application/vnd.ms-office.chartcolorstyle+xml"/>
  <Override PartName="/word/theme/themeOverride21.xml" ContentType="application/vnd.openxmlformats-officedocument.themeOverride+xml"/>
  <Override PartName="/word/drawings/drawing14.xml" ContentType="application/vnd.openxmlformats-officedocument.drawingml.chartshapes+xml"/>
  <Override PartName="/word/charts/chart24.xml" ContentType="application/vnd.openxmlformats-officedocument.drawingml.chart+xml"/>
  <Override PartName="/word/charts/style31.xml" ContentType="application/vnd.ms-office.chartstyle+xml"/>
  <Override PartName="/word/charts/colors31.xml" ContentType="application/vnd.ms-office.chartcolorstyle+xml"/>
  <Override PartName="/word/theme/themeOverride22.xml" ContentType="application/vnd.openxmlformats-officedocument.themeOverride+xml"/>
  <Override PartName="/word/drawings/drawing15.xml" ContentType="application/vnd.openxmlformats-officedocument.drawingml.chartshapes+xml"/>
  <Override PartName="/word/charts/chart25.xml" ContentType="application/vnd.openxmlformats-officedocument.drawingml.chart+xml"/>
  <Override PartName="/word/charts/style32.xml" ContentType="application/vnd.ms-office.chartstyle+xml"/>
  <Override PartName="/word/charts/colors32.xml" ContentType="application/vnd.ms-office.chartcolorstyle+xml"/>
  <Override PartName="/word/theme/themeOverride23.xml" ContentType="application/vnd.openxmlformats-officedocument.themeOverride+xml"/>
  <Override PartName="/word/drawings/drawing16.xml" ContentType="application/vnd.openxmlformats-officedocument.drawingml.chartshapes+xml"/>
  <Override PartName="/word/charts/chart26.xml" ContentType="application/vnd.openxmlformats-officedocument.drawingml.chart+xml"/>
  <Override PartName="/word/charts/style33.xml" ContentType="application/vnd.ms-office.chartstyle+xml"/>
  <Override PartName="/word/charts/colors33.xml" ContentType="application/vnd.ms-office.chartcolorstyle+xml"/>
  <Override PartName="/word/theme/themeOverride24.xml" ContentType="application/vnd.openxmlformats-officedocument.themeOverride+xml"/>
  <Override PartName="/word/drawings/drawing17.xml" ContentType="application/vnd.openxmlformats-officedocument.drawingml.chartshapes+xml"/>
  <Override PartName="/word/charts/chart27.xml" ContentType="application/vnd.openxmlformats-officedocument.drawingml.chart+xml"/>
  <Override PartName="/word/charts/style34.xml" ContentType="application/vnd.ms-office.chartstyle+xml"/>
  <Override PartName="/word/charts/colors34.xml" ContentType="application/vnd.ms-office.chartcolorstyle+xml"/>
  <Override PartName="/word/theme/themeOverride25.xml" ContentType="application/vnd.openxmlformats-officedocument.themeOverride+xml"/>
  <Override PartName="/word/drawings/drawing18.xml" ContentType="application/vnd.openxmlformats-officedocument.drawingml.chartshapes+xml"/>
  <Override PartName="/word/footer13.xml" ContentType="application/vnd.openxmlformats-officedocument.wordprocessingml.footer+xml"/>
  <Override PartName="/word/charts/chart28.xml" ContentType="application/vnd.openxmlformats-officedocument.drawingml.chart+xml"/>
  <Override PartName="/word/charts/style35.xml" ContentType="application/vnd.ms-office.chartstyle+xml"/>
  <Override PartName="/word/charts/colors35.xml" ContentType="application/vnd.ms-office.chartcolorstyle+xml"/>
  <Override PartName="/word/header10.xml" ContentType="application/vnd.openxmlformats-officedocument.wordprocessingml.header+xml"/>
  <Override PartName="/word/header11.xml" ContentType="application/vnd.openxmlformats-officedocument.wordprocessingml.header+xml"/>
  <Override PartName="/word/footer14.xml" ContentType="application/vnd.openxmlformats-officedocument.wordprocessingml.footer+xml"/>
  <Override PartName="/word/footer15.xml" ContentType="application/vnd.openxmlformats-officedocument.wordprocessingml.footer+xml"/>
  <Override PartName="/word/header12.xml" ContentType="application/vnd.openxmlformats-officedocument.wordprocessingml.header+xml"/>
  <Override PartName="/word/footer16.xml" ContentType="application/vnd.openxmlformats-officedocument.wordprocessingml.footer+xml"/>
  <Override PartName="/word/charts/chart29.xml" ContentType="application/vnd.openxmlformats-officedocument.drawingml.chart+xml"/>
  <Override PartName="/word/charts/style36.xml" ContentType="application/vnd.ms-office.chartstyle+xml"/>
  <Override PartName="/word/charts/colors36.xml" ContentType="application/vnd.ms-office.chartcolorstyle+xml"/>
  <Override PartName="/word/theme/themeOverride26.xml" ContentType="application/vnd.openxmlformats-officedocument.themeOverride+xml"/>
  <Override PartName="/word/drawings/drawing19.xml" ContentType="application/vnd.openxmlformats-officedocument.drawingml.chartshapes+xml"/>
  <Override PartName="/word/charts/chart30.xml" ContentType="application/vnd.openxmlformats-officedocument.drawingml.chart+xml"/>
  <Override PartName="/word/charts/style37.xml" ContentType="application/vnd.ms-office.chartstyle+xml"/>
  <Override PartName="/word/charts/colors37.xml" ContentType="application/vnd.ms-office.chartcolorstyle+xml"/>
  <Override PartName="/word/theme/themeOverride27.xml" ContentType="application/vnd.openxmlformats-officedocument.themeOverride+xml"/>
  <Override PartName="/word/drawings/drawing20.xml" ContentType="application/vnd.openxmlformats-officedocument.drawingml.chartshapes+xml"/>
  <Override PartName="/word/charts/chart31.xml" ContentType="application/vnd.openxmlformats-officedocument.drawingml.chart+xml"/>
  <Override PartName="/word/charts/style38.xml" ContentType="application/vnd.ms-office.chartstyle+xml"/>
  <Override PartName="/word/charts/colors38.xml" ContentType="application/vnd.ms-office.chartcolorstyle+xml"/>
  <Override PartName="/word/theme/themeOverride28.xml" ContentType="application/vnd.openxmlformats-officedocument.themeOverride+xml"/>
  <Override PartName="/word/drawings/drawing21.xml" ContentType="application/vnd.openxmlformats-officedocument.drawingml.chartshapes+xml"/>
  <Override PartName="/word/charts/chart32.xml" ContentType="application/vnd.openxmlformats-officedocument.drawingml.chart+xml"/>
  <Override PartName="/word/charts/style39.xml" ContentType="application/vnd.ms-office.chartstyle+xml"/>
  <Override PartName="/word/charts/colors39.xml" ContentType="application/vnd.ms-office.chartcolorstyle+xml"/>
  <Override PartName="/word/theme/themeOverride29.xml" ContentType="application/vnd.openxmlformats-officedocument.themeOverride+xml"/>
  <Override PartName="/word/drawings/drawing22.xml" ContentType="application/vnd.openxmlformats-officedocument.drawingml.chartshapes+xml"/>
  <Override PartName="/word/charts/chart33.xml" ContentType="application/vnd.openxmlformats-officedocument.drawingml.chart+xml"/>
  <Override PartName="/word/charts/style40.xml" ContentType="application/vnd.ms-office.chartstyle+xml"/>
  <Override PartName="/word/charts/colors40.xml" ContentType="application/vnd.ms-office.chartcolorstyle+xml"/>
  <Override PartName="/word/theme/themeOverride30.xml" ContentType="application/vnd.openxmlformats-officedocument.themeOverride+xml"/>
  <Override PartName="/word/drawings/drawing23.xml" ContentType="application/vnd.openxmlformats-officedocument.drawingml.chartshapes+xml"/>
  <Override PartName="/word/charts/chart34.xml" ContentType="application/vnd.openxmlformats-officedocument.drawingml.chart+xml"/>
  <Override PartName="/word/charts/style41.xml" ContentType="application/vnd.ms-office.chartstyle+xml"/>
  <Override PartName="/word/charts/colors41.xml" ContentType="application/vnd.ms-office.chartcolorstyle+xml"/>
  <Override PartName="/word/theme/themeOverride31.xml" ContentType="application/vnd.openxmlformats-officedocument.themeOverride+xml"/>
  <Override PartName="/word/drawings/drawing24.xml" ContentType="application/vnd.openxmlformats-officedocument.drawingml.chartshapes+xml"/>
  <Override PartName="/word/charts/chart35.xml" ContentType="application/vnd.openxmlformats-officedocument.drawingml.chart+xml"/>
  <Override PartName="/word/charts/style42.xml" ContentType="application/vnd.ms-office.chartstyle+xml"/>
  <Override PartName="/word/charts/colors42.xml" ContentType="application/vnd.ms-office.chartcolorstyle+xml"/>
  <Override PartName="/word/theme/themeOverride32.xml" ContentType="application/vnd.openxmlformats-officedocument.themeOverride+xml"/>
  <Override PartName="/word/footer17.xml" ContentType="application/vnd.openxmlformats-officedocument.wordprocessingml.footer+xml"/>
  <Override PartName="/word/charts/chart36.xml" ContentType="application/vnd.openxmlformats-officedocument.drawingml.chart+xml"/>
  <Override PartName="/word/charts/style43.xml" ContentType="application/vnd.ms-office.chartstyle+xml"/>
  <Override PartName="/word/charts/colors43.xml" ContentType="application/vnd.ms-office.chartcolorstyle+xml"/>
  <Override PartName="/word/charts/chart37.xml" ContentType="application/vnd.openxmlformats-officedocument.drawingml.chart+xml"/>
  <Override PartName="/word/charts/style44.xml" ContentType="application/vnd.ms-office.chartstyle+xml"/>
  <Override PartName="/word/charts/colors44.xml" ContentType="application/vnd.ms-office.chartcolorstyle+xml"/>
  <Override PartName="/word/theme/themeOverride33.xml" ContentType="application/vnd.openxmlformats-officedocument.themeOverride+xml"/>
  <Override PartName="/word/drawings/drawing25.xml" ContentType="application/vnd.openxmlformats-officedocument.drawingml.chartshapes+xml"/>
  <Override PartName="/word/charts/chart38.xml" ContentType="application/vnd.openxmlformats-officedocument.drawingml.chart+xml"/>
  <Override PartName="/word/charts/style45.xml" ContentType="application/vnd.ms-office.chartstyle+xml"/>
  <Override PartName="/word/charts/colors45.xml" ContentType="application/vnd.ms-office.chartcolorstyle+xml"/>
  <Override PartName="/word/theme/themeOverride34.xml" ContentType="application/vnd.openxmlformats-officedocument.themeOverride+xml"/>
  <Override PartName="/word/drawings/drawing26.xml" ContentType="application/vnd.openxmlformats-officedocument.drawingml.chartshapes+xml"/>
  <Override PartName="/word/charts/chart39.xml" ContentType="application/vnd.openxmlformats-officedocument.drawingml.chart+xml"/>
  <Override PartName="/word/charts/style46.xml" ContentType="application/vnd.ms-office.chartstyle+xml"/>
  <Override PartName="/word/charts/colors46.xml" ContentType="application/vnd.ms-office.chartcolorstyle+xml"/>
  <Override PartName="/word/theme/themeOverride35.xml" ContentType="application/vnd.openxmlformats-officedocument.themeOverride+xml"/>
  <Override PartName="/word/drawings/drawing27.xml" ContentType="application/vnd.openxmlformats-officedocument.drawingml.chartshapes+xml"/>
  <Override PartName="/word/charts/chart40.xml" ContentType="application/vnd.openxmlformats-officedocument.drawingml.chart+xml"/>
  <Override PartName="/word/charts/style47.xml" ContentType="application/vnd.ms-office.chartstyle+xml"/>
  <Override PartName="/word/charts/colors47.xml" ContentType="application/vnd.ms-office.chartcolorstyle+xml"/>
  <Override PartName="/word/theme/themeOverride36.xml" ContentType="application/vnd.openxmlformats-officedocument.themeOverride+xml"/>
  <Override PartName="/word/drawings/drawing28.xml" ContentType="application/vnd.openxmlformats-officedocument.drawingml.chartshapes+xml"/>
  <Override PartName="/word/charts/chart41.xml" ContentType="application/vnd.openxmlformats-officedocument.drawingml.chart+xml"/>
  <Override PartName="/word/charts/style48.xml" ContentType="application/vnd.ms-office.chartstyle+xml"/>
  <Override PartName="/word/charts/colors48.xml" ContentType="application/vnd.ms-office.chartcolorstyle+xml"/>
  <Override PartName="/word/theme/themeOverride37.xml" ContentType="application/vnd.openxmlformats-officedocument.themeOverride+xml"/>
  <Override PartName="/word/drawings/drawing29.xml" ContentType="application/vnd.openxmlformats-officedocument.drawingml.chartshapes+xml"/>
  <Override PartName="/word/charts/chart42.xml" ContentType="application/vnd.openxmlformats-officedocument.drawingml.chart+xml"/>
  <Override PartName="/word/charts/style49.xml" ContentType="application/vnd.ms-office.chartstyle+xml"/>
  <Override PartName="/word/charts/colors49.xml" ContentType="application/vnd.ms-office.chartcolorstyle+xml"/>
  <Override PartName="/word/theme/themeOverride38.xml" ContentType="application/vnd.openxmlformats-officedocument.themeOverride+xml"/>
  <Override PartName="/word/drawings/drawing30.xml" ContentType="application/vnd.openxmlformats-officedocument.drawingml.chartshapes+xml"/>
  <Override PartName="/word/charts/chart43.xml" ContentType="application/vnd.openxmlformats-officedocument.drawingml.chart+xml"/>
  <Override PartName="/word/charts/style50.xml" ContentType="application/vnd.ms-office.chartstyle+xml"/>
  <Override PartName="/word/charts/colors50.xml" ContentType="application/vnd.ms-office.chartcolorstyle+xml"/>
  <Override PartName="/word/theme/themeOverride39.xml" ContentType="application/vnd.openxmlformats-officedocument.themeOverride+xml"/>
  <Override PartName="/word/drawings/drawing31.xml" ContentType="application/vnd.openxmlformats-officedocument.drawingml.chartshapes+xml"/>
  <Override PartName="/word/charts/chart44.xml" ContentType="application/vnd.openxmlformats-officedocument.drawingml.chart+xml"/>
  <Override PartName="/word/charts/style51.xml" ContentType="application/vnd.ms-office.chartstyle+xml"/>
  <Override PartName="/word/charts/colors51.xml" ContentType="application/vnd.ms-office.chartcolorstyle+xml"/>
  <Override PartName="/word/theme/themeOverride40.xml" ContentType="application/vnd.openxmlformats-officedocument.themeOverride+xml"/>
  <Override PartName="/word/drawings/drawing32.xml" ContentType="application/vnd.openxmlformats-officedocument.drawingml.chartshapes+xml"/>
  <Override PartName="/word/charts/chart45.xml" ContentType="application/vnd.openxmlformats-officedocument.drawingml.chart+xml"/>
  <Override PartName="/word/charts/style52.xml" ContentType="application/vnd.ms-office.chartstyle+xml"/>
  <Override PartName="/word/charts/colors52.xml" ContentType="application/vnd.ms-office.chartcolorstyle+xml"/>
  <Override PartName="/word/theme/themeOverride41.xml" ContentType="application/vnd.openxmlformats-officedocument.themeOverride+xml"/>
  <Override PartName="/word/drawings/drawing33.xml" ContentType="application/vnd.openxmlformats-officedocument.drawingml.chartshapes+xml"/>
  <Override PartName="/word/charts/chart46.xml" ContentType="application/vnd.openxmlformats-officedocument.drawingml.chart+xml"/>
  <Override PartName="/word/charts/style53.xml" ContentType="application/vnd.ms-office.chartstyle+xml"/>
  <Override PartName="/word/charts/colors53.xml" ContentType="application/vnd.ms-office.chartcolorstyle+xml"/>
  <Override PartName="/word/theme/themeOverride42.xml" ContentType="application/vnd.openxmlformats-officedocument.themeOverride+xml"/>
  <Override PartName="/word/drawings/drawing34.xml" ContentType="application/vnd.openxmlformats-officedocument.drawingml.chartshapes+xml"/>
  <Override PartName="/word/charts/chart47.xml" ContentType="application/vnd.openxmlformats-officedocument.drawingml.chart+xml"/>
  <Override PartName="/word/charts/style54.xml" ContentType="application/vnd.ms-office.chartstyle+xml"/>
  <Override PartName="/word/charts/colors54.xml" ContentType="application/vnd.ms-office.chartcolorstyle+xml"/>
  <Override PartName="/word/theme/themeOverride43.xml" ContentType="application/vnd.openxmlformats-officedocument.themeOverride+xml"/>
  <Override PartName="/word/drawings/drawing35.xml" ContentType="application/vnd.openxmlformats-officedocument.drawingml.chartshapes+xml"/>
  <Override PartName="/word/footer18.xml" ContentType="application/vnd.openxmlformats-officedocument.wordprocessingml.footer+xml"/>
  <Override PartName="/word/charts/chart48.xml" ContentType="application/vnd.openxmlformats-officedocument.drawingml.chart+xml"/>
  <Override PartName="/word/charts/style55.xml" ContentType="application/vnd.ms-office.chartstyle+xml"/>
  <Override PartName="/word/charts/colors55.xml" ContentType="application/vnd.ms-office.chartcolorstyle+xml"/>
  <Override PartName="/word/header13.xml" ContentType="application/vnd.openxmlformats-officedocument.wordprocessingml.header+xml"/>
  <Override PartName="/word/header14.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header15.xml" ContentType="application/vnd.openxmlformats-officedocument.wordprocessingml.header+xml"/>
  <Override PartName="/word/footer21.xml" ContentType="application/vnd.openxmlformats-officedocument.wordprocessingml.footer+xml"/>
  <Override PartName="/word/charts/chart49.xml" ContentType="application/vnd.openxmlformats-officedocument.drawingml.chart+xml"/>
  <Override PartName="/word/charts/style56.xml" ContentType="application/vnd.ms-office.chartstyle+xml"/>
  <Override PartName="/word/charts/colors56.xml" ContentType="application/vnd.ms-office.chartcolorstyle+xml"/>
  <Override PartName="/word/theme/themeOverride44.xml" ContentType="application/vnd.openxmlformats-officedocument.themeOverride+xml"/>
  <Override PartName="/word/drawings/drawing36.xml" ContentType="application/vnd.openxmlformats-officedocument.drawingml.chartshapes+xml"/>
  <Override PartName="/word/charts/chart50.xml" ContentType="application/vnd.openxmlformats-officedocument.drawingml.chart+xml"/>
  <Override PartName="/word/charts/style57.xml" ContentType="application/vnd.ms-office.chartstyle+xml"/>
  <Override PartName="/word/charts/colors57.xml" ContentType="application/vnd.ms-office.chartcolorstyle+xml"/>
  <Override PartName="/word/theme/themeOverride45.xml" ContentType="application/vnd.openxmlformats-officedocument.themeOverride+xml"/>
  <Override PartName="/word/drawings/drawing37.xml" ContentType="application/vnd.openxmlformats-officedocument.drawingml.chartshapes+xml"/>
  <Override PartName="/word/charts/chart51.xml" ContentType="application/vnd.openxmlformats-officedocument.drawingml.chart+xml"/>
  <Override PartName="/word/charts/style58.xml" ContentType="application/vnd.ms-office.chartstyle+xml"/>
  <Override PartName="/word/charts/colors58.xml" ContentType="application/vnd.ms-office.chartcolorstyle+xml"/>
  <Override PartName="/word/theme/themeOverride46.xml" ContentType="application/vnd.openxmlformats-officedocument.themeOverride+xml"/>
  <Override PartName="/word/drawings/drawing38.xml" ContentType="application/vnd.openxmlformats-officedocument.drawingml.chartshapes+xml"/>
  <Override PartName="/word/charts/chart52.xml" ContentType="application/vnd.openxmlformats-officedocument.drawingml.chart+xml"/>
  <Override PartName="/word/charts/style59.xml" ContentType="application/vnd.ms-office.chartstyle+xml"/>
  <Override PartName="/word/charts/colors59.xml" ContentType="application/vnd.ms-office.chartcolorstyle+xml"/>
  <Override PartName="/word/theme/themeOverride47.xml" ContentType="application/vnd.openxmlformats-officedocument.themeOverride+xml"/>
  <Override PartName="/word/drawings/drawing39.xml" ContentType="application/vnd.openxmlformats-officedocument.drawingml.chartshapes+xml"/>
  <Override PartName="/word/charts/chart53.xml" ContentType="application/vnd.openxmlformats-officedocument.drawingml.chart+xml"/>
  <Override PartName="/word/charts/style60.xml" ContentType="application/vnd.ms-office.chartstyle+xml"/>
  <Override PartName="/word/charts/colors60.xml" ContentType="application/vnd.ms-office.chartcolorstyle+xml"/>
  <Override PartName="/word/theme/themeOverride48.xml" ContentType="application/vnd.openxmlformats-officedocument.themeOverride+xml"/>
  <Override PartName="/word/drawings/drawing40.xml" ContentType="application/vnd.openxmlformats-officedocument.drawingml.chartshapes+xml"/>
  <Override PartName="/word/charts/chart54.xml" ContentType="application/vnd.openxmlformats-officedocument.drawingml.chart+xml"/>
  <Override PartName="/word/charts/style61.xml" ContentType="application/vnd.ms-office.chartstyle+xml"/>
  <Override PartName="/word/charts/colors61.xml" ContentType="application/vnd.ms-office.chartcolorstyle+xml"/>
  <Override PartName="/word/theme/themeOverride49.xml" ContentType="application/vnd.openxmlformats-officedocument.themeOverride+xml"/>
  <Override PartName="/word/drawings/drawing41.xml" ContentType="application/vnd.openxmlformats-officedocument.drawingml.chartshapes+xml"/>
  <Override PartName="/word/footer22.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footer23.xml" ContentType="application/vnd.openxmlformats-officedocument.wordprocessingml.footer+xml"/>
  <Override PartName="/word/footer24.xml" ContentType="application/vnd.openxmlformats-officedocument.wordprocessingml.footer+xml"/>
  <Override PartName="/word/header18.xml" ContentType="application/vnd.openxmlformats-officedocument.wordprocessingml.header+xml"/>
  <Override PartName="/word/footer25.xml" ContentType="application/vnd.openxmlformats-officedocument.wordprocessingml.footer+xml"/>
  <Override PartName="/word/charts/chart55.xml" ContentType="application/vnd.openxmlformats-officedocument.drawingml.chart+xml"/>
  <Override PartName="/word/charts/style62.xml" ContentType="application/vnd.ms-office.chartstyle+xml"/>
  <Override PartName="/word/charts/colors62.xml" ContentType="application/vnd.ms-office.chartcolorstyle+xml"/>
  <Override PartName="/word/charts/chart56.xml" ContentType="application/vnd.openxmlformats-officedocument.drawingml.chart+xml"/>
  <Override PartName="/word/charts/style63.xml" ContentType="application/vnd.ms-office.chartstyle+xml"/>
  <Override PartName="/word/charts/colors63.xml" ContentType="application/vnd.ms-office.chartcolorstyle+xml"/>
  <Override PartName="/word/theme/themeOverride50.xml" ContentType="application/vnd.openxmlformats-officedocument.themeOverride+xml"/>
  <Override PartName="/word/drawings/drawing42.xml" ContentType="application/vnd.openxmlformats-officedocument.drawingml.chartshapes+xml"/>
  <Override PartName="/word/charts/chart57.xml" ContentType="application/vnd.openxmlformats-officedocument.drawingml.chart+xml"/>
  <Override PartName="/word/charts/style64.xml" ContentType="application/vnd.ms-office.chartstyle+xml"/>
  <Override PartName="/word/charts/colors64.xml" ContentType="application/vnd.ms-office.chartcolorstyle+xml"/>
  <Override PartName="/word/theme/themeOverride51.xml" ContentType="application/vnd.openxmlformats-officedocument.themeOverride+xml"/>
  <Override PartName="/word/drawings/drawing43.xml" ContentType="application/vnd.openxmlformats-officedocument.drawingml.chartshapes+xml"/>
  <Override PartName="/word/charts/chart58.xml" ContentType="application/vnd.openxmlformats-officedocument.drawingml.chart+xml"/>
  <Override PartName="/word/charts/style65.xml" ContentType="application/vnd.ms-office.chartstyle+xml"/>
  <Override PartName="/word/charts/colors65.xml" ContentType="application/vnd.ms-office.chartcolorstyle+xml"/>
  <Override PartName="/word/theme/themeOverride52.xml" ContentType="application/vnd.openxmlformats-officedocument.themeOverride+xml"/>
  <Override PartName="/word/drawings/drawing44.xml" ContentType="application/vnd.openxmlformats-officedocument.drawingml.chartshapes+xml"/>
  <Override PartName="/word/charts/chart59.xml" ContentType="application/vnd.openxmlformats-officedocument.drawingml.chart+xml"/>
  <Override PartName="/word/charts/style66.xml" ContentType="application/vnd.ms-office.chartstyle+xml"/>
  <Override PartName="/word/charts/colors66.xml" ContentType="application/vnd.ms-office.chartcolorstyle+xml"/>
  <Override PartName="/word/theme/themeOverride53.xml" ContentType="application/vnd.openxmlformats-officedocument.themeOverride+xml"/>
  <Override PartName="/word/drawings/drawing45.xml" ContentType="application/vnd.openxmlformats-officedocument.drawingml.chartshapes+xml"/>
  <Override PartName="/word/charts/chart60.xml" ContentType="application/vnd.openxmlformats-officedocument.drawingml.chart+xml"/>
  <Override PartName="/word/charts/style67.xml" ContentType="application/vnd.ms-office.chartstyle+xml"/>
  <Override PartName="/word/charts/colors67.xml" ContentType="application/vnd.ms-office.chartcolorstyle+xml"/>
  <Override PartName="/word/theme/themeOverride54.xml" ContentType="application/vnd.openxmlformats-officedocument.themeOverride+xml"/>
  <Override PartName="/word/drawings/drawing46.xml" ContentType="application/vnd.openxmlformats-officedocument.drawingml.chartshapes+xml"/>
  <Override PartName="/word/charts/chart61.xml" ContentType="application/vnd.openxmlformats-officedocument.drawingml.chart+xml"/>
  <Override PartName="/word/charts/style68.xml" ContentType="application/vnd.ms-office.chartstyle+xml"/>
  <Override PartName="/word/charts/colors68.xml" ContentType="application/vnd.ms-office.chartcolorstyle+xml"/>
  <Override PartName="/word/theme/themeOverride55.xml" ContentType="application/vnd.openxmlformats-officedocument.themeOverride+xml"/>
  <Override PartName="/word/drawings/drawing47.xml" ContentType="application/vnd.openxmlformats-officedocument.drawingml.chartshapes+xml"/>
  <Override PartName="/word/charts/chart62.xml" ContentType="application/vnd.openxmlformats-officedocument.drawingml.chart+xml"/>
  <Override PartName="/word/charts/style69.xml" ContentType="application/vnd.ms-office.chartstyle+xml"/>
  <Override PartName="/word/charts/colors69.xml" ContentType="application/vnd.ms-office.chartcolorstyle+xml"/>
  <Override PartName="/word/theme/themeOverride56.xml" ContentType="application/vnd.openxmlformats-officedocument.themeOverride+xml"/>
  <Override PartName="/word/drawings/drawing48.xml" ContentType="application/vnd.openxmlformats-officedocument.drawingml.chartshapes+xml"/>
  <Override PartName="/word/charts/chart63.xml" ContentType="application/vnd.openxmlformats-officedocument.drawingml.chart+xml"/>
  <Override PartName="/word/charts/style70.xml" ContentType="application/vnd.ms-office.chartstyle+xml"/>
  <Override PartName="/word/charts/colors70.xml" ContentType="application/vnd.ms-office.chartcolorstyle+xml"/>
  <Override PartName="/word/theme/themeOverride57.xml" ContentType="application/vnd.openxmlformats-officedocument.themeOverride+xml"/>
  <Override PartName="/word/drawings/drawing49.xml" ContentType="application/vnd.openxmlformats-officedocument.drawingml.chartshapes+xml"/>
  <Override PartName="/word/charts/chart64.xml" ContentType="application/vnd.openxmlformats-officedocument.drawingml.chart+xml"/>
  <Override PartName="/word/charts/style71.xml" ContentType="application/vnd.ms-office.chartstyle+xml"/>
  <Override PartName="/word/charts/colors71.xml" ContentType="application/vnd.ms-office.chartcolorstyle+xml"/>
  <Override PartName="/word/theme/themeOverride58.xml" ContentType="application/vnd.openxmlformats-officedocument.themeOverride+xml"/>
  <Override PartName="/word/drawings/drawing50.xml" ContentType="application/vnd.openxmlformats-officedocument.drawingml.chartshapes+xml"/>
  <Override PartName="/word/charts/chart65.xml" ContentType="application/vnd.openxmlformats-officedocument.drawingml.chart+xml"/>
  <Override PartName="/word/charts/style72.xml" ContentType="application/vnd.ms-office.chartstyle+xml"/>
  <Override PartName="/word/charts/colors72.xml" ContentType="application/vnd.ms-office.chartcolorstyle+xml"/>
  <Override PartName="/word/theme/themeOverride59.xml" ContentType="application/vnd.openxmlformats-officedocument.themeOverride+xml"/>
  <Override PartName="/word/drawings/drawing51.xml" ContentType="application/vnd.openxmlformats-officedocument.drawingml.chartshapes+xml"/>
  <Override PartName="/word/charts/chart66.xml" ContentType="application/vnd.openxmlformats-officedocument.drawingml.chart+xml"/>
  <Override PartName="/word/charts/style73.xml" ContentType="application/vnd.ms-office.chartstyle+xml"/>
  <Override PartName="/word/charts/colors73.xml" ContentType="application/vnd.ms-office.chartcolorstyle+xml"/>
  <Override PartName="/word/theme/themeOverride60.xml" ContentType="application/vnd.openxmlformats-officedocument.themeOverride+xml"/>
  <Override PartName="/word/charts/chart67.xml" ContentType="application/vnd.openxmlformats-officedocument.drawingml.chart+xml"/>
  <Override PartName="/word/charts/style74.xml" ContentType="application/vnd.ms-office.chartstyle+xml"/>
  <Override PartName="/word/charts/colors74.xml" ContentType="application/vnd.ms-office.chartcolorstyle+xml"/>
  <Override PartName="/word/theme/themeOverride61.xml" ContentType="application/vnd.openxmlformats-officedocument.themeOverride+xml"/>
  <Override PartName="/word/drawings/drawing52.xml" ContentType="application/vnd.openxmlformats-officedocument.drawingml.chartshapes+xml"/>
  <Override PartName="/word/charts/chart68.xml" ContentType="application/vnd.openxmlformats-officedocument.drawingml.chart+xml"/>
  <Override PartName="/word/charts/style75.xml" ContentType="application/vnd.ms-office.chartstyle+xml"/>
  <Override PartName="/word/charts/colors75.xml" ContentType="application/vnd.ms-office.chartcolorstyle+xml"/>
  <Override PartName="/word/theme/themeOverride62.xml" ContentType="application/vnd.openxmlformats-officedocument.themeOverride+xml"/>
  <Override PartName="/word/charts/chart69.xml" ContentType="application/vnd.openxmlformats-officedocument.drawingml.chart+xml"/>
  <Override PartName="/word/charts/style76.xml" ContentType="application/vnd.ms-office.chartstyle+xml"/>
  <Override PartName="/word/charts/colors76.xml" ContentType="application/vnd.ms-office.chartcolorstyle+xml"/>
  <Override PartName="/word/theme/themeOverride63.xml" ContentType="application/vnd.openxmlformats-officedocument.themeOverride+xml"/>
  <Override PartName="/word/drawings/drawing53.xml" ContentType="application/vnd.openxmlformats-officedocument.drawingml.chartshapes+xml"/>
  <Override PartName="/word/charts/chart70.xml" ContentType="application/vnd.openxmlformats-officedocument.drawingml.chart+xml"/>
  <Override PartName="/word/charts/style77.xml" ContentType="application/vnd.ms-office.chartstyle+xml"/>
  <Override PartName="/word/charts/colors77.xml" ContentType="application/vnd.ms-office.chartcolorstyle+xml"/>
  <Override PartName="/word/theme/themeOverride64.xml" ContentType="application/vnd.openxmlformats-officedocument.themeOverride+xml"/>
  <Override PartName="/word/drawings/drawing54.xml" ContentType="application/vnd.openxmlformats-officedocument.drawingml.chartshapes+xml"/>
  <Override PartName="/word/charts/chart71.xml" ContentType="application/vnd.openxmlformats-officedocument.drawingml.chart+xml"/>
  <Override PartName="/word/charts/style78.xml" ContentType="application/vnd.ms-office.chartstyle+xml"/>
  <Override PartName="/word/charts/colors78.xml" ContentType="application/vnd.ms-office.chartcolorstyle+xml"/>
  <Override PartName="/word/theme/themeOverride65.xml" ContentType="application/vnd.openxmlformats-officedocument.themeOverride+xml"/>
  <Override PartName="/word/drawings/drawing55.xml" ContentType="application/vnd.openxmlformats-officedocument.drawingml.chartshapes+xml"/>
  <Override PartName="/word/charts/chart72.xml" ContentType="application/vnd.openxmlformats-officedocument.drawingml.chart+xml"/>
  <Override PartName="/word/charts/style79.xml" ContentType="application/vnd.ms-office.chartstyle+xml"/>
  <Override PartName="/word/charts/colors79.xml" ContentType="application/vnd.ms-office.chartcolorstyle+xml"/>
  <Override PartName="/word/theme/themeOverride66.xml" ContentType="application/vnd.openxmlformats-officedocument.themeOverride+xml"/>
  <Override PartName="/word/drawings/drawing56.xml" ContentType="application/vnd.openxmlformats-officedocument.drawingml.chartshapes+xml"/>
  <Override PartName="/word/charts/chart73.xml" ContentType="application/vnd.openxmlformats-officedocument.drawingml.chart+xml"/>
  <Override PartName="/word/charts/style80.xml" ContentType="application/vnd.ms-office.chartstyle+xml"/>
  <Override PartName="/word/charts/colors80.xml" ContentType="application/vnd.ms-office.chartcolorstyle+xml"/>
  <Override PartName="/word/theme/themeOverride67.xml" ContentType="application/vnd.openxmlformats-officedocument.themeOverride+xml"/>
  <Override PartName="/word/drawings/drawing57.xml" ContentType="application/vnd.openxmlformats-officedocument.drawingml.chartshapes+xml"/>
  <Override PartName="/word/charts/chart74.xml" ContentType="application/vnd.openxmlformats-officedocument.drawingml.chart+xml"/>
  <Override PartName="/word/charts/style81.xml" ContentType="application/vnd.ms-office.chartstyle+xml"/>
  <Override PartName="/word/charts/colors81.xml" ContentType="application/vnd.ms-office.chartcolorstyle+xml"/>
  <Override PartName="/word/theme/themeOverride68.xml" ContentType="application/vnd.openxmlformats-officedocument.themeOverride+xml"/>
  <Override PartName="/word/drawings/drawing58.xml" ContentType="application/vnd.openxmlformats-officedocument.drawingml.chartshapes+xml"/>
  <Override PartName="/word/charts/chart75.xml" ContentType="application/vnd.openxmlformats-officedocument.drawingml.chart+xml"/>
  <Override PartName="/word/charts/style82.xml" ContentType="application/vnd.ms-office.chartstyle+xml"/>
  <Override PartName="/word/charts/colors82.xml" ContentType="application/vnd.ms-office.chartcolorstyle+xml"/>
  <Override PartName="/word/theme/themeOverride69.xml" ContentType="application/vnd.openxmlformats-officedocument.themeOverride+xml"/>
  <Override PartName="/word/drawings/drawing59.xml" ContentType="application/vnd.openxmlformats-officedocument.drawingml.chartshapes+xml"/>
  <Override PartName="/word/charts/chart76.xml" ContentType="application/vnd.openxmlformats-officedocument.drawingml.chart+xml"/>
  <Override PartName="/word/charts/style83.xml" ContentType="application/vnd.ms-office.chartstyle+xml"/>
  <Override PartName="/word/charts/colors83.xml" ContentType="application/vnd.ms-office.chartcolorstyle+xml"/>
  <Override PartName="/word/charts/chart77.xml" ContentType="application/vnd.openxmlformats-officedocument.drawingml.chart+xml"/>
  <Override PartName="/word/charts/style84.xml" ContentType="application/vnd.ms-office.chartstyle+xml"/>
  <Override PartName="/word/charts/colors84.xml" ContentType="application/vnd.ms-office.chartcolorstyle+xml"/>
  <Override PartName="/word/charts/chart78.xml" ContentType="application/vnd.openxmlformats-officedocument.drawingml.chart+xml"/>
  <Override PartName="/word/charts/style85.xml" ContentType="application/vnd.ms-office.chartstyle+xml"/>
  <Override PartName="/word/charts/colors85.xml" ContentType="application/vnd.ms-office.chartcolorstyle+xml"/>
  <Override PartName="/word/charts/chart79.xml" ContentType="application/vnd.openxmlformats-officedocument.drawingml.chart+xml"/>
  <Override PartName="/word/charts/style86.xml" ContentType="application/vnd.ms-office.chartstyle+xml"/>
  <Override PartName="/word/charts/colors86.xml" ContentType="application/vnd.ms-office.chartcolorstyle+xml"/>
  <Override PartName="/word/charts/chart80.xml" ContentType="application/vnd.openxmlformats-officedocument.drawingml.chart+xml"/>
  <Override PartName="/word/charts/style87.xml" ContentType="application/vnd.ms-office.chartstyle+xml"/>
  <Override PartName="/word/charts/colors87.xml" ContentType="application/vnd.ms-office.chartcolorstyle+xml"/>
  <Override PartName="/word/charts/chart81.xml" ContentType="application/vnd.openxmlformats-officedocument.drawingml.chart+xml"/>
  <Override PartName="/word/charts/style88.xml" ContentType="application/vnd.ms-office.chartstyle+xml"/>
  <Override PartName="/word/charts/colors88.xml" ContentType="application/vnd.ms-office.chartcolorstyle+xml"/>
  <Override PartName="/word/charts/chart82.xml" ContentType="application/vnd.openxmlformats-officedocument.drawingml.chart+xml"/>
  <Override PartName="/word/charts/style89.xml" ContentType="application/vnd.ms-office.chartstyle+xml"/>
  <Override PartName="/word/charts/colors89.xml" ContentType="application/vnd.ms-office.chartcolorstyle+xml"/>
  <Override PartName="/word/footer26.xml" ContentType="application/vnd.openxmlformats-officedocument.wordprocessingml.footer+xml"/>
  <Override PartName="/word/charts/chart83.xml" ContentType="application/vnd.openxmlformats-officedocument.drawingml.chart+xml"/>
  <Override PartName="/word/charts/style90.xml" ContentType="application/vnd.ms-office.chartstyle+xml"/>
  <Override PartName="/word/charts/colors90.xml" ContentType="application/vnd.ms-office.chartcolorstyle+xml"/>
  <Override PartName="/word/charts/chart84.xml" ContentType="application/vnd.openxmlformats-officedocument.drawingml.chart+xml"/>
  <Override PartName="/word/charts/style91.xml" ContentType="application/vnd.ms-office.chartstyle+xml"/>
  <Override PartName="/word/charts/colors91.xml" ContentType="application/vnd.ms-office.chartcolorstyle+xml"/>
  <Override PartName="/word/theme/themeOverride70.xml" ContentType="application/vnd.openxmlformats-officedocument.themeOverride+xml"/>
  <Override PartName="/word/drawings/drawing60.xml" ContentType="application/vnd.openxmlformats-officedocument.drawingml.chartshapes+xml"/>
  <Override PartName="/word/charts/chart85.xml" ContentType="application/vnd.openxmlformats-officedocument.drawingml.chart+xml"/>
  <Override PartName="/word/charts/style92.xml" ContentType="application/vnd.ms-office.chartstyle+xml"/>
  <Override PartName="/word/charts/colors92.xml" ContentType="application/vnd.ms-office.chartcolorstyle+xml"/>
  <Override PartName="/word/theme/themeOverride71.xml" ContentType="application/vnd.openxmlformats-officedocument.themeOverride+xml"/>
  <Override PartName="/word/drawings/drawing61.xml" ContentType="application/vnd.openxmlformats-officedocument.drawingml.chartshapes+xml"/>
  <Override PartName="/word/charts/chart86.xml" ContentType="application/vnd.openxmlformats-officedocument.drawingml.chart+xml"/>
  <Override PartName="/word/charts/style93.xml" ContentType="application/vnd.ms-office.chartstyle+xml"/>
  <Override PartName="/word/charts/colors93.xml" ContentType="application/vnd.ms-office.chartcolorstyle+xml"/>
  <Override PartName="/word/theme/themeOverride72.xml" ContentType="application/vnd.openxmlformats-officedocument.themeOverride+xml"/>
  <Override PartName="/word/drawings/drawing62.xml" ContentType="application/vnd.openxmlformats-officedocument.drawingml.chartshapes+xml"/>
  <Override PartName="/word/charts/chart87.xml" ContentType="application/vnd.openxmlformats-officedocument.drawingml.chart+xml"/>
  <Override PartName="/word/charts/style94.xml" ContentType="application/vnd.ms-office.chartstyle+xml"/>
  <Override PartName="/word/charts/colors94.xml" ContentType="application/vnd.ms-office.chartcolorstyle+xml"/>
  <Override PartName="/word/theme/themeOverride73.xml" ContentType="application/vnd.openxmlformats-officedocument.themeOverride+xml"/>
  <Override PartName="/word/drawings/drawing63.xml" ContentType="application/vnd.openxmlformats-officedocument.drawingml.chartshapes+xml"/>
  <Override PartName="/word/charts/chart88.xml" ContentType="application/vnd.openxmlformats-officedocument.drawingml.chart+xml"/>
  <Override PartName="/word/charts/style95.xml" ContentType="application/vnd.ms-office.chartstyle+xml"/>
  <Override PartName="/word/charts/colors95.xml" ContentType="application/vnd.ms-office.chartcolorstyle+xml"/>
  <Override PartName="/word/theme/themeOverride74.xml" ContentType="application/vnd.openxmlformats-officedocument.themeOverride+xml"/>
  <Override PartName="/word/drawings/drawing64.xml" ContentType="application/vnd.openxmlformats-officedocument.drawingml.chartshapes+xml"/>
  <Override PartName="/word/charts/chart89.xml" ContentType="application/vnd.openxmlformats-officedocument.drawingml.chart+xml"/>
  <Override PartName="/word/charts/style96.xml" ContentType="application/vnd.ms-office.chartstyle+xml"/>
  <Override PartName="/word/charts/colors96.xml" ContentType="application/vnd.ms-office.chartcolorstyle+xml"/>
  <Override PartName="/word/charts/chartEx15.xml" ContentType="application/vnd.ms-office.chartex+xml"/>
  <Override PartName="/word/charts/style97.xml" ContentType="application/vnd.ms-office.chartstyle+xml"/>
  <Override PartName="/word/charts/colors97.xml" ContentType="application/vnd.ms-office.chartcolorstyle+xml"/>
  <Override PartName="/word/charts/chart90.xml" ContentType="application/vnd.openxmlformats-officedocument.drawingml.chart+xml"/>
  <Override PartName="/word/charts/style98.xml" ContentType="application/vnd.ms-office.chartstyle+xml"/>
  <Override PartName="/word/charts/colors98.xml" ContentType="application/vnd.ms-office.chartcolorstyle+xml"/>
  <Override PartName="/word/charts/chart91.xml" ContentType="application/vnd.openxmlformats-officedocument.drawingml.chart+xml"/>
  <Override PartName="/word/charts/style99.xml" ContentType="application/vnd.ms-office.chartstyle+xml"/>
  <Override PartName="/word/charts/colors99.xml" ContentType="application/vnd.ms-office.chartcolorstyle+xml"/>
  <Override PartName="/word/theme/themeOverride75.xml" ContentType="application/vnd.openxmlformats-officedocument.themeOverride+xml"/>
  <Override PartName="/word/header19.xml" ContentType="application/vnd.openxmlformats-officedocument.wordprocessingml.header+xml"/>
  <Override PartName="/word/header20.xml" ContentType="application/vnd.openxmlformats-officedocument.wordprocessingml.header+xml"/>
  <Override PartName="/word/footer27.xml" ContentType="application/vnd.openxmlformats-officedocument.wordprocessingml.footer+xml"/>
  <Override PartName="/word/footer28.xml" ContentType="application/vnd.openxmlformats-officedocument.wordprocessingml.footer+xml"/>
  <Override PartName="/word/header21.xml" ContentType="application/vnd.openxmlformats-officedocument.wordprocessingml.header+xml"/>
  <Override PartName="/word/footer29.xml" ContentType="application/vnd.openxmlformats-officedocument.wordprocessingml.footer+xml"/>
  <Override PartName="/word/charts/chart92.xml" ContentType="application/vnd.openxmlformats-officedocument.drawingml.chart+xml"/>
  <Override PartName="/word/charts/style100.xml" ContentType="application/vnd.ms-office.chartstyle+xml"/>
  <Override PartName="/word/charts/colors100.xml" ContentType="application/vnd.ms-office.chartcolorstyle+xml"/>
  <Override PartName="/word/theme/themeOverride76.xml" ContentType="application/vnd.openxmlformats-officedocument.themeOverride+xml"/>
  <Override PartName="/word/drawings/drawing65.xml" ContentType="application/vnd.openxmlformats-officedocument.drawingml.chartshapes+xml"/>
  <Override PartName="/word/charts/chart93.xml" ContentType="application/vnd.openxmlformats-officedocument.drawingml.chart+xml"/>
  <Override PartName="/word/charts/style101.xml" ContentType="application/vnd.ms-office.chartstyle+xml"/>
  <Override PartName="/word/charts/colors101.xml" ContentType="application/vnd.ms-office.chartcolorstyle+xml"/>
  <Override PartName="/word/theme/themeOverride77.xml" ContentType="application/vnd.openxmlformats-officedocument.themeOverride+xml"/>
  <Override PartName="/word/drawings/drawing66.xml" ContentType="application/vnd.openxmlformats-officedocument.drawingml.chartshapes+xml"/>
  <Override PartName="/word/charts/chart94.xml" ContentType="application/vnd.openxmlformats-officedocument.drawingml.chart+xml"/>
  <Override PartName="/word/charts/style102.xml" ContentType="application/vnd.ms-office.chartstyle+xml"/>
  <Override PartName="/word/charts/colors102.xml" ContentType="application/vnd.ms-office.chartcolorstyle+xml"/>
  <Override PartName="/word/theme/themeOverride78.xml" ContentType="application/vnd.openxmlformats-officedocument.themeOverride+xml"/>
  <Override PartName="/word/drawings/drawing67.xml" ContentType="application/vnd.openxmlformats-officedocument.drawingml.chartshapes+xml"/>
  <Override PartName="/word/charts/chart95.xml" ContentType="application/vnd.openxmlformats-officedocument.drawingml.chart+xml"/>
  <Override PartName="/word/charts/style103.xml" ContentType="application/vnd.ms-office.chartstyle+xml"/>
  <Override PartName="/word/charts/colors103.xml" ContentType="application/vnd.ms-office.chartcolorstyle+xml"/>
  <Override PartName="/word/theme/themeOverride79.xml" ContentType="application/vnd.openxmlformats-officedocument.themeOverride+xml"/>
  <Override PartName="/word/drawings/drawing68.xml" ContentType="application/vnd.openxmlformats-officedocument.drawingml.chartshapes+xml"/>
  <Override PartName="/word/charts/chart96.xml" ContentType="application/vnd.openxmlformats-officedocument.drawingml.chart+xml"/>
  <Override PartName="/word/charts/style104.xml" ContentType="application/vnd.ms-office.chartstyle+xml"/>
  <Override PartName="/word/charts/colors104.xml" ContentType="application/vnd.ms-office.chartcolorstyle+xml"/>
  <Override PartName="/word/theme/themeOverride80.xml" ContentType="application/vnd.openxmlformats-officedocument.themeOverride+xml"/>
  <Override PartName="/word/drawings/drawing69.xml" ContentType="application/vnd.openxmlformats-officedocument.drawingml.chartshapes+xml"/>
  <Override PartName="/word/charts/chart97.xml" ContentType="application/vnd.openxmlformats-officedocument.drawingml.chart+xml"/>
  <Override PartName="/word/charts/style105.xml" ContentType="application/vnd.ms-office.chartstyle+xml"/>
  <Override PartName="/word/charts/colors105.xml" ContentType="application/vnd.ms-office.chartcolorstyle+xml"/>
  <Override PartName="/word/theme/themeOverride81.xml" ContentType="application/vnd.openxmlformats-officedocument.themeOverride+xml"/>
  <Override PartName="/word/drawings/drawing70.xml" ContentType="application/vnd.openxmlformats-officedocument.drawingml.chartshapes+xml"/>
  <Override PartName="/word/footer30.xml" ContentType="application/vnd.openxmlformats-officedocument.wordprocessingml.footer+xml"/>
  <Override PartName="/word/footer31.xml" ContentType="application/vnd.openxmlformats-officedocument.wordprocessingml.footer+xml"/>
  <Override PartName="/word/charts/chart98.xml" ContentType="application/vnd.openxmlformats-officedocument.drawingml.chart+xml"/>
  <Override PartName="/word/charts/style106.xml" ContentType="application/vnd.ms-office.chartstyle+xml"/>
  <Override PartName="/word/charts/colors106.xml" ContentType="application/vnd.ms-office.chartcolorstyle+xml"/>
  <Override PartName="/word/charts/chart99.xml" ContentType="application/vnd.openxmlformats-officedocument.drawingml.chart+xml"/>
  <Override PartName="/word/charts/style107.xml" ContentType="application/vnd.ms-office.chartstyle+xml"/>
  <Override PartName="/word/charts/colors107.xml" ContentType="application/vnd.ms-office.chartcolorstyle+xml"/>
  <Override PartName="/word/theme/themeOverride82.xml" ContentType="application/vnd.openxmlformats-officedocument.themeOverride+xml"/>
  <Override PartName="/word/drawings/drawing71.xml" ContentType="application/vnd.openxmlformats-officedocument.drawingml.chartshapes+xml"/>
  <Override PartName="/word/charts/chart100.xml" ContentType="application/vnd.openxmlformats-officedocument.drawingml.chart+xml"/>
  <Override PartName="/word/charts/style108.xml" ContentType="application/vnd.ms-office.chartstyle+xml"/>
  <Override PartName="/word/charts/colors108.xml" ContentType="application/vnd.ms-office.chartcolorstyle+xml"/>
  <Override PartName="/word/theme/themeOverride83.xml" ContentType="application/vnd.openxmlformats-officedocument.themeOverride+xml"/>
  <Override PartName="/word/drawings/drawing72.xml" ContentType="application/vnd.openxmlformats-officedocument.drawingml.chartshapes+xml"/>
  <Override PartName="/word/charts/chart101.xml" ContentType="application/vnd.openxmlformats-officedocument.drawingml.chart+xml"/>
  <Override PartName="/word/charts/style109.xml" ContentType="application/vnd.ms-office.chartstyle+xml"/>
  <Override PartName="/word/charts/colors109.xml" ContentType="application/vnd.ms-office.chartcolorstyle+xml"/>
  <Override PartName="/word/theme/themeOverride84.xml" ContentType="application/vnd.openxmlformats-officedocument.themeOverride+xml"/>
  <Override PartName="/word/drawings/drawing73.xml" ContentType="application/vnd.openxmlformats-officedocument.drawingml.chartshapes+xml"/>
  <Override PartName="/word/charts/chart102.xml" ContentType="application/vnd.openxmlformats-officedocument.drawingml.chart+xml"/>
  <Override PartName="/word/charts/style110.xml" ContentType="application/vnd.ms-office.chartstyle+xml"/>
  <Override PartName="/word/charts/colors110.xml" ContentType="application/vnd.ms-office.chartcolorstyle+xml"/>
  <Override PartName="/word/theme/themeOverride85.xml" ContentType="application/vnd.openxmlformats-officedocument.themeOverride+xml"/>
  <Override PartName="/word/drawings/drawing74.xml" ContentType="application/vnd.openxmlformats-officedocument.drawingml.chartshapes+xml"/>
  <Override PartName="/word/charts/chart103.xml" ContentType="application/vnd.openxmlformats-officedocument.drawingml.chart+xml"/>
  <Override PartName="/word/charts/style111.xml" ContentType="application/vnd.ms-office.chartstyle+xml"/>
  <Override PartName="/word/charts/colors111.xml" ContentType="application/vnd.ms-office.chartcolorstyle+xml"/>
  <Override PartName="/word/theme/themeOverride86.xml" ContentType="application/vnd.openxmlformats-officedocument.themeOverride+xml"/>
  <Override PartName="/word/drawings/drawing75.xml" ContentType="application/vnd.openxmlformats-officedocument.drawingml.chartshapes+xml"/>
  <Override PartName="/word/charts/chart104.xml" ContentType="application/vnd.openxmlformats-officedocument.drawingml.chart+xml"/>
  <Override PartName="/word/charts/style112.xml" ContentType="application/vnd.ms-office.chartstyle+xml"/>
  <Override PartName="/word/charts/colors112.xml" ContentType="application/vnd.ms-office.chartcolorstyle+xml"/>
  <Override PartName="/word/theme/themeOverride87.xml" ContentType="application/vnd.openxmlformats-officedocument.themeOverride+xml"/>
  <Override PartName="/word/drawings/drawing76.xml" ContentType="application/vnd.openxmlformats-officedocument.drawingml.chartshapes+xml"/>
  <Override PartName="/word/charts/chart105.xml" ContentType="application/vnd.openxmlformats-officedocument.drawingml.chart+xml"/>
  <Override PartName="/word/charts/style113.xml" ContentType="application/vnd.ms-office.chartstyle+xml"/>
  <Override PartName="/word/charts/colors113.xml" ContentType="application/vnd.ms-office.chartcolorstyle+xml"/>
  <Override PartName="/word/theme/themeOverride88.xml" ContentType="application/vnd.openxmlformats-officedocument.themeOverride+xml"/>
  <Override PartName="/word/drawings/drawing77.xml" ContentType="application/vnd.openxmlformats-officedocument.drawingml.chartshapes+xml"/>
  <Override PartName="/word/header22.xml" ContentType="application/vnd.openxmlformats-officedocument.wordprocessingml.header+xml"/>
  <Override PartName="/word/header23.xml" ContentType="application/vnd.openxmlformats-officedocument.wordprocessingml.header+xml"/>
  <Override PartName="/word/footer32.xml" ContentType="application/vnd.openxmlformats-officedocument.wordprocessingml.footer+xml"/>
  <Override PartName="/word/footer33.xml" ContentType="application/vnd.openxmlformats-officedocument.wordprocessingml.footer+xml"/>
  <Override PartName="/word/header24.xml" ContentType="application/vnd.openxmlformats-officedocument.wordprocessingml.header+xml"/>
  <Override PartName="/word/footer34.xml" ContentType="application/vnd.openxmlformats-officedocument.wordprocessingml.footer+xml"/>
  <Override PartName="/word/footer35.xml" ContentType="application/vnd.openxmlformats-officedocument.wordprocessingml.footer+xml"/>
  <Override PartName="/word/charts/chart106.xml" ContentType="application/vnd.openxmlformats-officedocument.drawingml.chart+xml"/>
  <Override PartName="/word/charts/style114.xml" ContentType="application/vnd.ms-office.chartstyle+xml"/>
  <Override PartName="/word/charts/colors114.xml" ContentType="application/vnd.ms-office.chartcolorstyle+xml"/>
  <Override PartName="/word/charts/chart107.xml" ContentType="application/vnd.openxmlformats-officedocument.drawingml.chart+xml"/>
  <Override PartName="/word/charts/style115.xml" ContentType="application/vnd.ms-office.chartstyle+xml"/>
  <Override PartName="/word/charts/colors115.xml" ContentType="application/vnd.ms-office.chartcolorstyle+xml"/>
  <Override PartName="/word/theme/themeOverride89.xml" ContentType="application/vnd.openxmlformats-officedocument.themeOverride+xml"/>
  <Override PartName="/word/drawings/drawing78.xml" ContentType="application/vnd.openxmlformats-officedocument.drawingml.chartshapes+xml"/>
  <Override PartName="/word/charts/chart108.xml" ContentType="application/vnd.openxmlformats-officedocument.drawingml.chart+xml"/>
  <Override PartName="/word/charts/style116.xml" ContentType="application/vnd.ms-office.chartstyle+xml"/>
  <Override PartName="/word/charts/colors116.xml" ContentType="application/vnd.ms-office.chartcolorstyle+xml"/>
  <Override PartName="/word/theme/themeOverride90.xml" ContentType="application/vnd.openxmlformats-officedocument.themeOverride+xml"/>
  <Override PartName="/word/drawings/drawing79.xml" ContentType="application/vnd.openxmlformats-officedocument.drawingml.chartshapes+xml"/>
  <Override PartName="/word/header25.xml" ContentType="application/vnd.openxmlformats-officedocument.wordprocessingml.header+xml"/>
  <Override PartName="/word/header26.xml" ContentType="application/vnd.openxmlformats-officedocument.wordprocessingml.header+xml"/>
  <Override PartName="/word/footer36.xml" ContentType="application/vnd.openxmlformats-officedocument.wordprocessingml.footer+xml"/>
  <Override PartName="/word/footer37.xml" ContentType="application/vnd.openxmlformats-officedocument.wordprocessingml.footer+xml"/>
  <Override PartName="/word/header27.xml" ContentType="application/vnd.openxmlformats-officedocument.wordprocessingml.header+xml"/>
  <Override PartName="/word/footer38.xml" ContentType="application/vnd.openxmlformats-officedocument.wordprocessingml.footer+xml"/>
  <Override PartName="/word/header28.xml" ContentType="application/vnd.openxmlformats-officedocument.wordprocessingml.header+xml"/>
  <Override PartName="/word/header29.xml" ContentType="application/vnd.openxmlformats-officedocument.wordprocessingml.header+xml"/>
  <Override PartName="/word/footer39.xml" ContentType="application/vnd.openxmlformats-officedocument.wordprocessingml.footer+xml"/>
  <Override PartName="/word/footer40.xml" ContentType="application/vnd.openxmlformats-officedocument.wordprocessingml.footer+xml"/>
  <Override PartName="/word/header30.xml" ContentType="application/vnd.openxmlformats-officedocument.wordprocessingml.header+xml"/>
  <Override PartName="/word/footer4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harts/chartEx8.xml" ContentType="application/vnd.ms-office.chartex+xml"/>
  <Override PartName="/word/charts/chartEx9.xml" ContentType="application/vnd.ms-office.chartex+xml"/>
  <Override PartName="/word/charts/chartEx10.xml" ContentType="application/vnd.ms-office.chartex+xml"/>
  <Override PartName="/word/charts/chartEx11.xml" ContentType="application/vnd.ms-office.chartex+xml"/>
  <Override PartName="/word/charts/chartEx12.xml" ContentType="application/vnd.ms-office.chartex+xml"/>
  <Override PartName="/word/charts/chartEx13.xml" ContentType="application/vnd.ms-office.chartex+xml"/>
  <Override PartName="/word/charts/chartEx14.xml" ContentType="application/vnd.ms-office.chartex+xml"/>
  <Override PartName="/word/charts/chartEx16.xml" ContentType="application/vnd.ms-office.chartex+xml"/>
  <Override PartName="/word/charts/colors260.xml" ContentType="application/vnd.ms-office.chartcolorstyle+xml"/>
  <Override PartName="/word/charts/style260.xml" ContentType="application/vnd.ms-office.chartstyle+xml"/>
  <Override PartName="/word/charts/colors270.xml" ContentType="application/vnd.ms-office.chartcolorstyle+xml"/>
  <Override PartName="/word/charts/style270.xml" ContentType="application/vnd.ms-office.chartstyle+xml"/>
  <Override PartName="/word/charts/colors280.xml" ContentType="application/vnd.ms-office.chartcolorstyle+xml"/>
  <Override PartName="/word/charts/style280.xml" ContentType="application/vnd.ms-office.chartstyle+xml"/>
  <Override PartName="/word/charts/colors290.xml" ContentType="application/vnd.ms-office.chartcolorstyle+xml"/>
  <Override PartName="/word/charts/style290.xml" ContentType="application/vnd.ms-office.chartstyle+xml"/>
  <Override PartName="/word/charts/colors300.xml" ContentType="application/vnd.ms-office.chartcolorstyle+xml"/>
  <Override PartName="/word/charts/style300.xml" ContentType="application/vnd.ms-office.chartstyle+xml"/>
  <Override PartName="/word/charts/colors310.xml" ContentType="application/vnd.ms-office.chartcolorstyle+xml"/>
  <Override PartName="/word/charts/style310.xml" ContentType="application/vnd.ms-office.chartstyle+xml"/>
  <Override PartName="/word/charts/colors320.xml" ContentType="application/vnd.ms-office.chartcolorstyle+xml"/>
  <Override PartName="/word/charts/style320.xml" ContentType="application/vnd.ms-office.chartstyle+xml"/>
  <Override PartName="/word/charts/colors1060.xml" ContentType="application/vnd.ms-office.chartcolorstyle+xml"/>
  <Override PartName="/word/charts/style1060.xml" ContentType="application/vnd.ms-office.chartsty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C6AB3CC" w14:textId="568CE93F" w:rsidR="00DE792B" w:rsidRPr="00AC6904" w:rsidRDefault="003E54B4" w:rsidP="003E54B4">
      <w:pPr>
        <w:pStyle w:val="Title"/>
        <w:shd w:val="clear" w:color="auto" w:fill="auto"/>
        <w:spacing w:before="240"/>
        <w:ind w:left="1440"/>
        <w:jc w:val="right"/>
        <w:rPr>
          <w:b w:val="0"/>
          <w:i/>
          <w:color w:val="2F5496" w:themeColor="accent1" w:themeShade="BF"/>
          <w:sz w:val="108"/>
          <w:szCs w:val="108"/>
        </w:rPr>
      </w:pPr>
      <w:bookmarkStart w:id="0" w:name="_Toc10215326"/>
      <w:bookmarkStart w:id="1" w:name="_Toc11007902"/>
      <w:bookmarkStart w:id="2" w:name="_Toc11010554"/>
      <w:r>
        <w:rPr>
          <w:b w:val="0"/>
          <w:i/>
          <w:color w:val="2F5496" w:themeColor="accent1" w:themeShade="BF"/>
          <w:sz w:val="108"/>
          <w:szCs w:val="108"/>
        </w:rPr>
        <w:br/>
      </w:r>
      <w:r w:rsidR="00DE792B" w:rsidRPr="00AC6904">
        <w:rPr>
          <w:b w:val="0"/>
          <w:i/>
          <w:color w:val="2F5496" w:themeColor="accent1" w:themeShade="BF"/>
          <w:sz w:val="108"/>
          <w:szCs w:val="108"/>
        </w:rPr>
        <w:t>Workforce</w:t>
      </w:r>
      <w:r w:rsidR="00DE792B" w:rsidRPr="00AC6904">
        <w:rPr>
          <w:b w:val="0"/>
          <w:i/>
          <w:color w:val="2F5496" w:themeColor="accent1" w:themeShade="BF"/>
          <w:sz w:val="108"/>
          <w:szCs w:val="108"/>
        </w:rPr>
        <w:br/>
        <w:t xml:space="preserve">Innovation </w:t>
      </w:r>
      <w:r w:rsidR="00DE792B" w:rsidRPr="00AC6904">
        <w:rPr>
          <w:b w:val="0"/>
          <w:i/>
          <w:color w:val="2F5496" w:themeColor="accent1" w:themeShade="BF"/>
          <w:sz w:val="108"/>
          <w:szCs w:val="108"/>
        </w:rPr>
        <w:br/>
        <w:t xml:space="preserve">Technical </w:t>
      </w:r>
      <w:r w:rsidR="00DE792B" w:rsidRPr="00AC6904">
        <w:rPr>
          <w:b w:val="0"/>
          <w:i/>
          <w:color w:val="2F5496" w:themeColor="accent1" w:themeShade="BF"/>
          <w:sz w:val="108"/>
          <w:szCs w:val="108"/>
        </w:rPr>
        <w:br/>
        <w:t xml:space="preserve">Assistance </w:t>
      </w:r>
      <w:r w:rsidR="00DE792B" w:rsidRPr="00AC6904">
        <w:rPr>
          <w:b w:val="0"/>
          <w:i/>
          <w:color w:val="2F5496" w:themeColor="accent1" w:themeShade="BF"/>
          <w:sz w:val="108"/>
          <w:szCs w:val="108"/>
        </w:rPr>
        <w:br/>
        <w:t>Cente</w:t>
      </w:r>
      <w:r>
        <w:rPr>
          <w:b w:val="0"/>
          <w:i/>
          <w:color w:val="2F5496" w:themeColor="accent1" w:themeShade="BF"/>
          <w:sz w:val="108"/>
          <w:szCs w:val="108"/>
        </w:rPr>
        <w:t>r</w:t>
      </w:r>
    </w:p>
    <w:p w14:paraId="248080BD" w14:textId="0B48F0F9" w:rsidR="00DE792B" w:rsidRDefault="00DE792B" w:rsidP="00DE792B">
      <w:pPr>
        <w:pStyle w:val="NoSpacing"/>
        <w:numPr>
          <w:ilvl w:val="0"/>
          <w:numId w:val="0"/>
        </w:numPr>
        <w:spacing w:before="240"/>
        <w:ind w:left="1440"/>
        <w:rPr>
          <w:b/>
          <w:caps/>
          <w:color w:val="44546A" w:themeColor="text2"/>
          <w:sz w:val="36"/>
          <w:szCs w:val="36"/>
        </w:rPr>
      </w:pPr>
      <w:r>
        <w:rPr>
          <w:b/>
          <w:caps/>
          <w:color w:val="44546A" w:themeColor="text2"/>
          <w:sz w:val="36"/>
          <w:szCs w:val="36"/>
        </w:rPr>
        <w:t>year four</w:t>
      </w:r>
      <w:r w:rsidR="00105474">
        <w:rPr>
          <w:b/>
          <w:caps/>
          <w:color w:val="44546A" w:themeColor="text2"/>
          <w:sz w:val="36"/>
          <w:szCs w:val="36"/>
        </w:rPr>
        <w:t xml:space="preserve"> Evaluation report</w:t>
      </w:r>
    </w:p>
    <w:p w14:paraId="70D78E3A" w14:textId="191A9B30" w:rsidR="00DE792B" w:rsidRPr="00A176F7" w:rsidRDefault="00DE792B" w:rsidP="00DE792B">
      <w:pPr>
        <w:pStyle w:val="NoSpacing"/>
        <w:numPr>
          <w:ilvl w:val="0"/>
          <w:numId w:val="0"/>
        </w:numPr>
        <w:spacing w:before="240"/>
        <w:ind w:left="1440"/>
        <w:rPr>
          <w:b/>
          <w:caps/>
          <w:color w:val="44546A" w:themeColor="text2"/>
          <w:sz w:val="36"/>
          <w:szCs w:val="36"/>
        </w:rPr>
      </w:pPr>
      <w:r>
        <w:rPr>
          <w:b/>
          <w:caps/>
          <w:color w:val="44546A" w:themeColor="text2"/>
          <w:sz w:val="36"/>
          <w:szCs w:val="36"/>
        </w:rPr>
        <w:t>dECEMBER 2</w:t>
      </w:r>
      <w:r w:rsidR="00A31D53">
        <w:rPr>
          <w:b/>
          <w:caps/>
          <w:color w:val="44546A" w:themeColor="text2"/>
          <w:sz w:val="36"/>
          <w:szCs w:val="36"/>
        </w:rPr>
        <w:t>7</w:t>
      </w:r>
      <w:r>
        <w:rPr>
          <w:b/>
          <w:caps/>
          <w:color w:val="44546A" w:themeColor="text2"/>
          <w:sz w:val="36"/>
          <w:szCs w:val="36"/>
        </w:rPr>
        <w:t>, 2019</w:t>
      </w:r>
    </w:p>
    <w:p w14:paraId="150EA699" w14:textId="77777777" w:rsidR="003B6148" w:rsidRDefault="003B6148" w:rsidP="00B10F7D">
      <w:pPr>
        <w:pStyle w:val="Heading1"/>
        <w:numPr>
          <w:ilvl w:val="0"/>
          <w:numId w:val="0"/>
        </w:numPr>
        <w:shd w:val="clear" w:color="auto" w:fill="auto"/>
        <w:ind w:left="360"/>
        <w:jc w:val="left"/>
        <w:sectPr w:rsidR="003B6148" w:rsidSect="00D27D05">
          <w:type w:val="continuous"/>
          <w:pgSz w:w="12240" w:h="15840" w:code="1"/>
          <w:pgMar w:top="1440" w:right="1440" w:bottom="1440" w:left="1440" w:header="720" w:footer="720" w:gutter="0"/>
          <w:pgBorders w:offsetFrom="page">
            <w:top w:val="thinThickSmallGap" w:sz="24" w:space="24" w:color="2F5496" w:themeColor="accent1" w:themeShade="BF"/>
            <w:left w:val="thinThickSmallGap" w:sz="24" w:space="24" w:color="2F5496" w:themeColor="accent1" w:themeShade="BF"/>
            <w:bottom w:val="thickThinSmallGap" w:sz="24" w:space="24" w:color="2F5496" w:themeColor="accent1" w:themeShade="BF"/>
            <w:right w:val="thickThinSmallGap" w:sz="24" w:space="24" w:color="2F5496" w:themeColor="accent1" w:themeShade="BF"/>
          </w:pgBorders>
          <w:pgNumType w:chapStyle="1"/>
          <w:cols w:space="720"/>
          <w:vAlign w:val="center"/>
          <w:docGrid w:linePitch="360"/>
        </w:sectPr>
      </w:pPr>
      <w:bookmarkStart w:id="3" w:name="_Toc27983629"/>
      <w:bookmarkStart w:id="4" w:name="_Toc27993726"/>
      <w:bookmarkStart w:id="5" w:name="_Toc28008593"/>
      <w:bookmarkStart w:id="6" w:name="_Toc28011406"/>
      <w:r>
        <w:rPr>
          <w:noProof/>
          <w:lang w:eastAsia="ko-KR"/>
        </w:rPr>
        <w:drawing>
          <wp:anchor distT="0" distB="0" distL="114300" distR="114300" simplePos="0" relativeHeight="251684864" behindDoc="1" locked="0" layoutInCell="1" allowOverlap="1" wp14:anchorId="2F7C3B95" wp14:editId="68C1F5C2">
            <wp:simplePos x="0" y="0"/>
            <wp:positionH relativeFrom="margin">
              <wp:posOffset>-561975</wp:posOffset>
            </wp:positionH>
            <wp:positionV relativeFrom="page">
              <wp:posOffset>8124825</wp:posOffset>
            </wp:positionV>
            <wp:extent cx="7058660" cy="1581785"/>
            <wp:effectExtent l="0" t="0" r="8890" b="0"/>
            <wp:wrapSquare wrapText="left"/>
            <wp:docPr id="172" name="Picture 172" descr="WINTAC Burton Blatt Institute Syracuse Univers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wintac-bbi.jpg"/>
                    <pic:cNvPicPr/>
                  </pic:nvPicPr>
                  <pic:blipFill>
                    <a:blip r:embed="rId8">
                      <a:extLst>
                        <a:ext uri="{28A0092B-C50C-407E-A947-70E740481C1C}">
                          <a14:useLocalDpi xmlns:a14="http://schemas.microsoft.com/office/drawing/2010/main" val="0"/>
                        </a:ext>
                      </a:extLst>
                    </a:blip>
                    <a:stretch>
                      <a:fillRect/>
                    </a:stretch>
                  </pic:blipFill>
                  <pic:spPr>
                    <a:xfrm>
                      <a:off x="0" y="0"/>
                      <a:ext cx="7058660" cy="1581785"/>
                    </a:xfrm>
                    <a:prstGeom prst="rect">
                      <a:avLst/>
                    </a:prstGeom>
                  </pic:spPr>
                </pic:pic>
              </a:graphicData>
            </a:graphic>
            <wp14:sizeRelH relativeFrom="margin">
              <wp14:pctWidth>0</wp14:pctWidth>
            </wp14:sizeRelH>
            <wp14:sizeRelV relativeFrom="margin">
              <wp14:pctHeight>0</wp14:pctHeight>
            </wp14:sizeRelV>
          </wp:anchor>
        </w:drawing>
      </w:r>
      <w:bookmarkStart w:id="7" w:name="_Toc10215327"/>
      <w:bookmarkStart w:id="8" w:name="_Toc11010555"/>
      <w:bookmarkEnd w:id="0"/>
      <w:bookmarkEnd w:id="1"/>
      <w:bookmarkEnd w:id="2"/>
      <w:bookmarkEnd w:id="3"/>
      <w:bookmarkEnd w:id="4"/>
      <w:bookmarkEnd w:id="5"/>
      <w:bookmarkEnd w:id="6"/>
    </w:p>
    <w:p w14:paraId="771F7FA6" w14:textId="77777777" w:rsidR="003B6148" w:rsidRPr="00B10F7D" w:rsidRDefault="003B6148" w:rsidP="00B10F7D">
      <w:pPr>
        <w:pStyle w:val="Heading1"/>
        <w:numPr>
          <w:ilvl w:val="0"/>
          <w:numId w:val="0"/>
        </w:numPr>
        <w:pBdr>
          <w:bottom w:val="single" w:sz="18" w:space="1" w:color="auto"/>
        </w:pBdr>
        <w:shd w:val="clear" w:color="auto" w:fill="auto"/>
        <w:ind w:left="360"/>
        <w:jc w:val="left"/>
        <w:rPr>
          <w:bCs/>
          <w:caps w:val="0"/>
          <w:szCs w:val="52"/>
        </w:rPr>
      </w:pPr>
      <w:bookmarkStart w:id="9" w:name="_Toc28008594"/>
      <w:bookmarkStart w:id="10" w:name="_Toc28011407"/>
      <w:r w:rsidRPr="00B10F7D">
        <w:rPr>
          <w:szCs w:val="52"/>
        </w:rPr>
        <w:lastRenderedPageBreak/>
        <w:t>Table of Contents</w:t>
      </w:r>
      <w:bookmarkEnd w:id="7"/>
      <w:bookmarkEnd w:id="8"/>
      <w:bookmarkEnd w:id="9"/>
      <w:bookmarkEnd w:id="10"/>
      <w:r w:rsidRPr="00B10F7D">
        <w:rPr>
          <w:bCs/>
          <w:caps w:val="0"/>
          <w:szCs w:val="52"/>
        </w:rPr>
        <w:t xml:space="preserve"> </w:t>
      </w:r>
    </w:p>
    <w:p w14:paraId="7DD8593B" w14:textId="49D6721C" w:rsidR="00090F81" w:rsidRDefault="00C22384" w:rsidP="00090F81">
      <w:pPr>
        <w:pStyle w:val="TOC1"/>
        <w:tabs>
          <w:tab w:val="right" w:leader="dot" w:pos="9350"/>
        </w:tabs>
        <w:rPr>
          <w:rFonts w:eastAsiaTheme="minorEastAsia"/>
          <w:noProof/>
        </w:rPr>
      </w:pPr>
      <w:r>
        <w:fldChar w:fldCharType="begin"/>
      </w:r>
      <w:r>
        <w:instrText xml:space="preserve"> TOC \o "1-2" \h \z \u </w:instrText>
      </w:r>
      <w:r>
        <w:fldChar w:fldCharType="separate"/>
      </w:r>
    </w:p>
    <w:p w14:paraId="6FE42F2E" w14:textId="2E46F20B" w:rsidR="00090F81" w:rsidRDefault="00366D34">
      <w:pPr>
        <w:pStyle w:val="TOC1"/>
        <w:tabs>
          <w:tab w:val="right" w:leader="dot" w:pos="9350"/>
        </w:tabs>
        <w:rPr>
          <w:rFonts w:eastAsiaTheme="minorEastAsia"/>
          <w:noProof/>
        </w:rPr>
      </w:pPr>
      <w:hyperlink w:anchor="_Toc28011408" w:history="1">
        <w:r w:rsidR="00090F81" w:rsidRPr="00764536">
          <w:rPr>
            <w:rStyle w:val="Hyperlink"/>
            <w:noProof/>
          </w:rPr>
          <w:t>Introduction</w:t>
        </w:r>
        <w:r w:rsidR="00090F81">
          <w:rPr>
            <w:noProof/>
            <w:webHidden/>
          </w:rPr>
          <w:tab/>
        </w:r>
        <w:r w:rsidR="00090F81">
          <w:rPr>
            <w:noProof/>
            <w:webHidden/>
          </w:rPr>
          <w:fldChar w:fldCharType="begin"/>
        </w:r>
        <w:r w:rsidR="00090F81">
          <w:rPr>
            <w:noProof/>
            <w:webHidden/>
          </w:rPr>
          <w:instrText xml:space="preserve"> PAGEREF _Toc28011408 \h </w:instrText>
        </w:r>
        <w:r w:rsidR="00090F81">
          <w:rPr>
            <w:noProof/>
            <w:webHidden/>
          </w:rPr>
        </w:r>
        <w:r w:rsidR="00090F81">
          <w:rPr>
            <w:noProof/>
            <w:webHidden/>
          </w:rPr>
          <w:fldChar w:fldCharType="separate"/>
        </w:r>
        <w:r w:rsidR="00DB3AD8">
          <w:rPr>
            <w:noProof/>
            <w:webHidden/>
          </w:rPr>
          <w:t>4</w:t>
        </w:r>
        <w:r w:rsidR="00090F81">
          <w:rPr>
            <w:noProof/>
            <w:webHidden/>
          </w:rPr>
          <w:fldChar w:fldCharType="end"/>
        </w:r>
      </w:hyperlink>
    </w:p>
    <w:p w14:paraId="1FF2F691" w14:textId="368BFEC0" w:rsidR="00090F81" w:rsidRDefault="00366D34">
      <w:pPr>
        <w:pStyle w:val="TOC1"/>
        <w:tabs>
          <w:tab w:val="left" w:pos="440"/>
          <w:tab w:val="right" w:leader="dot" w:pos="9350"/>
        </w:tabs>
        <w:rPr>
          <w:rFonts w:eastAsiaTheme="minorEastAsia"/>
          <w:noProof/>
        </w:rPr>
      </w:pPr>
      <w:hyperlink w:anchor="_Toc28011409" w:history="1">
        <w:r w:rsidR="00090F81" w:rsidRPr="00764536">
          <w:rPr>
            <w:rStyle w:val="Hyperlink"/>
            <w:noProof/>
          </w:rPr>
          <w:t>A.</w:t>
        </w:r>
        <w:r w:rsidR="00090F81">
          <w:rPr>
            <w:rFonts w:eastAsiaTheme="minorEastAsia"/>
            <w:noProof/>
          </w:rPr>
          <w:tab/>
        </w:r>
        <w:r w:rsidR="00090F81" w:rsidRPr="00764536">
          <w:rPr>
            <w:rStyle w:val="Hyperlink"/>
            <w:noProof/>
          </w:rPr>
          <w:t>Pre -Employment Transition Services</w:t>
        </w:r>
        <w:r w:rsidR="00090F81">
          <w:rPr>
            <w:noProof/>
            <w:webHidden/>
          </w:rPr>
          <w:tab/>
        </w:r>
        <w:r w:rsidR="00090F81">
          <w:rPr>
            <w:noProof/>
            <w:webHidden/>
          </w:rPr>
          <w:fldChar w:fldCharType="begin"/>
        </w:r>
        <w:r w:rsidR="00090F81">
          <w:rPr>
            <w:noProof/>
            <w:webHidden/>
          </w:rPr>
          <w:instrText xml:space="preserve"> PAGEREF _Toc28011409 \h </w:instrText>
        </w:r>
        <w:r w:rsidR="00090F81">
          <w:rPr>
            <w:noProof/>
            <w:webHidden/>
          </w:rPr>
        </w:r>
        <w:r w:rsidR="00090F81">
          <w:rPr>
            <w:noProof/>
            <w:webHidden/>
          </w:rPr>
          <w:fldChar w:fldCharType="separate"/>
        </w:r>
        <w:r w:rsidR="00DB3AD8">
          <w:rPr>
            <w:noProof/>
            <w:webHidden/>
          </w:rPr>
          <w:t>8</w:t>
        </w:r>
        <w:r w:rsidR="00090F81">
          <w:rPr>
            <w:noProof/>
            <w:webHidden/>
          </w:rPr>
          <w:fldChar w:fldCharType="end"/>
        </w:r>
      </w:hyperlink>
    </w:p>
    <w:p w14:paraId="46E9E015" w14:textId="54DFBF76" w:rsidR="00090F81" w:rsidRDefault="00366D34">
      <w:pPr>
        <w:pStyle w:val="TOC2"/>
        <w:tabs>
          <w:tab w:val="right" w:leader="dot" w:pos="9350"/>
        </w:tabs>
        <w:rPr>
          <w:rFonts w:eastAsiaTheme="minorEastAsia"/>
          <w:noProof/>
        </w:rPr>
      </w:pPr>
      <w:hyperlink w:anchor="_Toc28011410" w:history="1">
        <w:r w:rsidR="00090F81" w:rsidRPr="00764536">
          <w:rPr>
            <w:rStyle w:val="Hyperlink"/>
            <w:noProof/>
          </w:rPr>
          <w:t>Pre-ETS – ITA Logic Model</w:t>
        </w:r>
        <w:r w:rsidR="00090F81">
          <w:rPr>
            <w:noProof/>
            <w:webHidden/>
          </w:rPr>
          <w:tab/>
        </w:r>
        <w:r w:rsidR="00090F81">
          <w:rPr>
            <w:noProof/>
            <w:webHidden/>
          </w:rPr>
          <w:fldChar w:fldCharType="begin"/>
        </w:r>
        <w:r w:rsidR="00090F81">
          <w:rPr>
            <w:noProof/>
            <w:webHidden/>
          </w:rPr>
          <w:instrText xml:space="preserve"> PAGEREF _Toc28011410 \h </w:instrText>
        </w:r>
        <w:r w:rsidR="00090F81">
          <w:rPr>
            <w:noProof/>
            <w:webHidden/>
          </w:rPr>
        </w:r>
        <w:r w:rsidR="00090F81">
          <w:rPr>
            <w:noProof/>
            <w:webHidden/>
          </w:rPr>
          <w:fldChar w:fldCharType="separate"/>
        </w:r>
        <w:r w:rsidR="00DB3AD8">
          <w:rPr>
            <w:noProof/>
            <w:webHidden/>
          </w:rPr>
          <w:t>9</w:t>
        </w:r>
        <w:r w:rsidR="00090F81">
          <w:rPr>
            <w:noProof/>
            <w:webHidden/>
          </w:rPr>
          <w:fldChar w:fldCharType="end"/>
        </w:r>
      </w:hyperlink>
    </w:p>
    <w:p w14:paraId="15466371" w14:textId="533903C0" w:rsidR="00090F81" w:rsidRDefault="00366D34">
      <w:pPr>
        <w:pStyle w:val="TOC2"/>
        <w:tabs>
          <w:tab w:val="right" w:leader="dot" w:pos="9350"/>
        </w:tabs>
        <w:rPr>
          <w:rFonts w:eastAsiaTheme="minorEastAsia"/>
          <w:noProof/>
        </w:rPr>
      </w:pPr>
      <w:hyperlink w:anchor="_Toc28011411" w:history="1">
        <w:r w:rsidR="00090F81" w:rsidRPr="00764536">
          <w:rPr>
            <w:rStyle w:val="Hyperlink"/>
            <w:noProof/>
          </w:rPr>
          <w:t>Pre-ETS: ACTIVITIES &amp; OUTPUTS PROGRESS DASHBOARDS</w:t>
        </w:r>
        <w:r w:rsidR="00090F81">
          <w:rPr>
            <w:noProof/>
            <w:webHidden/>
          </w:rPr>
          <w:tab/>
        </w:r>
        <w:r w:rsidR="00090F81">
          <w:rPr>
            <w:noProof/>
            <w:webHidden/>
          </w:rPr>
          <w:fldChar w:fldCharType="begin"/>
        </w:r>
        <w:r w:rsidR="00090F81">
          <w:rPr>
            <w:noProof/>
            <w:webHidden/>
          </w:rPr>
          <w:instrText xml:space="preserve"> PAGEREF _Toc28011411 \h </w:instrText>
        </w:r>
        <w:r w:rsidR="00090F81">
          <w:rPr>
            <w:noProof/>
            <w:webHidden/>
          </w:rPr>
        </w:r>
        <w:r w:rsidR="00090F81">
          <w:rPr>
            <w:noProof/>
            <w:webHidden/>
          </w:rPr>
          <w:fldChar w:fldCharType="separate"/>
        </w:r>
        <w:r w:rsidR="00DB3AD8">
          <w:rPr>
            <w:noProof/>
            <w:webHidden/>
          </w:rPr>
          <w:t>10</w:t>
        </w:r>
        <w:r w:rsidR="00090F81">
          <w:rPr>
            <w:noProof/>
            <w:webHidden/>
          </w:rPr>
          <w:fldChar w:fldCharType="end"/>
        </w:r>
      </w:hyperlink>
    </w:p>
    <w:p w14:paraId="4861A969" w14:textId="557CF201" w:rsidR="00090F81" w:rsidRDefault="00366D34">
      <w:pPr>
        <w:pStyle w:val="TOC2"/>
        <w:tabs>
          <w:tab w:val="right" w:leader="dot" w:pos="9350"/>
        </w:tabs>
        <w:rPr>
          <w:rFonts w:eastAsiaTheme="minorEastAsia"/>
          <w:noProof/>
        </w:rPr>
      </w:pPr>
      <w:hyperlink w:anchor="_Toc28011412" w:history="1">
        <w:r w:rsidR="00090F81" w:rsidRPr="00764536">
          <w:rPr>
            <w:rStyle w:val="Hyperlink"/>
            <w:noProof/>
          </w:rPr>
          <w:t>Pre-ETS: OUTCOMES PROGRESS DASHBOARDS</w:t>
        </w:r>
        <w:r w:rsidR="00090F81">
          <w:rPr>
            <w:noProof/>
            <w:webHidden/>
          </w:rPr>
          <w:tab/>
        </w:r>
        <w:r w:rsidR="00090F81">
          <w:rPr>
            <w:noProof/>
            <w:webHidden/>
          </w:rPr>
          <w:fldChar w:fldCharType="begin"/>
        </w:r>
        <w:r w:rsidR="00090F81">
          <w:rPr>
            <w:noProof/>
            <w:webHidden/>
          </w:rPr>
          <w:instrText xml:space="preserve"> PAGEREF _Toc28011412 \h </w:instrText>
        </w:r>
        <w:r w:rsidR="00090F81">
          <w:rPr>
            <w:noProof/>
            <w:webHidden/>
          </w:rPr>
        </w:r>
        <w:r w:rsidR="00090F81">
          <w:rPr>
            <w:noProof/>
            <w:webHidden/>
          </w:rPr>
          <w:fldChar w:fldCharType="separate"/>
        </w:r>
        <w:r w:rsidR="00DB3AD8">
          <w:rPr>
            <w:noProof/>
            <w:webHidden/>
          </w:rPr>
          <w:t>24</w:t>
        </w:r>
        <w:r w:rsidR="00090F81">
          <w:rPr>
            <w:noProof/>
            <w:webHidden/>
          </w:rPr>
          <w:fldChar w:fldCharType="end"/>
        </w:r>
      </w:hyperlink>
    </w:p>
    <w:p w14:paraId="65AD064C" w14:textId="4C3AB467" w:rsidR="00090F81" w:rsidRDefault="00366D34">
      <w:pPr>
        <w:pStyle w:val="TOC2"/>
        <w:tabs>
          <w:tab w:val="right" w:leader="dot" w:pos="9350"/>
        </w:tabs>
        <w:rPr>
          <w:rFonts w:eastAsiaTheme="minorEastAsia"/>
          <w:noProof/>
        </w:rPr>
      </w:pPr>
      <w:hyperlink w:anchor="_Toc28011413" w:history="1">
        <w:r w:rsidR="00090F81" w:rsidRPr="00764536">
          <w:rPr>
            <w:rStyle w:val="Hyperlink"/>
            <w:noProof/>
          </w:rPr>
          <w:t>Pre-ETS ITAs: RESOURCES</w:t>
        </w:r>
        <w:r w:rsidR="00090F81">
          <w:rPr>
            <w:noProof/>
            <w:webHidden/>
          </w:rPr>
          <w:tab/>
        </w:r>
        <w:r w:rsidR="00090F81">
          <w:rPr>
            <w:noProof/>
            <w:webHidden/>
          </w:rPr>
          <w:fldChar w:fldCharType="begin"/>
        </w:r>
        <w:r w:rsidR="00090F81">
          <w:rPr>
            <w:noProof/>
            <w:webHidden/>
          </w:rPr>
          <w:instrText xml:space="preserve"> PAGEREF _Toc28011413 \h </w:instrText>
        </w:r>
        <w:r w:rsidR="00090F81">
          <w:rPr>
            <w:noProof/>
            <w:webHidden/>
          </w:rPr>
        </w:r>
        <w:r w:rsidR="00090F81">
          <w:rPr>
            <w:noProof/>
            <w:webHidden/>
          </w:rPr>
          <w:fldChar w:fldCharType="separate"/>
        </w:r>
        <w:r w:rsidR="00DB3AD8">
          <w:rPr>
            <w:noProof/>
            <w:webHidden/>
          </w:rPr>
          <w:t>25</w:t>
        </w:r>
        <w:r w:rsidR="00090F81">
          <w:rPr>
            <w:noProof/>
            <w:webHidden/>
          </w:rPr>
          <w:fldChar w:fldCharType="end"/>
        </w:r>
      </w:hyperlink>
    </w:p>
    <w:p w14:paraId="39D773B1" w14:textId="240090B8" w:rsidR="00090F81" w:rsidRDefault="00366D34">
      <w:pPr>
        <w:pStyle w:val="TOC2"/>
        <w:tabs>
          <w:tab w:val="right" w:leader="dot" w:pos="9350"/>
        </w:tabs>
        <w:rPr>
          <w:rFonts w:eastAsiaTheme="minorEastAsia"/>
          <w:noProof/>
        </w:rPr>
      </w:pPr>
      <w:hyperlink w:anchor="_Toc28011414" w:history="1">
        <w:r w:rsidR="00090F81" w:rsidRPr="00764536">
          <w:rPr>
            <w:rStyle w:val="Hyperlink"/>
            <w:noProof/>
          </w:rPr>
          <w:t>Pre-ETS ITAs: PROGRESS NARRATIVE</w:t>
        </w:r>
        <w:r w:rsidR="00090F81">
          <w:rPr>
            <w:noProof/>
            <w:webHidden/>
          </w:rPr>
          <w:tab/>
        </w:r>
        <w:r w:rsidR="00090F81">
          <w:rPr>
            <w:noProof/>
            <w:webHidden/>
          </w:rPr>
          <w:fldChar w:fldCharType="begin"/>
        </w:r>
        <w:r w:rsidR="00090F81">
          <w:rPr>
            <w:noProof/>
            <w:webHidden/>
          </w:rPr>
          <w:instrText xml:space="preserve"> PAGEREF _Toc28011414 \h </w:instrText>
        </w:r>
        <w:r w:rsidR="00090F81">
          <w:rPr>
            <w:noProof/>
            <w:webHidden/>
          </w:rPr>
        </w:r>
        <w:r w:rsidR="00090F81">
          <w:rPr>
            <w:noProof/>
            <w:webHidden/>
          </w:rPr>
          <w:fldChar w:fldCharType="separate"/>
        </w:r>
        <w:r w:rsidR="00DB3AD8">
          <w:rPr>
            <w:noProof/>
            <w:webHidden/>
          </w:rPr>
          <w:t>28</w:t>
        </w:r>
        <w:r w:rsidR="00090F81">
          <w:rPr>
            <w:noProof/>
            <w:webHidden/>
          </w:rPr>
          <w:fldChar w:fldCharType="end"/>
        </w:r>
      </w:hyperlink>
    </w:p>
    <w:p w14:paraId="197E1E3A" w14:textId="15F041A7" w:rsidR="00090F81" w:rsidRDefault="00366D34">
      <w:pPr>
        <w:pStyle w:val="TOC1"/>
        <w:tabs>
          <w:tab w:val="left" w:pos="440"/>
          <w:tab w:val="right" w:leader="dot" w:pos="9350"/>
        </w:tabs>
        <w:rPr>
          <w:rFonts w:eastAsiaTheme="minorEastAsia"/>
          <w:noProof/>
        </w:rPr>
      </w:pPr>
      <w:hyperlink w:anchor="_Toc28011415" w:history="1">
        <w:r w:rsidR="00090F81" w:rsidRPr="00764536">
          <w:rPr>
            <w:rStyle w:val="Hyperlink"/>
            <w:noProof/>
          </w:rPr>
          <w:t>B.</w:t>
        </w:r>
        <w:r w:rsidR="00090F81">
          <w:rPr>
            <w:rFonts w:eastAsiaTheme="minorEastAsia"/>
            <w:noProof/>
          </w:rPr>
          <w:tab/>
        </w:r>
        <w:r w:rsidR="00090F81" w:rsidRPr="00764536">
          <w:rPr>
            <w:rStyle w:val="Hyperlink"/>
            <w:noProof/>
          </w:rPr>
          <w:t>Section 511</w:t>
        </w:r>
        <w:r w:rsidR="00090F81">
          <w:rPr>
            <w:noProof/>
            <w:webHidden/>
          </w:rPr>
          <w:tab/>
        </w:r>
        <w:r w:rsidR="00090F81">
          <w:rPr>
            <w:noProof/>
            <w:webHidden/>
          </w:rPr>
          <w:fldChar w:fldCharType="begin"/>
        </w:r>
        <w:r w:rsidR="00090F81">
          <w:rPr>
            <w:noProof/>
            <w:webHidden/>
          </w:rPr>
          <w:instrText xml:space="preserve"> PAGEREF _Toc28011415 \h </w:instrText>
        </w:r>
        <w:r w:rsidR="00090F81">
          <w:rPr>
            <w:noProof/>
            <w:webHidden/>
          </w:rPr>
        </w:r>
        <w:r w:rsidR="00090F81">
          <w:rPr>
            <w:noProof/>
            <w:webHidden/>
          </w:rPr>
          <w:fldChar w:fldCharType="separate"/>
        </w:r>
        <w:r w:rsidR="00DB3AD8">
          <w:rPr>
            <w:noProof/>
            <w:webHidden/>
          </w:rPr>
          <w:t>35</w:t>
        </w:r>
        <w:r w:rsidR="00090F81">
          <w:rPr>
            <w:noProof/>
            <w:webHidden/>
          </w:rPr>
          <w:fldChar w:fldCharType="end"/>
        </w:r>
      </w:hyperlink>
    </w:p>
    <w:p w14:paraId="165A5125" w14:textId="293CA10A" w:rsidR="00090F81" w:rsidRDefault="00366D34">
      <w:pPr>
        <w:pStyle w:val="TOC2"/>
        <w:tabs>
          <w:tab w:val="right" w:leader="dot" w:pos="9350"/>
        </w:tabs>
        <w:rPr>
          <w:rFonts w:eastAsiaTheme="minorEastAsia"/>
          <w:noProof/>
        </w:rPr>
      </w:pPr>
      <w:hyperlink w:anchor="_Toc28011416" w:history="1">
        <w:r w:rsidR="00090F81" w:rsidRPr="00764536">
          <w:rPr>
            <w:rStyle w:val="Hyperlink"/>
            <w:noProof/>
          </w:rPr>
          <w:t>Section 511 – ITA Logic Model</w:t>
        </w:r>
        <w:r w:rsidR="00090F81">
          <w:rPr>
            <w:noProof/>
            <w:webHidden/>
          </w:rPr>
          <w:tab/>
        </w:r>
        <w:r w:rsidR="00090F81">
          <w:rPr>
            <w:noProof/>
            <w:webHidden/>
          </w:rPr>
          <w:fldChar w:fldCharType="begin"/>
        </w:r>
        <w:r w:rsidR="00090F81">
          <w:rPr>
            <w:noProof/>
            <w:webHidden/>
          </w:rPr>
          <w:instrText xml:space="preserve"> PAGEREF _Toc28011416 \h </w:instrText>
        </w:r>
        <w:r w:rsidR="00090F81">
          <w:rPr>
            <w:noProof/>
            <w:webHidden/>
          </w:rPr>
        </w:r>
        <w:r w:rsidR="00090F81">
          <w:rPr>
            <w:noProof/>
            <w:webHidden/>
          </w:rPr>
          <w:fldChar w:fldCharType="separate"/>
        </w:r>
        <w:r w:rsidR="00DB3AD8">
          <w:rPr>
            <w:noProof/>
            <w:webHidden/>
          </w:rPr>
          <w:t>36</w:t>
        </w:r>
        <w:r w:rsidR="00090F81">
          <w:rPr>
            <w:noProof/>
            <w:webHidden/>
          </w:rPr>
          <w:fldChar w:fldCharType="end"/>
        </w:r>
      </w:hyperlink>
    </w:p>
    <w:p w14:paraId="21E7A327" w14:textId="4F903955" w:rsidR="00090F81" w:rsidRDefault="00366D34">
      <w:pPr>
        <w:pStyle w:val="TOC2"/>
        <w:tabs>
          <w:tab w:val="right" w:leader="dot" w:pos="9350"/>
        </w:tabs>
        <w:rPr>
          <w:rFonts w:eastAsiaTheme="minorEastAsia"/>
          <w:noProof/>
        </w:rPr>
      </w:pPr>
      <w:hyperlink w:anchor="_Toc28011417" w:history="1">
        <w:r w:rsidR="00090F81" w:rsidRPr="00764536">
          <w:rPr>
            <w:rStyle w:val="Hyperlink"/>
            <w:noProof/>
          </w:rPr>
          <w:t>Section 511 ACTIVITIES &amp; OUTPUTS PROGRESS DASHBOARDS</w:t>
        </w:r>
        <w:r w:rsidR="00090F81">
          <w:rPr>
            <w:noProof/>
            <w:webHidden/>
          </w:rPr>
          <w:tab/>
        </w:r>
        <w:r w:rsidR="00090F81">
          <w:rPr>
            <w:noProof/>
            <w:webHidden/>
          </w:rPr>
          <w:fldChar w:fldCharType="begin"/>
        </w:r>
        <w:r w:rsidR="00090F81">
          <w:rPr>
            <w:noProof/>
            <w:webHidden/>
          </w:rPr>
          <w:instrText xml:space="preserve"> PAGEREF _Toc28011417 \h </w:instrText>
        </w:r>
        <w:r w:rsidR="00090F81">
          <w:rPr>
            <w:noProof/>
            <w:webHidden/>
          </w:rPr>
        </w:r>
        <w:r w:rsidR="00090F81">
          <w:rPr>
            <w:noProof/>
            <w:webHidden/>
          </w:rPr>
          <w:fldChar w:fldCharType="separate"/>
        </w:r>
        <w:r w:rsidR="00DB3AD8">
          <w:rPr>
            <w:noProof/>
            <w:webHidden/>
          </w:rPr>
          <w:t>38</w:t>
        </w:r>
        <w:r w:rsidR="00090F81">
          <w:rPr>
            <w:noProof/>
            <w:webHidden/>
          </w:rPr>
          <w:fldChar w:fldCharType="end"/>
        </w:r>
      </w:hyperlink>
    </w:p>
    <w:p w14:paraId="4E6AD72C" w14:textId="38D8C5B7" w:rsidR="00090F81" w:rsidRDefault="00366D34">
      <w:pPr>
        <w:pStyle w:val="TOC2"/>
        <w:tabs>
          <w:tab w:val="right" w:leader="dot" w:pos="9350"/>
        </w:tabs>
        <w:rPr>
          <w:rFonts w:eastAsiaTheme="minorEastAsia"/>
          <w:noProof/>
        </w:rPr>
      </w:pPr>
      <w:hyperlink w:anchor="_Toc28011418" w:history="1">
        <w:r w:rsidR="00090F81" w:rsidRPr="00764536">
          <w:rPr>
            <w:rStyle w:val="Hyperlink"/>
            <w:noProof/>
          </w:rPr>
          <w:t>Section 511 ITAs: RESOURCES</w:t>
        </w:r>
        <w:r w:rsidR="00090F81">
          <w:rPr>
            <w:noProof/>
            <w:webHidden/>
          </w:rPr>
          <w:tab/>
        </w:r>
        <w:r w:rsidR="00090F81">
          <w:rPr>
            <w:noProof/>
            <w:webHidden/>
          </w:rPr>
          <w:fldChar w:fldCharType="begin"/>
        </w:r>
        <w:r w:rsidR="00090F81">
          <w:rPr>
            <w:noProof/>
            <w:webHidden/>
          </w:rPr>
          <w:instrText xml:space="preserve"> PAGEREF _Toc28011418 \h </w:instrText>
        </w:r>
        <w:r w:rsidR="00090F81">
          <w:rPr>
            <w:noProof/>
            <w:webHidden/>
          </w:rPr>
        </w:r>
        <w:r w:rsidR="00090F81">
          <w:rPr>
            <w:noProof/>
            <w:webHidden/>
          </w:rPr>
          <w:fldChar w:fldCharType="separate"/>
        </w:r>
        <w:r w:rsidR="00DB3AD8">
          <w:rPr>
            <w:noProof/>
            <w:webHidden/>
          </w:rPr>
          <w:t>44</w:t>
        </w:r>
        <w:r w:rsidR="00090F81">
          <w:rPr>
            <w:noProof/>
            <w:webHidden/>
          </w:rPr>
          <w:fldChar w:fldCharType="end"/>
        </w:r>
      </w:hyperlink>
    </w:p>
    <w:p w14:paraId="73CDA22D" w14:textId="18B4029F" w:rsidR="00090F81" w:rsidRDefault="00366D34">
      <w:pPr>
        <w:pStyle w:val="TOC2"/>
        <w:tabs>
          <w:tab w:val="right" w:leader="dot" w:pos="9350"/>
        </w:tabs>
        <w:rPr>
          <w:rFonts w:eastAsiaTheme="minorEastAsia"/>
          <w:noProof/>
        </w:rPr>
      </w:pPr>
      <w:hyperlink w:anchor="_Toc28011419" w:history="1">
        <w:r w:rsidR="00090F81" w:rsidRPr="00764536">
          <w:rPr>
            <w:rStyle w:val="Hyperlink"/>
            <w:noProof/>
          </w:rPr>
          <w:t>Section 511 ITAs: PROGRESS NARRATIVE</w:t>
        </w:r>
        <w:r w:rsidR="00090F81">
          <w:rPr>
            <w:noProof/>
            <w:webHidden/>
          </w:rPr>
          <w:tab/>
        </w:r>
        <w:r w:rsidR="00090F81">
          <w:rPr>
            <w:noProof/>
            <w:webHidden/>
          </w:rPr>
          <w:fldChar w:fldCharType="begin"/>
        </w:r>
        <w:r w:rsidR="00090F81">
          <w:rPr>
            <w:noProof/>
            <w:webHidden/>
          </w:rPr>
          <w:instrText xml:space="preserve"> PAGEREF _Toc28011419 \h </w:instrText>
        </w:r>
        <w:r w:rsidR="00090F81">
          <w:rPr>
            <w:noProof/>
            <w:webHidden/>
          </w:rPr>
        </w:r>
        <w:r w:rsidR="00090F81">
          <w:rPr>
            <w:noProof/>
            <w:webHidden/>
          </w:rPr>
          <w:fldChar w:fldCharType="separate"/>
        </w:r>
        <w:r w:rsidR="00DB3AD8">
          <w:rPr>
            <w:noProof/>
            <w:webHidden/>
          </w:rPr>
          <w:t>45</w:t>
        </w:r>
        <w:r w:rsidR="00090F81">
          <w:rPr>
            <w:noProof/>
            <w:webHidden/>
          </w:rPr>
          <w:fldChar w:fldCharType="end"/>
        </w:r>
      </w:hyperlink>
    </w:p>
    <w:p w14:paraId="32D38778" w14:textId="2CB30D25" w:rsidR="00090F81" w:rsidRDefault="00366D34">
      <w:pPr>
        <w:pStyle w:val="TOC1"/>
        <w:tabs>
          <w:tab w:val="left" w:pos="440"/>
          <w:tab w:val="right" w:leader="dot" w:pos="9350"/>
        </w:tabs>
        <w:rPr>
          <w:rFonts w:eastAsiaTheme="minorEastAsia"/>
          <w:noProof/>
        </w:rPr>
      </w:pPr>
      <w:hyperlink w:anchor="_Toc28011420" w:history="1">
        <w:r w:rsidR="00090F81" w:rsidRPr="00764536">
          <w:rPr>
            <w:rStyle w:val="Hyperlink"/>
            <w:noProof/>
          </w:rPr>
          <w:t>C.</w:t>
        </w:r>
        <w:r w:rsidR="00090F81">
          <w:rPr>
            <w:rFonts w:eastAsiaTheme="minorEastAsia"/>
            <w:noProof/>
          </w:rPr>
          <w:tab/>
        </w:r>
        <w:r w:rsidR="00090F81" w:rsidRPr="00764536">
          <w:rPr>
            <w:rStyle w:val="Hyperlink"/>
            <w:noProof/>
          </w:rPr>
          <w:t>Common Performance Measures</w:t>
        </w:r>
        <w:r w:rsidR="00090F81">
          <w:rPr>
            <w:noProof/>
            <w:webHidden/>
          </w:rPr>
          <w:tab/>
        </w:r>
        <w:r w:rsidR="00090F81">
          <w:rPr>
            <w:noProof/>
            <w:webHidden/>
          </w:rPr>
          <w:fldChar w:fldCharType="begin"/>
        </w:r>
        <w:r w:rsidR="00090F81">
          <w:rPr>
            <w:noProof/>
            <w:webHidden/>
          </w:rPr>
          <w:instrText xml:space="preserve"> PAGEREF _Toc28011420 \h </w:instrText>
        </w:r>
        <w:r w:rsidR="00090F81">
          <w:rPr>
            <w:noProof/>
            <w:webHidden/>
          </w:rPr>
        </w:r>
        <w:r w:rsidR="00090F81">
          <w:rPr>
            <w:noProof/>
            <w:webHidden/>
          </w:rPr>
          <w:fldChar w:fldCharType="separate"/>
        </w:r>
        <w:r w:rsidR="00DB3AD8">
          <w:rPr>
            <w:noProof/>
            <w:webHidden/>
          </w:rPr>
          <w:t>48</w:t>
        </w:r>
        <w:r w:rsidR="00090F81">
          <w:rPr>
            <w:noProof/>
            <w:webHidden/>
          </w:rPr>
          <w:fldChar w:fldCharType="end"/>
        </w:r>
      </w:hyperlink>
    </w:p>
    <w:p w14:paraId="7800C874" w14:textId="23B3F2B7" w:rsidR="00090F81" w:rsidRDefault="00366D34">
      <w:pPr>
        <w:pStyle w:val="TOC2"/>
        <w:tabs>
          <w:tab w:val="right" w:leader="dot" w:pos="9350"/>
        </w:tabs>
        <w:rPr>
          <w:rFonts w:eastAsiaTheme="minorEastAsia"/>
          <w:noProof/>
        </w:rPr>
      </w:pPr>
      <w:hyperlink w:anchor="_Toc28011421" w:history="1">
        <w:r w:rsidR="00090F81" w:rsidRPr="00764536">
          <w:rPr>
            <w:rStyle w:val="Hyperlink"/>
            <w:noProof/>
          </w:rPr>
          <w:t>CPMs – ITA Logic Model</w:t>
        </w:r>
        <w:r w:rsidR="00090F81">
          <w:rPr>
            <w:noProof/>
            <w:webHidden/>
          </w:rPr>
          <w:tab/>
        </w:r>
        <w:r w:rsidR="00090F81">
          <w:rPr>
            <w:noProof/>
            <w:webHidden/>
          </w:rPr>
          <w:fldChar w:fldCharType="begin"/>
        </w:r>
        <w:r w:rsidR="00090F81">
          <w:rPr>
            <w:noProof/>
            <w:webHidden/>
          </w:rPr>
          <w:instrText xml:space="preserve"> PAGEREF _Toc28011421 \h </w:instrText>
        </w:r>
        <w:r w:rsidR="00090F81">
          <w:rPr>
            <w:noProof/>
            <w:webHidden/>
          </w:rPr>
        </w:r>
        <w:r w:rsidR="00090F81">
          <w:rPr>
            <w:noProof/>
            <w:webHidden/>
          </w:rPr>
          <w:fldChar w:fldCharType="separate"/>
        </w:r>
        <w:r w:rsidR="00DB3AD8">
          <w:rPr>
            <w:noProof/>
            <w:webHidden/>
          </w:rPr>
          <w:t>49</w:t>
        </w:r>
        <w:r w:rsidR="00090F81">
          <w:rPr>
            <w:noProof/>
            <w:webHidden/>
          </w:rPr>
          <w:fldChar w:fldCharType="end"/>
        </w:r>
      </w:hyperlink>
    </w:p>
    <w:p w14:paraId="5116FD61" w14:textId="60BBA65C" w:rsidR="00090F81" w:rsidRDefault="00366D34">
      <w:pPr>
        <w:pStyle w:val="TOC2"/>
        <w:tabs>
          <w:tab w:val="right" w:leader="dot" w:pos="9350"/>
        </w:tabs>
        <w:rPr>
          <w:rFonts w:eastAsiaTheme="minorEastAsia"/>
          <w:noProof/>
        </w:rPr>
      </w:pPr>
      <w:hyperlink w:anchor="_Toc28011422" w:history="1">
        <w:r w:rsidR="00090F81" w:rsidRPr="00764536">
          <w:rPr>
            <w:rStyle w:val="Hyperlink"/>
            <w:noProof/>
          </w:rPr>
          <w:t>CPMs: ACTIVITIES &amp; OUTPUTS PROGRESS DASHBOARDS</w:t>
        </w:r>
        <w:r w:rsidR="00090F81">
          <w:rPr>
            <w:noProof/>
            <w:webHidden/>
          </w:rPr>
          <w:tab/>
        </w:r>
        <w:r w:rsidR="00090F81">
          <w:rPr>
            <w:noProof/>
            <w:webHidden/>
          </w:rPr>
          <w:fldChar w:fldCharType="begin"/>
        </w:r>
        <w:r w:rsidR="00090F81">
          <w:rPr>
            <w:noProof/>
            <w:webHidden/>
          </w:rPr>
          <w:instrText xml:space="preserve"> PAGEREF _Toc28011422 \h </w:instrText>
        </w:r>
        <w:r w:rsidR="00090F81">
          <w:rPr>
            <w:noProof/>
            <w:webHidden/>
          </w:rPr>
        </w:r>
        <w:r w:rsidR="00090F81">
          <w:rPr>
            <w:noProof/>
            <w:webHidden/>
          </w:rPr>
          <w:fldChar w:fldCharType="separate"/>
        </w:r>
        <w:r w:rsidR="00DB3AD8">
          <w:rPr>
            <w:noProof/>
            <w:webHidden/>
          </w:rPr>
          <w:t>50</w:t>
        </w:r>
        <w:r w:rsidR="00090F81">
          <w:rPr>
            <w:noProof/>
            <w:webHidden/>
          </w:rPr>
          <w:fldChar w:fldCharType="end"/>
        </w:r>
      </w:hyperlink>
    </w:p>
    <w:p w14:paraId="7A035A29" w14:textId="40C21307" w:rsidR="00090F81" w:rsidRDefault="00366D34">
      <w:pPr>
        <w:pStyle w:val="TOC2"/>
        <w:tabs>
          <w:tab w:val="right" w:leader="dot" w:pos="9350"/>
        </w:tabs>
        <w:rPr>
          <w:rFonts w:eastAsiaTheme="minorEastAsia"/>
          <w:noProof/>
        </w:rPr>
      </w:pPr>
      <w:hyperlink w:anchor="_Toc28011423" w:history="1">
        <w:r w:rsidR="00090F81" w:rsidRPr="00764536">
          <w:rPr>
            <w:rStyle w:val="Hyperlink"/>
            <w:noProof/>
          </w:rPr>
          <w:t>CPMs: OUTCOMES PROGRESS DASHBOARDS</w:t>
        </w:r>
        <w:r w:rsidR="00090F81">
          <w:rPr>
            <w:noProof/>
            <w:webHidden/>
          </w:rPr>
          <w:tab/>
        </w:r>
        <w:r w:rsidR="00090F81">
          <w:rPr>
            <w:noProof/>
            <w:webHidden/>
          </w:rPr>
          <w:fldChar w:fldCharType="begin"/>
        </w:r>
        <w:r w:rsidR="00090F81">
          <w:rPr>
            <w:noProof/>
            <w:webHidden/>
          </w:rPr>
          <w:instrText xml:space="preserve"> PAGEREF _Toc28011423 \h </w:instrText>
        </w:r>
        <w:r w:rsidR="00090F81">
          <w:rPr>
            <w:noProof/>
            <w:webHidden/>
          </w:rPr>
        </w:r>
        <w:r w:rsidR="00090F81">
          <w:rPr>
            <w:noProof/>
            <w:webHidden/>
          </w:rPr>
          <w:fldChar w:fldCharType="separate"/>
        </w:r>
        <w:r w:rsidR="00DB3AD8">
          <w:rPr>
            <w:noProof/>
            <w:webHidden/>
          </w:rPr>
          <w:t>55</w:t>
        </w:r>
        <w:r w:rsidR="00090F81">
          <w:rPr>
            <w:noProof/>
            <w:webHidden/>
          </w:rPr>
          <w:fldChar w:fldCharType="end"/>
        </w:r>
      </w:hyperlink>
    </w:p>
    <w:p w14:paraId="6DA6D49F" w14:textId="4B218C61" w:rsidR="00090F81" w:rsidRDefault="00366D34">
      <w:pPr>
        <w:pStyle w:val="TOC2"/>
        <w:tabs>
          <w:tab w:val="right" w:leader="dot" w:pos="9350"/>
        </w:tabs>
        <w:rPr>
          <w:rFonts w:eastAsiaTheme="minorEastAsia"/>
          <w:noProof/>
        </w:rPr>
      </w:pPr>
      <w:hyperlink w:anchor="_Toc28011424" w:history="1">
        <w:r w:rsidR="00090F81" w:rsidRPr="00764536">
          <w:rPr>
            <w:rStyle w:val="Hyperlink"/>
            <w:noProof/>
          </w:rPr>
          <w:t>CPMs ITAs: RESOURCES</w:t>
        </w:r>
        <w:r w:rsidR="00090F81">
          <w:rPr>
            <w:noProof/>
            <w:webHidden/>
          </w:rPr>
          <w:tab/>
        </w:r>
        <w:r w:rsidR="00090F81">
          <w:rPr>
            <w:noProof/>
            <w:webHidden/>
          </w:rPr>
          <w:fldChar w:fldCharType="begin"/>
        </w:r>
        <w:r w:rsidR="00090F81">
          <w:rPr>
            <w:noProof/>
            <w:webHidden/>
          </w:rPr>
          <w:instrText xml:space="preserve"> PAGEREF _Toc28011424 \h </w:instrText>
        </w:r>
        <w:r w:rsidR="00090F81">
          <w:rPr>
            <w:noProof/>
            <w:webHidden/>
          </w:rPr>
        </w:r>
        <w:r w:rsidR="00090F81">
          <w:rPr>
            <w:noProof/>
            <w:webHidden/>
          </w:rPr>
          <w:fldChar w:fldCharType="separate"/>
        </w:r>
        <w:r w:rsidR="00DB3AD8">
          <w:rPr>
            <w:noProof/>
            <w:webHidden/>
          </w:rPr>
          <w:t>56</w:t>
        </w:r>
        <w:r w:rsidR="00090F81">
          <w:rPr>
            <w:noProof/>
            <w:webHidden/>
          </w:rPr>
          <w:fldChar w:fldCharType="end"/>
        </w:r>
      </w:hyperlink>
    </w:p>
    <w:p w14:paraId="3437D02C" w14:textId="3A95B1DE" w:rsidR="00090F81" w:rsidRDefault="00366D34">
      <w:pPr>
        <w:pStyle w:val="TOC2"/>
        <w:tabs>
          <w:tab w:val="right" w:leader="dot" w:pos="9350"/>
        </w:tabs>
        <w:rPr>
          <w:rFonts w:eastAsiaTheme="minorEastAsia"/>
          <w:noProof/>
        </w:rPr>
      </w:pPr>
      <w:hyperlink w:anchor="_Toc28011425" w:history="1">
        <w:r w:rsidR="00090F81" w:rsidRPr="00764536">
          <w:rPr>
            <w:rStyle w:val="Hyperlink"/>
            <w:noProof/>
          </w:rPr>
          <w:t>CPMs ITAs: PROGRESS NARRATIVE</w:t>
        </w:r>
        <w:r w:rsidR="00090F81">
          <w:rPr>
            <w:noProof/>
            <w:webHidden/>
          </w:rPr>
          <w:tab/>
        </w:r>
        <w:r w:rsidR="00090F81">
          <w:rPr>
            <w:noProof/>
            <w:webHidden/>
          </w:rPr>
          <w:fldChar w:fldCharType="begin"/>
        </w:r>
        <w:r w:rsidR="00090F81">
          <w:rPr>
            <w:noProof/>
            <w:webHidden/>
          </w:rPr>
          <w:instrText xml:space="preserve"> PAGEREF _Toc28011425 \h </w:instrText>
        </w:r>
        <w:r w:rsidR="00090F81">
          <w:rPr>
            <w:noProof/>
            <w:webHidden/>
          </w:rPr>
        </w:r>
        <w:r w:rsidR="00090F81">
          <w:rPr>
            <w:noProof/>
            <w:webHidden/>
          </w:rPr>
          <w:fldChar w:fldCharType="separate"/>
        </w:r>
        <w:r w:rsidR="00DB3AD8">
          <w:rPr>
            <w:noProof/>
            <w:webHidden/>
          </w:rPr>
          <w:t>59</w:t>
        </w:r>
        <w:r w:rsidR="00090F81">
          <w:rPr>
            <w:noProof/>
            <w:webHidden/>
          </w:rPr>
          <w:fldChar w:fldCharType="end"/>
        </w:r>
      </w:hyperlink>
    </w:p>
    <w:p w14:paraId="5C39FDED" w14:textId="67161A3C" w:rsidR="00090F81" w:rsidRDefault="00366D34">
      <w:pPr>
        <w:pStyle w:val="TOC1"/>
        <w:tabs>
          <w:tab w:val="left" w:pos="440"/>
          <w:tab w:val="right" w:leader="dot" w:pos="9350"/>
        </w:tabs>
        <w:rPr>
          <w:rFonts w:eastAsiaTheme="minorEastAsia"/>
          <w:noProof/>
        </w:rPr>
      </w:pPr>
      <w:hyperlink w:anchor="_Toc28011426" w:history="1">
        <w:r w:rsidR="00090F81" w:rsidRPr="00764536">
          <w:rPr>
            <w:rStyle w:val="Hyperlink"/>
            <w:noProof/>
          </w:rPr>
          <w:t>D.</w:t>
        </w:r>
        <w:r w:rsidR="00090F81">
          <w:rPr>
            <w:rFonts w:eastAsiaTheme="minorEastAsia"/>
            <w:noProof/>
          </w:rPr>
          <w:tab/>
        </w:r>
        <w:r w:rsidR="00090F81" w:rsidRPr="00764536">
          <w:rPr>
            <w:rStyle w:val="Hyperlink"/>
            <w:noProof/>
          </w:rPr>
          <w:t>Workforce Integration</w:t>
        </w:r>
        <w:r w:rsidR="00090F81">
          <w:rPr>
            <w:noProof/>
            <w:webHidden/>
          </w:rPr>
          <w:tab/>
        </w:r>
        <w:r w:rsidR="00090F81">
          <w:rPr>
            <w:noProof/>
            <w:webHidden/>
          </w:rPr>
          <w:fldChar w:fldCharType="begin"/>
        </w:r>
        <w:r w:rsidR="00090F81">
          <w:rPr>
            <w:noProof/>
            <w:webHidden/>
          </w:rPr>
          <w:instrText xml:space="preserve"> PAGEREF _Toc28011426 \h </w:instrText>
        </w:r>
        <w:r w:rsidR="00090F81">
          <w:rPr>
            <w:noProof/>
            <w:webHidden/>
          </w:rPr>
        </w:r>
        <w:r w:rsidR="00090F81">
          <w:rPr>
            <w:noProof/>
            <w:webHidden/>
          </w:rPr>
          <w:fldChar w:fldCharType="separate"/>
        </w:r>
        <w:r w:rsidR="00DB3AD8">
          <w:rPr>
            <w:noProof/>
            <w:webHidden/>
          </w:rPr>
          <w:t>63</w:t>
        </w:r>
        <w:r w:rsidR="00090F81">
          <w:rPr>
            <w:noProof/>
            <w:webHidden/>
          </w:rPr>
          <w:fldChar w:fldCharType="end"/>
        </w:r>
      </w:hyperlink>
    </w:p>
    <w:p w14:paraId="37CF540D" w14:textId="587C3906" w:rsidR="00090F81" w:rsidRDefault="00366D34">
      <w:pPr>
        <w:pStyle w:val="TOC2"/>
        <w:tabs>
          <w:tab w:val="right" w:leader="dot" w:pos="9350"/>
        </w:tabs>
        <w:rPr>
          <w:rFonts w:eastAsiaTheme="minorEastAsia"/>
          <w:noProof/>
        </w:rPr>
      </w:pPr>
      <w:hyperlink w:anchor="_Toc28011427" w:history="1">
        <w:r w:rsidR="00090F81" w:rsidRPr="00764536">
          <w:rPr>
            <w:rStyle w:val="Hyperlink"/>
            <w:noProof/>
          </w:rPr>
          <w:t>Workforce Integration – ITA Logic Model</w:t>
        </w:r>
        <w:r w:rsidR="00090F81">
          <w:rPr>
            <w:noProof/>
            <w:webHidden/>
          </w:rPr>
          <w:tab/>
        </w:r>
        <w:r w:rsidR="00090F81">
          <w:rPr>
            <w:noProof/>
            <w:webHidden/>
          </w:rPr>
          <w:fldChar w:fldCharType="begin"/>
        </w:r>
        <w:r w:rsidR="00090F81">
          <w:rPr>
            <w:noProof/>
            <w:webHidden/>
          </w:rPr>
          <w:instrText xml:space="preserve"> PAGEREF _Toc28011427 \h </w:instrText>
        </w:r>
        <w:r w:rsidR="00090F81">
          <w:rPr>
            <w:noProof/>
            <w:webHidden/>
          </w:rPr>
        </w:r>
        <w:r w:rsidR="00090F81">
          <w:rPr>
            <w:noProof/>
            <w:webHidden/>
          </w:rPr>
          <w:fldChar w:fldCharType="separate"/>
        </w:r>
        <w:r w:rsidR="00DB3AD8">
          <w:rPr>
            <w:noProof/>
            <w:webHidden/>
          </w:rPr>
          <w:t>64</w:t>
        </w:r>
        <w:r w:rsidR="00090F81">
          <w:rPr>
            <w:noProof/>
            <w:webHidden/>
          </w:rPr>
          <w:fldChar w:fldCharType="end"/>
        </w:r>
      </w:hyperlink>
    </w:p>
    <w:p w14:paraId="27D8403B" w14:textId="2FF654D1" w:rsidR="00090F81" w:rsidRDefault="00366D34">
      <w:pPr>
        <w:pStyle w:val="TOC2"/>
        <w:tabs>
          <w:tab w:val="right" w:leader="dot" w:pos="9350"/>
        </w:tabs>
        <w:rPr>
          <w:rFonts w:eastAsiaTheme="minorEastAsia"/>
          <w:noProof/>
        </w:rPr>
      </w:pPr>
      <w:hyperlink w:anchor="_Toc28011428" w:history="1">
        <w:r w:rsidR="00090F81" w:rsidRPr="00764536">
          <w:rPr>
            <w:rStyle w:val="Hyperlink"/>
            <w:noProof/>
          </w:rPr>
          <w:t>INTEGRATION: ACTIVITIES &amp; OUTPUTS</w:t>
        </w:r>
        <w:r w:rsidR="00090F81">
          <w:rPr>
            <w:noProof/>
            <w:webHidden/>
          </w:rPr>
          <w:tab/>
        </w:r>
        <w:r w:rsidR="00090F81">
          <w:rPr>
            <w:noProof/>
            <w:webHidden/>
          </w:rPr>
          <w:fldChar w:fldCharType="begin"/>
        </w:r>
        <w:r w:rsidR="00090F81">
          <w:rPr>
            <w:noProof/>
            <w:webHidden/>
          </w:rPr>
          <w:instrText xml:space="preserve"> PAGEREF _Toc28011428 \h </w:instrText>
        </w:r>
        <w:r w:rsidR="00090F81">
          <w:rPr>
            <w:noProof/>
            <w:webHidden/>
          </w:rPr>
        </w:r>
        <w:r w:rsidR="00090F81">
          <w:rPr>
            <w:noProof/>
            <w:webHidden/>
          </w:rPr>
          <w:fldChar w:fldCharType="separate"/>
        </w:r>
        <w:r w:rsidR="00DB3AD8">
          <w:rPr>
            <w:noProof/>
            <w:webHidden/>
          </w:rPr>
          <w:t>66</w:t>
        </w:r>
        <w:r w:rsidR="00090F81">
          <w:rPr>
            <w:noProof/>
            <w:webHidden/>
          </w:rPr>
          <w:fldChar w:fldCharType="end"/>
        </w:r>
      </w:hyperlink>
    </w:p>
    <w:p w14:paraId="2E24D22E" w14:textId="3890C90C" w:rsidR="00090F81" w:rsidRDefault="00366D34">
      <w:pPr>
        <w:pStyle w:val="TOC2"/>
        <w:tabs>
          <w:tab w:val="right" w:leader="dot" w:pos="9350"/>
        </w:tabs>
        <w:rPr>
          <w:rFonts w:eastAsiaTheme="minorEastAsia"/>
          <w:noProof/>
        </w:rPr>
      </w:pPr>
      <w:hyperlink w:anchor="_Toc28011429" w:history="1">
        <w:r w:rsidR="00090F81" w:rsidRPr="00764536">
          <w:rPr>
            <w:rStyle w:val="Hyperlink"/>
            <w:noProof/>
          </w:rPr>
          <w:t>PROGRESS DASHBOARDS</w:t>
        </w:r>
        <w:r w:rsidR="00090F81">
          <w:rPr>
            <w:noProof/>
            <w:webHidden/>
          </w:rPr>
          <w:tab/>
        </w:r>
        <w:r w:rsidR="00090F81">
          <w:rPr>
            <w:noProof/>
            <w:webHidden/>
          </w:rPr>
          <w:fldChar w:fldCharType="begin"/>
        </w:r>
        <w:r w:rsidR="00090F81">
          <w:rPr>
            <w:noProof/>
            <w:webHidden/>
          </w:rPr>
          <w:instrText xml:space="preserve"> PAGEREF _Toc28011429 \h </w:instrText>
        </w:r>
        <w:r w:rsidR="00090F81">
          <w:rPr>
            <w:noProof/>
            <w:webHidden/>
          </w:rPr>
        </w:r>
        <w:r w:rsidR="00090F81">
          <w:rPr>
            <w:noProof/>
            <w:webHidden/>
          </w:rPr>
          <w:fldChar w:fldCharType="separate"/>
        </w:r>
        <w:r w:rsidR="00DB3AD8">
          <w:rPr>
            <w:noProof/>
            <w:webHidden/>
          </w:rPr>
          <w:t>66</w:t>
        </w:r>
        <w:r w:rsidR="00090F81">
          <w:rPr>
            <w:noProof/>
            <w:webHidden/>
          </w:rPr>
          <w:fldChar w:fldCharType="end"/>
        </w:r>
      </w:hyperlink>
    </w:p>
    <w:p w14:paraId="559FF1C5" w14:textId="62C14251" w:rsidR="00090F81" w:rsidRDefault="00366D34">
      <w:pPr>
        <w:pStyle w:val="TOC2"/>
        <w:tabs>
          <w:tab w:val="right" w:leader="dot" w:pos="9350"/>
        </w:tabs>
        <w:rPr>
          <w:rFonts w:eastAsiaTheme="minorEastAsia"/>
          <w:noProof/>
        </w:rPr>
      </w:pPr>
      <w:hyperlink w:anchor="_Toc28011430" w:history="1">
        <w:r w:rsidR="00090F81" w:rsidRPr="00764536">
          <w:rPr>
            <w:rStyle w:val="Hyperlink"/>
            <w:noProof/>
          </w:rPr>
          <w:t>WORKFORCE INTEGRATION: OUTCOMES</w:t>
        </w:r>
        <w:r w:rsidR="00090F81">
          <w:rPr>
            <w:noProof/>
            <w:webHidden/>
          </w:rPr>
          <w:tab/>
        </w:r>
        <w:r w:rsidR="00090F81">
          <w:rPr>
            <w:noProof/>
            <w:webHidden/>
          </w:rPr>
          <w:fldChar w:fldCharType="begin"/>
        </w:r>
        <w:r w:rsidR="00090F81">
          <w:rPr>
            <w:noProof/>
            <w:webHidden/>
          </w:rPr>
          <w:instrText xml:space="preserve"> PAGEREF _Toc28011430 \h </w:instrText>
        </w:r>
        <w:r w:rsidR="00090F81">
          <w:rPr>
            <w:noProof/>
            <w:webHidden/>
          </w:rPr>
        </w:r>
        <w:r w:rsidR="00090F81">
          <w:rPr>
            <w:noProof/>
            <w:webHidden/>
          </w:rPr>
          <w:fldChar w:fldCharType="separate"/>
        </w:r>
        <w:r w:rsidR="00DB3AD8">
          <w:rPr>
            <w:noProof/>
            <w:webHidden/>
          </w:rPr>
          <w:t>73</w:t>
        </w:r>
        <w:r w:rsidR="00090F81">
          <w:rPr>
            <w:noProof/>
            <w:webHidden/>
          </w:rPr>
          <w:fldChar w:fldCharType="end"/>
        </w:r>
      </w:hyperlink>
    </w:p>
    <w:p w14:paraId="740B0235" w14:textId="1FF02934" w:rsidR="00090F81" w:rsidRDefault="00366D34">
      <w:pPr>
        <w:pStyle w:val="TOC2"/>
        <w:tabs>
          <w:tab w:val="right" w:leader="dot" w:pos="9350"/>
        </w:tabs>
        <w:rPr>
          <w:rFonts w:eastAsiaTheme="minorEastAsia"/>
          <w:noProof/>
        </w:rPr>
      </w:pPr>
      <w:hyperlink w:anchor="_Toc28011431" w:history="1">
        <w:r w:rsidR="00090F81" w:rsidRPr="00764536">
          <w:rPr>
            <w:rStyle w:val="Hyperlink"/>
            <w:noProof/>
          </w:rPr>
          <w:t>PROGRESS DASHBOARDS</w:t>
        </w:r>
        <w:r w:rsidR="00090F81">
          <w:rPr>
            <w:noProof/>
            <w:webHidden/>
          </w:rPr>
          <w:tab/>
        </w:r>
        <w:r w:rsidR="00090F81">
          <w:rPr>
            <w:noProof/>
            <w:webHidden/>
          </w:rPr>
          <w:fldChar w:fldCharType="begin"/>
        </w:r>
        <w:r w:rsidR="00090F81">
          <w:rPr>
            <w:noProof/>
            <w:webHidden/>
          </w:rPr>
          <w:instrText xml:space="preserve"> PAGEREF _Toc28011431 \h </w:instrText>
        </w:r>
        <w:r w:rsidR="00090F81">
          <w:rPr>
            <w:noProof/>
            <w:webHidden/>
          </w:rPr>
        </w:r>
        <w:r w:rsidR="00090F81">
          <w:rPr>
            <w:noProof/>
            <w:webHidden/>
          </w:rPr>
          <w:fldChar w:fldCharType="separate"/>
        </w:r>
        <w:r w:rsidR="00DB3AD8">
          <w:rPr>
            <w:noProof/>
            <w:webHidden/>
          </w:rPr>
          <w:t>73</w:t>
        </w:r>
        <w:r w:rsidR="00090F81">
          <w:rPr>
            <w:noProof/>
            <w:webHidden/>
          </w:rPr>
          <w:fldChar w:fldCharType="end"/>
        </w:r>
      </w:hyperlink>
    </w:p>
    <w:p w14:paraId="65609DD1" w14:textId="76690F8F" w:rsidR="00090F81" w:rsidRDefault="00366D34">
      <w:pPr>
        <w:pStyle w:val="TOC2"/>
        <w:tabs>
          <w:tab w:val="right" w:leader="dot" w:pos="9350"/>
        </w:tabs>
        <w:rPr>
          <w:rFonts w:eastAsiaTheme="minorEastAsia"/>
          <w:noProof/>
        </w:rPr>
      </w:pPr>
      <w:hyperlink w:anchor="_Toc28011432" w:history="1">
        <w:r w:rsidR="00090F81" w:rsidRPr="00764536">
          <w:rPr>
            <w:rStyle w:val="Hyperlink"/>
            <w:noProof/>
          </w:rPr>
          <w:t>WORKFORCE INTEGRATION: RESOURCES</w:t>
        </w:r>
        <w:r w:rsidR="00090F81">
          <w:rPr>
            <w:noProof/>
            <w:webHidden/>
          </w:rPr>
          <w:tab/>
        </w:r>
        <w:r w:rsidR="00090F81">
          <w:rPr>
            <w:noProof/>
            <w:webHidden/>
          </w:rPr>
          <w:fldChar w:fldCharType="begin"/>
        </w:r>
        <w:r w:rsidR="00090F81">
          <w:rPr>
            <w:noProof/>
            <w:webHidden/>
          </w:rPr>
          <w:instrText xml:space="preserve"> PAGEREF _Toc28011432 \h </w:instrText>
        </w:r>
        <w:r w:rsidR="00090F81">
          <w:rPr>
            <w:noProof/>
            <w:webHidden/>
          </w:rPr>
        </w:r>
        <w:r w:rsidR="00090F81">
          <w:rPr>
            <w:noProof/>
            <w:webHidden/>
          </w:rPr>
          <w:fldChar w:fldCharType="separate"/>
        </w:r>
        <w:r w:rsidR="00DB3AD8">
          <w:rPr>
            <w:noProof/>
            <w:webHidden/>
          </w:rPr>
          <w:t>74</w:t>
        </w:r>
        <w:r w:rsidR="00090F81">
          <w:rPr>
            <w:noProof/>
            <w:webHidden/>
          </w:rPr>
          <w:fldChar w:fldCharType="end"/>
        </w:r>
      </w:hyperlink>
    </w:p>
    <w:p w14:paraId="469350CA" w14:textId="48849470" w:rsidR="00090F81" w:rsidRDefault="00366D34">
      <w:pPr>
        <w:pStyle w:val="TOC2"/>
        <w:tabs>
          <w:tab w:val="right" w:leader="dot" w:pos="9350"/>
        </w:tabs>
        <w:rPr>
          <w:rFonts w:eastAsiaTheme="minorEastAsia"/>
          <w:noProof/>
        </w:rPr>
      </w:pPr>
      <w:hyperlink w:anchor="_Toc28011433" w:history="1">
        <w:r w:rsidR="00090F81" w:rsidRPr="00764536">
          <w:rPr>
            <w:rStyle w:val="Hyperlink"/>
            <w:noProof/>
          </w:rPr>
          <w:t>WORKFORCE INTEGRATION: PROGRESS NARRATIVE</w:t>
        </w:r>
        <w:r w:rsidR="00090F81">
          <w:rPr>
            <w:noProof/>
            <w:webHidden/>
          </w:rPr>
          <w:tab/>
        </w:r>
        <w:r w:rsidR="00090F81">
          <w:rPr>
            <w:noProof/>
            <w:webHidden/>
          </w:rPr>
          <w:fldChar w:fldCharType="begin"/>
        </w:r>
        <w:r w:rsidR="00090F81">
          <w:rPr>
            <w:noProof/>
            <w:webHidden/>
          </w:rPr>
          <w:instrText xml:space="preserve"> PAGEREF _Toc28011433 \h </w:instrText>
        </w:r>
        <w:r w:rsidR="00090F81">
          <w:rPr>
            <w:noProof/>
            <w:webHidden/>
          </w:rPr>
        </w:r>
        <w:r w:rsidR="00090F81">
          <w:rPr>
            <w:noProof/>
            <w:webHidden/>
          </w:rPr>
          <w:fldChar w:fldCharType="separate"/>
        </w:r>
        <w:r w:rsidR="00DB3AD8">
          <w:rPr>
            <w:noProof/>
            <w:webHidden/>
          </w:rPr>
          <w:t>77</w:t>
        </w:r>
        <w:r w:rsidR="00090F81">
          <w:rPr>
            <w:noProof/>
            <w:webHidden/>
          </w:rPr>
          <w:fldChar w:fldCharType="end"/>
        </w:r>
      </w:hyperlink>
    </w:p>
    <w:p w14:paraId="1C8F2482" w14:textId="18333BE2" w:rsidR="00090F81" w:rsidRDefault="00366D34">
      <w:pPr>
        <w:pStyle w:val="TOC1"/>
        <w:tabs>
          <w:tab w:val="left" w:pos="440"/>
          <w:tab w:val="right" w:leader="dot" w:pos="9350"/>
        </w:tabs>
        <w:rPr>
          <w:rFonts w:eastAsiaTheme="minorEastAsia"/>
          <w:noProof/>
        </w:rPr>
      </w:pPr>
      <w:hyperlink w:anchor="_Toc28011434" w:history="1">
        <w:r w:rsidR="00090F81" w:rsidRPr="00764536">
          <w:rPr>
            <w:rStyle w:val="Hyperlink"/>
            <w:noProof/>
          </w:rPr>
          <w:t>E.</w:t>
        </w:r>
        <w:r w:rsidR="00090F81">
          <w:rPr>
            <w:rFonts w:eastAsiaTheme="minorEastAsia"/>
            <w:noProof/>
          </w:rPr>
          <w:tab/>
        </w:r>
        <w:r w:rsidR="00090F81" w:rsidRPr="00764536">
          <w:rPr>
            <w:rStyle w:val="Hyperlink"/>
            <w:noProof/>
          </w:rPr>
          <w:t>Competitive Integrated Employment including Supported Employment-</w:t>
        </w:r>
        <w:r w:rsidR="00090F81">
          <w:rPr>
            <w:noProof/>
            <w:webHidden/>
          </w:rPr>
          <w:tab/>
        </w:r>
        <w:r w:rsidR="00090F81">
          <w:rPr>
            <w:noProof/>
            <w:webHidden/>
          </w:rPr>
          <w:fldChar w:fldCharType="begin"/>
        </w:r>
        <w:r w:rsidR="00090F81">
          <w:rPr>
            <w:noProof/>
            <w:webHidden/>
          </w:rPr>
          <w:instrText xml:space="preserve"> PAGEREF _Toc28011434 \h </w:instrText>
        </w:r>
        <w:r w:rsidR="00090F81">
          <w:rPr>
            <w:noProof/>
            <w:webHidden/>
          </w:rPr>
        </w:r>
        <w:r w:rsidR="00090F81">
          <w:rPr>
            <w:noProof/>
            <w:webHidden/>
          </w:rPr>
          <w:fldChar w:fldCharType="separate"/>
        </w:r>
        <w:r w:rsidR="00DB3AD8">
          <w:rPr>
            <w:noProof/>
            <w:webHidden/>
          </w:rPr>
          <w:t>83</w:t>
        </w:r>
        <w:r w:rsidR="00090F81">
          <w:rPr>
            <w:noProof/>
            <w:webHidden/>
          </w:rPr>
          <w:fldChar w:fldCharType="end"/>
        </w:r>
      </w:hyperlink>
    </w:p>
    <w:p w14:paraId="3A7861E0" w14:textId="3C19E26A" w:rsidR="00090F81" w:rsidRDefault="00366D34">
      <w:pPr>
        <w:pStyle w:val="TOC2"/>
        <w:tabs>
          <w:tab w:val="right" w:leader="dot" w:pos="9350"/>
        </w:tabs>
        <w:rPr>
          <w:rFonts w:eastAsiaTheme="minorEastAsia"/>
          <w:noProof/>
        </w:rPr>
      </w:pPr>
      <w:hyperlink w:anchor="_Toc28011435" w:history="1">
        <w:r w:rsidR="00090F81" w:rsidRPr="00764536">
          <w:rPr>
            <w:rStyle w:val="Hyperlink"/>
            <w:noProof/>
          </w:rPr>
          <w:t>CIE: PROGRESS NARRATIVE</w:t>
        </w:r>
        <w:r w:rsidR="00090F81">
          <w:rPr>
            <w:noProof/>
            <w:webHidden/>
          </w:rPr>
          <w:tab/>
        </w:r>
        <w:r w:rsidR="00090F81">
          <w:rPr>
            <w:noProof/>
            <w:webHidden/>
          </w:rPr>
          <w:fldChar w:fldCharType="begin"/>
        </w:r>
        <w:r w:rsidR="00090F81">
          <w:rPr>
            <w:noProof/>
            <w:webHidden/>
          </w:rPr>
          <w:instrText xml:space="preserve"> PAGEREF _Toc28011435 \h </w:instrText>
        </w:r>
        <w:r w:rsidR="00090F81">
          <w:rPr>
            <w:noProof/>
            <w:webHidden/>
          </w:rPr>
        </w:r>
        <w:r w:rsidR="00090F81">
          <w:rPr>
            <w:noProof/>
            <w:webHidden/>
          </w:rPr>
          <w:fldChar w:fldCharType="separate"/>
        </w:r>
        <w:r w:rsidR="00DB3AD8">
          <w:rPr>
            <w:noProof/>
            <w:webHidden/>
          </w:rPr>
          <w:t>84</w:t>
        </w:r>
        <w:r w:rsidR="00090F81">
          <w:rPr>
            <w:noProof/>
            <w:webHidden/>
          </w:rPr>
          <w:fldChar w:fldCharType="end"/>
        </w:r>
      </w:hyperlink>
    </w:p>
    <w:p w14:paraId="374F8F44" w14:textId="1F82B54B" w:rsidR="00090F81" w:rsidRDefault="00366D34">
      <w:pPr>
        <w:pStyle w:val="TOC2"/>
        <w:tabs>
          <w:tab w:val="right" w:leader="dot" w:pos="9350"/>
        </w:tabs>
        <w:rPr>
          <w:rFonts w:eastAsiaTheme="minorEastAsia"/>
          <w:noProof/>
        </w:rPr>
      </w:pPr>
      <w:hyperlink w:anchor="_Toc28011436" w:history="1">
        <w:r w:rsidR="00090F81" w:rsidRPr="00764536">
          <w:rPr>
            <w:rStyle w:val="Hyperlink"/>
            <w:noProof/>
          </w:rPr>
          <w:t>CIE: SUPPORTED EMPLOYMENT</w:t>
        </w:r>
        <w:r w:rsidR="00090F81">
          <w:rPr>
            <w:noProof/>
            <w:webHidden/>
          </w:rPr>
          <w:tab/>
        </w:r>
        <w:r w:rsidR="00090F81">
          <w:rPr>
            <w:noProof/>
            <w:webHidden/>
          </w:rPr>
          <w:fldChar w:fldCharType="begin"/>
        </w:r>
        <w:r w:rsidR="00090F81">
          <w:rPr>
            <w:noProof/>
            <w:webHidden/>
          </w:rPr>
          <w:instrText xml:space="preserve"> PAGEREF _Toc28011436 \h </w:instrText>
        </w:r>
        <w:r w:rsidR="00090F81">
          <w:rPr>
            <w:noProof/>
            <w:webHidden/>
          </w:rPr>
        </w:r>
        <w:r w:rsidR="00090F81">
          <w:rPr>
            <w:noProof/>
            <w:webHidden/>
          </w:rPr>
          <w:fldChar w:fldCharType="separate"/>
        </w:r>
        <w:r w:rsidR="00DB3AD8">
          <w:rPr>
            <w:noProof/>
            <w:webHidden/>
          </w:rPr>
          <w:t>85</w:t>
        </w:r>
        <w:r w:rsidR="00090F81">
          <w:rPr>
            <w:noProof/>
            <w:webHidden/>
          </w:rPr>
          <w:fldChar w:fldCharType="end"/>
        </w:r>
      </w:hyperlink>
    </w:p>
    <w:p w14:paraId="0237E2B9" w14:textId="4BCF7471" w:rsidR="00090F81" w:rsidRDefault="00366D34">
      <w:pPr>
        <w:pStyle w:val="TOC2"/>
        <w:tabs>
          <w:tab w:val="right" w:leader="dot" w:pos="9350"/>
        </w:tabs>
        <w:rPr>
          <w:rFonts w:eastAsiaTheme="minorEastAsia"/>
          <w:noProof/>
        </w:rPr>
      </w:pPr>
      <w:hyperlink w:anchor="_Toc28011437" w:history="1">
        <w:r w:rsidR="00090F81" w:rsidRPr="00764536">
          <w:rPr>
            <w:rStyle w:val="Hyperlink"/>
            <w:noProof/>
          </w:rPr>
          <w:t>PROGRESS BY ACTIVITY/OUTPUT: CIE/SUPPORTED EMPLOYMENT</w:t>
        </w:r>
        <w:r w:rsidR="00090F81">
          <w:rPr>
            <w:noProof/>
            <w:webHidden/>
          </w:rPr>
          <w:tab/>
        </w:r>
        <w:r w:rsidR="00090F81">
          <w:rPr>
            <w:noProof/>
            <w:webHidden/>
          </w:rPr>
          <w:fldChar w:fldCharType="begin"/>
        </w:r>
        <w:r w:rsidR="00090F81">
          <w:rPr>
            <w:noProof/>
            <w:webHidden/>
          </w:rPr>
          <w:instrText xml:space="preserve"> PAGEREF _Toc28011437 \h </w:instrText>
        </w:r>
        <w:r w:rsidR="00090F81">
          <w:rPr>
            <w:noProof/>
            <w:webHidden/>
          </w:rPr>
        </w:r>
        <w:r w:rsidR="00090F81">
          <w:rPr>
            <w:noProof/>
            <w:webHidden/>
          </w:rPr>
          <w:fldChar w:fldCharType="separate"/>
        </w:r>
        <w:r w:rsidR="00DB3AD8">
          <w:rPr>
            <w:noProof/>
            <w:webHidden/>
          </w:rPr>
          <w:t>87</w:t>
        </w:r>
        <w:r w:rsidR="00090F81">
          <w:rPr>
            <w:noProof/>
            <w:webHidden/>
          </w:rPr>
          <w:fldChar w:fldCharType="end"/>
        </w:r>
      </w:hyperlink>
    </w:p>
    <w:p w14:paraId="35017D78" w14:textId="1E6713C6" w:rsidR="00090F81" w:rsidRDefault="00366D34">
      <w:pPr>
        <w:pStyle w:val="TOC2"/>
        <w:tabs>
          <w:tab w:val="right" w:leader="dot" w:pos="9350"/>
        </w:tabs>
        <w:rPr>
          <w:rFonts w:eastAsiaTheme="minorEastAsia"/>
          <w:noProof/>
        </w:rPr>
      </w:pPr>
      <w:hyperlink w:anchor="_Toc28011438" w:history="1">
        <w:r w:rsidR="00090F81" w:rsidRPr="00764536">
          <w:rPr>
            <w:rStyle w:val="Hyperlink"/>
            <w:noProof/>
          </w:rPr>
          <w:t>CIE/Supported Employment: RESOURCES</w:t>
        </w:r>
        <w:r w:rsidR="00090F81">
          <w:rPr>
            <w:noProof/>
            <w:webHidden/>
          </w:rPr>
          <w:tab/>
        </w:r>
        <w:r w:rsidR="00090F81">
          <w:rPr>
            <w:noProof/>
            <w:webHidden/>
          </w:rPr>
          <w:fldChar w:fldCharType="begin"/>
        </w:r>
        <w:r w:rsidR="00090F81">
          <w:rPr>
            <w:noProof/>
            <w:webHidden/>
          </w:rPr>
          <w:instrText xml:space="preserve"> PAGEREF _Toc28011438 \h </w:instrText>
        </w:r>
        <w:r w:rsidR="00090F81">
          <w:rPr>
            <w:noProof/>
            <w:webHidden/>
          </w:rPr>
        </w:r>
        <w:r w:rsidR="00090F81">
          <w:rPr>
            <w:noProof/>
            <w:webHidden/>
          </w:rPr>
          <w:fldChar w:fldCharType="separate"/>
        </w:r>
        <w:r w:rsidR="00DB3AD8">
          <w:rPr>
            <w:noProof/>
            <w:webHidden/>
          </w:rPr>
          <w:t>91</w:t>
        </w:r>
        <w:r w:rsidR="00090F81">
          <w:rPr>
            <w:noProof/>
            <w:webHidden/>
          </w:rPr>
          <w:fldChar w:fldCharType="end"/>
        </w:r>
      </w:hyperlink>
    </w:p>
    <w:p w14:paraId="15372929" w14:textId="6B58B561" w:rsidR="00090F81" w:rsidRDefault="00366D34">
      <w:pPr>
        <w:pStyle w:val="TOC1"/>
        <w:tabs>
          <w:tab w:val="left" w:pos="440"/>
          <w:tab w:val="right" w:leader="dot" w:pos="9350"/>
        </w:tabs>
        <w:rPr>
          <w:rFonts w:eastAsiaTheme="minorEastAsia"/>
          <w:noProof/>
        </w:rPr>
      </w:pPr>
      <w:hyperlink w:anchor="_Toc28011439" w:history="1">
        <w:r w:rsidR="00090F81" w:rsidRPr="00764536">
          <w:rPr>
            <w:rStyle w:val="Hyperlink"/>
            <w:noProof/>
          </w:rPr>
          <w:t>F.</w:t>
        </w:r>
        <w:r w:rsidR="00090F81">
          <w:rPr>
            <w:rFonts w:eastAsiaTheme="minorEastAsia"/>
            <w:noProof/>
          </w:rPr>
          <w:tab/>
        </w:r>
        <w:r w:rsidR="00090F81" w:rsidRPr="00764536">
          <w:rPr>
            <w:rStyle w:val="Hyperlink"/>
            <w:noProof/>
          </w:rPr>
          <w:t>Competitive Integrated Employment: Customized Employment-</w:t>
        </w:r>
        <w:r w:rsidR="00090F81">
          <w:rPr>
            <w:noProof/>
            <w:webHidden/>
          </w:rPr>
          <w:tab/>
        </w:r>
        <w:r w:rsidR="00090F81">
          <w:rPr>
            <w:noProof/>
            <w:webHidden/>
          </w:rPr>
          <w:fldChar w:fldCharType="begin"/>
        </w:r>
        <w:r w:rsidR="00090F81">
          <w:rPr>
            <w:noProof/>
            <w:webHidden/>
          </w:rPr>
          <w:instrText xml:space="preserve"> PAGEREF _Toc28011439 \h </w:instrText>
        </w:r>
        <w:r w:rsidR="00090F81">
          <w:rPr>
            <w:noProof/>
            <w:webHidden/>
          </w:rPr>
        </w:r>
        <w:r w:rsidR="00090F81">
          <w:rPr>
            <w:noProof/>
            <w:webHidden/>
          </w:rPr>
          <w:fldChar w:fldCharType="separate"/>
        </w:r>
        <w:r w:rsidR="00DB3AD8">
          <w:rPr>
            <w:noProof/>
            <w:webHidden/>
          </w:rPr>
          <w:t>95</w:t>
        </w:r>
        <w:r w:rsidR="00090F81">
          <w:rPr>
            <w:noProof/>
            <w:webHidden/>
          </w:rPr>
          <w:fldChar w:fldCharType="end"/>
        </w:r>
      </w:hyperlink>
    </w:p>
    <w:p w14:paraId="0032B5BB" w14:textId="58014DBC" w:rsidR="00090F81" w:rsidRDefault="00366D34">
      <w:pPr>
        <w:pStyle w:val="TOC2"/>
        <w:tabs>
          <w:tab w:val="right" w:leader="dot" w:pos="9350"/>
        </w:tabs>
        <w:rPr>
          <w:rFonts w:eastAsiaTheme="minorEastAsia"/>
          <w:noProof/>
        </w:rPr>
      </w:pPr>
      <w:hyperlink w:anchor="_Toc28011440" w:history="1">
        <w:r w:rsidR="00090F81" w:rsidRPr="00764536">
          <w:rPr>
            <w:rStyle w:val="Hyperlink"/>
            <w:noProof/>
          </w:rPr>
          <w:t>CUSTOMIZED EMPLOYMENT LOGIC MODEL</w:t>
        </w:r>
        <w:r w:rsidR="00090F81">
          <w:rPr>
            <w:noProof/>
            <w:webHidden/>
          </w:rPr>
          <w:tab/>
        </w:r>
        <w:r w:rsidR="00090F81">
          <w:rPr>
            <w:noProof/>
            <w:webHidden/>
          </w:rPr>
          <w:fldChar w:fldCharType="begin"/>
        </w:r>
        <w:r w:rsidR="00090F81">
          <w:rPr>
            <w:noProof/>
            <w:webHidden/>
          </w:rPr>
          <w:instrText xml:space="preserve"> PAGEREF _Toc28011440 \h </w:instrText>
        </w:r>
        <w:r w:rsidR="00090F81">
          <w:rPr>
            <w:noProof/>
            <w:webHidden/>
          </w:rPr>
        </w:r>
        <w:r w:rsidR="00090F81">
          <w:rPr>
            <w:noProof/>
            <w:webHidden/>
          </w:rPr>
          <w:fldChar w:fldCharType="separate"/>
        </w:r>
        <w:r w:rsidR="00DB3AD8">
          <w:rPr>
            <w:noProof/>
            <w:webHidden/>
          </w:rPr>
          <w:t>96</w:t>
        </w:r>
        <w:r w:rsidR="00090F81">
          <w:rPr>
            <w:noProof/>
            <w:webHidden/>
          </w:rPr>
          <w:fldChar w:fldCharType="end"/>
        </w:r>
      </w:hyperlink>
    </w:p>
    <w:p w14:paraId="34728460" w14:textId="10C75E62" w:rsidR="00090F81" w:rsidRDefault="00366D34">
      <w:pPr>
        <w:pStyle w:val="TOC2"/>
        <w:tabs>
          <w:tab w:val="right" w:leader="dot" w:pos="9350"/>
        </w:tabs>
        <w:rPr>
          <w:rFonts w:eastAsiaTheme="minorEastAsia"/>
          <w:noProof/>
        </w:rPr>
      </w:pPr>
      <w:hyperlink w:anchor="_Toc28011441" w:history="1">
        <w:r w:rsidR="00090F81" w:rsidRPr="00764536">
          <w:rPr>
            <w:rStyle w:val="Hyperlink"/>
            <w:noProof/>
          </w:rPr>
          <w:t>PROGRESS BY ACTIVITY/OUTPUT: CUSTOMIZED EMPLOYMENT</w:t>
        </w:r>
        <w:r w:rsidR="00090F81">
          <w:rPr>
            <w:noProof/>
            <w:webHidden/>
          </w:rPr>
          <w:tab/>
        </w:r>
        <w:r w:rsidR="00090F81">
          <w:rPr>
            <w:noProof/>
            <w:webHidden/>
          </w:rPr>
          <w:fldChar w:fldCharType="begin"/>
        </w:r>
        <w:r w:rsidR="00090F81">
          <w:rPr>
            <w:noProof/>
            <w:webHidden/>
          </w:rPr>
          <w:instrText xml:space="preserve"> PAGEREF _Toc28011441 \h </w:instrText>
        </w:r>
        <w:r w:rsidR="00090F81">
          <w:rPr>
            <w:noProof/>
            <w:webHidden/>
          </w:rPr>
        </w:r>
        <w:r w:rsidR="00090F81">
          <w:rPr>
            <w:noProof/>
            <w:webHidden/>
          </w:rPr>
          <w:fldChar w:fldCharType="separate"/>
        </w:r>
        <w:r w:rsidR="00DB3AD8">
          <w:rPr>
            <w:noProof/>
            <w:webHidden/>
          </w:rPr>
          <w:t>101</w:t>
        </w:r>
        <w:r w:rsidR="00090F81">
          <w:rPr>
            <w:noProof/>
            <w:webHidden/>
          </w:rPr>
          <w:fldChar w:fldCharType="end"/>
        </w:r>
      </w:hyperlink>
    </w:p>
    <w:p w14:paraId="284D2E9F" w14:textId="0452EE0D" w:rsidR="00090F81" w:rsidRDefault="00366D34">
      <w:pPr>
        <w:pStyle w:val="TOC2"/>
        <w:tabs>
          <w:tab w:val="right" w:leader="dot" w:pos="9350"/>
        </w:tabs>
        <w:rPr>
          <w:rFonts w:eastAsiaTheme="minorEastAsia"/>
          <w:noProof/>
        </w:rPr>
      </w:pPr>
      <w:hyperlink w:anchor="_Toc28011442" w:history="1">
        <w:r w:rsidR="00090F81" w:rsidRPr="00764536">
          <w:rPr>
            <w:rStyle w:val="Hyperlink"/>
            <w:noProof/>
          </w:rPr>
          <w:t>Customized Employment Pilot Data Dashboards</w:t>
        </w:r>
        <w:r w:rsidR="00090F81">
          <w:rPr>
            <w:noProof/>
            <w:webHidden/>
          </w:rPr>
          <w:tab/>
        </w:r>
        <w:r w:rsidR="00090F81">
          <w:rPr>
            <w:noProof/>
            <w:webHidden/>
          </w:rPr>
          <w:fldChar w:fldCharType="begin"/>
        </w:r>
        <w:r w:rsidR="00090F81">
          <w:rPr>
            <w:noProof/>
            <w:webHidden/>
          </w:rPr>
          <w:instrText xml:space="preserve"> PAGEREF _Toc28011442 \h </w:instrText>
        </w:r>
        <w:r w:rsidR="00090F81">
          <w:rPr>
            <w:noProof/>
            <w:webHidden/>
          </w:rPr>
        </w:r>
        <w:r w:rsidR="00090F81">
          <w:rPr>
            <w:noProof/>
            <w:webHidden/>
          </w:rPr>
          <w:fldChar w:fldCharType="separate"/>
        </w:r>
        <w:r w:rsidR="00DB3AD8">
          <w:rPr>
            <w:noProof/>
            <w:webHidden/>
          </w:rPr>
          <w:t>108</w:t>
        </w:r>
        <w:r w:rsidR="00090F81">
          <w:rPr>
            <w:noProof/>
            <w:webHidden/>
          </w:rPr>
          <w:fldChar w:fldCharType="end"/>
        </w:r>
      </w:hyperlink>
    </w:p>
    <w:p w14:paraId="34024029" w14:textId="4F5EA55C" w:rsidR="00090F81" w:rsidRDefault="00366D34">
      <w:pPr>
        <w:pStyle w:val="TOC2"/>
        <w:tabs>
          <w:tab w:val="right" w:leader="dot" w:pos="9350"/>
        </w:tabs>
        <w:rPr>
          <w:rFonts w:eastAsiaTheme="minorEastAsia"/>
          <w:noProof/>
        </w:rPr>
      </w:pPr>
      <w:hyperlink w:anchor="_Toc28011443" w:history="1">
        <w:r w:rsidR="00090F81" w:rsidRPr="00764536">
          <w:rPr>
            <w:rStyle w:val="Hyperlink"/>
            <w:noProof/>
          </w:rPr>
          <w:t>Customized Employment: RESOURCES</w:t>
        </w:r>
        <w:r w:rsidR="00090F81">
          <w:rPr>
            <w:noProof/>
            <w:webHidden/>
          </w:rPr>
          <w:tab/>
        </w:r>
        <w:r w:rsidR="00090F81">
          <w:rPr>
            <w:noProof/>
            <w:webHidden/>
          </w:rPr>
          <w:fldChar w:fldCharType="begin"/>
        </w:r>
        <w:r w:rsidR="00090F81">
          <w:rPr>
            <w:noProof/>
            <w:webHidden/>
          </w:rPr>
          <w:instrText xml:space="preserve"> PAGEREF _Toc28011443 \h </w:instrText>
        </w:r>
        <w:r w:rsidR="00090F81">
          <w:rPr>
            <w:noProof/>
            <w:webHidden/>
          </w:rPr>
        </w:r>
        <w:r w:rsidR="00090F81">
          <w:rPr>
            <w:noProof/>
            <w:webHidden/>
          </w:rPr>
          <w:fldChar w:fldCharType="separate"/>
        </w:r>
        <w:r w:rsidR="00DB3AD8">
          <w:rPr>
            <w:noProof/>
            <w:webHidden/>
          </w:rPr>
          <w:t>111</w:t>
        </w:r>
        <w:r w:rsidR="00090F81">
          <w:rPr>
            <w:noProof/>
            <w:webHidden/>
          </w:rPr>
          <w:fldChar w:fldCharType="end"/>
        </w:r>
      </w:hyperlink>
    </w:p>
    <w:p w14:paraId="556439CA" w14:textId="344A5DAF" w:rsidR="00090F81" w:rsidRDefault="00366D34">
      <w:pPr>
        <w:pStyle w:val="TOC2"/>
        <w:tabs>
          <w:tab w:val="right" w:leader="dot" w:pos="9350"/>
        </w:tabs>
        <w:rPr>
          <w:rFonts w:eastAsiaTheme="minorEastAsia"/>
          <w:noProof/>
        </w:rPr>
      </w:pPr>
      <w:hyperlink w:anchor="_Toc28011444" w:history="1">
        <w:r w:rsidR="00090F81" w:rsidRPr="00764536">
          <w:rPr>
            <w:rStyle w:val="Hyperlink"/>
            <w:noProof/>
          </w:rPr>
          <w:t>Customized Employment: PROGRESS NARRATIVE</w:t>
        </w:r>
        <w:r w:rsidR="00090F81">
          <w:rPr>
            <w:noProof/>
            <w:webHidden/>
          </w:rPr>
          <w:tab/>
        </w:r>
        <w:r w:rsidR="00090F81">
          <w:rPr>
            <w:noProof/>
            <w:webHidden/>
          </w:rPr>
          <w:fldChar w:fldCharType="begin"/>
        </w:r>
        <w:r w:rsidR="00090F81">
          <w:rPr>
            <w:noProof/>
            <w:webHidden/>
          </w:rPr>
          <w:instrText xml:space="preserve"> PAGEREF _Toc28011444 \h </w:instrText>
        </w:r>
        <w:r w:rsidR="00090F81">
          <w:rPr>
            <w:noProof/>
            <w:webHidden/>
          </w:rPr>
        </w:r>
        <w:r w:rsidR="00090F81">
          <w:rPr>
            <w:noProof/>
            <w:webHidden/>
          </w:rPr>
          <w:fldChar w:fldCharType="separate"/>
        </w:r>
        <w:r w:rsidR="00DB3AD8">
          <w:rPr>
            <w:noProof/>
            <w:webHidden/>
          </w:rPr>
          <w:t>112</w:t>
        </w:r>
        <w:r w:rsidR="00090F81">
          <w:rPr>
            <w:noProof/>
            <w:webHidden/>
          </w:rPr>
          <w:fldChar w:fldCharType="end"/>
        </w:r>
      </w:hyperlink>
    </w:p>
    <w:p w14:paraId="0109CC82" w14:textId="1D7D1C90" w:rsidR="00090F81" w:rsidRDefault="00366D34">
      <w:pPr>
        <w:pStyle w:val="TOC1"/>
        <w:tabs>
          <w:tab w:val="left" w:pos="440"/>
          <w:tab w:val="right" w:leader="dot" w:pos="9350"/>
        </w:tabs>
        <w:rPr>
          <w:rFonts w:eastAsiaTheme="minorEastAsia"/>
          <w:noProof/>
        </w:rPr>
      </w:pPr>
      <w:hyperlink w:anchor="_Toc28011445" w:history="1">
        <w:r w:rsidR="00090F81" w:rsidRPr="00764536">
          <w:rPr>
            <w:rStyle w:val="Hyperlink"/>
            <w:noProof/>
          </w:rPr>
          <w:t>G.</w:t>
        </w:r>
        <w:r w:rsidR="00090F81">
          <w:rPr>
            <w:rFonts w:eastAsiaTheme="minorEastAsia"/>
            <w:noProof/>
          </w:rPr>
          <w:tab/>
        </w:r>
        <w:r w:rsidR="00090F81" w:rsidRPr="00764536">
          <w:rPr>
            <w:rStyle w:val="Hyperlink"/>
            <w:noProof/>
          </w:rPr>
          <w:t>SARA Pilot Projects</w:t>
        </w:r>
        <w:r w:rsidR="00090F81">
          <w:rPr>
            <w:noProof/>
            <w:webHidden/>
          </w:rPr>
          <w:tab/>
        </w:r>
        <w:r w:rsidR="00090F81">
          <w:rPr>
            <w:noProof/>
            <w:webHidden/>
          </w:rPr>
          <w:fldChar w:fldCharType="begin"/>
        </w:r>
        <w:r w:rsidR="00090F81">
          <w:rPr>
            <w:noProof/>
            <w:webHidden/>
          </w:rPr>
          <w:instrText xml:space="preserve"> PAGEREF _Toc28011445 \h </w:instrText>
        </w:r>
        <w:r w:rsidR="00090F81">
          <w:rPr>
            <w:noProof/>
            <w:webHidden/>
          </w:rPr>
        </w:r>
        <w:r w:rsidR="00090F81">
          <w:rPr>
            <w:noProof/>
            <w:webHidden/>
          </w:rPr>
          <w:fldChar w:fldCharType="separate"/>
        </w:r>
        <w:r w:rsidR="00DB3AD8">
          <w:rPr>
            <w:noProof/>
            <w:webHidden/>
          </w:rPr>
          <w:t>118</w:t>
        </w:r>
        <w:r w:rsidR="00090F81">
          <w:rPr>
            <w:noProof/>
            <w:webHidden/>
          </w:rPr>
          <w:fldChar w:fldCharType="end"/>
        </w:r>
      </w:hyperlink>
    </w:p>
    <w:p w14:paraId="6FF74DB2" w14:textId="75F31F58" w:rsidR="00090F81" w:rsidRDefault="00366D34">
      <w:pPr>
        <w:pStyle w:val="TOC2"/>
        <w:tabs>
          <w:tab w:val="right" w:leader="dot" w:pos="9350"/>
        </w:tabs>
        <w:rPr>
          <w:rFonts w:eastAsiaTheme="minorEastAsia"/>
          <w:noProof/>
        </w:rPr>
      </w:pPr>
      <w:hyperlink w:anchor="_Toc28011446" w:history="1">
        <w:r w:rsidR="00090F81" w:rsidRPr="00764536">
          <w:rPr>
            <w:rStyle w:val="Hyperlink"/>
            <w:noProof/>
          </w:rPr>
          <w:t>SARA PILOTS: LOGIC MODEL</w:t>
        </w:r>
        <w:r w:rsidR="00090F81">
          <w:rPr>
            <w:noProof/>
            <w:webHidden/>
          </w:rPr>
          <w:tab/>
        </w:r>
        <w:r w:rsidR="00090F81">
          <w:rPr>
            <w:noProof/>
            <w:webHidden/>
          </w:rPr>
          <w:fldChar w:fldCharType="begin"/>
        </w:r>
        <w:r w:rsidR="00090F81">
          <w:rPr>
            <w:noProof/>
            <w:webHidden/>
          </w:rPr>
          <w:instrText xml:space="preserve"> PAGEREF _Toc28011446 \h </w:instrText>
        </w:r>
        <w:r w:rsidR="00090F81">
          <w:rPr>
            <w:noProof/>
            <w:webHidden/>
          </w:rPr>
        </w:r>
        <w:r w:rsidR="00090F81">
          <w:rPr>
            <w:noProof/>
            <w:webHidden/>
          </w:rPr>
          <w:fldChar w:fldCharType="separate"/>
        </w:r>
        <w:r w:rsidR="00DB3AD8">
          <w:rPr>
            <w:noProof/>
            <w:webHidden/>
          </w:rPr>
          <w:t>119</w:t>
        </w:r>
        <w:r w:rsidR="00090F81">
          <w:rPr>
            <w:noProof/>
            <w:webHidden/>
          </w:rPr>
          <w:fldChar w:fldCharType="end"/>
        </w:r>
      </w:hyperlink>
    </w:p>
    <w:p w14:paraId="7D6CA7E3" w14:textId="11D92C99" w:rsidR="00090F81" w:rsidRDefault="00366D34">
      <w:pPr>
        <w:pStyle w:val="TOC2"/>
        <w:tabs>
          <w:tab w:val="right" w:leader="dot" w:pos="9350"/>
        </w:tabs>
        <w:rPr>
          <w:rFonts w:eastAsiaTheme="minorEastAsia"/>
          <w:noProof/>
        </w:rPr>
      </w:pPr>
      <w:hyperlink w:anchor="_Toc28011447" w:history="1">
        <w:r w:rsidR="00090F81" w:rsidRPr="00764536">
          <w:rPr>
            <w:rStyle w:val="Hyperlink"/>
            <w:noProof/>
          </w:rPr>
          <w:t>SARA PILOTS CONTEXT</w:t>
        </w:r>
        <w:r w:rsidR="00090F81">
          <w:rPr>
            <w:noProof/>
            <w:webHidden/>
          </w:rPr>
          <w:tab/>
        </w:r>
        <w:r w:rsidR="00090F81">
          <w:rPr>
            <w:noProof/>
            <w:webHidden/>
          </w:rPr>
          <w:fldChar w:fldCharType="begin"/>
        </w:r>
        <w:r w:rsidR="00090F81">
          <w:rPr>
            <w:noProof/>
            <w:webHidden/>
          </w:rPr>
          <w:instrText xml:space="preserve"> PAGEREF _Toc28011447 \h </w:instrText>
        </w:r>
        <w:r w:rsidR="00090F81">
          <w:rPr>
            <w:noProof/>
            <w:webHidden/>
          </w:rPr>
        </w:r>
        <w:r w:rsidR="00090F81">
          <w:rPr>
            <w:noProof/>
            <w:webHidden/>
          </w:rPr>
          <w:fldChar w:fldCharType="separate"/>
        </w:r>
        <w:r w:rsidR="00DB3AD8">
          <w:rPr>
            <w:noProof/>
            <w:webHidden/>
          </w:rPr>
          <w:t>120</w:t>
        </w:r>
        <w:r w:rsidR="00090F81">
          <w:rPr>
            <w:noProof/>
            <w:webHidden/>
          </w:rPr>
          <w:fldChar w:fldCharType="end"/>
        </w:r>
      </w:hyperlink>
    </w:p>
    <w:p w14:paraId="4C71AF5E" w14:textId="6C5C4BD6" w:rsidR="00090F81" w:rsidRDefault="00366D34">
      <w:pPr>
        <w:pStyle w:val="TOC2"/>
        <w:tabs>
          <w:tab w:val="right" w:leader="dot" w:pos="9350"/>
        </w:tabs>
        <w:rPr>
          <w:rFonts w:eastAsiaTheme="minorEastAsia"/>
          <w:noProof/>
        </w:rPr>
      </w:pPr>
      <w:hyperlink w:anchor="_Toc28011448" w:history="1">
        <w:r w:rsidR="00090F81" w:rsidRPr="00764536">
          <w:rPr>
            <w:rStyle w:val="Hyperlink"/>
            <w:noProof/>
          </w:rPr>
          <w:t>SARA PILOTS: PROGRESS DASHBOARDS: ACTIVITIES, OUTPUTS, IMPLEMENTATION</w:t>
        </w:r>
        <w:r w:rsidR="00090F81">
          <w:rPr>
            <w:noProof/>
            <w:webHidden/>
          </w:rPr>
          <w:tab/>
        </w:r>
        <w:r w:rsidR="00090F81">
          <w:rPr>
            <w:noProof/>
            <w:webHidden/>
          </w:rPr>
          <w:fldChar w:fldCharType="begin"/>
        </w:r>
        <w:r w:rsidR="00090F81">
          <w:rPr>
            <w:noProof/>
            <w:webHidden/>
          </w:rPr>
          <w:instrText xml:space="preserve"> PAGEREF _Toc28011448 \h </w:instrText>
        </w:r>
        <w:r w:rsidR="00090F81">
          <w:rPr>
            <w:noProof/>
            <w:webHidden/>
          </w:rPr>
        </w:r>
        <w:r w:rsidR="00090F81">
          <w:rPr>
            <w:noProof/>
            <w:webHidden/>
          </w:rPr>
          <w:fldChar w:fldCharType="separate"/>
        </w:r>
        <w:r w:rsidR="00DB3AD8">
          <w:rPr>
            <w:noProof/>
            <w:webHidden/>
          </w:rPr>
          <w:t>123</w:t>
        </w:r>
        <w:r w:rsidR="00090F81">
          <w:rPr>
            <w:noProof/>
            <w:webHidden/>
          </w:rPr>
          <w:fldChar w:fldCharType="end"/>
        </w:r>
      </w:hyperlink>
    </w:p>
    <w:p w14:paraId="40618563" w14:textId="563A191D" w:rsidR="00090F81" w:rsidRDefault="00366D34">
      <w:pPr>
        <w:pStyle w:val="TOC2"/>
        <w:tabs>
          <w:tab w:val="right" w:leader="dot" w:pos="9350"/>
        </w:tabs>
        <w:rPr>
          <w:rFonts w:eastAsiaTheme="minorEastAsia"/>
          <w:noProof/>
        </w:rPr>
      </w:pPr>
      <w:hyperlink w:anchor="_Toc28011449" w:history="1">
        <w:r w:rsidR="00090F81" w:rsidRPr="00764536">
          <w:rPr>
            <w:rStyle w:val="Hyperlink"/>
            <w:noProof/>
          </w:rPr>
          <w:t>SARA PILOTS: OUTCOMES PROGRESS DASHBOARDS</w:t>
        </w:r>
        <w:r w:rsidR="00090F81">
          <w:rPr>
            <w:noProof/>
            <w:webHidden/>
          </w:rPr>
          <w:tab/>
        </w:r>
        <w:r w:rsidR="00090F81">
          <w:rPr>
            <w:noProof/>
            <w:webHidden/>
          </w:rPr>
          <w:fldChar w:fldCharType="begin"/>
        </w:r>
        <w:r w:rsidR="00090F81">
          <w:rPr>
            <w:noProof/>
            <w:webHidden/>
          </w:rPr>
          <w:instrText xml:space="preserve"> PAGEREF _Toc28011449 \h </w:instrText>
        </w:r>
        <w:r w:rsidR="00090F81">
          <w:rPr>
            <w:noProof/>
            <w:webHidden/>
          </w:rPr>
        </w:r>
        <w:r w:rsidR="00090F81">
          <w:rPr>
            <w:noProof/>
            <w:webHidden/>
          </w:rPr>
          <w:fldChar w:fldCharType="separate"/>
        </w:r>
        <w:r w:rsidR="00DB3AD8">
          <w:rPr>
            <w:noProof/>
            <w:webHidden/>
          </w:rPr>
          <w:t>131</w:t>
        </w:r>
        <w:r w:rsidR="00090F81">
          <w:rPr>
            <w:noProof/>
            <w:webHidden/>
          </w:rPr>
          <w:fldChar w:fldCharType="end"/>
        </w:r>
      </w:hyperlink>
    </w:p>
    <w:p w14:paraId="7846F171" w14:textId="3E0C91B6" w:rsidR="00090F81" w:rsidRDefault="00366D34">
      <w:pPr>
        <w:pStyle w:val="TOC2"/>
        <w:tabs>
          <w:tab w:val="right" w:leader="dot" w:pos="9350"/>
        </w:tabs>
        <w:rPr>
          <w:rFonts w:eastAsiaTheme="minorEastAsia"/>
          <w:noProof/>
        </w:rPr>
      </w:pPr>
      <w:hyperlink w:anchor="_Toc28011450" w:history="1">
        <w:r w:rsidR="00090F81" w:rsidRPr="00764536">
          <w:rPr>
            <w:rStyle w:val="Hyperlink"/>
            <w:noProof/>
          </w:rPr>
          <w:t>SARA PILOTS: PROGRESS NARRATIVE</w:t>
        </w:r>
        <w:r w:rsidR="00090F81">
          <w:rPr>
            <w:noProof/>
            <w:webHidden/>
          </w:rPr>
          <w:tab/>
        </w:r>
        <w:r w:rsidR="00090F81">
          <w:rPr>
            <w:noProof/>
            <w:webHidden/>
          </w:rPr>
          <w:fldChar w:fldCharType="begin"/>
        </w:r>
        <w:r w:rsidR="00090F81">
          <w:rPr>
            <w:noProof/>
            <w:webHidden/>
          </w:rPr>
          <w:instrText xml:space="preserve"> PAGEREF _Toc28011450 \h </w:instrText>
        </w:r>
        <w:r w:rsidR="00090F81">
          <w:rPr>
            <w:noProof/>
            <w:webHidden/>
          </w:rPr>
        </w:r>
        <w:r w:rsidR="00090F81">
          <w:rPr>
            <w:noProof/>
            <w:webHidden/>
          </w:rPr>
          <w:fldChar w:fldCharType="separate"/>
        </w:r>
        <w:r w:rsidR="00DB3AD8">
          <w:rPr>
            <w:noProof/>
            <w:webHidden/>
          </w:rPr>
          <w:t>134</w:t>
        </w:r>
        <w:r w:rsidR="00090F81">
          <w:rPr>
            <w:noProof/>
            <w:webHidden/>
          </w:rPr>
          <w:fldChar w:fldCharType="end"/>
        </w:r>
      </w:hyperlink>
    </w:p>
    <w:p w14:paraId="54A96B05" w14:textId="1861262D" w:rsidR="00090F81" w:rsidRDefault="00366D34">
      <w:pPr>
        <w:pStyle w:val="TOC1"/>
        <w:tabs>
          <w:tab w:val="left" w:pos="440"/>
          <w:tab w:val="right" w:leader="dot" w:pos="9350"/>
        </w:tabs>
        <w:rPr>
          <w:rFonts w:eastAsiaTheme="minorEastAsia"/>
          <w:noProof/>
        </w:rPr>
      </w:pPr>
      <w:hyperlink w:anchor="_Toc28011451" w:history="1">
        <w:r w:rsidR="00090F81" w:rsidRPr="00764536">
          <w:rPr>
            <w:rStyle w:val="Hyperlink"/>
            <w:noProof/>
          </w:rPr>
          <w:t>H.</w:t>
        </w:r>
        <w:r w:rsidR="00090F81">
          <w:rPr>
            <w:rFonts w:eastAsiaTheme="minorEastAsia"/>
            <w:noProof/>
          </w:rPr>
          <w:tab/>
        </w:r>
        <w:r w:rsidR="00090F81" w:rsidRPr="00764536">
          <w:rPr>
            <w:rStyle w:val="Hyperlink"/>
            <w:noProof/>
          </w:rPr>
          <w:t>The Career Index Plus Pilot Projects</w:t>
        </w:r>
        <w:r w:rsidR="00090F81">
          <w:rPr>
            <w:noProof/>
            <w:webHidden/>
          </w:rPr>
          <w:tab/>
        </w:r>
        <w:r w:rsidR="00090F81">
          <w:rPr>
            <w:noProof/>
            <w:webHidden/>
          </w:rPr>
          <w:fldChar w:fldCharType="begin"/>
        </w:r>
        <w:r w:rsidR="00090F81">
          <w:rPr>
            <w:noProof/>
            <w:webHidden/>
          </w:rPr>
          <w:instrText xml:space="preserve"> PAGEREF _Toc28011451 \h </w:instrText>
        </w:r>
        <w:r w:rsidR="00090F81">
          <w:rPr>
            <w:noProof/>
            <w:webHidden/>
          </w:rPr>
        </w:r>
        <w:r w:rsidR="00090F81">
          <w:rPr>
            <w:noProof/>
            <w:webHidden/>
          </w:rPr>
          <w:fldChar w:fldCharType="separate"/>
        </w:r>
        <w:r w:rsidR="00DB3AD8">
          <w:rPr>
            <w:noProof/>
            <w:webHidden/>
          </w:rPr>
          <w:t>136</w:t>
        </w:r>
        <w:r w:rsidR="00090F81">
          <w:rPr>
            <w:noProof/>
            <w:webHidden/>
          </w:rPr>
          <w:fldChar w:fldCharType="end"/>
        </w:r>
      </w:hyperlink>
    </w:p>
    <w:p w14:paraId="027B791C" w14:textId="0A4096E0" w:rsidR="00090F81" w:rsidRDefault="00366D34">
      <w:pPr>
        <w:pStyle w:val="TOC2"/>
        <w:tabs>
          <w:tab w:val="right" w:leader="dot" w:pos="9350"/>
        </w:tabs>
        <w:rPr>
          <w:rFonts w:eastAsiaTheme="minorEastAsia"/>
          <w:noProof/>
        </w:rPr>
      </w:pPr>
      <w:hyperlink w:anchor="_Toc28011452" w:history="1">
        <w:r w:rsidR="00090F81" w:rsidRPr="00764536">
          <w:rPr>
            <w:rStyle w:val="Hyperlink"/>
            <w:noProof/>
          </w:rPr>
          <w:t>TCI+ PILOTS: LOGIC MODEL</w:t>
        </w:r>
        <w:r w:rsidR="00090F81">
          <w:rPr>
            <w:noProof/>
            <w:webHidden/>
          </w:rPr>
          <w:tab/>
        </w:r>
        <w:r w:rsidR="00090F81">
          <w:rPr>
            <w:noProof/>
            <w:webHidden/>
          </w:rPr>
          <w:fldChar w:fldCharType="begin"/>
        </w:r>
        <w:r w:rsidR="00090F81">
          <w:rPr>
            <w:noProof/>
            <w:webHidden/>
          </w:rPr>
          <w:instrText xml:space="preserve"> PAGEREF _Toc28011452 \h </w:instrText>
        </w:r>
        <w:r w:rsidR="00090F81">
          <w:rPr>
            <w:noProof/>
            <w:webHidden/>
          </w:rPr>
        </w:r>
        <w:r w:rsidR="00090F81">
          <w:rPr>
            <w:noProof/>
            <w:webHidden/>
          </w:rPr>
          <w:fldChar w:fldCharType="separate"/>
        </w:r>
        <w:r w:rsidR="00DB3AD8">
          <w:rPr>
            <w:noProof/>
            <w:webHidden/>
          </w:rPr>
          <w:t>137</w:t>
        </w:r>
        <w:r w:rsidR="00090F81">
          <w:rPr>
            <w:noProof/>
            <w:webHidden/>
          </w:rPr>
          <w:fldChar w:fldCharType="end"/>
        </w:r>
      </w:hyperlink>
    </w:p>
    <w:p w14:paraId="55E1D5ED" w14:textId="7F84EB7C" w:rsidR="00090F81" w:rsidRDefault="00366D34">
      <w:pPr>
        <w:pStyle w:val="TOC2"/>
        <w:tabs>
          <w:tab w:val="right" w:leader="dot" w:pos="9350"/>
        </w:tabs>
        <w:rPr>
          <w:rFonts w:eastAsiaTheme="minorEastAsia"/>
          <w:noProof/>
        </w:rPr>
      </w:pPr>
      <w:hyperlink w:anchor="_Toc28011453" w:history="1">
        <w:r w:rsidR="00090F81" w:rsidRPr="00764536">
          <w:rPr>
            <w:rStyle w:val="Hyperlink"/>
            <w:noProof/>
          </w:rPr>
          <w:t>TCI+ PILOTS: RESOURCES</w:t>
        </w:r>
        <w:r w:rsidR="00090F81">
          <w:rPr>
            <w:noProof/>
            <w:webHidden/>
          </w:rPr>
          <w:tab/>
        </w:r>
        <w:r w:rsidR="00090F81">
          <w:rPr>
            <w:noProof/>
            <w:webHidden/>
          </w:rPr>
          <w:fldChar w:fldCharType="begin"/>
        </w:r>
        <w:r w:rsidR="00090F81">
          <w:rPr>
            <w:noProof/>
            <w:webHidden/>
          </w:rPr>
          <w:instrText xml:space="preserve"> PAGEREF _Toc28011453 \h </w:instrText>
        </w:r>
        <w:r w:rsidR="00090F81">
          <w:rPr>
            <w:noProof/>
            <w:webHidden/>
          </w:rPr>
        </w:r>
        <w:r w:rsidR="00090F81">
          <w:rPr>
            <w:noProof/>
            <w:webHidden/>
          </w:rPr>
          <w:fldChar w:fldCharType="separate"/>
        </w:r>
        <w:r w:rsidR="00DB3AD8">
          <w:rPr>
            <w:noProof/>
            <w:webHidden/>
          </w:rPr>
          <w:t>138</w:t>
        </w:r>
        <w:r w:rsidR="00090F81">
          <w:rPr>
            <w:noProof/>
            <w:webHidden/>
          </w:rPr>
          <w:fldChar w:fldCharType="end"/>
        </w:r>
      </w:hyperlink>
    </w:p>
    <w:p w14:paraId="53D8CC20" w14:textId="38E2AB85" w:rsidR="00090F81" w:rsidRDefault="00366D34">
      <w:pPr>
        <w:pStyle w:val="TOC2"/>
        <w:tabs>
          <w:tab w:val="right" w:leader="dot" w:pos="9350"/>
        </w:tabs>
        <w:rPr>
          <w:rFonts w:eastAsiaTheme="minorEastAsia"/>
          <w:noProof/>
        </w:rPr>
      </w:pPr>
      <w:hyperlink w:anchor="_Toc28011454" w:history="1">
        <w:r w:rsidR="00090F81" w:rsidRPr="00764536">
          <w:rPr>
            <w:rStyle w:val="Hyperlink"/>
            <w:noProof/>
          </w:rPr>
          <w:t>TCI+ PILOTS: PROGRESS DASHBOARDS: ACTIVITIES, OUTPUTS, TCI+ USAGE</w:t>
        </w:r>
        <w:r w:rsidR="00090F81">
          <w:rPr>
            <w:noProof/>
            <w:webHidden/>
          </w:rPr>
          <w:tab/>
        </w:r>
        <w:r w:rsidR="00090F81">
          <w:rPr>
            <w:noProof/>
            <w:webHidden/>
          </w:rPr>
          <w:fldChar w:fldCharType="begin"/>
        </w:r>
        <w:r w:rsidR="00090F81">
          <w:rPr>
            <w:noProof/>
            <w:webHidden/>
          </w:rPr>
          <w:instrText xml:space="preserve"> PAGEREF _Toc28011454 \h </w:instrText>
        </w:r>
        <w:r w:rsidR="00090F81">
          <w:rPr>
            <w:noProof/>
            <w:webHidden/>
          </w:rPr>
        </w:r>
        <w:r w:rsidR="00090F81">
          <w:rPr>
            <w:noProof/>
            <w:webHidden/>
          </w:rPr>
          <w:fldChar w:fldCharType="separate"/>
        </w:r>
        <w:r w:rsidR="00DB3AD8">
          <w:rPr>
            <w:noProof/>
            <w:webHidden/>
          </w:rPr>
          <w:t>139</w:t>
        </w:r>
        <w:r w:rsidR="00090F81">
          <w:rPr>
            <w:noProof/>
            <w:webHidden/>
          </w:rPr>
          <w:fldChar w:fldCharType="end"/>
        </w:r>
      </w:hyperlink>
    </w:p>
    <w:p w14:paraId="3F1BCF1A" w14:textId="68227AE3" w:rsidR="00090F81" w:rsidRDefault="00366D34">
      <w:pPr>
        <w:pStyle w:val="TOC2"/>
        <w:tabs>
          <w:tab w:val="right" w:leader="dot" w:pos="9350"/>
        </w:tabs>
        <w:rPr>
          <w:rFonts w:eastAsiaTheme="minorEastAsia"/>
          <w:noProof/>
        </w:rPr>
      </w:pPr>
      <w:hyperlink w:anchor="_Toc28011455" w:history="1">
        <w:r w:rsidR="00090F81" w:rsidRPr="00764536">
          <w:rPr>
            <w:rStyle w:val="Hyperlink"/>
            <w:noProof/>
          </w:rPr>
          <w:t>TCI+ PILOTS: PROGRESS NARRATIVE</w:t>
        </w:r>
        <w:r w:rsidR="00090F81">
          <w:rPr>
            <w:noProof/>
            <w:webHidden/>
          </w:rPr>
          <w:tab/>
        </w:r>
        <w:r w:rsidR="00090F81">
          <w:rPr>
            <w:noProof/>
            <w:webHidden/>
          </w:rPr>
          <w:fldChar w:fldCharType="begin"/>
        </w:r>
        <w:r w:rsidR="00090F81">
          <w:rPr>
            <w:noProof/>
            <w:webHidden/>
          </w:rPr>
          <w:instrText xml:space="preserve"> PAGEREF _Toc28011455 \h </w:instrText>
        </w:r>
        <w:r w:rsidR="00090F81">
          <w:rPr>
            <w:noProof/>
            <w:webHidden/>
          </w:rPr>
        </w:r>
        <w:r w:rsidR="00090F81">
          <w:rPr>
            <w:noProof/>
            <w:webHidden/>
          </w:rPr>
          <w:fldChar w:fldCharType="separate"/>
        </w:r>
        <w:r w:rsidR="00DB3AD8">
          <w:rPr>
            <w:noProof/>
            <w:webHidden/>
          </w:rPr>
          <w:t>146</w:t>
        </w:r>
        <w:r w:rsidR="00090F81">
          <w:rPr>
            <w:noProof/>
            <w:webHidden/>
          </w:rPr>
          <w:fldChar w:fldCharType="end"/>
        </w:r>
      </w:hyperlink>
    </w:p>
    <w:p w14:paraId="28E4EC5E" w14:textId="2EFD1D93" w:rsidR="00090F81" w:rsidRDefault="00366D34">
      <w:pPr>
        <w:pStyle w:val="TOC1"/>
        <w:tabs>
          <w:tab w:val="left" w:pos="440"/>
          <w:tab w:val="right" w:leader="dot" w:pos="9350"/>
        </w:tabs>
        <w:rPr>
          <w:rFonts w:eastAsiaTheme="minorEastAsia"/>
          <w:noProof/>
        </w:rPr>
      </w:pPr>
      <w:hyperlink w:anchor="_Toc28011456" w:history="1">
        <w:r w:rsidR="00090F81" w:rsidRPr="00764536">
          <w:rPr>
            <w:rStyle w:val="Hyperlink"/>
            <w:noProof/>
          </w:rPr>
          <w:t>I.</w:t>
        </w:r>
        <w:r w:rsidR="00090F81">
          <w:rPr>
            <w:rFonts w:eastAsiaTheme="minorEastAsia"/>
            <w:noProof/>
          </w:rPr>
          <w:tab/>
        </w:r>
        <w:r w:rsidR="00090F81" w:rsidRPr="00764536">
          <w:rPr>
            <w:rStyle w:val="Hyperlink"/>
            <w:noProof/>
          </w:rPr>
          <w:t>Peer Mentoring</w:t>
        </w:r>
        <w:r w:rsidR="00090F81">
          <w:rPr>
            <w:noProof/>
            <w:webHidden/>
          </w:rPr>
          <w:tab/>
        </w:r>
        <w:r w:rsidR="00090F81">
          <w:rPr>
            <w:noProof/>
            <w:webHidden/>
          </w:rPr>
          <w:fldChar w:fldCharType="begin"/>
        </w:r>
        <w:r w:rsidR="00090F81">
          <w:rPr>
            <w:noProof/>
            <w:webHidden/>
          </w:rPr>
          <w:instrText xml:space="preserve"> PAGEREF _Toc28011456 \h </w:instrText>
        </w:r>
        <w:r w:rsidR="00090F81">
          <w:rPr>
            <w:noProof/>
            <w:webHidden/>
          </w:rPr>
        </w:r>
        <w:r w:rsidR="00090F81">
          <w:rPr>
            <w:noProof/>
            <w:webHidden/>
          </w:rPr>
          <w:fldChar w:fldCharType="separate"/>
        </w:r>
        <w:r w:rsidR="00DB3AD8">
          <w:rPr>
            <w:noProof/>
            <w:webHidden/>
          </w:rPr>
          <w:t>150</w:t>
        </w:r>
        <w:r w:rsidR="00090F81">
          <w:rPr>
            <w:noProof/>
            <w:webHidden/>
          </w:rPr>
          <w:fldChar w:fldCharType="end"/>
        </w:r>
      </w:hyperlink>
    </w:p>
    <w:p w14:paraId="714C9668" w14:textId="0A639D2A" w:rsidR="00090F81" w:rsidRDefault="00366D34">
      <w:pPr>
        <w:pStyle w:val="TOC2"/>
        <w:tabs>
          <w:tab w:val="right" w:leader="dot" w:pos="9350"/>
        </w:tabs>
        <w:rPr>
          <w:rFonts w:eastAsiaTheme="minorEastAsia"/>
          <w:noProof/>
        </w:rPr>
      </w:pPr>
      <w:hyperlink w:anchor="_Toc28011457" w:history="1">
        <w:r w:rsidR="00090F81" w:rsidRPr="00764536">
          <w:rPr>
            <w:rStyle w:val="Hyperlink"/>
            <w:noProof/>
          </w:rPr>
          <w:t>Peer Mentoring – ITA Logic Model</w:t>
        </w:r>
        <w:r w:rsidR="00090F81">
          <w:rPr>
            <w:noProof/>
            <w:webHidden/>
          </w:rPr>
          <w:tab/>
        </w:r>
        <w:r w:rsidR="00090F81">
          <w:rPr>
            <w:noProof/>
            <w:webHidden/>
          </w:rPr>
          <w:fldChar w:fldCharType="begin"/>
        </w:r>
        <w:r w:rsidR="00090F81">
          <w:rPr>
            <w:noProof/>
            <w:webHidden/>
          </w:rPr>
          <w:instrText xml:space="preserve"> PAGEREF _Toc28011457 \h </w:instrText>
        </w:r>
        <w:r w:rsidR="00090F81">
          <w:rPr>
            <w:noProof/>
            <w:webHidden/>
          </w:rPr>
        </w:r>
        <w:r w:rsidR="00090F81">
          <w:rPr>
            <w:noProof/>
            <w:webHidden/>
          </w:rPr>
          <w:fldChar w:fldCharType="separate"/>
        </w:r>
        <w:r w:rsidR="00DB3AD8">
          <w:rPr>
            <w:noProof/>
            <w:webHidden/>
          </w:rPr>
          <w:t>151</w:t>
        </w:r>
        <w:r w:rsidR="00090F81">
          <w:rPr>
            <w:noProof/>
            <w:webHidden/>
          </w:rPr>
          <w:fldChar w:fldCharType="end"/>
        </w:r>
      </w:hyperlink>
    </w:p>
    <w:p w14:paraId="2232FFD4" w14:textId="19A04070" w:rsidR="00090F81" w:rsidRDefault="00366D34">
      <w:pPr>
        <w:pStyle w:val="TOC2"/>
        <w:tabs>
          <w:tab w:val="right" w:leader="dot" w:pos="9350"/>
        </w:tabs>
        <w:rPr>
          <w:rFonts w:eastAsiaTheme="minorEastAsia"/>
          <w:noProof/>
        </w:rPr>
      </w:pPr>
      <w:hyperlink w:anchor="_Toc28011458" w:history="1">
        <w:r w:rsidR="00090F81" w:rsidRPr="00764536">
          <w:rPr>
            <w:rStyle w:val="Hyperlink"/>
            <w:caps/>
            <w:noProof/>
          </w:rPr>
          <w:t>Peer Mentoring ACTIVITIES &amp; OUTPUTS PROGRESS DASHBOARDS</w:t>
        </w:r>
        <w:r w:rsidR="00090F81">
          <w:rPr>
            <w:noProof/>
            <w:webHidden/>
          </w:rPr>
          <w:tab/>
        </w:r>
        <w:r w:rsidR="00090F81">
          <w:rPr>
            <w:noProof/>
            <w:webHidden/>
          </w:rPr>
          <w:fldChar w:fldCharType="begin"/>
        </w:r>
        <w:r w:rsidR="00090F81">
          <w:rPr>
            <w:noProof/>
            <w:webHidden/>
          </w:rPr>
          <w:instrText xml:space="preserve"> PAGEREF _Toc28011458 \h </w:instrText>
        </w:r>
        <w:r w:rsidR="00090F81">
          <w:rPr>
            <w:noProof/>
            <w:webHidden/>
          </w:rPr>
        </w:r>
        <w:r w:rsidR="00090F81">
          <w:rPr>
            <w:noProof/>
            <w:webHidden/>
          </w:rPr>
          <w:fldChar w:fldCharType="separate"/>
        </w:r>
        <w:r w:rsidR="00DB3AD8">
          <w:rPr>
            <w:noProof/>
            <w:webHidden/>
          </w:rPr>
          <w:t>152</w:t>
        </w:r>
        <w:r w:rsidR="00090F81">
          <w:rPr>
            <w:noProof/>
            <w:webHidden/>
          </w:rPr>
          <w:fldChar w:fldCharType="end"/>
        </w:r>
      </w:hyperlink>
    </w:p>
    <w:p w14:paraId="198D3F29" w14:textId="02ADEFA9" w:rsidR="00090F81" w:rsidRDefault="00366D34">
      <w:pPr>
        <w:pStyle w:val="TOC2"/>
        <w:tabs>
          <w:tab w:val="right" w:leader="dot" w:pos="9350"/>
        </w:tabs>
        <w:rPr>
          <w:rFonts w:eastAsiaTheme="minorEastAsia"/>
          <w:noProof/>
        </w:rPr>
      </w:pPr>
      <w:hyperlink w:anchor="_Toc28011459" w:history="1">
        <w:r w:rsidR="00090F81" w:rsidRPr="00764536">
          <w:rPr>
            <w:rStyle w:val="Hyperlink"/>
            <w:caps/>
            <w:noProof/>
          </w:rPr>
          <w:t>Peer Mentoring: OUTCOMES PROGRESS DASHBOARDS</w:t>
        </w:r>
        <w:r w:rsidR="00090F81">
          <w:rPr>
            <w:noProof/>
            <w:webHidden/>
          </w:rPr>
          <w:tab/>
        </w:r>
        <w:r w:rsidR="00090F81">
          <w:rPr>
            <w:noProof/>
            <w:webHidden/>
          </w:rPr>
          <w:fldChar w:fldCharType="begin"/>
        </w:r>
        <w:r w:rsidR="00090F81">
          <w:rPr>
            <w:noProof/>
            <w:webHidden/>
          </w:rPr>
          <w:instrText xml:space="preserve"> PAGEREF _Toc28011459 \h </w:instrText>
        </w:r>
        <w:r w:rsidR="00090F81">
          <w:rPr>
            <w:noProof/>
            <w:webHidden/>
          </w:rPr>
        </w:r>
        <w:r w:rsidR="00090F81">
          <w:rPr>
            <w:noProof/>
            <w:webHidden/>
          </w:rPr>
          <w:fldChar w:fldCharType="separate"/>
        </w:r>
        <w:r w:rsidR="00DB3AD8">
          <w:rPr>
            <w:noProof/>
            <w:webHidden/>
          </w:rPr>
          <w:t>156</w:t>
        </w:r>
        <w:r w:rsidR="00090F81">
          <w:rPr>
            <w:noProof/>
            <w:webHidden/>
          </w:rPr>
          <w:fldChar w:fldCharType="end"/>
        </w:r>
      </w:hyperlink>
    </w:p>
    <w:p w14:paraId="5ABCC4E3" w14:textId="6F736DE0" w:rsidR="00090F81" w:rsidRDefault="00366D34">
      <w:pPr>
        <w:pStyle w:val="TOC2"/>
        <w:tabs>
          <w:tab w:val="right" w:leader="dot" w:pos="9350"/>
        </w:tabs>
        <w:rPr>
          <w:rFonts w:eastAsiaTheme="minorEastAsia"/>
          <w:noProof/>
        </w:rPr>
      </w:pPr>
      <w:hyperlink w:anchor="_Toc28011460" w:history="1">
        <w:r w:rsidR="00090F81" w:rsidRPr="00764536">
          <w:rPr>
            <w:rStyle w:val="Hyperlink"/>
            <w:noProof/>
          </w:rPr>
          <w:t>Peer Mentoring: PROFILE OF SUCCESS</w:t>
        </w:r>
        <w:r w:rsidR="00090F81">
          <w:rPr>
            <w:noProof/>
            <w:webHidden/>
          </w:rPr>
          <w:tab/>
        </w:r>
        <w:r w:rsidR="00090F81">
          <w:rPr>
            <w:noProof/>
            <w:webHidden/>
          </w:rPr>
          <w:fldChar w:fldCharType="begin"/>
        </w:r>
        <w:r w:rsidR="00090F81">
          <w:rPr>
            <w:noProof/>
            <w:webHidden/>
          </w:rPr>
          <w:instrText xml:space="preserve"> PAGEREF _Toc28011460 \h </w:instrText>
        </w:r>
        <w:r w:rsidR="00090F81">
          <w:rPr>
            <w:noProof/>
            <w:webHidden/>
          </w:rPr>
        </w:r>
        <w:r w:rsidR="00090F81">
          <w:rPr>
            <w:noProof/>
            <w:webHidden/>
          </w:rPr>
          <w:fldChar w:fldCharType="separate"/>
        </w:r>
        <w:r w:rsidR="00DB3AD8">
          <w:rPr>
            <w:noProof/>
            <w:webHidden/>
          </w:rPr>
          <w:t>157</w:t>
        </w:r>
        <w:r w:rsidR="00090F81">
          <w:rPr>
            <w:noProof/>
            <w:webHidden/>
          </w:rPr>
          <w:fldChar w:fldCharType="end"/>
        </w:r>
      </w:hyperlink>
    </w:p>
    <w:p w14:paraId="16DA0CC3" w14:textId="70B5E132" w:rsidR="00090F81" w:rsidRDefault="00366D34">
      <w:pPr>
        <w:pStyle w:val="TOC2"/>
        <w:tabs>
          <w:tab w:val="right" w:leader="dot" w:pos="9350"/>
        </w:tabs>
        <w:rPr>
          <w:rFonts w:eastAsiaTheme="minorEastAsia"/>
          <w:noProof/>
        </w:rPr>
      </w:pPr>
      <w:hyperlink w:anchor="_Toc28011461" w:history="1">
        <w:r w:rsidR="00090F81" w:rsidRPr="00764536">
          <w:rPr>
            <w:rStyle w:val="Hyperlink"/>
            <w:caps/>
            <w:noProof/>
          </w:rPr>
          <w:t>Peer Mentoring: PROGRESS NARRATIVE</w:t>
        </w:r>
        <w:r w:rsidR="00090F81">
          <w:rPr>
            <w:noProof/>
            <w:webHidden/>
          </w:rPr>
          <w:tab/>
        </w:r>
        <w:r w:rsidR="00090F81">
          <w:rPr>
            <w:noProof/>
            <w:webHidden/>
          </w:rPr>
          <w:fldChar w:fldCharType="begin"/>
        </w:r>
        <w:r w:rsidR="00090F81">
          <w:rPr>
            <w:noProof/>
            <w:webHidden/>
          </w:rPr>
          <w:instrText xml:space="preserve"> PAGEREF _Toc28011461 \h </w:instrText>
        </w:r>
        <w:r w:rsidR="00090F81">
          <w:rPr>
            <w:noProof/>
            <w:webHidden/>
          </w:rPr>
        </w:r>
        <w:r w:rsidR="00090F81">
          <w:rPr>
            <w:noProof/>
            <w:webHidden/>
          </w:rPr>
          <w:fldChar w:fldCharType="separate"/>
        </w:r>
        <w:r w:rsidR="00DB3AD8">
          <w:rPr>
            <w:noProof/>
            <w:webHidden/>
          </w:rPr>
          <w:t>158</w:t>
        </w:r>
        <w:r w:rsidR="00090F81">
          <w:rPr>
            <w:noProof/>
            <w:webHidden/>
          </w:rPr>
          <w:fldChar w:fldCharType="end"/>
        </w:r>
      </w:hyperlink>
    </w:p>
    <w:p w14:paraId="46285594" w14:textId="21567508" w:rsidR="00090F81" w:rsidRDefault="00366D34">
      <w:pPr>
        <w:pStyle w:val="TOC1"/>
        <w:tabs>
          <w:tab w:val="left" w:pos="440"/>
          <w:tab w:val="right" w:leader="dot" w:pos="9350"/>
        </w:tabs>
        <w:rPr>
          <w:rFonts w:eastAsiaTheme="minorEastAsia"/>
          <w:noProof/>
        </w:rPr>
      </w:pPr>
      <w:hyperlink w:anchor="_Toc28011462" w:history="1">
        <w:r w:rsidR="00090F81" w:rsidRPr="00764536">
          <w:rPr>
            <w:rStyle w:val="Hyperlink"/>
            <w:noProof/>
          </w:rPr>
          <w:t>J.</w:t>
        </w:r>
        <w:r w:rsidR="00090F81">
          <w:rPr>
            <w:rFonts w:eastAsiaTheme="minorEastAsia"/>
            <w:noProof/>
          </w:rPr>
          <w:tab/>
        </w:r>
        <w:r w:rsidR="00090F81" w:rsidRPr="00764536">
          <w:rPr>
            <w:rStyle w:val="Hyperlink"/>
            <w:noProof/>
          </w:rPr>
          <w:t>Business Engagement</w:t>
        </w:r>
        <w:r w:rsidR="00090F81">
          <w:rPr>
            <w:noProof/>
            <w:webHidden/>
          </w:rPr>
          <w:tab/>
        </w:r>
        <w:r w:rsidR="00090F81">
          <w:rPr>
            <w:noProof/>
            <w:webHidden/>
          </w:rPr>
          <w:fldChar w:fldCharType="begin"/>
        </w:r>
        <w:r w:rsidR="00090F81">
          <w:rPr>
            <w:noProof/>
            <w:webHidden/>
          </w:rPr>
          <w:instrText xml:space="preserve"> PAGEREF _Toc28011462 \h </w:instrText>
        </w:r>
        <w:r w:rsidR="00090F81">
          <w:rPr>
            <w:noProof/>
            <w:webHidden/>
          </w:rPr>
        </w:r>
        <w:r w:rsidR="00090F81">
          <w:rPr>
            <w:noProof/>
            <w:webHidden/>
          </w:rPr>
          <w:fldChar w:fldCharType="separate"/>
        </w:r>
        <w:r w:rsidR="00DB3AD8">
          <w:rPr>
            <w:noProof/>
            <w:webHidden/>
          </w:rPr>
          <w:t>161</w:t>
        </w:r>
        <w:r w:rsidR="00090F81">
          <w:rPr>
            <w:noProof/>
            <w:webHidden/>
          </w:rPr>
          <w:fldChar w:fldCharType="end"/>
        </w:r>
      </w:hyperlink>
    </w:p>
    <w:p w14:paraId="1467E636" w14:textId="4FD05B42" w:rsidR="00090F81" w:rsidRDefault="00366D34">
      <w:pPr>
        <w:pStyle w:val="TOC2"/>
        <w:tabs>
          <w:tab w:val="right" w:leader="dot" w:pos="9350"/>
        </w:tabs>
        <w:rPr>
          <w:rFonts w:eastAsiaTheme="minorEastAsia"/>
          <w:noProof/>
        </w:rPr>
      </w:pPr>
      <w:hyperlink w:anchor="_Toc28011463" w:history="1">
        <w:r w:rsidR="00090F81" w:rsidRPr="00764536">
          <w:rPr>
            <w:rStyle w:val="Hyperlink"/>
            <w:noProof/>
          </w:rPr>
          <w:t>BUSINESS ENGAGEMENT – ITA Logic Model</w:t>
        </w:r>
        <w:r w:rsidR="00090F81">
          <w:rPr>
            <w:noProof/>
            <w:webHidden/>
          </w:rPr>
          <w:tab/>
        </w:r>
        <w:r w:rsidR="00090F81">
          <w:rPr>
            <w:noProof/>
            <w:webHidden/>
          </w:rPr>
          <w:fldChar w:fldCharType="begin"/>
        </w:r>
        <w:r w:rsidR="00090F81">
          <w:rPr>
            <w:noProof/>
            <w:webHidden/>
          </w:rPr>
          <w:instrText xml:space="preserve"> PAGEREF _Toc28011463 \h </w:instrText>
        </w:r>
        <w:r w:rsidR="00090F81">
          <w:rPr>
            <w:noProof/>
            <w:webHidden/>
          </w:rPr>
        </w:r>
        <w:r w:rsidR="00090F81">
          <w:rPr>
            <w:noProof/>
            <w:webHidden/>
          </w:rPr>
          <w:fldChar w:fldCharType="separate"/>
        </w:r>
        <w:r w:rsidR="00DB3AD8">
          <w:rPr>
            <w:noProof/>
            <w:webHidden/>
          </w:rPr>
          <w:t>162</w:t>
        </w:r>
        <w:r w:rsidR="00090F81">
          <w:rPr>
            <w:noProof/>
            <w:webHidden/>
          </w:rPr>
          <w:fldChar w:fldCharType="end"/>
        </w:r>
      </w:hyperlink>
    </w:p>
    <w:p w14:paraId="70F7581E" w14:textId="36D88D5D" w:rsidR="00090F81" w:rsidRDefault="00366D34">
      <w:pPr>
        <w:pStyle w:val="TOC2"/>
        <w:tabs>
          <w:tab w:val="right" w:leader="dot" w:pos="9350"/>
        </w:tabs>
        <w:rPr>
          <w:rFonts w:eastAsiaTheme="minorEastAsia"/>
          <w:noProof/>
        </w:rPr>
      </w:pPr>
      <w:hyperlink w:anchor="_Toc28011464" w:history="1">
        <w:r w:rsidR="00090F81" w:rsidRPr="00764536">
          <w:rPr>
            <w:rStyle w:val="Hyperlink"/>
            <w:noProof/>
          </w:rPr>
          <w:t>BUSINESS ENGAGEMENT: ACTIVITIES &amp; OUTPUTS  PROGRESS DASHBOARDS</w:t>
        </w:r>
        <w:r w:rsidR="00090F81">
          <w:rPr>
            <w:noProof/>
            <w:webHidden/>
          </w:rPr>
          <w:tab/>
        </w:r>
        <w:r w:rsidR="00090F81">
          <w:rPr>
            <w:noProof/>
            <w:webHidden/>
          </w:rPr>
          <w:fldChar w:fldCharType="begin"/>
        </w:r>
        <w:r w:rsidR="00090F81">
          <w:rPr>
            <w:noProof/>
            <w:webHidden/>
          </w:rPr>
          <w:instrText xml:space="preserve"> PAGEREF _Toc28011464 \h </w:instrText>
        </w:r>
        <w:r w:rsidR="00090F81">
          <w:rPr>
            <w:noProof/>
            <w:webHidden/>
          </w:rPr>
        </w:r>
        <w:r w:rsidR="00090F81">
          <w:rPr>
            <w:noProof/>
            <w:webHidden/>
          </w:rPr>
          <w:fldChar w:fldCharType="separate"/>
        </w:r>
        <w:r w:rsidR="00DB3AD8">
          <w:rPr>
            <w:noProof/>
            <w:webHidden/>
          </w:rPr>
          <w:t>163</w:t>
        </w:r>
        <w:r w:rsidR="00090F81">
          <w:rPr>
            <w:noProof/>
            <w:webHidden/>
          </w:rPr>
          <w:fldChar w:fldCharType="end"/>
        </w:r>
      </w:hyperlink>
    </w:p>
    <w:p w14:paraId="5BFC6112" w14:textId="0FECB047" w:rsidR="00090F81" w:rsidRDefault="00366D34">
      <w:pPr>
        <w:pStyle w:val="TOC2"/>
        <w:tabs>
          <w:tab w:val="right" w:leader="dot" w:pos="9350"/>
        </w:tabs>
        <w:rPr>
          <w:rFonts w:eastAsiaTheme="minorEastAsia"/>
          <w:noProof/>
        </w:rPr>
      </w:pPr>
      <w:hyperlink w:anchor="_Toc28011465" w:history="1">
        <w:r w:rsidR="00090F81" w:rsidRPr="00764536">
          <w:rPr>
            <w:rStyle w:val="Hyperlink"/>
            <w:noProof/>
          </w:rPr>
          <w:t>BUSINESS ENGAGEMENT:  OUTCOMES PROGRESS DASHBOARDS</w:t>
        </w:r>
        <w:r w:rsidR="00090F81">
          <w:rPr>
            <w:noProof/>
            <w:webHidden/>
          </w:rPr>
          <w:tab/>
        </w:r>
        <w:r w:rsidR="00090F81">
          <w:rPr>
            <w:noProof/>
            <w:webHidden/>
          </w:rPr>
          <w:fldChar w:fldCharType="begin"/>
        </w:r>
        <w:r w:rsidR="00090F81">
          <w:rPr>
            <w:noProof/>
            <w:webHidden/>
          </w:rPr>
          <w:instrText xml:space="preserve"> PAGEREF _Toc28011465 \h </w:instrText>
        </w:r>
        <w:r w:rsidR="00090F81">
          <w:rPr>
            <w:noProof/>
            <w:webHidden/>
          </w:rPr>
        </w:r>
        <w:r w:rsidR="00090F81">
          <w:rPr>
            <w:noProof/>
            <w:webHidden/>
          </w:rPr>
          <w:fldChar w:fldCharType="separate"/>
        </w:r>
        <w:r w:rsidR="00DB3AD8">
          <w:rPr>
            <w:noProof/>
            <w:webHidden/>
          </w:rPr>
          <w:t>168</w:t>
        </w:r>
        <w:r w:rsidR="00090F81">
          <w:rPr>
            <w:noProof/>
            <w:webHidden/>
          </w:rPr>
          <w:fldChar w:fldCharType="end"/>
        </w:r>
      </w:hyperlink>
    </w:p>
    <w:p w14:paraId="7C24D836" w14:textId="7678E84C" w:rsidR="00090F81" w:rsidRDefault="00366D34">
      <w:pPr>
        <w:pStyle w:val="TOC2"/>
        <w:tabs>
          <w:tab w:val="right" w:leader="dot" w:pos="9350"/>
        </w:tabs>
        <w:rPr>
          <w:rFonts w:eastAsiaTheme="minorEastAsia"/>
          <w:noProof/>
        </w:rPr>
      </w:pPr>
      <w:hyperlink w:anchor="_Toc28011466" w:history="1">
        <w:r w:rsidR="00090F81" w:rsidRPr="00764536">
          <w:rPr>
            <w:rStyle w:val="Hyperlink"/>
            <w:noProof/>
          </w:rPr>
          <w:t>BUSINESS ENGAGEMENT ITAs: RESOURCES</w:t>
        </w:r>
        <w:r w:rsidR="00090F81">
          <w:rPr>
            <w:noProof/>
            <w:webHidden/>
          </w:rPr>
          <w:tab/>
        </w:r>
        <w:r w:rsidR="00090F81">
          <w:rPr>
            <w:noProof/>
            <w:webHidden/>
          </w:rPr>
          <w:fldChar w:fldCharType="begin"/>
        </w:r>
        <w:r w:rsidR="00090F81">
          <w:rPr>
            <w:noProof/>
            <w:webHidden/>
          </w:rPr>
          <w:instrText xml:space="preserve"> PAGEREF _Toc28011466 \h </w:instrText>
        </w:r>
        <w:r w:rsidR="00090F81">
          <w:rPr>
            <w:noProof/>
            <w:webHidden/>
          </w:rPr>
        </w:r>
        <w:r w:rsidR="00090F81">
          <w:rPr>
            <w:noProof/>
            <w:webHidden/>
          </w:rPr>
          <w:fldChar w:fldCharType="separate"/>
        </w:r>
        <w:r w:rsidR="00DB3AD8">
          <w:rPr>
            <w:noProof/>
            <w:webHidden/>
          </w:rPr>
          <w:t>169</w:t>
        </w:r>
        <w:r w:rsidR="00090F81">
          <w:rPr>
            <w:noProof/>
            <w:webHidden/>
          </w:rPr>
          <w:fldChar w:fldCharType="end"/>
        </w:r>
      </w:hyperlink>
    </w:p>
    <w:p w14:paraId="2C87864E" w14:textId="7254B7DB" w:rsidR="00090F81" w:rsidRDefault="00366D34">
      <w:pPr>
        <w:pStyle w:val="TOC2"/>
        <w:tabs>
          <w:tab w:val="right" w:leader="dot" w:pos="9350"/>
        </w:tabs>
        <w:rPr>
          <w:rFonts w:eastAsiaTheme="minorEastAsia"/>
          <w:noProof/>
        </w:rPr>
      </w:pPr>
      <w:hyperlink w:anchor="_Toc28011467" w:history="1">
        <w:r w:rsidR="00090F81" w:rsidRPr="00764536">
          <w:rPr>
            <w:rStyle w:val="Hyperlink"/>
            <w:noProof/>
          </w:rPr>
          <w:t>BUSINESS ENGAGEMENT ITAs: PROGRESS NARRATIVE</w:t>
        </w:r>
        <w:r w:rsidR="00090F81">
          <w:rPr>
            <w:noProof/>
            <w:webHidden/>
          </w:rPr>
          <w:tab/>
        </w:r>
        <w:r w:rsidR="00090F81">
          <w:rPr>
            <w:noProof/>
            <w:webHidden/>
          </w:rPr>
          <w:fldChar w:fldCharType="begin"/>
        </w:r>
        <w:r w:rsidR="00090F81">
          <w:rPr>
            <w:noProof/>
            <w:webHidden/>
          </w:rPr>
          <w:instrText xml:space="preserve"> PAGEREF _Toc28011467 \h </w:instrText>
        </w:r>
        <w:r w:rsidR="00090F81">
          <w:rPr>
            <w:noProof/>
            <w:webHidden/>
          </w:rPr>
        </w:r>
        <w:r w:rsidR="00090F81">
          <w:rPr>
            <w:noProof/>
            <w:webHidden/>
          </w:rPr>
          <w:fldChar w:fldCharType="separate"/>
        </w:r>
        <w:r w:rsidR="00DB3AD8">
          <w:rPr>
            <w:noProof/>
            <w:webHidden/>
          </w:rPr>
          <w:t>171</w:t>
        </w:r>
        <w:r w:rsidR="00090F81">
          <w:rPr>
            <w:noProof/>
            <w:webHidden/>
          </w:rPr>
          <w:fldChar w:fldCharType="end"/>
        </w:r>
      </w:hyperlink>
    </w:p>
    <w:p w14:paraId="66382D62" w14:textId="1E1AE1B1" w:rsidR="00090F81" w:rsidRDefault="00366D34">
      <w:pPr>
        <w:pStyle w:val="TOC1"/>
        <w:tabs>
          <w:tab w:val="right" w:leader="dot" w:pos="9350"/>
        </w:tabs>
        <w:rPr>
          <w:rFonts w:eastAsiaTheme="minorEastAsia"/>
          <w:noProof/>
        </w:rPr>
      </w:pPr>
      <w:hyperlink w:anchor="_Toc28011468" w:history="1">
        <w:r w:rsidR="00090F81" w:rsidRPr="00764536">
          <w:rPr>
            <w:rStyle w:val="Hyperlink"/>
            <w:noProof/>
          </w:rPr>
          <w:t>L. APPRENTICESHIP</w:t>
        </w:r>
        <w:r w:rsidR="00090F81">
          <w:rPr>
            <w:noProof/>
            <w:webHidden/>
          </w:rPr>
          <w:tab/>
        </w:r>
        <w:r w:rsidR="00090F81">
          <w:rPr>
            <w:noProof/>
            <w:webHidden/>
          </w:rPr>
          <w:fldChar w:fldCharType="begin"/>
        </w:r>
        <w:r w:rsidR="00090F81">
          <w:rPr>
            <w:noProof/>
            <w:webHidden/>
          </w:rPr>
          <w:instrText xml:space="preserve"> PAGEREF _Toc28011468 \h </w:instrText>
        </w:r>
        <w:r w:rsidR="00090F81">
          <w:rPr>
            <w:noProof/>
            <w:webHidden/>
          </w:rPr>
        </w:r>
        <w:r w:rsidR="00090F81">
          <w:rPr>
            <w:noProof/>
            <w:webHidden/>
          </w:rPr>
          <w:fldChar w:fldCharType="separate"/>
        </w:r>
        <w:r w:rsidR="00DB3AD8">
          <w:rPr>
            <w:noProof/>
            <w:webHidden/>
          </w:rPr>
          <w:t>173</w:t>
        </w:r>
        <w:r w:rsidR="00090F81">
          <w:rPr>
            <w:noProof/>
            <w:webHidden/>
          </w:rPr>
          <w:fldChar w:fldCharType="end"/>
        </w:r>
      </w:hyperlink>
    </w:p>
    <w:p w14:paraId="1431FAA5" w14:textId="29B56CD0" w:rsidR="00090F81" w:rsidRDefault="00366D34">
      <w:pPr>
        <w:pStyle w:val="TOC2"/>
        <w:tabs>
          <w:tab w:val="right" w:leader="dot" w:pos="9350"/>
        </w:tabs>
        <w:rPr>
          <w:rFonts w:eastAsiaTheme="minorEastAsia"/>
          <w:noProof/>
        </w:rPr>
      </w:pPr>
      <w:hyperlink w:anchor="_Toc28011469" w:history="1">
        <w:r w:rsidR="00090F81" w:rsidRPr="00764536">
          <w:rPr>
            <w:rStyle w:val="Hyperlink"/>
            <w:noProof/>
          </w:rPr>
          <w:t>APPRENTICESHIP – ITA Logic Model</w:t>
        </w:r>
        <w:r w:rsidR="00090F81">
          <w:rPr>
            <w:noProof/>
            <w:webHidden/>
          </w:rPr>
          <w:tab/>
        </w:r>
        <w:r w:rsidR="00090F81">
          <w:rPr>
            <w:noProof/>
            <w:webHidden/>
          </w:rPr>
          <w:fldChar w:fldCharType="begin"/>
        </w:r>
        <w:r w:rsidR="00090F81">
          <w:rPr>
            <w:noProof/>
            <w:webHidden/>
          </w:rPr>
          <w:instrText xml:space="preserve"> PAGEREF _Toc28011469 \h </w:instrText>
        </w:r>
        <w:r w:rsidR="00090F81">
          <w:rPr>
            <w:noProof/>
            <w:webHidden/>
          </w:rPr>
        </w:r>
        <w:r w:rsidR="00090F81">
          <w:rPr>
            <w:noProof/>
            <w:webHidden/>
          </w:rPr>
          <w:fldChar w:fldCharType="separate"/>
        </w:r>
        <w:r w:rsidR="00DB3AD8">
          <w:rPr>
            <w:noProof/>
            <w:webHidden/>
          </w:rPr>
          <w:t>174</w:t>
        </w:r>
        <w:r w:rsidR="00090F81">
          <w:rPr>
            <w:noProof/>
            <w:webHidden/>
          </w:rPr>
          <w:fldChar w:fldCharType="end"/>
        </w:r>
      </w:hyperlink>
    </w:p>
    <w:p w14:paraId="5C6950F3" w14:textId="461748D3" w:rsidR="00090F81" w:rsidRDefault="00366D34">
      <w:pPr>
        <w:pStyle w:val="TOC2"/>
        <w:tabs>
          <w:tab w:val="right" w:leader="dot" w:pos="9350"/>
        </w:tabs>
        <w:rPr>
          <w:rFonts w:eastAsiaTheme="minorEastAsia"/>
          <w:noProof/>
        </w:rPr>
      </w:pPr>
      <w:hyperlink w:anchor="_Toc28011470" w:history="1">
        <w:r w:rsidR="00090F81" w:rsidRPr="00764536">
          <w:rPr>
            <w:rStyle w:val="Hyperlink"/>
            <w:noProof/>
          </w:rPr>
          <w:t>APPRENTICESHIP: ACTIVITIES &amp; OUTPUTS  PROGRESS DASHBOARDS</w:t>
        </w:r>
        <w:r w:rsidR="00090F81">
          <w:rPr>
            <w:noProof/>
            <w:webHidden/>
          </w:rPr>
          <w:tab/>
        </w:r>
        <w:r w:rsidR="00090F81">
          <w:rPr>
            <w:noProof/>
            <w:webHidden/>
          </w:rPr>
          <w:fldChar w:fldCharType="begin"/>
        </w:r>
        <w:r w:rsidR="00090F81">
          <w:rPr>
            <w:noProof/>
            <w:webHidden/>
          </w:rPr>
          <w:instrText xml:space="preserve"> PAGEREF _Toc28011470 \h </w:instrText>
        </w:r>
        <w:r w:rsidR="00090F81">
          <w:rPr>
            <w:noProof/>
            <w:webHidden/>
          </w:rPr>
        </w:r>
        <w:r w:rsidR="00090F81">
          <w:rPr>
            <w:noProof/>
            <w:webHidden/>
          </w:rPr>
          <w:fldChar w:fldCharType="separate"/>
        </w:r>
        <w:r w:rsidR="00DB3AD8">
          <w:rPr>
            <w:noProof/>
            <w:webHidden/>
          </w:rPr>
          <w:t>175</w:t>
        </w:r>
        <w:r w:rsidR="00090F81">
          <w:rPr>
            <w:noProof/>
            <w:webHidden/>
          </w:rPr>
          <w:fldChar w:fldCharType="end"/>
        </w:r>
      </w:hyperlink>
    </w:p>
    <w:p w14:paraId="4F535F48" w14:textId="03F9F9C9" w:rsidR="00090F81" w:rsidRDefault="00366D34">
      <w:pPr>
        <w:pStyle w:val="TOC2"/>
        <w:tabs>
          <w:tab w:val="right" w:leader="dot" w:pos="9350"/>
        </w:tabs>
        <w:rPr>
          <w:rFonts w:eastAsiaTheme="minorEastAsia"/>
          <w:noProof/>
        </w:rPr>
      </w:pPr>
      <w:hyperlink w:anchor="_Toc28011471" w:history="1">
        <w:r w:rsidR="00090F81" w:rsidRPr="00764536">
          <w:rPr>
            <w:rStyle w:val="Hyperlink"/>
            <w:noProof/>
          </w:rPr>
          <w:t>APPRENTICESHIP:  OUTCOMES PROGRESS DASHBOARDS</w:t>
        </w:r>
        <w:r w:rsidR="00090F81">
          <w:rPr>
            <w:noProof/>
            <w:webHidden/>
          </w:rPr>
          <w:tab/>
        </w:r>
        <w:r w:rsidR="00090F81">
          <w:rPr>
            <w:noProof/>
            <w:webHidden/>
          </w:rPr>
          <w:fldChar w:fldCharType="begin"/>
        </w:r>
        <w:r w:rsidR="00090F81">
          <w:rPr>
            <w:noProof/>
            <w:webHidden/>
          </w:rPr>
          <w:instrText xml:space="preserve"> PAGEREF _Toc28011471 \h </w:instrText>
        </w:r>
        <w:r w:rsidR="00090F81">
          <w:rPr>
            <w:noProof/>
            <w:webHidden/>
          </w:rPr>
        </w:r>
        <w:r w:rsidR="00090F81">
          <w:rPr>
            <w:noProof/>
            <w:webHidden/>
          </w:rPr>
          <w:fldChar w:fldCharType="separate"/>
        </w:r>
        <w:r w:rsidR="00DB3AD8">
          <w:rPr>
            <w:noProof/>
            <w:webHidden/>
          </w:rPr>
          <w:t>177</w:t>
        </w:r>
        <w:r w:rsidR="00090F81">
          <w:rPr>
            <w:noProof/>
            <w:webHidden/>
          </w:rPr>
          <w:fldChar w:fldCharType="end"/>
        </w:r>
      </w:hyperlink>
    </w:p>
    <w:p w14:paraId="4C7B214D" w14:textId="49667420" w:rsidR="00090F81" w:rsidRDefault="00366D34">
      <w:pPr>
        <w:pStyle w:val="TOC2"/>
        <w:tabs>
          <w:tab w:val="right" w:leader="dot" w:pos="9350"/>
        </w:tabs>
        <w:rPr>
          <w:rFonts w:eastAsiaTheme="minorEastAsia"/>
          <w:noProof/>
        </w:rPr>
      </w:pPr>
      <w:hyperlink w:anchor="_Toc28011472" w:history="1">
        <w:r w:rsidR="00090F81" w:rsidRPr="00764536">
          <w:rPr>
            <w:rStyle w:val="Hyperlink"/>
            <w:noProof/>
          </w:rPr>
          <w:t>APPRENTICESHIP ITAs: RESOURCES</w:t>
        </w:r>
        <w:r w:rsidR="00090F81">
          <w:rPr>
            <w:noProof/>
            <w:webHidden/>
          </w:rPr>
          <w:tab/>
        </w:r>
        <w:r w:rsidR="00090F81">
          <w:rPr>
            <w:noProof/>
            <w:webHidden/>
          </w:rPr>
          <w:fldChar w:fldCharType="begin"/>
        </w:r>
        <w:r w:rsidR="00090F81">
          <w:rPr>
            <w:noProof/>
            <w:webHidden/>
          </w:rPr>
          <w:instrText xml:space="preserve"> PAGEREF _Toc28011472 \h </w:instrText>
        </w:r>
        <w:r w:rsidR="00090F81">
          <w:rPr>
            <w:noProof/>
            <w:webHidden/>
          </w:rPr>
        </w:r>
        <w:r w:rsidR="00090F81">
          <w:rPr>
            <w:noProof/>
            <w:webHidden/>
          </w:rPr>
          <w:fldChar w:fldCharType="separate"/>
        </w:r>
        <w:r w:rsidR="00DB3AD8">
          <w:rPr>
            <w:noProof/>
            <w:webHidden/>
          </w:rPr>
          <w:t>178</w:t>
        </w:r>
        <w:r w:rsidR="00090F81">
          <w:rPr>
            <w:noProof/>
            <w:webHidden/>
          </w:rPr>
          <w:fldChar w:fldCharType="end"/>
        </w:r>
      </w:hyperlink>
    </w:p>
    <w:p w14:paraId="2AB96024" w14:textId="60DB433C" w:rsidR="00090F81" w:rsidRDefault="00366D34">
      <w:pPr>
        <w:pStyle w:val="TOC2"/>
        <w:tabs>
          <w:tab w:val="right" w:leader="dot" w:pos="9350"/>
        </w:tabs>
        <w:rPr>
          <w:rFonts w:eastAsiaTheme="minorEastAsia"/>
          <w:noProof/>
        </w:rPr>
      </w:pPr>
      <w:hyperlink w:anchor="_Toc28011473" w:history="1">
        <w:r w:rsidR="00090F81" w:rsidRPr="00764536">
          <w:rPr>
            <w:rStyle w:val="Hyperlink"/>
            <w:noProof/>
          </w:rPr>
          <w:t>APPRENTICESHIP ITAs: PROGRESS NARRATIVE</w:t>
        </w:r>
        <w:r w:rsidR="00090F81">
          <w:rPr>
            <w:noProof/>
            <w:webHidden/>
          </w:rPr>
          <w:tab/>
        </w:r>
        <w:r w:rsidR="00090F81">
          <w:rPr>
            <w:noProof/>
            <w:webHidden/>
          </w:rPr>
          <w:fldChar w:fldCharType="begin"/>
        </w:r>
        <w:r w:rsidR="00090F81">
          <w:rPr>
            <w:noProof/>
            <w:webHidden/>
          </w:rPr>
          <w:instrText xml:space="preserve"> PAGEREF _Toc28011473 \h </w:instrText>
        </w:r>
        <w:r w:rsidR="00090F81">
          <w:rPr>
            <w:noProof/>
            <w:webHidden/>
          </w:rPr>
        </w:r>
        <w:r w:rsidR="00090F81">
          <w:rPr>
            <w:noProof/>
            <w:webHidden/>
          </w:rPr>
          <w:fldChar w:fldCharType="separate"/>
        </w:r>
        <w:r w:rsidR="00DB3AD8">
          <w:rPr>
            <w:noProof/>
            <w:webHidden/>
          </w:rPr>
          <w:t>179</w:t>
        </w:r>
        <w:r w:rsidR="00090F81">
          <w:rPr>
            <w:noProof/>
            <w:webHidden/>
          </w:rPr>
          <w:fldChar w:fldCharType="end"/>
        </w:r>
      </w:hyperlink>
    </w:p>
    <w:p w14:paraId="24A9FE66" w14:textId="1E2C0062" w:rsidR="00090F81" w:rsidRDefault="00366D34">
      <w:pPr>
        <w:pStyle w:val="TOC1"/>
        <w:tabs>
          <w:tab w:val="right" w:leader="dot" w:pos="9350"/>
        </w:tabs>
        <w:rPr>
          <w:rFonts w:eastAsiaTheme="minorEastAsia"/>
          <w:noProof/>
        </w:rPr>
      </w:pPr>
      <w:hyperlink w:anchor="_Toc28011474" w:history="1">
        <w:r w:rsidR="00090F81" w:rsidRPr="00764536">
          <w:rPr>
            <w:rStyle w:val="Hyperlink"/>
            <w:noProof/>
          </w:rPr>
          <w:t>Summary and Recommendations</w:t>
        </w:r>
        <w:r w:rsidR="00090F81">
          <w:rPr>
            <w:noProof/>
            <w:webHidden/>
          </w:rPr>
          <w:tab/>
        </w:r>
        <w:r w:rsidR="00090F81">
          <w:rPr>
            <w:noProof/>
            <w:webHidden/>
          </w:rPr>
          <w:fldChar w:fldCharType="begin"/>
        </w:r>
        <w:r w:rsidR="00090F81">
          <w:rPr>
            <w:noProof/>
            <w:webHidden/>
          </w:rPr>
          <w:instrText xml:space="preserve"> PAGEREF _Toc28011474 \h </w:instrText>
        </w:r>
        <w:r w:rsidR="00090F81">
          <w:rPr>
            <w:noProof/>
            <w:webHidden/>
          </w:rPr>
        </w:r>
        <w:r w:rsidR="00090F81">
          <w:rPr>
            <w:noProof/>
            <w:webHidden/>
          </w:rPr>
          <w:fldChar w:fldCharType="separate"/>
        </w:r>
        <w:r w:rsidR="00DB3AD8">
          <w:rPr>
            <w:noProof/>
            <w:webHidden/>
          </w:rPr>
          <w:t>182</w:t>
        </w:r>
        <w:r w:rsidR="00090F81">
          <w:rPr>
            <w:noProof/>
            <w:webHidden/>
          </w:rPr>
          <w:fldChar w:fldCharType="end"/>
        </w:r>
      </w:hyperlink>
    </w:p>
    <w:p w14:paraId="2891672C" w14:textId="3368AF1C" w:rsidR="00090F81" w:rsidRDefault="00366D34">
      <w:pPr>
        <w:pStyle w:val="TOC2"/>
        <w:tabs>
          <w:tab w:val="right" w:leader="dot" w:pos="9350"/>
        </w:tabs>
        <w:rPr>
          <w:rFonts w:eastAsiaTheme="minorEastAsia"/>
          <w:noProof/>
        </w:rPr>
      </w:pPr>
      <w:hyperlink w:anchor="_Toc28011475" w:history="1">
        <w:r w:rsidR="00090F81" w:rsidRPr="00764536">
          <w:rPr>
            <w:rStyle w:val="Hyperlink"/>
            <w:noProof/>
          </w:rPr>
          <w:t>SUMMARY</w:t>
        </w:r>
        <w:r w:rsidR="00090F81">
          <w:rPr>
            <w:noProof/>
            <w:webHidden/>
          </w:rPr>
          <w:tab/>
        </w:r>
        <w:r w:rsidR="00090F81">
          <w:rPr>
            <w:noProof/>
            <w:webHidden/>
          </w:rPr>
          <w:fldChar w:fldCharType="begin"/>
        </w:r>
        <w:r w:rsidR="00090F81">
          <w:rPr>
            <w:noProof/>
            <w:webHidden/>
          </w:rPr>
          <w:instrText xml:space="preserve"> PAGEREF _Toc28011475 \h </w:instrText>
        </w:r>
        <w:r w:rsidR="00090F81">
          <w:rPr>
            <w:noProof/>
            <w:webHidden/>
          </w:rPr>
        </w:r>
        <w:r w:rsidR="00090F81">
          <w:rPr>
            <w:noProof/>
            <w:webHidden/>
          </w:rPr>
          <w:fldChar w:fldCharType="separate"/>
        </w:r>
        <w:r w:rsidR="00DB3AD8">
          <w:rPr>
            <w:noProof/>
            <w:webHidden/>
          </w:rPr>
          <w:t>182</w:t>
        </w:r>
        <w:r w:rsidR="00090F81">
          <w:rPr>
            <w:noProof/>
            <w:webHidden/>
          </w:rPr>
          <w:fldChar w:fldCharType="end"/>
        </w:r>
      </w:hyperlink>
    </w:p>
    <w:p w14:paraId="6D2FCDD6" w14:textId="2BC1F1EC" w:rsidR="00090F81" w:rsidRDefault="00366D34">
      <w:pPr>
        <w:pStyle w:val="TOC2"/>
        <w:tabs>
          <w:tab w:val="right" w:leader="dot" w:pos="9350"/>
        </w:tabs>
        <w:rPr>
          <w:rFonts w:eastAsiaTheme="minorEastAsia"/>
          <w:noProof/>
        </w:rPr>
      </w:pPr>
      <w:hyperlink w:anchor="_Toc28011476" w:history="1">
        <w:r w:rsidR="00090F81" w:rsidRPr="00764536">
          <w:rPr>
            <w:rStyle w:val="Hyperlink"/>
            <w:noProof/>
          </w:rPr>
          <w:t>RECOMMENDATIONS</w:t>
        </w:r>
        <w:r w:rsidR="00090F81">
          <w:rPr>
            <w:noProof/>
            <w:webHidden/>
          </w:rPr>
          <w:tab/>
        </w:r>
        <w:r w:rsidR="00090F81">
          <w:rPr>
            <w:noProof/>
            <w:webHidden/>
          </w:rPr>
          <w:fldChar w:fldCharType="begin"/>
        </w:r>
        <w:r w:rsidR="00090F81">
          <w:rPr>
            <w:noProof/>
            <w:webHidden/>
          </w:rPr>
          <w:instrText xml:space="preserve"> PAGEREF _Toc28011476 \h </w:instrText>
        </w:r>
        <w:r w:rsidR="00090F81">
          <w:rPr>
            <w:noProof/>
            <w:webHidden/>
          </w:rPr>
        </w:r>
        <w:r w:rsidR="00090F81">
          <w:rPr>
            <w:noProof/>
            <w:webHidden/>
          </w:rPr>
          <w:fldChar w:fldCharType="separate"/>
        </w:r>
        <w:r w:rsidR="00DB3AD8">
          <w:rPr>
            <w:noProof/>
            <w:webHidden/>
          </w:rPr>
          <w:t>183</w:t>
        </w:r>
        <w:r w:rsidR="00090F81">
          <w:rPr>
            <w:noProof/>
            <w:webHidden/>
          </w:rPr>
          <w:fldChar w:fldCharType="end"/>
        </w:r>
      </w:hyperlink>
    </w:p>
    <w:p w14:paraId="5DF87630" w14:textId="7D0F8C8E" w:rsidR="00090F81" w:rsidRDefault="00366D34">
      <w:pPr>
        <w:pStyle w:val="TOC1"/>
        <w:tabs>
          <w:tab w:val="right" w:leader="dot" w:pos="9350"/>
        </w:tabs>
        <w:rPr>
          <w:rFonts w:eastAsiaTheme="minorEastAsia"/>
          <w:noProof/>
        </w:rPr>
      </w:pPr>
      <w:hyperlink w:anchor="_Toc28011477" w:history="1">
        <w:r w:rsidR="00090F81" w:rsidRPr="00764536">
          <w:rPr>
            <w:rStyle w:val="Hyperlink"/>
            <w:noProof/>
          </w:rPr>
          <w:t>Appendix A ITA Activity Progress by State</w:t>
        </w:r>
        <w:r w:rsidR="00090F81">
          <w:rPr>
            <w:noProof/>
            <w:webHidden/>
          </w:rPr>
          <w:tab/>
        </w:r>
        <w:r w:rsidR="00090F81">
          <w:rPr>
            <w:noProof/>
            <w:webHidden/>
          </w:rPr>
          <w:fldChar w:fldCharType="begin"/>
        </w:r>
        <w:r w:rsidR="00090F81">
          <w:rPr>
            <w:noProof/>
            <w:webHidden/>
          </w:rPr>
          <w:instrText xml:space="preserve"> PAGEREF _Toc28011477 \h </w:instrText>
        </w:r>
        <w:r w:rsidR="00090F81">
          <w:rPr>
            <w:noProof/>
            <w:webHidden/>
          </w:rPr>
        </w:r>
        <w:r w:rsidR="00090F81">
          <w:rPr>
            <w:noProof/>
            <w:webHidden/>
          </w:rPr>
          <w:fldChar w:fldCharType="separate"/>
        </w:r>
        <w:r w:rsidR="00DB3AD8">
          <w:rPr>
            <w:noProof/>
            <w:webHidden/>
          </w:rPr>
          <w:t>1</w:t>
        </w:r>
        <w:r w:rsidR="00090F81">
          <w:rPr>
            <w:noProof/>
            <w:webHidden/>
          </w:rPr>
          <w:fldChar w:fldCharType="end"/>
        </w:r>
      </w:hyperlink>
    </w:p>
    <w:p w14:paraId="0FAA8F12" w14:textId="2A302B5C" w:rsidR="00090F81" w:rsidRDefault="00366D34">
      <w:pPr>
        <w:pStyle w:val="TOC1"/>
        <w:tabs>
          <w:tab w:val="right" w:leader="dot" w:pos="9350"/>
        </w:tabs>
        <w:rPr>
          <w:rFonts w:eastAsiaTheme="minorEastAsia"/>
          <w:noProof/>
        </w:rPr>
      </w:pPr>
      <w:hyperlink w:anchor="_Toc28011528" w:history="1">
        <w:r w:rsidR="00090F81" w:rsidRPr="00764536">
          <w:rPr>
            <w:rStyle w:val="Hyperlink"/>
            <w:noProof/>
          </w:rPr>
          <w:t>Appendix B Customized Employment Pilot Data Report</w:t>
        </w:r>
        <w:r w:rsidR="00090F81">
          <w:rPr>
            <w:noProof/>
            <w:webHidden/>
          </w:rPr>
          <w:tab/>
        </w:r>
        <w:r w:rsidR="00090F81">
          <w:rPr>
            <w:noProof/>
            <w:webHidden/>
          </w:rPr>
          <w:fldChar w:fldCharType="begin"/>
        </w:r>
        <w:r w:rsidR="00090F81">
          <w:rPr>
            <w:noProof/>
            <w:webHidden/>
          </w:rPr>
          <w:instrText xml:space="preserve"> PAGEREF _Toc28011528 \h </w:instrText>
        </w:r>
        <w:r w:rsidR="00090F81">
          <w:rPr>
            <w:noProof/>
            <w:webHidden/>
          </w:rPr>
        </w:r>
        <w:r w:rsidR="00090F81">
          <w:rPr>
            <w:noProof/>
            <w:webHidden/>
          </w:rPr>
          <w:fldChar w:fldCharType="separate"/>
        </w:r>
        <w:r w:rsidR="00DB3AD8">
          <w:rPr>
            <w:noProof/>
            <w:webHidden/>
          </w:rPr>
          <w:t>16</w:t>
        </w:r>
        <w:r w:rsidR="00090F81">
          <w:rPr>
            <w:noProof/>
            <w:webHidden/>
          </w:rPr>
          <w:fldChar w:fldCharType="end"/>
        </w:r>
      </w:hyperlink>
    </w:p>
    <w:p w14:paraId="7AC3B887" w14:textId="206C7577" w:rsidR="00C22384" w:rsidRDefault="00C22384" w:rsidP="00B10F7D">
      <w:r>
        <w:fldChar w:fldCharType="end"/>
      </w:r>
    </w:p>
    <w:p w14:paraId="106A26BC" w14:textId="77777777" w:rsidR="00DE792B" w:rsidRDefault="00DE792B" w:rsidP="00B10F7D">
      <w:pPr>
        <w:sectPr w:rsidR="00DE792B" w:rsidSect="00D27D05">
          <w:headerReference w:type="even" r:id="rId9"/>
          <w:headerReference w:type="default" r:id="rId10"/>
          <w:footerReference w:type="even" r:id="rId11"/>
          <w:footerReference w:type="default" r:id="rId12"/>
          <w:headerReference w:type="first" r:id="rId13"/>
          <w:footerReference w:type="first" r:id="rId14"/>
          <w:pgSz w:w="12240" w:h="15840" w:code="1"/>
          <w:pgMar w:top="1440" w:right="1440" w:bottom="1440" w:left="1440" w:header="720" w:footer="720" w:gutter="0"/>
          <w:pgBorders w:offsetFrom="page">
            <w:top w:val="thinThickSmallGap" w:sz="24" w:space="24" w:color="2F5496" w:themeColor="accent1" w:themeShade="BF"/>
            <w:left w:val="thinThickSmallGap" w:sz="24" w:space="24" w:color="2F5496" w:themeColor="accent1" w:themeShade="BF"/>
            <w:bottom w:val="thickThinSmallGap" w:sz="24" w:space="24" w:color="2F5496" w:themeColor="accent1" w:themeShade="BF"/>
            <w:right w:val="thickThinSmallGap" w:sz="24" w:space="24" w:color="2F5496" w:themeColor="accent1" w:themeShade="BF"/>
          </w:pgBorders>
          <w:pgNumType w:start="1"/>
          <w:cols w:space="720"/>
          <w:docGrid w:linePitch="360"/>
        </w:sectPr>
      </w:pPr>
    </w:p>
    <w:p w14:paraId="568FA890" w14:textId="77777777" w:rsidR="00DE792B" w:rsidRPr="00645A0B" w:rsidRDefault="00DE792B" w:rsidP="00DE792B">
      <w:pPr>
        <w:pStyle w:val="Heading1"/>
        <w:numPr>
          <w:ilvl w:val="0"/>
          <w:numId w:val="0"/>
        </w:numPr>
        <w:pBdr>
          <w:bottom w:val="single" w:sz="18" w:space="1" w:color="auto"/>
        </w:pBdr>
        <w:shd w:val="clear" w:color="auto" w:fill="auto"/>
      </w:pPr>
      <w:bookmarkStart w:id="11" w:name="_Toc11010556"/>
      <w:bookmarkStart w:id="12" w:name="_Toc28011408"/>
      <w:r>
        <w:lastRenderedPageBreak/>
        <w:t>Introduction</w:t>
      </w:r>
      <w:bookmarkEnd w:id="11"/>
      <w:bookmarkEnd w:id="12"/>
    </w:p>
    <w:p w14:paraId="301AF062" w14:textId="77777777" w:rsidR="003E54B4" w:rsidRPr="000701B6" w:rsidRDefault="003E54B4" w:rsidP="003E54B4">
      <w:pPr>
        <w:spacing w:before="240"/>
        <w:ind w:firstLine="720"/>
      </w:pPr>
      <w:r w:rsidRPr="000701B6">
        <w:t>The Workforce Innovation Technical Assistance Center (WINTAC) provides training and technical assistance (TA) to State Vocational Rehabilitation Agencies (SVRAs) and related agencies and rehabilitation professionals and service providers to help them develop the skills and processes needed to meet the requirements of the Workforce Innovation and Opportunity Act (WIOA) in five key areas: (1) Pre-Employment Transition Services, (2) Section 511, (3) Competitive, Integrated Employment, (4) Integration of VR into the Workforce Development System, and (5) Common Performance Measures, along with “pilot” projects in Customized Employment, SARA, The Career Index Plus, Peer Mentoring and Apprenticeships.</w:t>
      </w:r>
    </w:p>
    <w:p w14:paraId="1484BE9D" w14:textId="77777777" w:rsidR="003E54B4" w:rsidRDefault="003E54B4" w:rsidP="003E54B4">
      <w:pPr>
        <w:ind w:firstLine="720"/>
      </w:pPr>
      <w:r w:rsidRPr="000701B6">
        <w:t xml:space="preserve">This report summarizes progress </w:t>
      </w:r>
      <w:r>
        <w:t xml:space="preserve">achieved </w:t>
      </w:r>
      <w:r w:rsidRPr="000701B6">
        <w:t>as of the end of the fourth quarter of the fourth year</w:t>
      </w:r>
      <w:r w:rsidRPr="005B26B7">
        <w:t xml:space="preserve"> </w:t>
      </w:r>
      <w:r w:rsidRPr="000701B6">
        <w:t>pr</w:t>
      </w:r>
      <w:r>
        <w:t>esent</w:t>
      </w:r>
      <w:r w:rsidRPr="000701B6">
        <w:t xml:space="preserve">ing data and </w:t>
      </w:r>
      <w:r>
        <w:t>findings that have</w:t>
      </w:r>
      <w:r w:rsidRPr="000701B6">
        <w:t xml:space="preserve"> emerg</w:t>
      </w:r>
      <w:r>
        <w:t>ed</w:t>
      </w:r>
      <w:r w:rsidRPr="000701B6">
        <w:t xml:space="preserve"> since the mid-year report</w:t>
      </w:r>
      <w:r>
        <w:t>. T</w:t>
      </w:r>
      <w:r w:rsidRPr="000701B6">
        <w:t xml:space="preserve">he Quarterly Update Spreadsheet </w:t>
      </w:r>
      <w:r>
        <w:t>records and quantifies</w:t>
      </w:r>
      <w:r w:rsidRPr="000701B6">
        <w:t xml:space="preserve"> progress and evaluation worksheets completed by TA Teams</w:t>
      </w:r>
      <w:r>
        <w:t xml:space="preserve"> document the stories behind the data. The repor</w:t>
      </w:r>
      <w:r w:rsidRPr="000701B6">
        <w:t xml:space="preserve">t focuses on </w:t>
      </w:r>
      <w:r>
        <w:t>the progress and impact of</w:t>
      </w:r>
      <w:r w:rsidRPr="000701B6">
        <w:t xml:space="preserve"> activities and outcomes</w:t>
      </w:r>
      <w:r>
        <w:t xml:space="preserve"> as well as the evolution of WINTAC’s </w:t>
      </w:r>
      <w:r w:rsidRPr="000701B6">
        <w:t xml:space="preserve">intensive technical assistance (TA) </w:t>
      </w:r>
      <w:r>
        <w:t xml:space="preserve">scope and the TA </w:t>
      </w:r>
      <w:r w:rsidRPr="000701B6">
        <w:t>model</w:t>
      </w:r>
      <w:r>
        <w:t xml:space="preserve"> itself</w:t>
      </w:r>
      <w:r w:rsidRPr="000701B6">
        <w:t>.</w:t>
      </w:r>
    </w:p>
    <w:p w14:paraId="43914CCD" w14:textId="08BECEB3" w:rsidR="003E54B4" w:rsidRDefault="003E54B4" w:rsidP="003E54B4">
      <w:pPr>
        <w:ind w:firstLine="720"/>
      </w:pPr>
      <w:r w:rsidRPr="000701B6">
        <w:t>The below charts illustrate the progress of all intensive TA activities</w:t>
      </w:r>
      <w:r>
        <w:t xml:space="preserve"> that have been articulated in agreements and logic models</w:t>
      </w:r>
      <w:r w:rsidRPr="000701B6">
        <w:t xml:space="preserve">. Over half are completed, another 10% are 75-90% complete, and 24% more are well under way. With </w:t>
      </w:r>
      <w:r>
        <w:t>one</w:t>
      </w:r>
      <w:r w:rsidRPr="000701B6">
        <w:t xml:space="preserve"> year of TA </w:t>
      </w:r>
      <w:r>
        <w:t>remaining in this project</w:t>
      </w:r>
      <w:r w:rsidRPr="000701B6">
        <w:t>, nearly two thirds of intensive TA activities are complete or nearing completion, with only 16% of activities not yet started.</w:t>
      </w:r>
      <w:r>
        <w:t xml:space="preserve"> </w:t>
      </w:r>
      <w:r w:rsidR="00D7686B">
        <w:t xml:space="preserve">Outputs have corresponding levels of completion – not quite a 1:1 correspondence.  </w:t>
      </w:r>
      <w:r w:rsidR="00243E49">
        <w:t xml:space="preserve">Despite most ITAAs still being in a relatively “early” phase (under 4-5 years), the attainment of outcomes is impressive with </w:t>
      </w:r>
      <w:r w:rsidR="0061628A">
        <w:t xml:space="preserve">half (51%) 75% or more complete.  </w:t>
      </w:r>
      <w:r>
        <w:t>Details of this progress are discussed in the body of this report, with state-by-state data charted in Appendix A.</w:t>
      </w:r>
    </w:p>
    <w:p w14:paraId="383C1E0E" w14:textId="77777777" w:rsidR="003E54B4" w:rsidRPr="000701B6" w:rsidRDefault="003E54B4" w:rsidP="003E54B4">
      <w:pPr>
        <w:ind w:firstLine="720"/>
      </w:pPr>
      <w:r>
        <w:rPr>
          <w:b/>
          <w:i/>
        </w:rPr>
        <w:t>Service and Systems Impact</w:t>
      </w:r>
      <w:r>
        <w:rPr>
          <w:b/>
        </w:rPr>
        <w:t xml:space="preserve"> </w:t>
      </w:r>
      <w:r w:rsidRPr="000701B6">
        <w:t xml:space="preserve">Across the varied subject matter areas, the nature of impact evidencing itself </w:t>
      </w:r>
      <w:r>
        <w:t>continues to</w:t>
      </w:r>
      <w:r w:rsidRPr="000701B6">
        <w:t xml:space="preserve"> relate to substantial systems change including changes to operating structures, policies, procedures, and mechanisms for interaction with partners, clients, and information systems. In addition, the impacts reported here begin to trend more toward strengthening state systems’ capacities to measure, expand on and sustain achieved gains heading into Year Five. </w:t>
      </w:r>
      <w:r>
        <w:t>T</w:t>
      </w:r>
      <w:r w:rsidRPr="000701B6">
        <w:t xml:space="preserve">here is even more compelling evidence that agencies are no longer operating in isolation. Clients are receiving services at earlier points in time and </w:t>
      </w:r>
      <w:r>
        <w:t>benefitting from</w:t>
      </w:r>
      <w:r w:rsidRPr="000701B6">
        <w:t xml:space="preserve"> </w:t>
      </w:r>
      <w:r>
        <w:t xml:space="preserve">longer and more seamless </w:t>
      </w:r>
      <w:r w:rsidRPr="000701B6">
        <w:t xml:space="preserve">follow-up when served by more than one agency, </w:t>
      </w:r>
      <w:r>
        <w:t>with</w:t>
      </w:r>
      <w:r w:rsidRPr="000701B6">
        <w:t xml:space="preserve"> greater expertise </w:t>
      </w:r>
      <w:r>
        <w:t xml:space="preserve">and resources </w:t>
      </w:r>
      <w:r w:rsidRPr="000701B6">
        <w:t xml:space="preserve">being shared to </w:t>
      </w:r>
      <w:r>
        <w:t>achieve</w:t>
      </w:r>
      <w:r w:rsidRPr="000701B6">
        <w:t xml:space="preserve"> client goals.</w:t>
      </w:r>
    </w:p>
    <w:p w14:paraId="5DAF3482" w14:textId="77777777" w:rsidR="00DE792B" w:rsidRDefault="00DE792B" w:rsidP="00DE792B">
      <w:pPr>
        <w:spacing w:after="120" w:line="240" w:lineRule="auto"/>
      </w:pPr>
      <w:r>
        <w:rPr>
          <w:noProof/>
          <w:lang w:eastAsia="ko-KR"/>
        </w:rPr>
        <w:lastRenderedPageBreak/>
        <w:drawing>
          <wp:inline distT="0" distB="0" distL="0" distR="0" wp14:anchorId="7DE1EE33" wp14:editId="73F663D9">
            <wp:extent cx="5943600" cy="2638425"/>
            <wp:effectExtent l="0" t="0" r="0" b="9525"/>
            <wp:docPr id="19" name="Chart 19" descr="Intensive TA progress all activities, 52% completed 100%, 3% completed 90%, 7% completed 75%, 9% completed 50%, 15% completed 25%, 16^ not started">
              <a:extLst xmlns:a="http://schemas.openxmlformats.org/drawingml/2006/main">
                <a:ext uri="{FF2B5EF4-FFF2-40B4-BE49-F238E27FC236}">
                  <a16:creationId xmlns:a16="http://schemas.microsoft.com/office/drawing/2014/main" id="{4E382E33-EBCC-41B8-B765-2A57F584F6F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257E425C" w14:textId="77777777" w:rsidR="00DE792B" w:rsidRDefault="00DE792B" w:rsidP="00DE792B"/>
    <w:p w14:paraId="77C482CF" w14:textId="2BCA07F5" w:rsidR="00DE792B" w:rsidRDefault="00DE792B" w:rsidP="00DE792B">
      <w:r>
        <w:rPr>
          <w:noProof/>
          <w:lang w:eastAsia="ko-KR"/>
        </w:rPr>
        <w:drawing>
          <wp:inline distT="0" distB="0" distL="0" distR="0" wp14:anchorId="36B2CE56" wp14:editId="678FDE0A">
            <wp:extent cx="5943600" cy="2450465"/>
            <wp:effectExtent l="0" t="0" r="12700" b="13335"/>
            <wp:docPr id="20" name="Chart 20" descr="Intensive TA progress all activities 52% completed, 34% in progress, 16% Not started">
              <a:extLst xmlns:a="http://schemas.openxmlformats.org/drawingml/2006/main">
                <a:ext uri="{FF2B5EF4-FFF2-40B4-BE49-F238E27FC236}">
                  <a16:creationId xmlns:a16="http://schemas.microsoft.com/office/drawing/2014/main" id="{0E533A94-E72D-4F52-8D06-85C976A91C2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00A01986" w14:textId="18FFE327" w:rsidR="00CB61BB" w:rsidRDefault="00CB61BB" w:rsidP="00DE792B"/>
    <w:p w14:paraId="2BBA0EDC" w14:textId="43B601F7" w:rsidR="00CB61BB" w:rsidRDefault="00CB61BB" w:rsidP="00DE792B">
      <w:r>
        <w:rPr>
          <w:noProof/>
          <w:lang w:eastAsia="ko-KR"/>
        </w:rPr>
        <w:lastRenderedPageBreak/>
        <w:drawing>
          <wp:inline distT="0" distB="0" distL="0" distR="0" wp14:anchorId="31F6B12A" wp14:editId="1ABF6309">
            <wp:extent cx="5943600" cy="2409825"/>
            <wp:effectExtent l="0" t="0" r="0" b="9525"/>
            <wp:docPr id="79" name="Chart 79" descr="Intensive TA Outputs progress all activities showing 50% completed 100%, 3% completed 9%, 6% completed 75%, 8% completed 50%, 15% completed 25%, and 18% Not started.">
              <a:extLst xmlns:a="http://schemas.openxmlformats.org/drawingml/2006/main">
                <a:ext uri="{FF2B5EF4-FFF2-40B4-BE49-F238E27FC236}">
                  <a16:creationId xmlns:a16="http://schemas.microsoft.com/office/drawing/2014/main" id="{4E0A2E3F-6365-4061-8C3B-7DE746F3E0A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38764369" w14:textId="7456B56E" w:rsidR="000143D7" w:rsidRDefault="000143D7" w:rsidP="00DE792B">
      <w:r>
        <w:rPr>
          <w:noProof/>
          <w:lang w:eastAsia="ko-KR"/>
        </w:rPr>
        <w:drawing>
          <wp:inline distT="0" distB="0" distL="0" distR="0" wp14:anchorId="3D7B306D" wp14:editId="23C71AAB">
            <wp:extent cx="5943600" cy="2450465"/>
            <wp:effectExtent l="0" t="0" r="0" b="6985"/>
            <wp:docPr id="224" name="Chart 224" descr="Intensive TA Outputs progress all activities showing 50% completed 100%, 32% In progress and 18% Not started.">
              <a:extLst xmlns:a="http://schemas.openxmlformats.org/drawingml/2006/main">
                <a:ext uri="{FF2B5EF4-FFF2-40B4-BE49-F238E27FC236}">
                  <a16:creationId xmlns:a16="http://schemas.microsoft.com/office/drawing/2014/main" id="{91566B5D-8E33-48B9-B1C9-641AF6E66EF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67FAA824" w14:textId="2856D782" w:rsidR="00CB61BB" w:rsidRDefault="00CB61BB" w:rsidP="00DE792B"/>
    <w:p w14:paraId="09D2E86D" w14:textId="330CFEE9" w:rsidR="00CB61BB" w:rsidRDefault="00CB61BB" w:rsidP="00DE792B">
      <w:r>
        <w:rPr>
          <w:noProof/>
          <w:lang w:eastAsia="ko-KR"/>
        </w:rPr>
        <w:drawing>
          <wp:inline distT="0" distB="0" distL="0" distR="0" wp14:anchorId="3EAEEB51" wp14:editId="54FB626A">
            <wp:extent cx="5943600" cy="2409825"/>
            <wp:effectExtent l="0" t="0" r="0" b="9525"/>
            <wp:docPr id="81" name="Chart 81" descr="Intensive TA Outcomes progress all activities showing 39% completed 100%, 3% completed 9%, 9% completed 75%, 10% completed 50%, 113% completed 25%, and 27% Not started.">
              <a:extLst xmlns:a="http://schemas.openxmlformats.org/drawingml/2006/main">
                <a:ext uri="{FF2B5EF4-FFF2-40B4-BE49-F238E27FC236}">
                  <a16:creationId xmlns:a16="http://schemas.microsoft.com/office/drawing/2014/main" id="{553F5AA0-792C-480A-AD20-0D92CB46D50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r w:rsidR="00CC78E2">
        <w:tab/>
      </w:r>
      <w:r w:rsidR="00CC78E2">
        <w:tab/>
      </w:r>
      <w:r w:rsidR="00CC78E2">
        <w:tab/>
      </w:r>
      <w:r w:rsidR="00CC78E2">
        <w:tab/>
      </w:r>
      <w:r w:rsidR="00CC78E2">
        <w:tab/>
      </w:r>
      <w:r w:rsidR="00CC78E2">
        <w:tab/>
      </w:r>
      <w:r w:rsidR="00CC78E2">
        <w:tab/>
      </w:r>
      <w:r w:rsidR="00CC78E2">
        <w:tab/>
      </w:r>
      <w:r w:rsidR="00CC78E2">
        <w:tab/>
      </w:r>
      <w:r w:rsidR="00CC78E2">
        <w:tab/>
      </w:r>
    </w:p>
    <w:p w14:paraId="3F49323A" w14:textId="069E9552" w:rsidR="008F5E6D" w:rsidRDefault="008F5E6D" w:rsidP="00DE792B">
      <w:r>
        <w:rPr>
          <w:noProof/>
          <w:lang w:eastAsia="ko-KR"/>
        </w:rPr>
        <w:lastRenderedPageBreak/>
        <w:drawing>
          <wp:inline distT="0" distB="0" distL="0" distR="0" wp14:anchorId="0CD3278F" wp14:editId="0180474C">
            <wp:extent cx="5943600" cy="2450465"/>
            <wp:effectExtent l="0" t="0" r="0" b="6985"/>
            <wp:docPr id="82" name="Chart 82" descr="Intensive TA Outcomes progress all activities showing 39% completed 100%, 34% In progress, and 27% Not started.">
              <a:extLst xmlns:a="http://schemas.openxmlformats.org/drawingml/2006/main">
                <a:ext uri="{FF2B5EF4-FFF2-40B4-BE49-F238E27FC236}">
                  <a16:creationId xmlns:a16="http://schemas.microsoft.com/office/drawing/2014/main" id="{1F0664AA-C684-4FAF-B200-35E5688938E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041ECDAD" w14:textId="77777777" w:rsidR="003E54B4" w:rsidRDefault="00DE792B" w:rsidP="003E54B4">
      <w:r>
        <w:tab/>
      </w:r>
      <w:r w:rsidR="003E54B4" w:rsidRPr="000701B6">
        <w:t xml:space="preserve">The report also looks at the impact of new or changing needs and resources in the VR community on </w:t>
      </w:r>
      <w:r w:rsidR="003E54B4">
        <w:t xml:space="preserve">the scope of </w:t>
      </w:r>
      <w:r w:rsidR="003E54B4" w:rsidRPr="000701B6">
        <w:t>WINTAC’s technical assistance</w:t>
      </w:r>
      <w:r w:rsidR="003E54B4">
        <w:t xml:space="preserve"> and the TA delivery</w:t>
      </w:r>
      <w:r w:rsidR="003E54B4" w:rsidRPr="000701B6">
        <w:t xml:space="preserve"> model</w:t>
      </w:r>
      <w:r w:rsidR="003E54B4">
        <w:t xml:space="preserve"> itself</w:t>
      </w:r>
      <w:r w:rsidR="003E54B4" w:rsidRPr="000701B6">
        <w:t xml:space="preserve">. </w:t>
      </w:r>
      <w:r w:rsidR="003E54B4">
        <w:t>Topic areas have been added to WINTAC’s scope of work, or subdivided to create new areas or pilot projects that have taken on lives of their own. The TA</w:t>
      </w:r>
      <w:r w:rsidR="003E54B4" w:rsidRPr="000701B6">
        <w:t xml:space="preserve"> model has evolved to address more serious and complex issues that require skilled, nimble and nuanced responses. WINTAC’s creativity and experience in TA design, structure, financing, delivery and evaluation have contributed new principles, practices and tools to the technical assistance field in general; for example, elevating collaboration to an art form, changing the traditional relationship between TA/training provider and recipient (not to mention between TA provider and funder), and driving the national conversation on ways to move the needle on long-standing challenges in the workforce system.</w:t>
      </w:r>
    </w:p>
    <w:p w14:paraId="1C337A27" w14:textId="456BE069" w:rsidR="00DE792B" w:rsidRDefault="003E54B4" w:rsidP="00E10879">
      <w:r>
        <w:tab/>
        <w:t xml:space="preserve">Area-by-area highlights of progress and impacts are captured in the following chapters. </w:t>
      </w:r>
    </w:p>
    <w:p w14:paraId="631DD14A" w14:textId="77777777" w:rsidR="00755285" w:rsidRDefault="00755285" w:rsidP="00B10F7D"/>
    <w:p w14:paraId="76F6CC0B" w14:textId="65A41746" w:rsidR="00DE792B" w:rsidRDefault="00DE792B" w:rsidP="00B10F7D">
      <w:pPr>
        <w:sectPr w:rsidR="00DE792B" w:rsidSect="00D27D05">
          <w:footerReference w:type="default" r:id="rId21"/>
          <w:pgSz w:w="12240" w:h="15840" w:code="1"/>
          <w:pgMar w:top="1440" w:right="1440" w:bottom="1440" w:left="1440" w:header="720" w:footer="720" w:gutter="0"/>
          <w:pgBorders w:offsetFrom="page">
            <w:top w:val="thinThickSmallGap" w:sz="24" w:space="24" w:color="2F5496" w:themeColor="accent1" w:themeShade="BF"/>
            <w:left w:val="thinThickSmallGap" w:sz="24" w:space="24" w:color="2F5496" w:themeColor="accent1" w:themeShade="BF"/>
            <w:bottom w:val="thickThinSmallGap" w:sz="24" w:space="24" w:color="2F5496" w:themeColor="accent1" w:themeShade="BF"/>
            <w:right w:val="thickThinSmallGap" w:sz="24" w:space="24" w:color="2F5496" w:themeColor="accent1" w:themeShade="BF"/>
          </w:pgBorders>
          <w:pgNumType w:chapStyle="1"/>
          <w:cols w:space="720"/>
          <w:docGrid w:linePitch="360"/>
        </w:sectPr>
      </w:pPr>
    </w:p>
    <w:p w14:paraId="1C785AF0" w14:textId="02EBB066" w:rsidR="00755285" w:rsidRPr="00755285" w:rsidRDefault="00755285" w:rsidP="00755285">
      <w:pPr>
        <w:pStyle w:val="Heading1"/>
        <w:numPr>
          <w:ilvl w:val="0"/>
          <w:numId w:val="58"/>
        </w:numPr>
        <w:pBdr>
          <w:bottom w:val="single" w:sz="18" w:space="1" w:color="auto"/>
        </w:pBdr>
        <w:shd w:val="clear" w:color="auto" w:fill="auto"/>
        <w:rPr>
          <w:caps w:val="0"/>
          <w:szCs w:val="52"/>
        </w:rPr>
      </w:pPr>
      <w:bookmarkStart w:id="13" w:name="_Toc28011409"/>
      <w:r w:rsidRPr="00755285">
        <w:rPr>
          <w:caps w:val="0"/>
          <w:szCs w:val="52"/>
        </w:rPr>
        <w:lastRenderedPageBreak/>
        <w:t>P</w:t>
      </w:r>
      <w:r>
        <w:rPr>
          <w:caps w:val="0"/>
          <w:szCs w:val="52"/>
        </w:rPr>
        <w:t>r</w:t>
      </w:r>
      <w:r w:rsidRPr="00755285">
        <w:rPr>
          <w:caps w:val="0"/>
          <w:szCs w:val="52"/>
        </w:rPr>
        <w:t>e -Employment Transition Services</w:t>
      </w:r>
      <w:bookmarkEnd w:id="13"/>
    </w:p>
    <w:p w14:paraId="5C7AB92D" w14:textId="77777777" w:rsidR="0071173A" w:rsidRDefault="0071173A" w:rsidP="0071173A">
      <w:pPr>
        <w:ind w:left="-450"/>
        <w:rPr>
          <w:noProof/>
        </w:rPr>
      </w:pPr>
      <w:r>
        <w:rPr>
          <w:noProof/>
          <w:lang w:eastAsia="ko-KR"/>
        </w:rPr>
        <w:drawing>
          <wp:inline distT="0" distB="0" distL="0" distR="0" wp14:anchorId="2E7A4D11" wp14:editId="24EB4338">
            <wp:extent cx="5943600" cy="4394200"/>
            <wp:effectExtent l="323850" t="323850" r="323850" b="330200"/>
            <wp:docPr id="202" name="Picture 202" descr="Map of Pre-ETS ITAAs covering the states and territories of: AK, Am.Samoa, AZ, CA, CNMI, DE, FL, GA, Guam, HI, IN, IA, KY, LA, MD, MA, MI, MN, MS, MT, NV, NH, NC, PR, RI, SC, UT, Virg.Isl., 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RE-ETS ITAA MAP Y4.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943600" cy="439420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p>
    <w:p w14:paraId="6B1EDC9F" w14:textId="77777777" w:rsidR="0071173A" w:rsidRDefault="0071173A" w:rsidP="0071173A"/>
    <w:p w14:paraId="1A02A179" w14:textId="77777777" w:rsidR="0071173A" w:rsidRDefault="0071173A" w:rsidP="0071173A">
      <w:pPr>
        <w:sectPr w:rsidR="0071173A" w:rsidSect="00D27D05">
          <w:footerReference w:type="default" r:id="rId23"/>
          <w:pgSz w:w="12240" w:h="15840" w:code="1"/>
          <w:pgMar w:top="1440" w:right="1440" w:bottom="1440" w:left="1440" w:header="720" w:footer="720" w:gutter="0"/>
          <w:pgBorders w:offsetFrom="page">
            <w:top w:val="thinThickSmallGap" w:sz="24" w:space="24" w:color="2F5496" w:themeColor="accent1" w:themeShade="BF"/>
            <w:left w:val="thinThickSmallGap" w:sz="24" w:space="24" w:color="2F5496" w:themeColor="accent1" w:themeShade="BF"/>
            <w:bottom w:val="thickThinSmallGap" w:sz="24" w:space="24" w:color="2F5496" w:themeColor="accent1" w:themeShade="BF"/>
            <w:right w:val="thickThinSmallGap" w:sz="24" w:space="24" w:color="2F5496" w:themeColor="accent1" w:themeShade="BF"/>
          </w:pgBorders>
          <w:cols w:space="720"/>
          <w:vAlign w:val="center"/>
          <w:docGrid w:linePitch="360"/>
        </w:sectPr>
      </w:pPr>
    </w:p>
    <w:p w14:paraId="71F94D09" w14:textId="77777777" w:rsidR="0071173A" w:rsidRPr="00987BC7" w:rsidRDefault="0071173A" w:rsidP="0071173A">
      <w:pPr>
        <w:pStyle w:val="Heading2"/>
        <w:numPr>
          <w:ilvl w:val="0"/>
          <w:numId w:val="0"/>
        </w:numPr>
        <w:shd w:val="clear" w:color="auto" w:fill="8EAADB" w:themeFill="accent1" w:themeFillTint="99"/>
      </w:pPr>
      <w:bookmarkStart w:id="14" w:name="_Toc28011410"/>
      <w:r>
        <w:lastRenderedPageBreak/>
        <w:t>Pre-ETS</w:t>
      </w:r>
      <w:r w:rsidRPr="00987BC7">
        <w:t xml:space="preserve"> – </w:t>
      </w:r>
      <w:r>
        <w:t xml:space="preserve">ITA </w:t>
      </w:r>
      <w:r w:rsidRPr="00987BC7">
        <w:t>Logic Model</w:t>
      </w:r>
      <w:bookmarkEnd w:id="14"/>
    </w:p>
    <w:tbl>
      <w:tblPr>
        <w:tblW w:w="5000" w:type="pct"/>
        <w:tblLook w:val="04A0" w:firstRow="1" w:lastRow="0" w:firstColumn="1" w:lastColumn="0" w:noHBand="0" w:noVBand="1"/>
      </w:tblPr>
      <w:tblGrid>
        <w:gridCol w:w="4765"/>
        <w:gridCol w:w="4585"/>
      </w:tblGrid>
      <w:tr w:rsidR="0071173A" w:rsidRPr="00206792" w14:paraId="107EC0EA" w14:textId="77777777" w:rsidTr="001A5653">
        <w:trPr>
          <w:trHeight w:val="20"/>
        </w:trPr>
        <w:tc>
          <w:tcPr>
            <w:tcW w:w="2548" w:type="pct"/>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hideMark/>
          </w:tcPr>
          <w:p w14:paraId="040D4750" w14:textId="77777777" w:rsidR="0071173A" w:rsidRPr="00206792" w:rsidRDefault="0071173A" w:rsidP="0071173A">
            <w:pPr>
              <w:pStyle w:val="Heading3"/>
              <w:numPr>
                <w:ilvl w:val="0"/>
                <w:numId w:val="0"/>
              </w:numPr>
            </w:pPr>
            <w:r w:rsidRPr="00206792">
              <w:t>Activity</w:t>
            </w:r>
          </w:p>
        </w:tc>
        <w:tc>
          <w:tcPr>
            <w:tcW w:w="2452" w:type="pct"/>
            <w:tcBorders>
              <w:top w:val="single" w:sz="4" w:space="0" w:color="auto"/>
              <w:left w:val="nil"/>
              <w:bottom w:val="single" w:sz="4" w:space="0" w:color="auto"/>
              <w:right w:val="single" w:sz="4" w:space="0" w:color="auto"/>
            </w:tcBorders>
            <w:shd w:val="clear" w:color="auto" w:fill="D9E2F3" w:themeFill="accent1" w:themeFillTint="33"/>
            <w:vAlign w:val="center"/>
            <w:hideMark/>
          </w:tcPr>
          <w:p w14:paraId="0C75710D" w14:textId="77777777" w:rsidR="0071173A" w:rsidRPr="00206792" w:rsidRDefault="0071173A" w:rsidP="0071173A">
            <w:pPr>
              <w:pStyle w:val="Heading3"/>
              <w:numPr>
                <w:ilvl w:val="0"/>
                <w:numId w:val="0"/>
              </w:numPr>
            </w:pPr>
            <w:r w:rsidRPr="00206792">
              <w:t>Output</w:t>
            </w:r>
          </w:p>
        </w:tc>
      </w:tr>
      <w:tr w:rsidR="0071173A" w:rsidRPr="00206792" w14:paraId="173CE8B5" w14:textId="77777777" w:rsidTr="001A5653">
        <w:trPr>
          <w:trHeight w:val="20"/>
        </w:trPr>
        <w:tc>
          <w:tcPr>
            <w:tcW w:w="2548" w:type="pct"/>
            <w:tcBorders>
              <w:top w:val="nil"/>
              <w:left w:val="single" w:sz="4" w:space="0" w:color="000000"/>
              <w:bottom w:val="single" w:sz="4" w:space="0" w:color="000000"/>
              <w:right w:val="single" w:sz="4" w:space="0" w:color="000000"/>
            </w:tcBorders>
            <w:shd w:val="clear" w:color="auto" w:fill="auto"/>
            <w:vAlign w:val="center"/>
            <w:hideMark/>
          </w:tcPr>
          <w:p w14:paraId="69BB8588" w14:textId="77777777" w:rsidR="0071173A" w:rsidRPr="00206792" w:rsidRDefault="0071173A" w:rsidP="0071173A">
            <w:pPr>
              <w:pStyle w:val="ListParagraph"/>
              <w:numPr>
                <w:ilvl w:val="0"/>
                <w:numId w:val="48"/>
              </w:numPr>
              <w:spacing w:after="0" w:line="240" w:lineRule="auto"/>
            </w:pPr>
            <w:r w:rsidRPr="00206792">
              <w:t>Review existing documentation, policies, procedures and internal controls for Pre-ETS, including the tracking and reporting of Pre-ETS</w:t>
            </w:r>
          </w:p>
        </w:tc>
        <w:tc>
          <w:tcPr>
            <w:tcW w:w="2452" w:type="pct"/>
            <w:tcBorders>
              <w:top w:val="nil"/>
              <w:left w:val="nil"/>
              <w:bottom w:val="single" w:sz="4" w:space="0" w:color="000000"/>
              <w:right w:val="single" w:sz="4" w:space="0" w:color="000000"/>
            </w:tcBorders>
            <w:shd w:val="clear" w:color="auto" w:fill="auto"/>
            <w:vAlign w:val="center"/>
            <w:hideMark/>
          </w:tcPr>
          <w:p w14:paraId="59FE98E8" w14:textId="77777777" w:rsidR="0071173A" w:rsidRPr="00206792" w:rsidRDefault="0071173A" w:rsidP="0071173A">
            <w:pPr>
              <w:pStyle w:val="ListParagraph"/>
              <w:numPr>
                <w:ilvl w:val="0"/>
                <w:numId w:val="49"/>
              </w:numPr>
              <w:spacing w:after="0" w:line="240" w:lineRule="auto"/>
              <w:ind w:left="340"/>
            </w:pPr>
            <w:r w:rsidRPr="00206792">
              <w:t>Documented feedback on documentation, policies, procedures and internal controls for Pre-ETS, including the tracking and reporting of Pre-ETS</w:t>
            </w:r>
          </w:p>
        </w:tc>
      </w:tr>
      <w:tr w:rsidR="0071173A" w:rsidRPr="00206792" w14:paraId="7320547D" w14:textId="77777777" w:rsidTr="001A5653">
        <w:trPr>
          <w:trHeight w:val="20"/>
        </w:trPr>
        <w:tc>
          <w:tcPr>
            <w:tcW w:w="2548" w:type="pct"/>
            <w:tcBorders>
              <w:top w:val="nil"/>
              <w:left w:val="single" w:sz="4" w:space="0" w:color="000000"/>
              <w:bottom w:val="single" w:sz="4" w:space="0" w:color="000000"/>
              <w:right w:val="single" w:sz="4" w:space="0" w:color="000000"/>
            </w:tcBorders>
            <w:shd w:val="clear" w:color="auto" w:fill="auto"/>
            <w:vAlign w:val="center"/>
            <w:hideMark/>
          </w:tcPr>
          <w:p w14:paraId="16B814DD" w14:textId="77777777" w:rsidR="0071173A" w:rsidRPr="00206792" w:rsidRDefault="0071173A" w:rsidP="0071173A">
            <w:pPr>
              <w:pStyle w:val="ListParagraph"/>
              <w:numPr>
                <w:ilvl w:val="0"/>
                <w:numId w:val="48"/>
              </w:numPr>
              <w:spacing w:after="0" w:line="240" w:lineRule="auto"/>
            </w:pPr>
            <w:r w:rsidRPr="00206792">
              <w:t>Assist in the development of new or revised policies and procedures and internal controls for Pre-ETS including the expenditures, tracking and reporting of Pre-ETS</w:t>
            </w:r>
          </w:p>
        </w:tc>
        <w:tc>
          <w:tcPr>
            <w:tcW w:w="2452" w:type="pct"/>
            <w:tcBorders>
              <w:top w:val="nil"/>
              <w:left w:val="nil"/>
              <w:bottom w:val="single" w:sz="4" w:space="0" w:color="000000"/>
              <w:right w:val="single" w:sz="4" w:space="0" w:color="000000"/>
            </w:tcBorders>
            <w:shd w:val="clear" w:color="auto" w:fill="auto"/>
            <w:vAlign w:val="center"/>
            <w:hideMark/>
          </w:tcPr>
          <w:p w14:paraId="2F052319" w14:textId="77777777" w:rsidR="0071173A" w:rsidRPr="00206792" w:rsidRDefault="0071173A" w:rsidP="0071173A">
            <w:pPr>
              <w:pStyle w:val="ListParagraph"/>
              <w:numPr>
                <w:ilvl w:val="0"/>
                <w:numId w:val="49"/>
              </w:numPr>
              <w:spacing w:after="0" w:line="240" w:lineRule="auto"/>
              <w:ind w:left="340"/>
            </w:pPr>
            <w:r w:rsidRPr="00206792">
              <w:t>Draft of new and/or revised policies and procedures and internal controls for Pre-ETS</w:t>
            </w:r>
          </w:p>
        </w:tc>
      </w:tr>
      <w:tr w:rsidR="0071173A" w:rsidRPr="00206792" w14:paraId="0CF52774" w14:textId="77777777" w:rsidTr="001A5653">
        <w:trPr>
          <w:trHeight w:val="20"/>
        </w:trPr>
        <w:tc>
          <w:tcPr>
            <w:tcW w:w="2548" w:type="pct"/>
            <w:tcBorders>
              <w:top w:val="nil"/>
              <w:left w:val="single" w:sz="4" w:space="0" w:color="000000"/>
              <w:bottom w:val="single" w:sz="4" w:space="0" w:color="000000"/>
              <w:right w:val="single" w:sz="4" w:space="0" w:color="000000"/>
            </w:tcBorders>
            <w:shd w:val="clear" w:color="auto" w:fill="auto"/>
            <w:vAlign w:val="center"/>
            <w:hideMark/>
          </w:tcPr>
          <w:p w14:paraId="3A563A85" w14:textId="77777777" w:rsidR="0071173A" w:rsidRPr="00206792" w:rsidRDefault="0071173A" w:rsidP="0071173A">
            <w:pPr>
              <w:pStyle w:val="ListParagraph"/>
              <w:numPr>
                <w:ilvl w:val="0"/>
                <w:numId w:val="48"/>
              </w:numPr>
              <w:spacing w:after="0" w:line="240" w:lineRule="auto"/>
            </w:pPr>
            <w:r w:rsidRPr="00206792">
              <w:t>Review existing expenditures allocated to the reserved funds and determine if they are allowable costs</w:t>
            </w:r>
          </w:p>
        </w:tc>
        <w:tc>
          <w:tcPr>
            <w:tcW w:w="2452" w:type="pct"/>
            <w:tcBorders>
              <w:top w:val="nil"/>
              <w:left w:val="nil"/>
              <w:bottom w:val="single" w:sz="4" w:space="0" w:color="000000"/>
              <w:right w:val="single" w:sz="4" w:space="0" w:color="000000"/>
            </w:tcBorders>
            <w:shd w:val="clear" w:color="auto" w:fill="auto"/>
            <w:vAlign w:val="center"/>
            <w:hideMark/>
          </w:tcPr>
          <w:p w14:paraId="190FC494" w14:textId="77777777" w:rsidR="0071173A" w:rsidRPr="00206792" w:rsidRDefault="0071173A" w:rsidP="0071173A">
            <w:pPr>
              <w:pStyle w:val="ListParagraph"/>
              <w:numPr>
                <w:ilvl w:val="0"/>
                <w:numId w:val="49"/>
              </w:numPr>
              <w:spacing w:after="0" w:line="240" w:lineRule="auto"/>
              <w:ind w:left="340"/>
            </w:pPr>
            <w:r w:rsidRPr="00206792">
              <w:t>Documented feedback on allowable expenditures</w:t>
            </w:r>
          </w:p>
        </w:tc>
      </w:tr>
      <w:tr w:rsidR="0071173A" w:rsidRPr="00206792" w14:paraId="1B193716" w14:textId="77777777" w:rsidTr="001A5653">
        <w:trPr>
          <w:trHeight w:val="20"/>
        </w:trPr>
        <w:tc>
          <w:tcPr>
            <w:tcW w:w="2548" w:type="pct"/>
            <w:tcBorders>
              <w:top w:val="nil"/>
              <w:left w:val="single" w:sz="4" w:space="0" w:color="000000"/>
              <w:bottom w:val="single" w:sz="4" w:space="0" w:color="000000"/>
              <w:right w:val="single" w:sz="4" w:space="0" w:color="000000"/>
            </w:tcBorders>
            <w:shd w:val="clear" w:color="auto" w:fill="auto"/>
            <w:vAlign w:val="center"/>
            <w:hideMark/>
          </w:tcPr>
          <w:p w14:paraId="33F73DC5" w14:textId="77777777" w:rsidR="0071173A" w:rsidRPr="00206792" w:rsidRDefault="0071173A" w:rsidP="0071173A">
            <w:pPr>
              <w:pStyle w:val="ListParagraph"/>
              <w:numPr>
                <w:ilvl w:val="0"/>
                <w:numId w:val="48"/>
              </w:numPr>
              <w:spacing w:after="0" w:line="240" w:lineRule="auto"/>
            </w:pPr>
            <w:r w:rsidRPr="00206792">
              <w:t>Assist the agency in the development of processes and internal controls for accurate financial reporting of Pre-ETS</w:t>
            </w:r>
          </w:p>
        </w:tc>
        <w:tc>
          <w:tcPr>
            <w:tcW w:w="2452" w:type="pct"/>
            <w:tcBorders>
              <w:top w:val="nil"/>
              <w:left w:val="nil"/>
              <w:bottom w:val="single" w:sz="4" w:space="0" w:color="000000"/>
              <w:right w:val="single" w:sz="4" w:space="0" w:color="000000"/>
            </w:tcBorders>
            <w:shd w:val="clear" w:color="auto" w:fill="auto"/>
            <w:vAlign w:val="center"/>
            <w:hideMark/>
          </w:tcPr>
          <w:p w14:paraId="2F0983FC" w14:textId="77777777" w:rsidR="0071173A" w:rsidRPr="00206792" w:rsidRDefault="0071173A" w:rsidP="0071173A">
            <w:pPr>
              <w:pStyle w:val="ListParagraph"/>
              <w:numPr>
                <w:ilvl w:val="0"/>
                <w:numId w:val="49"/>
              </w:numPr>
              <w:spacing w:after="0" w:line="240" w:lineRule="auto"/>
              <w:ind w:left="340"/>
            </w:pPr>
            <w:r w:rsidRPr="00206792">
              <w:t>Draft of written processes and internal controls provided to the agency</w:t>
            </w:r>
          </w:p>
        </w:tc>
      </w:tr>
      <w:tr w:rsidR="0071173A" w:rsidRPr="00206792" w14:paraId="56ECE0D5" w14:textId="77777777" w:rsidTr="001A5653">
        <w:trPr>
          <w:trHeight w:val="20"/>
        </w:trPr>
        <w:tc>
          <w:tcPr>
            <w:tcW w:w="2548" w:type="pct"/>
            <w:tcBorders>
              <w:top w:val="nil"/>
              <w:left w:val="single" w:sz="4" w:space="0" w:color="000000"/>
              <w:bottom w:val="nil"/>
              <w:right w:val="single" w:sz="4" w:space="0" w:color="000000"/>
            </w:tcBorders>
            <w:shd w:val="clear" w:color="auto" w:fill="auto"/>
            <w:vAlign w:val="center"/>
            <w:hideMark/>
          </w:tcPr>
          <w:p w14:paraId="316306FB" w14:textId="77777777" w:rsidR="0071173A" w:rsidRPr="00206792" w:rsidRDefault="0071173A" w:rsidP="0071173A">
            <w:pPr>
              <w:pStyle w:val="ListParagraph"/>
              <w:numPr>
                <w:ilvl w:val="0"/>
                <w:numId w:val="48"/>
              </w:numPr>
              <w:spacing w:after="0" w:line="240" w:lineRule="auto"/>
            </w:pPr>
            <w:r w:rsidRPr="00206792">
              <w:t>Review current interagency agreement between VR and SEA that encompasses the required elements in WIOA</w:t>
            </w:r>
          </w:p>
        </w:tc>
        <w:tc>
          <w:tcPr>
            <w:tcW w:w="2452" w:type="pct"/>
            <w:tcBorders>
              <w:top w:val="nil"/>
              <w:left w:val="nil"/>
              <w:bottom w:val="nil"/>
              <w:right w:val="single" w:sz="4" w:space="0" w:color="000000"/>
            </w:tcBorders>
            <w:shd w:val="clear" w:color="auto" w:fill="auto"/>
            <w:vAlign w:val="center"/>
            <w:hideMark/>
          </w:tcPr>
          <w:p w14:paraId="3F0FA9AB" w14:textId="77777777" w:rsidR="0071173A" w:rsidRPr="00206792" w:rsidRDefault="0071173A" w:rsidP="0071173A">
            <w:pPr>
              <w:pStyle w:val="ListParagraph"/>
              <w:numPr>
                <w:ilvl w:val="0"/>
                <w:numId w:val="49"/>
              </w:numPr>
              <w:spacing w:after="0" w:line="240" w:lineRule="auto"/>
              <w:ind w:left="340"/>
            </w:pPr>
            <w:r w:rsidRPr="00206792">
              <w:t>Documented feedback on interagency agreement</w:t>
            </w:r>
          </w:p>
        </w:tc>
      </w:tr>
      <w:tr w:rsidR="0071173A" w:rsidRPr="00206792" w14:paraId="36339B7A" w14:textId="77777777" w:rsidTr="001A5653">
        <w:trPr>
          <w:trHeight w:val="20"/>
        </w:trPr>
        <w:tc>
          <w:tcPr>
            <w:tcW w:w="254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87A31CE" w14:textId="77777777" w:rsidR="0071173A" w:rsidRPr="00206792" w:rsidRDefault="0071173A" w:rsidP="0071173A">
            <w:pPr>
              <w:pStyle w:val="ListParagraph"/>
              <w:numPr>
                <w:ilvl w:val="0"/>
                <w:numId w:val="48"/>
              </w:numPr>
              <w:spacing w:after="0" w:line="240" w:lineRule="auto"/>
            </w:pPr>
            <w:r w:rsidRPr="00206792">
              <w:t xml:space="preserve">Assist in the development of an updated interagency agreement between VR and SEA that encompasses the required elements in WIOA to use as a model for LEA agreements </w:t>
            </w:r>
          </w:p>
        </w:tc>
        <w:tc>
          <w:tcPr>
            <w:tcW w:w="2452" w:type="pct"/>
            <w:tcBorders>
              <w:top w:val="single" w:sz="4" w:space="0" w:color="auto"/>
              <w:left w:val="nil"/>
              <w:bottom w:val="single" w:sz="4" w:space="0" w:color="auto"/>
              <w:right w:val="single" w:sz="4" w:space="0" w:color="auto"/>
            </w:tcBorders>
            <w:shd w:val="clear" w:color="auto" w:fill="auto"/>
            <w:vAlign w:val="center"/>
            <w:hideMark/>
          </w:tcPr>
          <w:p w14:paraId="62D59149" w14:textId="77777777" w:rsidR="0071173A" w:rsidRPr="00206792" w:rsidRDefault="0071173A" w:rsidP="0071173A">
            <w:pPr>
              <w:pStyle w:val="ListParagraph"/>
              <w:numPr>
                <w:ilvl w:val="0"/>
                <w:numId w:val="49"/>
              </w:numPr>
              <w:spacing w:after="0" w:line="240" w:lineRule="auto"/>
              <w:ind w:left="340"/>
            </w:pPr>
            <w:r w:rsidRPr="00206792">
              <w:t>Draft updated agreement with recommendations</w:t>
            </w:r>
          </w:p>
        </w:tc>
      </w:tr>
      <w:tr w:rsidR="0071173A" w:rsidRPr="00206792" w14:paraId="00F17236" w14:textId="77777777" w:rsidTr="001A5653">
        <w:trPr>
          <w:trHeight w:val="20"/>
        </w:trPr>
        <w:tc>
          <w:tcPr>
            <w:tcW w:w="254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4E057C1" w14:textId="77777777" w:rsidR="0071173A" w:rsidRPr="00206792" w:rsidRDefault="0071173A" w:rsidP="0071173A">
            <w:pPr>
              <w:pStyle w:val="ListParagraph"/>
              <w:numPr>
                <w:ilvl w:val="0"/>
                <w:numId w:val="48"/>
              </w:numPr>
              <w:spacing w:after="0" w:line="240" w:lineRule="auto"/>
            </w:pPr>
            <w:r w:rsidRPr="00206792">
              <w:t>Assist agency in demonstrating that they have met the requirement for the provision of pre-employment transition services required and coordination activities before assigning authorized services to reserved funds</w:t>
            </w:r>
          </w:p>
        </w:tc>
        <w:tc>
          <w:tcPr>
            <w:tcW w:w="245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D938F68" w14:textId="77777777" w:rsidR="0071173A" w:rsidRPr="00206792" w:rsidRDefault="0071173A" w:rsidP="0071173A">
            <w:pPr>
              <w:pStyle w:val="ListParagraph"/>
              <w:numPr>
                <w:ilvl w:val="0"/>
                <w:numId w:val="49"/>
              </w:numPr>
              <w:spacing w:after="0" w:line="240" w:lineRule="auto"/>
              <w:ind w:left="340"/>
            </w:pPr>
            <w:r w:rsidRPr="00206792">
              <w:t>Completion of RSA approved model of movement from required to authorized activities</w:t>
            </w:r>
          </w:p>
        </w:tc>
      </w:tr>
      <w:tr w:rsidR="0071173A" w:rsidRPr="00206792" w14:paraId="5AFE9658" w14:textId="77777777" w:rsidTr="001A5653">
        <w:trPr>
          <w:trHeight w:val="20"/>
        </w:trPr>
        <w:tc>
          <w:tcPr>
            <w:tcW w:w="2548" w:type="pct"/>
            <w:tcBorders>
              <w:top w:val="single" w:sz="4" w:space="0" w:color="auto"/>
              <w:left w:val="single" w:sz="4" w:space="0" w:color="000000"/>
              <w:bottom w:val="nil"/>
              <w:right w:val="single" w:sz="4" w:space="0" w:color="000000"/>
            </w:tcBorders>
            <w:shd w:val="clear" w:color="auto" w:fill="auto"/>
            <w:vAlign w:val="center"/>
            <w:hideMark/>
          </w:tcPr>
          <w:p w14:paraId="49B72489" w14:textId="77777777" w:rsidR="0071173A" w:rsidRPr="00206792" w:rsidRDefault="0071173A" w:rsidP="0071173A">
            <w:pPr>
              <w:pStyle w:val="ListParagraph"/>
              <w:numPr>
                <w:ilvl w:val="0"/>
                <w:numId w:val="48"/>
              </w:numPr>
              <w:spacing w:after="0" w:line="240" w:lineRule="auto"/>
            </w:pPr>
            <w:r w:rsidRPr="00206792">
              <w:t>Provide training to VR staff regarding Pre-ETS and S. 113 of the Act as amended by WIOA</w:t>
            </w:r>
          </w:p>
        </w:tc>
        <w:tc>
          <w:tcPr>
            <w:tcW w:w="2452" w:type="pct"/>
            <w:tcBorders>
              <w:top w:val="single" w:sz="4" w:space="0" w:color="auto"/>
              <w:left w:val="nil"/>
              <w:bottom w:val="single" w:sz="4" w:space="0" w:color="auto"/>
              <w:right w:val="single" w:sz="4" w:space="0" w:color="auto"/>
            </w:tcBorders>
            <w:shd w:val="clear" w:color="auto" w:fill="auto"/>
            <w:vAlign w:val="center"/>
            <w:hideMark/>
          </w:tcPr>
          <w:p w14:paraId="120167FA" w14:textId="77777777" w:rsidR="0071173A" w:rsidRPr="00206792" w:rsidRDefault="0071173A" w:rsidP="0071173A">
            <w:pPr>
              <w:pStyle w:val="ListParagraph"/>
              <w:numPr>
                <w:ilvl w:val="0"/>
                <w:numId w:val="49"/>
              </w:numPr>
              <w:spacing w:after="0" w:line="240" w:lineRule="auto"/>
              <w:ind w:left="340"/>
            </w:pPr>
            <w:r w:rsidRPr="00206792">
              <w:t>The number of individuals that complete the training(s).</w:t>
            </w:r>
          </w:p>
        </w:tc>
      </w:tr>
      <w:tr w:rsidR="0071173A" w:rsidRPr="00206792" w14:paraId="4D99E8FF" w14:textId="77777777" w:rsidTr="001A5653">
        <w:trPr>
          <w:trHeight w:val="20"/>
        </w:trPr>
        <w:tc>
          <w:tcPr>
            <w:tcW w:w="254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3DA9478" w14:textId="77777777" w:rsidR="0071173A" w:rsidRPr="00206792" w:rsidRDefault="0071173A" w:rsidP="0071173A">
            <w:pPr>
              <w:pStyle w:val="ListParagraph"/>
              <w:numPr>
                <w:ilvl w:val="0"/>
                <w:numId w:val="48"/>
              </w:numPr>
              <w:spacing w:after="0" w:line="240" w:lineRule="auto"/>
            </w:pPr>
            <w:r w:rsidRPr="00206792">
              <w:t>Provide training to VR staff regarding Agency’s updated policies and procedures related to Pre-ETS</w:t>
            </w:r>
          </w:p>
        </w:tc>
        <w:tc>
          <w:tcPr>
            <w:tcW w:w="2452" w:type="pct"/>
            <w:tcBorders>
              <w:top w:val="nil"/>
              <w:left w:val="nil"/>
              <w:bottom w:val="nil"/>
              <w:right w:val="single" w:sz="4" w:space="0" w:color="000000"/>
            </w:tcBorders>
            <w:shd w:val="clear" w:color="auto" w:fill="auto"/>
            <w:vAlign w:val="center"/>
            <w:hideMark/>
          </w:tcPr>
          <w:p w14:paraId="237EAC04" w14:textId="77777777" w:rsidR="0071173A" w:rsidRPr="00206792" w:rsidRDefault="0071173A" w:rsidP="0071173A">
            <w:pPr>
              <w:pStyle w:val="ListParagraph"/>
              <w:numPr>
                <w:ilvl w:val="0"/>
                <w:numId w:val="49"/>
              </w:numPr>
              <w:spacing w:after="0" w:line="240" w:lineRule="auto"/>
              <w:ind w:left="340"/>
            </w:pPr>
            <w:r w:rsidRPr="00206792">
              <w:t>The number of individuals that complete the training(s).</w:t>
            </w:r>
          </w:p>
        </w:tc>
      </w:tr>
      <w:tr w:rsidR="0071173A" w:rsidRPr="00206792" w14:paraId="46E82F08" w14:textId="77777777" w:rsidTr="001A5653">
        <w:trPr>
          <w:trHeight w:val="20"/>
        </w:trPr>
        <w:tc>
          <w:tcPr>
            <w:tcW w:w="2548" w:type="pct"/>
            <w:tcBorders>
              <w:top w:val="single" w:sz="4" w:space="0" w:color="auto"/>
              <w:left w:val="single" w:sz="4" w:space="0" w:color="000000"/>
              <w:bottom w:val="single" w:sz="4" w:space="0" w:color="auto"/>
              <w:right w:val="single" w:sz="4" w:space="0" w:color="000000"/>
            </w:tcBorders>
            <w:shd w:val="clear" w:color="auto" w:fill="auto"/>
            <w:vAlign w:val="center"/>
            <w:hideMark/>
          </w:tcPr>
          <w:p w14:paraId="248C6CC9" w14:textId="77777777" w:rsidR="0071173A" w:rsidRPr="00206792" w:rsidRDefault="0071173A" w:rsidP="0071173A">
            <w:pPr>
              <w:pStyle w:val="ListParagraph"/>
              <w:numPr>
                <w:ilvl w:val="0"/>
                <w:numId w:val="48"/>
              </w:numPr>
              <w:spacing w:after="0" w:line="240" w:lineRule="auto"/>
            </w:pPr>
            <w:r w:rsidRPr="00206792">
              <w:t>Assist in the development of a strategy to explore and expand Pre-ETS service delivery including possible electronic/online options and modalities</w:t>
            </w:r>
          </w:p>
        </w:tc>
        <w:tc>
          <w:tcPr>
            <w:tcW w:w="2452" w:type="pct"/>
            <w:tcBorders>
              <w:top w:val="single" w:sz="4" w:space="0" w:color="000000"/>
              <w:left w:val="nil"/>
              <w:bottom w:val="single" w:sz="4" w:space="0" w:color="000000"/>
              <w:right w:val="single" w:sz="4" w:space="0" w:color="000000"/>
            </w:tcBorders>
            <w:shd w:val="clear" w:color="auto" w:fill="auto"/>
            <w:vAlign w:val="center"/>
            <w:hideMark/>
          </w:tcPr>
          <w:p w14:paraId="3A360EF2" w14:textId="77777777" w:rsidR="0071173A" w:rsidRPr="00206792" w:rsidRDefault="0071173A" w:rsidP="0071173A">
            <w:pPr>
              <w:pStyle w:val="ListParagraph"/>
              <w:numPr>
                <w:ilvl w:val="0"/>
                <w:numId w:val="49"/>
              </w:numPr>
              <w:spacing w:after="0" w:line="240" w:lineRule="auto"/>
              <w:ind w:left="340"/>
            </w:pPr>
            <w:r w:rsidRPr="00206792">
              <w:t>Disseminate Explore-Work.com to agency</w:t>
            </w:r>
          </w:p>
        </w:tc>
      </w:tr>
      <w:tr w:rsidR="0071173A" w:rsidRPr="00206792" w14:paraId="27B69C5D" w14:textId="77777777" w:rsidTr="001A5653">
        <w:trPr>
          <w:trHeight w:val="20"/>
        </w:trPr>
        <w:tc>
          <w:tcPr>
            <w:tcW w:w="5000" w:type="pct"/>
            <w:gridSpan w:val="2"/>
            <w:tcBorders>
              <w:top w:val="single" w:sz="4" w:space="0" w:color="auto"/>
              <w:left w:val="single" w:sz="4" w:space="0" w:color="000000"/>
              <w:bottom w:val="single" w:sz="4" w:space="0" w:color="auto"/>
              <w:right w:val="single" w:sz="4" w:space="0" w:color="000000"/>
            </w:tcBorders>
            <w:shd w:val="clear" w:color="auto" w:fill="D9E2F3" w:themeFill="accent1" w:themeFillTint="33"/>
            <w:vAlign w:val="center"/>
          </w:tcPr>
          <w:p w14:paraId="54612CEF" w14:textId="77777777" w:rsidR="0071173A" w:rsidRPr="00206792" w:rsidRDefault="0071173A" w:rsidP="001A5653">
            <w:pPr>
              <w:spacing w:after="0" w:line="240" w:lineRule="auto"/>
              <w:jc w:val="center"/>
              <w:rPr>
                <w:b/>
              </w:rPr>
            </w:pPr>
            <w:r w:rsidRPr="00206792">
              <w:rPr>
                <w:b/>
              </w:rPr>
              <w:t>Short-Term Outcomes</w:t>
            </w:r>
          </w:p>
          <w:p w14:paraId="2F059D4C" w14:textId="77777777" w:rsidR="0071173A" w:rsidRPr="00206792" w:rsidRDefault="0071173A" w:rsidP="0071173A">
            <w:pPr>
              <w:pStyle w:val="ListParagraph"/>
              <w:numPr>
                <w:ilvl w:val="0"/>
                <w:numId w:val="1"/>
              </w:numPr>
              <w:spacing w:after="0" w:line="240" w:lineRule="auto"/>
            </w:pPr>
            <w:r w:rsidRPr="00206792">
              <w:t>There will be an increase in the number of students with disabilities that receive at least one of the five required services from year to year.</w:t>
            </w:r>
          </w:p>
          <w:p w14:paraId="05704999" w14:textId="77777777" w:rsidR="0071173A" w:rsidRPr="00206792" w:rsidRDefault="0071173A" w:rsidP="0071173A">
            <w:pPr>
              <w:pStyle w:val="ListParagraph"/>
              <w:numPr>
                <w:ilvl w:val="0"/>
                <w:numId w:val="1"/>
              </w:numPr>
              <w:spacing w:after="0" w:line="240" w:lineRule="auto"/>
            </w:pPr>
            <w:r w:rsidRPr="00206792">
              <w:t>The agency will completely and accurately report on the expenditure of the 15% reserve</w:t>
            </w:r>
          </w:p>
          <w:p w14:paraId="3FC43605" w14:textId="77777777" w:rsidR="0071173A" w:rsidRPr="00206792" w:rsidRDefault="0071173A" w:rsidP="0071173A">
            <w:pPr>
              <w:pStyle w:val="ListParagraph"/>
              <w:numPr>
                <w:ilvl w:val="0"/>
                <w:numId w:val="1"/>
              </w:numPr>
              <w:spacing w:after="0" w:line="240" w:lineRule="auto"/>
            </w:pPr>
            <w:r w:rsidRPr="00206792">
              <w:t>The VR program will increase the allocation of Pre-ETS expenditures towards the minimum 15% reserve until it is fully expended</w:t>
            </w:r>
          </w:p>
          <w:p w14:paraId="65592393" w14:textId="77777777" w:rsidR="0071173A" w:rsidRPr="00206792" w:rsidRDefault="0071173A" w:rsidP="0071173A">
            <w:pPr>
              <w:pStyle w:val="ListParagraph"/>
              <w:numPr>
                <w:ilvl w:val="0"/>
                <w:numId w:val="1"/>
              </w:numPr>
              <w:spacing w:after="0" w:line="240" w:lineRule="auto"/>
            </w:pPr>
            <w:r w:rsidRPr="00206792">
              <w:t>Improved interagency coordination and collaboration regarding pre-employment transition services at a state-level (systems change)</w:t>
            </w:r>
          </w:p>
        </w:tc>
      </w:tr>
    </w:tbl>
    <w:p w14:paraId="23996D16" w14:textId="77777777" w:rsidR="0071173A" w:rsidRDefault="0071173A" w:rsidP="0071173A">
      <w:pPr>
        <w:pStyle w:val="Heading2"/>
        <w:numPr>
          <w:ilvl w:val="0"/>
          <w:numId w:val="0"/>
        </w:numPr>
        <w:pBdr>
          <w:bottom w:val="single" w:sz="12" w:space="1" w:color="auto"/>
        </w:pBdr>
        <w:rPr>
          <w:szCs w:val="36"/>
        </w:rPr>
      </w:pPr>
      <w:r>
        <w:rPr>
          <w:szCs w:val="36"/>
        </w:rPr>
        <w:br w:type="page"/>
      </w:r>
    </w:p>
    <w:p w14:paraId="4FFA9B8A" w14:textId="77777777" w:rsidR="0071173A" w:rsidRPr="004B327C" w:rsidRDefault="0071173A" w:rsidP="0071173A">
      <w:pPr>
        <w:pStyle w:val="Heading2"/>
        <w:numPr>
          <w:ilvl w:val="0"/>
          <w:numId w:val="0"/>
        </w:numPr>
        <w:pBdr>
          <w:bottom w:val="single" w:sz="12" w:space="1" w:color="auto"/>
        </w:pBdr>
        <w:rPr>
          <w:szCs w:val="36"/>
        </w:rPr>
      </w:pPr>
      <w:bookmarkStart w:id="15" w:name="_Toc28011411"/>
      <w:r w:rsidRPr="004B327C">
        <w:rPr>
          <w:szCs w:val="36"/>
        </w:rPr>
        <w:lastRenderedPageBreak/>
        <w:t>Pre-ETS: ACTIVITIES &amp; OUTPUTS PROGRESS DASHBOARDS</w:t>
      </w:r>
      <w:bookmarkEnd w:id="15"/>
    </w:p>
    <w:p w14:paraId="5C2DDFF6" w14:textId="77777777" w:rsidR="0071173A" w:rsidRDefault="0071173A" w:rsidP="0071173A"/>
    <w:p w14:paraId="66F5D09C" w14:textId="77777777" w:rsidR="0071173A" w:rsidRDefault="0071173A" w:rsidP="0071173A">
      <w:pPr>
        <w:rPr>
          <w:sz w:val="36"/>
        </w:rPr>
      </w:pPr>
      <w:r>
        <w:rPr>
          <w:noProof/>
          <w:lang w:eastAsia="ko-KR"/>
        </w:rPr>
        <w:drawing>
          <wp:inline distT="0" distB="0" distL="0" distR="0" wp14:anchorId="707E7E1A" wp14:editId="05D5FE53">
            <wp:extent cx="5943600" cy="2971800"/>
            <wp:effectExtent l="0" t="0" r="0" b="0"/>
            <wp:docPr id="203" name="Chart 203" descr="Progress pre-employment Transition Services activities. 60% completed 100%, 2% completd 90%, 7% completed 75%, 6% completed 50%, 7% completed 25%, and 17% not started">
              <a:extLst xmlns:a="http://schemas.openxmlformats.org/drawingml/2006/main">
                <a:ext uri="{FF2B5EF4-FFF2-40B4-BE49-F238E27FC236}">
                  <a16:creationId xmlns:a16="http://schemas.microsoft.com/office/drawing/2014/main" id="{CF547BA8-EA19-4AB5-B951-CD9D9EDBD0B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41C3A580" w14:textId="77777777" w:rsidR="00427B35" w:rsidRPr="00E47117" w:rsidRDefault="00427B35" w:rsidP="00427B35">
      <w:pPr>
        <w:rPr>
          <w:sz w:val="24"/>
          <w:szCs w:val="24"/>
        </w:rPr>
      </w:pPr>
      <w:r w:rsidRPr="00E47117">
        <w:rPr>
          <w:sz w:val="24"/>
          <w:szCs w:val="24"/>
        </w:rPr>
        <w:t>Most activities are complete (60%) or moving to completion (9%).  Below, thermometers demonstrate the level of completion for the different activities and outputs as defined in the logic model.  A handful of idiosyncratic activities in the ITAAs not listed in logic models are captured together in their own thermometer.</w:t>
      </w:r>
    </w:p>
    <w:p w14:paraId="5A058ECB" w14:textId="77777777" w:rsidR="0071173A" w:rsidRDefault="0071173A" w:rsidP="0071173A">
      <w:pPr>
        <w:rPr>
          <w:szCs w:val="14"/>
        </w:rPr>
      </w:pPr>
    </w:p>
    <w:p w14:paraId="2243F344" w14:textId="77777777" w:rsidR="0071173A" w:rsidRDefault="0071173A" w:rsidP="0071173A">
      <w:pPr>
        <w:tabs>
          <w:tab w:val="left" w:pos="360"/>
        </w:tabs>
        <w:rPr>
          <w:szCs w:val="14"/>
        </w:rPr>
        <w:sectPr w:rsidR="0071173A" w:rsidSect="00D27D05">
          <w:headerReference w:type="even" r:id="rId25"/>
          <w:headerReference w:type="default" r:id="rId26"/>
          <w:footerReference w:type="even" r:id="rId27"/>
          <w:footerReference w:type="default" r:id="rId28"/>
          <w:headerReference w:type="first" r:id="rId29"/>
          <w:footerReference w:type="first" r:id="rId30"/>
          <w:pgSz w:w="12240" w:h="15840"/>
          <w:pgMar w:top="1440" w:right="1440" w:bottom="1440" w:left="1440" w:header="720" w:footer="720" w:gutter="0"/>
          <w:pgBorders w:offsetFrom="page">
            <w:top w:val="thinThickSmallGap" w:sz="24" w:space="24" w:color="2F5496" w:themeColor="accent1" w:themeShade="BF"/>
            <w:left w:val="thinThickSmallGap" w:sz="24" w:space="24" w:color="2F5496" w:themeColor="accent1" w:themeShade="BF"/>
            <w:bottom w:val="thickThinSmallGap" w:sz="24" w:space="24" w:color="2F5496" w:themeColor="accent1" w:themeShade="BF"/>
            <w:right w:val="thickThinSmallGap" w:sz="24" w:space="24" w:color="2F5496" w:themeColor="accent1" w:themeShade="BF"/>
          </w:pgBorders>
          <w:cols w:space="720"/>
          <w:docGrid w:linePitch="360"/>
        </w:sectPr>
      </w:pPr>
    </w:p>
    <w:p w14:paraId="23D8324D" w14:textId="77777777" w:rsidR="0071173A" w:rsidRDefault="0071173A" w:rsidP="0071173A">
      <w:pPr>
        <w:tabs>
          <w:tab w:val="left" w:pos="360"/>
        </w:tabs>
        <w:rPr>
          <w:szCs w:val="14"/>
        </w:rPr>
      </w:pPr>
      <w:r>
        <w:rPr>
          <w:noProof/>
          <w:lang w:eastAsia="ko-KR"/>
        </w:rPr>
        <w:lastRenderedPageBreak/>
        <w:drawing>
          <wp:inline distT="0" distB="0" distL="0" distR="0" wp14:anchorId="29B4FB9A" wp14:editId="2C2EE48C">
            <wp:extent cx="2743200" cy="5033143"/>
            <wp:effectExtent l="0" t="0" r="0" b="15240"/>
            <wp:docPr id="204" name="Chart 204" descr="Pre-ETS activity 1 84% completed 100%, 6% completed 75%, 9% completed 50%. Pre-Ets Outputs: 84% completed 1000%, 6% completed 75%, 6% completed 50%, 3% not stated" title="Pre-ets activity 1">
              <a:extLst xmlns:a="http://schemas.openxmlformats.org/drawingml/2006/main">
                <a:ext uri="{FF2B5EF4-FFF2-40B4-BE49-F238E27FC236}">
                  <a16:creationId xmlns:a16="http://schemas.microsoft.com/office/drawing/2014/main" id="{69D0587B-10A3-40F5-93BA-997DA76A0FC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380E6919" w14:textId="77777777" w:rsidR="0071173A" w:rsidRDefault="0071173A" w:rsidP="0071173A">
      <w:pPr>
        <w:tabs>
          <w:tab w:val="left" w:pos="360"/>
        </w:tabs>
        <w:rPr>
          <w:szCs w:val="14"/>
        </w:rPr>
      </w:pPr>
      <w:r w:rsidRPr="00912EC0">
        <w:rPr>
          <w:b/>
          <w:bCs/>
          <w:szCs w:val="14"/>
        </w:rPr>
        <w:t>Activity 1</w:t>
      </w:r>
      <w:r>
        <w:rPr>
          <w:szCs w:val="14"/>
        </w:rPr>
        <w:t>: Review existing documentation, policies, procedures, and internal controls for Pre-ETS, including the tracking and reporting of Pre-ETS.</w:t>
      </w:r>
    </w:p>
    <w:p w14:paraId="1BE2B59B" w14:textId="77777777" w:rsidR="0071173A" w:rsidRDefault="0071173A" w:rsidP="0071173A">
      <w:pPr>
        <w:tabs>
          <w:tab w:val="left" w:pos="360"/>
        </w:tabs>
        <w:rPr>
          <w:szCs w:val="14"/>
        </w:rPr>
      </w:pPr>
      <w:r w:rsidRPr="00912EC0">
        <w:rPr>
          <w:b/>
          <w:bCs/>
          <w:szCs w:val="14"/>
        </w:rPr>
        <w:t>Output A</w:t>
      </w:r>
      <w:r>
        <w:rPr>
          <w:szCs w:val="14"/>
        </w:rPr>
        <w:t>: Documented feedback.</w:t>
      </w:r>
    </w:p>
    <w:p w14:paraId="635DC6C2" w14:textId="77777777" w:rsidR="0071173A" w:rsidRDefault="0071173A" w:rsidP="0071173A">
      <w:pPr>
        <w:tabs>
          <w:tab w:val="left" w:pos="360"/>
        </w:tabs>
        <w:rPr>
          <w:szCs w:val="14"/>
        </w:rPr>
      </w:pPr>
      <w:r>
        <w:rPr>
          <w:noProof/>
          <w:lang w:eastAsia="ko-KR"/>
        </w:rPr>
        <w:drawing>
          <wp:inline distT="0" distB="0" distL="0" distR="0" wp14:anchorId="6E1BB932" wp14:editId="0436FD1A">
            <wp:extent cx="2743200" cy="5017201"/>
            <wp:effectExtent l="0" t="0" r="0" b="12065"/>
            <wp:docPr id="205" name="Chart 205" descr="Pre-ETS activity 1 60% completed 100%, 3% completed 90%, 11% completed 75%, 9% completed 50%, 9% completed 25%, and 9% not started. Pre-Ets Outputs: 57% completed 100%, 3% completed 90%, 14% completed 75%, 14% completed 25%, 11% not stated">
              <a:extLst xmlns:a="http://schemas.openxmlformats.org/drawingml/2006/main">
                <a:ext uri="{FF2B5EF4-FFF2-40B4-BE49-F238E27FC236}">
                  <a16:creationId xmlns:a16="http://schemas.microsoft.com/office/drawing/2014/main" id="{2B06EBF6-B26B-4A31-B665-22956D99A6B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1F9EFD4F" w14:textId="77777777" w:rsidR="0071173A" w:rsidRDefault="0071173A" w:rsidP="0071173A">
      <w:pPr>
        <w:tabs>
          <w:tab w:val="left" w:pos="360"/>
        </w:tabs>
        <w:rPr>
          <w:szCs w:val="14"/>
        </w:rPr>
      </w:pPr>
      <w:r w:rsidRPr="00912EC0">
        <w:rPr>
          <w:b/>
          <w:bCs/>
          <w:szCs w:val="14"/>
        </w:rPr>
        <w:t>Activity 2</w:t>
      </w:r>
      <w:r>
        <w:rPr>
          <w:szCs w:val="14"/>
        </w:rPr>
        <w:t>: Assist in the development of new or revised policies and procedures and internal controls for Pre-ETS including the expenditures, tracking and reporting of Pre-ETS.</w:t>
      </w:r>
    </w:p>
    <w:p w14:paraId="31688AB4" w14:textId="77777777" w:rsidR="0071173A" w:rsidRDefault="0071173A" w:rsidP="0071173A">
      <w:pPr>
        <w:tabs>
          <w:tab w:val="left" w:pos="360"/>
        </w:tabs>
        <w:rPr>
          <w:szCs w:val="14"/>
        </w:rPr>
      </w:pPr>
      <w:r w:rsidRPr="00912EC0">
        <w:rPr>
          <w:b/>
          <w:bCs/>
          <w:szCs w:val="14"/>
        </w:rPr>
        <w:t>Output B</w:t>
      </w:r>
      <w:r>
        <w:rPr>
          <w:szCs w:val="14"/>
        </w:rPr>
        <w:t>: Draft of new/revised policies, procedures, internal controls for Pre-ETS.</w:t>
      </w:r>
    </w:p>
    <w:p w14:paraId="129DEE6A" w14:textId="77777777" w:rsidR="0071173A" w:rsidRDefault="0071173A" w:rsidP="0071173A">
      <w:pPr>
        <w:tabs>
          <w:tab w:val="left" w:pos="360"/>
        </w:tabs>
        <w:rPr>
          <w:szCs w:val="14"/>
        </w:rPr>
      </w:pPr>
    </w:p>
    <w:p w14:paraId="4FD015E0" w14:textId="77777777" w:rsidR="0071173A" w:rsidRDefault="0071173A" w:rsidP="0071173A">
      <w:pPr>
        <w:jc w:val="center"/>
        <w:rPr>
          <w:szCs w:val="14"/>
        </w:rPr>
      </w:pPr>
      <w:r>
        <w:rPr>
          <w:noProof/>
          <w:lang w:eastAsia="ko-KR"/>
        </w:rPr>
        <w:lastRenderedPageBreak/>
        <w:drawing>
          <wp:inline distT="0" distB="0" distL="0" distR="0" wp14:anchorId="6F1B4900" wp14:editId="0C17A645">
            <wp:extent cx="2797810" cy="5133340"/>
            <wp:effectExtent l="0" t="0" r="2540" b="10160"/>
            <wp:docPr id="206" name="Chart 206" descr="Pre-ETS activity 3 56% completed 100%, 11% completed 90%, 11% completed 75%, 7% completed 50%, 11% completed 25%, and 4% not started. Pre-Ets Outputs: 56% completed 100%, 11% completed 90%, 11% completed 75%, 11% completed 25%, 4% not stated">
              <a:extLst xmlns:a="http://schemas.openxmlformats.org/drawingml/2006/main">
                <a:ext uri="{FF2B5EF4-FFF2-40B4-BE49-F238E27FC236}">
                  <a16:creationId xmlns:a16="http://schemas.microsoft.com/office/drawing/2014/main" id="{34907E93-9601-448A-A02D-034DE5386A3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7CE40325" w14:textId="77777777" w:rsidR="0071173A" w:rsidRDefault="0071173A" w:rsidP="0071173A">
      <w:pPr>
        <w:rPr>
          <w:szCs w:val="14"/>
        </w:rPr>
      </w:pPr>
      <w:r w:rsidRPr="00C0518E">
        <w:rPr>
          <w:b/>
          <w:bCs/>
          <w:szCs w:val="14"/>
        </w:rPr>
        <w:t>Activity 3</w:t>
      </w:r>
      <w:r>
        <w:rPr>
          <w:szCs w:val="14"/>
        </w:rPr>
        <w:t>: Review existing expenditures allocated to the reserved funds and determine if they are allowable costs.</w:t>
      </w:r>
    </w:p>
    <w:p w14:paraId="52599B4D" w14:textId="77777777" w:rsidR="0071173A" w:rsidRDefault="0071173A" w:rsidP="0071173A">
      <w:pPr>
        <w:rPr>
          <w:szCs w:val="14"/>
        </w:rPr>
      </w:pPr>
      <w:r w:rsidRPr="00C0518E">
        <w:rPr>
          <w:b/>
          <w:bCs/>
          <w:szCs w:val="14"/>
        </w:rPr>
        <w:t>Output C</w:t>
      </w:r>
      <w:r>
        <w:rPr>
          <w:szCs w:val="14"/>
        </w:rPr>
        <w:t>: Documented feedback on allowable expenditures.</w:t>
      </w:r>
    </w:p>
    <w:p w14:paraId="52A7B25C" w14:textId="0A2D1DBA" w:rsidR="0071173A" w:rsidRDefault="00E60C33" w:rsidP="0071173A">
      <w:pPr>
        <w:rPr>
          <w:szCs w:val="14"/>
        </w:rPr>
      </w:pPr>
      <w:r>
        <w:rPr>
          <w:noProof/>
          <w:lang w:eastAsia="ko-KR"/>
        </w:rPr>
        <mc:AlternateContent>
          <mc:Choice Requires="wps">
            <w:drawing>
              <wp:anchor distT="0" distB="0" distL="114300" distR="114300" simplePos="0" relativeHeight="251694080" behindDoc="0" locked="0" layoutInCell="1" allowOverlap="1" wp14:anchorId="3891A19A" wp14:editId="08E2F408">
                <wp:simplePos x="0" y="0"/>
                <wp:positionH relativeFrom="column">
                  <wp:posOffset>701675</wp:posOffset>
                </wp:positionH>
                <wp:positionV relativeFrom="paragraph">
                  <wp:posOffset>4171315</wp:posOffset>
                </wp:positionV>
                <wp:extent cx="631661" cy="655322"/>
                <wp:effectExtent l="0" t="0" r="16510" b="11430"/>
                <wp:wrapNone/>
                <wp:docPr id="201" name="Flowchart: Connector 1" descr="Circle figure at the end of the thermometer picture">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1661" cy="655322"/>
                        </a:xfrm>
                        <a:prstGeom prst="flowChartConnector">
                          <a:avLst/>
                        </a:prstGeom>
                        <a:solidFill>
                          <a:srgbClr val="99221F"/>
                        </a:solidFill>
                        <a:ln>
                          <a:solidFill>
                            <a:srgbClr val="99221F"/>
                          </a:solidFill>
                        </a:ln>
                      </wps:spPr>
                      <wps:style>
                        <a:lnRef idx="2">
                          <a:schemeClr val="accent1">
                            <a:shade val="50000"/>
                          </a:schemeClr>
                        </a:lnRef>
                        <a:fillRef idx="1">
                          <a:schemeClr val="accent1"/>
                        </a:fillRef>
                        <a:effectRef idx="0">
                          <a:schemeClr val="accent1"/>
                        </a:effectRef>
                        <a:fontRef idx="minor">
                          <a:schemeClr val="lt1"/>
                        </a:fontRef>
                      </wps:style>
                      <wps:bodyPr rtlCol="0" anchor="t"/>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type w14:anchorId="28417C33" id="_x0000_t120" coordsize="21600,21600" o:spt="120" path="m10800,qx,10800,10800,21600,21600,10800,10800,xe">
                <v:path gradientshapeok="t" o:connecttype="custom" o:connectlocs="10800,0;3163,3163;0,10800;3163,18437;10800,21600;18437,18437;21600,10800;18437,3163" textboxrect="3163,3163,18437,18437"/>
              </v:shapetype>
              <v:shape id="Flowchart: Connector 1" o:spid="_x0000_s1026" type="#_x0000_t120" alt="Circle figure at the end of the thermometer picture" style="position:absolute;margin-left:55.25pt;margin-top:328.45pt;width:49.75pt;height:51.6pt;z-index:2516940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" fillcolor="#99221f" strokecolor="#99221f" strokeweight="1pt">
                <v:stroke joinstyle="miter"/>
              </v:shape>
            </w:pict>
          </mc:Fallback>
        </mc:AlternateContent>
      </w:r>
      <w:r w:rsidR="0071173A">
        <w:rPr>
          <w:noProof/>
          <w:lang w:eastAsia="ko-KR"/>
        </w:rPr>
        <mc:AlternateContent>
          <mc:Choice Requires="wps">
            <w:drawing>
              <wp:anchor distT="0" distB="0" distL="114300" distR="114300" simplePos="0" relativeHeight="251695104" behindDoc="0" locked="0" layoutInCell="1" allowOverlap="1" wp14:anchorId="304245B6" wp14:editId="062E0E5D">
                <wp:simplePos x="0" y="0"/>
                <wp:positionH relativeFrom="column">
                  <wp:posOffset>1857375</wp:posOffset>
                </wp:positionH>
                <wp:positionV relativeFrom="paragraph">
                  <wp:posOffset>4143375</wp:posOffset>
                </wp:positionV>
                <wp:extent cx="631190" cy="655320"/>
                <wp:effectExtent l="0" t="0" r="16510" b="11430"/>
                <wp:wrapNone/>
                <wp:docPr id="174" name="Flowchart: Connector 2" descr="Circle figure at the end of the thermometer picture" title="Circle ">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1190" cy="655320"/>
                        </a:xfrm>
                        <a:prstGeom prst="flowChartConnector">
                          <a:avLst/>
                        </a:prstGeom>
                        <a:solidFill>
                          <a:srgbClr val="99221F"/>
                        </a:solidFill>
                        <a:ln>
                          <a:solidFill>
                            <a:srgbClr val="99221F"/>
                          </a:solidFill>
                        </a:ln>
                      </wps:spPr>
                      <wps:style>
                        <a:lnRef idx="2">
                          <a:schemeClr val="accent1">
                            <a:shade val="50000"/>
                          </a:schemeClr>
                        </a:lnRef>
                        <a:fillRef idx="1">
                          <a:schemeClr val="accent1"/>
                        </a:fillRef>
                        <a:effectRef idx="0">
                          <a:schemeClr val="accent1"/>
                        </a:effectRef>
                        <a:fontRef idx="minor">
                          <a:schemeClr val="lt1"/>
                        </a:fontRef>
                      </wps:style>
                      <wps:bodyPr rtlCol="0" anchor="t"/>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439DB70D" id="Flowchart: Connector 2" o:spid="_x0000_s1026" type="#_x0000_t120" alt="Title: Circle  - Description: Circle figure at the end of the thermometer picture" style="position:absolute;margin-left:146.25pt;margin-top:326.25pt;width:49.7pt;height:51.6pt;z-index:2516951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" fillcolor="#99221f" strokecolor="#99221f" strokeweight="1pt">
                <v:stroke joinstyle="miter"/>
              </v:shape>
            </w:pict>
          </mc:Fallback>
        </mc:AlternateContent>
      </w:r>
      <w:r w:rsidR="0071173A">
        <w:rPr>
          <w:noProof/>
          <w:lang w:eastAsia="ko-KR"/>
        </w:rPr>
        <w:drawing>
          <wp:inline distT="0" distB="0" distL="0" distR="0" wp14:anchorId="562ADA44" wp14:editId="45043726">
            <wp:extent cx="2848131" cy="5133340"/>
            <wp:effectExtent l="0" t="0" r="9525" b="10160"/>
            <wp:docPr id="207" name="Chart 207" descr="Pre-ETS activity 4 18% completed 100%,  21% completed 75%, 11% completed 50%, 11% completed 25%, and 39% not started. Pre-Ets Outputs: 21% completed 100%, 14% completed 75%, 11% completed 50%, 11% completed 25%, 43% not stated">
              <a:extLst xmlns:a="http://schemas.openxmlformats.org/drawingml/2006/main">
                <a:ext uri="{FF2B5EF4-FFF2-40B4-BE49-F238E27FC236}">
                  <a16:creationId xmlns:a16="http://schemas.microsoft.com/office/drawing/2014/main" id="{2BA9FE5D-250F-4DFF-92A2-41498D5F8F8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r w:rsidR="0071173A" w:rsidRPr="00B96BD7">
        <w:rPr>
          <w:noProof/>
        </w:rPr>
        <w:t xml:space="preserve"> </w:t>
      </w:r>
    </w:p>
    <w:p w14:paraId="06726804" w14:textId="77777777" w:rsidR="0071173A" w:rsidRDefault="0071173A" w:rsidP="0071173A">
      <w:pPr>
        <w:rPr>
          <w:szCs w:val="14"/>
        </w:rPr>
      </w:pPr>
      <w:r w:rsidRPr="002540B0">
        <w:rPr>
          <w:b/>
          <w:bCs/>
          <w:szCs w:val="14"/>
        </w:rPr>
        <w:t>Activity 4</w:t>
      </w:r>
      <w:r>
        <w:rPr>
          <w:szCs w:val="14"/>
        </w:rPr>
        <w:t>: Assist the agency in the development of processes and internal controls for accurate financial reporting of Pre-ETS.</w:t>
      </w:r>
    </w:p>
    <w:p w14:paraId="6E0D06D7" w14:textId="77777777" w:rsidR="0071173A" w:rsidRDefault="0071173A" w:rsidP="0071173A">
      <w:pPr>
        <w:rPr>
          <w:szCs w:val="14"/>
        </w:rPr>
      </w:pPr>
      <w:r w:rsidRPr="002540B0">
        <w:rPr>
          <w:b/>
          <w:bCs/>
          <w:szCs w:val="14"/>
        </w:rPr>
        <w:t>Output D</w:t>
      </w:r>
      <w:r>
        <w:rPr>
          <w:szCs w:val="14"/>
        </w:rPr>
        <w:t>: Draft of written processes and internal controls provided to the agency.</w:t>
      </w:r>
    </w:p>
    <w:p w14:paraId="04CC5873" w14:textId="77777777" w:rsidR="0071173A" w:rsidRDefault="0071173A" w:rsidP="0071173A">
      <w:pPr>
        <w:jc w:val="center"/>
        <w:rPr>
          <w:szCs w:val="14"/>
        </w:rPr>
      </w:pPr>
      <w:r>
        <w:rPr>
          <w:noProof/>
          <w:lang w:eastAsia="ko-KR"/>
        </w:rPr>
        <w:lastRenderedPageBreak/>
        <w:drawing>
          <wp:inline distT="0" distB="0" distL="0" distR="0" wp14:anchorId="4DC47B7B" wp14:editId="42710B75">
            <wp:extent cx="2797810" cy="5133340"/>
            <wp:effectExtent l="0" t="0" r="2540" b="10160"/>
            <wp:docPr id="208" name="Chart 208" descr="Pre-ETS activity 6 85% completed 100%,  4% completed 75%, 4% completed 50%, and 8% not started. Pre-Ets Outputs: 81% completed 100%,4% completed 75%, 8% completed 50%, 8% not stated">
              <a:extLst xmlns:a="http://schemas.openxmlformats.org/drawingml/2006/main">
                <a:ext uri="{FF2B5EF4-FFF2-40B4-BE49-F238E27FC236}">
                  <a16:creationId xmlns:a16="http://schemas.microsoft.com/office/drawing/2014/main" id="{6435B04B-EF71-451A-9E2F-842ED78CDEF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2E69EE73" w14:textId="77777777" w:rsidR="0071173A" w:rsidRDefault="0071173A" w:rsidP="0071173A">
      <w:pPr>
        <w:rPr>
          <w:szCs w:val="14"/>
        </w:rPr>
      </w:pPr>
      <w:r w:rsidRPr="0064697E">
        <w:rPr>
          <w:b/>
          <w:bCs/>
          <w:szCs w:val="14"/>
        </w:rPr>
        <w:t>Activity 5</w:t>
      </w:r>
      <w:r>
        <w:rPr>
          <w:szCs w:val="14"/>
        </w:rPr>
        <w:t>: Review current interagency agreement between VR and SEA that encompasses the required elements in WIOA.</w:t>
      </w:r>
    </w:p>
    <w:p w14:paraId="30ED6DDF" w14:textId="77777777" w:rsidR="0071173A" w:rsidRDefault="0071173A" w:rsidP="0071173A">
      <w:pPr>
        <w:rPr>
          <w:szCs w:val="14"/>
        </w:rPr>
      </w:pPr>
      <w:r w:rsidRPr="0064697E">
        <w:rPr>
          <w:b/>
          <w:bCs/>
          <w:szCs w:val="14"/>
        </w:rPr>
        <w:t>Outupt E</w:t>
      </w:r>
      <w:r>
        <w:rPr>
          <w:szCs w:val="14"/>
        </w:rPr>
        <w:t>: Documented feedback on interagency agreement.</w:t>
      </w:r>
    </w:p>
    <w:p w14:paraId="1F9CD16A" w14:textId="77777777" w:rsidR="0071173A" w:rsidRDefault="0071173A" w:rsidP="0071173A">
      <w:pPr>
        <w:jc w:val="center"/>
        <w:rPr>
          <w:szCs w:val="14"/>
        </w:rPr>
      </w:pPr>
      <w:r>
        <w:rPr>
          <w:noProof/>
          <w:lang w:eastAsia="ko-KR"/>
        </w:rPr>
        <w:drawing>
          <wp:inline distT="0" distB="0" distL="0" distR="0" wp14:anchorId="7BA973B6" wp14:editId="57F9A238">
            <wp:extent cx="2818151" cy="5133340"/>
            <wp:effectExtent l="0" t="0" r="1270" b="10160"/>
            <wp:docPr id="209" name="Chart 209" descr="Pre-ETS activity 6 63% completed 100%,  4% completed 90%, 7% completed 50%  and 26% not started. Pre-Ets Outputs: 59% completed 100%, 4% completed 90%, 14% completed 75%, 7% completed 50%,  26 not stated">
              <a:extLst xmlns:a="http://schemas.openxmlformats.org/drawingml/2006/main">
                <a:ext uri="{FF2B5EF4-FFF2-40B4-BE49-F238E27FC236}">
                  <a16:creationId xmlns:a16="http://schemas.microsoft.com/office/drawing/2014/main" id="{9215E34F-2659-4CCD-8021-99A15EB7A8E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5E1A9B55" w14:textId="77777777" w:rsidR="0071173A" w:rsidRDefault="0071173A" w:rsidP="0071173A">
      <w:pPr>
        <w:rPr>
          <w:szCs w:val="14"/>
        </w:rPr>
      </w:pPr>
      <w:r w:rsidRPr="0064697E">
        <w:rPr>
          <w:b/>
          <w:bCs/>
          <w:szCs w:val="14"/>
        </w:rPr>
        <w:t>Activity 6</w:t>
      </w:r>
      <w:r>
        <w:rPr>
          <w:szCs w:val="14"/>
        </w:rPr>
        <w:t>: Assist in the development of an updated interagency agreement between VR and SEA that encompasses the required elements in WIOA to use as a model for LEA agreements.</w:t>
      </w:r>
    </w:p>
    <w:p w14:paraId="3DC60530" w14:textId="77777777" w:rsidR="0071173A" w:rsidRDefault="0071173A" w:rsidP="0071173A">
      <w:pPr>
        <w:rPr>
          <w:szCs w:val="14"/>
        </w:rPr>
      </w:pPr>
      <w:r w:rsidRPr="0064697E">
        <w:rPr>
          <w:b/>
          <w:bCs/>
          <w:szCs w:val="14"/>
        </w:rPr>
        <w:t>Ouptut F</w:t>
      </w:r>
      <w:r>
        <w:rPr>
          <w:szCs w:val="14"/>
        </w:rPr>
        <w:t>: Draft updated agreement with recommendations.</w:t>
      </w:r>
    </w:p>
    <w:p w14:paraId="70C1DF32" w14:textId="77777777" w:rsidR="0071173A" w:rsidRDefault="0071173A" w:rsidP="0071173A">
      <w:pPr>
        <w:jc w:val="center"/>
        <w:rPr>
          <w:szCs w:val="14"/>
        </w:rPr>
      </w:pPr>
      <w:r>
        <w:rPr>
          <w:noProof/>
          <w:lang w:eastAsia="ko-KR"/>
        </w:rPr>
        <w:lastRenderedPageBreak/>
        <w:drawing>
          <wp:inline distT="0" distB="0" distL="0" distR="0" wp14:anchorId="7375447F" wp14:editId="6BFDA1F5">
            <wp:extent cx="2797810" cy="5133340"/>
            <wp:effectExtent l="0" t="0" r="2540" b="10160"/>
            <wp:docPr id="210" name="Chart 210" descr="Pre-ETS activity 7 67 completed 100%,  21% completed 75%, 11% completed 25, and 22not started. Pre-Ets Outputs: 67 completed 100%, 3% not stated">
              <a:extLst xmlns:a="http://schemas.openxmlformats.org/drawingml/2006/main">
                <a:ext uri="{FF2B5EF4-FFF2-40B4-BE49-F238E27FC236}">
                  <a16:creationId xmlns:a16="http://schemas.microsoft.com/office/drawing/2014/main" id="{6FC09779-8C2A-46D5-AA82-440E7E0DD86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589C7C6C" w14:textId="77777777" w:rsidR="0071173A" w:rsidRDefault="0071173A" w:rsidP="0071173A">
      <w:r w:rsidRPr="007B3F81">
        <w:rPr>
          <w:b/>
          <w:bCs/>
          <w:szCs w:val="14"/>
        </w:rPr>
        <w:t>Activity 7</w:t>
      </w:r>
      <w:r>
        <w:rPr>
          <w:szCs w:val="14"/>
        </w:rPr>
        <w:t xml:space="preserve">: Assist agency in demonstrating that they have met </w:t>
      </w:r>
      <w:r w:rsidRPr="00206792">
        <w:t>the requirement for the provision of pre-employment transition services required and coordination activities before assigning authorized services to reserved funds</w:t>
      </w:r>
      <w:r>
        <w:t>.</w:t>
      </w:r>
    </w:p>
    <w:p w14:paraId="065E0D6F" w14:textId="77777777" w:rsidR="0071173A" w:rsidRDefault="0071173A" w:rsidP="0071173A">
      <w:pPr>
        <w:rPr>
          <w:szCs w:val="14"/>
        </w:rPr>
      </w:pPr>
      <w:r w:rsidRPr="007B3F81">
        <w:rPr>
          <w:b/>
          <w:bCs/>
        </w:rPr>
        <w:t>Output G</w:t>
      </w:r>
      <w:r>
        <w:t>: Completion of RSA approved model of movement from required to authorized activities.</w:t>
      </w:r>
    </w:p>
    <w:p w14:paraId="613618C4" w14:textId="77777777" w:rsidR="0071173A" w:rsidRDefault="0071173A" w:rsidP="0071173A">
      <w:pPr>
        <w:jc w:val="center"/>
        <w:rPr>
          <w:szCs w:val="14"/>
        </w:rPr>
      </w:pPr>
      <w:r>
        <w:rPr>
          <w:noProof/>
          <w:lang w:eastAsia="ko-KR"/>
        </w:rPr>
        <w:drawing>
          <wp:inline distT="0" distB="0" distL="0" distR="0" wp14:anchorId="2C55D163" wp14:editId="7A3A3974">
            <wp:extent cx="2833141" cy="5133340"/>
            <wp:effectExtent l="0" t="0" r="5715" b="10160"/>
            <wp:docPr id="211" name="Chart 211" descr="Pre-ETS activity 8 75 completed 100%,  6% completed 50%, 1% not started. Pre-Ets Outputs: 75 completed 100%, 6% completed 50%, 19 not stated">
              <a:extLst xmlns:a="http://schemas.openxmlformats.org/drawingml/2006/main">
                <a:ext uri="{FF2B5EF4-FFF2-40B4-BE49-F238E27FC236}">
                  <a16:creationId xmlns:a16="http://schemas.microsoft.com/office/drawing/2014/main" id="{41D27F0E-5307-4CC9-AF67-67F2F1203E6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7360EEF1" w14:textId="77777777" w:rsidR="0071173A" w:rsidRDefault="0071173A" w:rsidP="0071173A">
      <w:pPr>
        <w:rPr>
          <w:szCs w:val="14"/>
        </w:rPr>
      </w:pPr>
      <w:r w:rsidRPr="007B3F81">
        <w:rPr>
          <w:b/>
          <w:bCs/>
          <w:szCs w:val="14"/>
        </w:rPr>
        <w:t>Activity 8</w:t>
      </w:r>
      <w:r>
        <w:rPr>
          <w:szCs w:val="14"/>
        </w:rPr>
        <w:t>: Provide training to VR staff regarding Pre-ETS and S. 113 of the Act as amended by WIOA.</w:t>
      </w:r>
    </w:p>
    <w:p w14:paraId="68BB8849" w14:textId="77777777" w:rsidR="0071173A" w:rsidRDefault="0071173A" w:rsidP="0071173A">
      <w:pPr>
        <w:rPr>
          <w:szCs w:val="14"/>
        </w:rPr>
      </w:pPr>
      <w:r w:rsidRPr="007B3F81">
        <w:rPr>
          <w:b/>
          <w:bCs/>
          <w:szCs w:val="14"/>
        </w:rPr>
        <w:t>Output H</w:t>
      </w:r>
      <w:r>
        <w:rPr>
          <w:szCs w:val="14"/>
        </w:rPr>
        <w:t>: The number of individuals that complete the training(s).</w:t>
      </w:r>
    </w:p>
    <w:p w14:paraId="7D6858B8" w14:textId="77777777" w:rsidR="0071173A" w:rsidRDefault="0071173A" w:rsidP="0071173A">
      <w:pPr>
        <w:jc w:val="center"/>
        <w:rPr>
          <w:szCs w:val="14"/>
        </w:rPr>
      </w:pPr>
      <w:r>
        <w:rPr>
          <w:noProof/>
          <w:lang w:eastAsia="ko-KR"/>
        </w:rPr>
        <w:lastRenderedPageBreak/>
        <w:drawing>
          <wp:inline distT="0" distB="0" distL="0" distR="0" wp14:anchorId="27BA7557" wp14:editId="58231751">
            <wp:extent cx="2797810" cy="5133340"/>
            <wp:effectExtent l="0" t="0" r="2540" b="10160"/>
            <wp:docPr id="212" name="Chart 212" descr="Pre-ETS activity 9 27%completed 100%,  7% completed 50%, 13 completed 25%, and 53%not started. Pre-Ets Outputs: 27% completed 100%, 7 completed 50%, 13 completed 25%, 53not stated">
              <a:extLst xmlns:a="http://schemas.openxmlformats.org/drawingml/2006/main">
                <a:ext uri="{FF2B5EF4-FFF2-40B4-BE49-F238E27FC236}">
                  <a16:creationId xmlns:a16="http://schemas.microsoft.com/office/drawing/2014/main" id="{B1575C10-AFBC-4210-9075-A1A385C6E94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272082E1" w14:textId="77777777" w:rsidR="0071173A" w:rsidRDefault="0071173A" w:rsidP="0071173A">
      <w:r w:rsidRPr="007318BB">
        <w:rPr>
          <w:b/>
          <w:bCs/>
          <w:szCs w:val="14"/>
        </w:rPr>
        <w:t>Activity 9</w:t>
      </w:r>
      <w:r>
        <w:rPr>
          <w:szCs w:val="14"/>
        </w:rPr>
        <w:t xml:space="preserve">: </w:t>
      </w:r>
      <w:r w:rsidRPr="00206792">
        <w:t>Provide training to VR staff regarding Agency’s updated policies and procedures related to Pre-ETS</w:t>
      </w:r>
      <w:r>
        <w:t>.</w:t>
      </w:r>
    </w:p>
    <w:p w14:paraId="2549CB48" w14:textId="77777777" w:rsidR="0071173A" w:rsidRDefault="0071173A" w:rsidP="0071173A">
      <w:pPr>
        <w:rPr>
          <w:szCs w:val="14"/>
        </w:rPr>
      </w:pPr>
      <w:r w:rsidRPr="007318BB">
        <w:rPr>
          <w:b/>
          <w:bCs/>
        </w:rPr>
        <w:t>Output I</w:t>
      </w:r>
      <w:r>
        <w:t>: The number of individuals that complete the training(s).</w:t>
      </w:r>
    </w:p>
    <w:p w14:paraId="1B083EF5" w14:textId="77777777" w:rsidR="0071173A" w:rsidRDefault="0071173A" w:rsidP="0071173A">
      <w:pPr>
        <w:jc w:val="center"/>
        <w:rPr>
          <w:szCs w:val="14"/>
        </w:rPr>
      </w:pPr>
      <w:r>
        <w:rPr>
          <w:noProof/>
          <w:lang w:eastAsia="ko-KR"/>
        </w:rPr>
        <w:drawing>
          <wp:inline distT="0" distB="0" distL="0" distR="0" wp14:anchorId="6DCAD46E" wp14:editId="19EDB6D7">
            <wp:extent cx="2848131" cy="5133340"/>
            <wp:effectExtent l="0" t="0" r="9525" b="10160"/>
            <wp:docPr id="213" name="Chart 213" descr="Pre-ETS activity 10 86% completed 100% and 14% completed 50%. Outputs 86% completed 100% and 14% completed 50%">
              <a:extLst xmlns:a="http://schemas.openxmlformats.org/drawingml/2006/main">
                <a:ext uri="{FF2B5EF4-FFF2-40B4-BE49-F238E27FC236}">
                  <a16:creationId xmlns:a16="http://schemas.microsoft.com/office/drawing/2014/main" id="{C8220CC3-4BBF-46D3-8969-07BF3D6B460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26640084" w14:textId="77777777" w:rsidR="0071173A" w:rsidRDefault="0071173A" w:rsidP="0071173A">
      <w:r w:rsidRPr="007318BB">
        <w:rPr>
          <w:b/>
          <w:bCs/>
          <w:szCs w:val="14"/>
        </w:rPr>
        <w:t>Activity 10</w:t>
      </w:r>
      <w:r>
        <w:rPr>
          <w:szCs w:val="14"/>
        </w:rPr>
        <w:t xml:space="preserve">: </w:t>
      </w:r>
      <w:r w:rsidRPr="00206792">
        <w:t>Assist in the development of a strategy to explore and expand Pre-ETS service delivery including possible electronic/online options and modalities</w:t>
      </w:r>
      <w:r>
        <w:t>.</w:t>
      </w:r>
    </w:p>
    <w:p w14:paraId="657494AE" w14:textId="77777777" w:rsidR="0071173A" w:rsidRDefault="0071173A" w:rsidP="0071173A">
      <w:pPr>
        <w:rPr>
          <w:szCs w:val="14"/>
        </w:rPr>
      </w:pPr>
      <w:r w:rsidRPr="007318BB">
        <w:rPr>
          <w:b/>
          <w:bCs/>
        </w:rPr>
        <w:t>Output J</w:t>
      </w:r>
      <w:r>
        <w:t>: Disseminate Explore-Work.com to agency.</w:t>
      </w:r>
    </w:p>
    <w:p w14:paraId="4478B10D" w14:textId="77777777" w:rsidR="0071173A" w:rsidRDefault="0071173A" w:rsidP="0071173A">
      <w:pPr>
        <w:jc w:val="center"/>
        <w:rPr>
          <w:szCs w:val="14"/>
        </w:rPr>
      </w:pPr>
      <w:r>
        <w:rPr>
          <w:noProof/>
          <w:lang w:eastAsia="ko-KR"/>
        </w:rPr>
        <w:lastRenderedPageBreak/>
        <w:drawing>
          <wp:inline distT="0" distB="0" distL="0" distR="0" wp14:anchorId="7434DA28" wp14:editId="5573CE42">
            <wp:extent cx="2797810" cy="5133340"/>
            <wp:effectExtent l="0" t="0" r="2540" b="10160"/>
            <wp:docPr id="214" name="Chart 214" descr="Pre-ETS activity unique: Activity - 25% completed 100%, 25 completed 50%, and 50% not started. Outputs -  25% completed 100%, 25 completed 50%, and 50% not started. ">
              <a:extLst xmlns:a="http://schemas.openxmlformats.org/drawingml/2006/main">
                <a:ext uri="{FF2B5EF4-FFF2-40B4-BE49-F238E27FC236}">
                  <a16:creationId xmlns:a16="http://schemas.microsoft.com/office/drawing/2014/main" id="{83C27F01-F965-4A92-B24D-8579DC4EC90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0D012916" w14:textId="2AF802A0" w:rsidR="0071173A" w:rsidRPr="00427B35" w:rsidRDefault="00C36EE2" w:rsidP="00427B35">
      <w:pPr>
        <w:spacing w:after="0" w:line="240" w:lineRule="auto"/>
        <w:rPr>
          <w:b/>
          <w:bCs/>
          <w:szCs w:val="14"/>
        </w:rPr>
      </w:pPr>
      <w:r w:rsidRPr="00C36EE2">
        <w:rPr>
          <w:b/>
          <w:bCs/>
          <w:szCs w:val="14"/>
        </w:rPr>
        <w:t>Activit</w:t>
      </w:r>
      <w:r>
        <w:rPr>
          <w:b/>
          <w:bCs/>
          <w:szCs w:val="14"/>
        </w:rPr>
        <w:t>ies</w:t>
      </w:r>
      <w:r w:rsidRPr="00C36EE2">
        <w:rPr>
          <w:b/>
          <w:bCs/>
          <w:szCs w:val="14"/>
        </w:rPr>
        <w:t xml:space="preserve"> Unique: </w:t>
      </w:r>
      <w:r w:rsidR="00427B35">
        <w:rPr>
          <w:szCs w:val="14"/>
        </w:rPr>
        <w:t xml:space="preserve">In each state, there are unique activities not reflected in the logic model.  For Pre-ETS, examples include outreach to blind and visually impaired populations, assistance with work-based learning programs, and a transition coordination institute.  </w:t>
      </w:r>
    </w:p>
    <w:p w14:paraId="0091D8DC" w14:textId="77777777" w:rsidR="0071173A" w:rsidRDefault="0071173A" w:rsidP="0071173A">
      <w:pPr>
        <w:jc w:val="center"/>
        <w:rPr>
          <w:szCs w:val="14"/>
        </w:rPr>
        <w:sectPr w:rsidR="0071173A" w:rsidSect="00D27D05">
          <w:pgSz w:w="12240" w:h="15840"/>
          <w:pgMar w:top="1440" w:right="1440" w:bottom="1440" w:left="1440" w:header="720" w:footer="720" w:gutter="0"/>
          <w:pgBorders w:offsetFrom="page">
            <w:top w:val="thinThickSmallGap" w:sz="24" w:space="24" w:color="2F5496" w:themeColor="accent1" w:themeShade="BF"/>
            <w:left w:val="thinThickSmallGap" w:sz="24" w:space="24" w:color="2F5496" w:themeColor="accent1" w:themeShade="BF"/>
            <w:bottom w:val="thickThinSmallGap" w:sz="24" w:space="24" w:color="2F5496" w:themeColor="accent1" w:themeShade="BF"/>
            <w:right w:val="thickThinSmallGap" w:sz="24" w:space="24" w:color="2F5496" w:themeColor="accent1" w:themeShade="BF"/>
          </w:pgBorders>
          <w:cols w:num="2" w:space="720"/>
          <w:docGrid w:linePitch="360"/>
        </w:sectPr>
      </w:pPr>
    </w:p>
    <w:p w14:paraId="7F9D225B" w14:textId="297B68AF" w:rsidR="00427B35" w:rsidRDefault="00427B35" w:rsidP="00427B35">
      <w:pPr>
        <w:ind w:firstLine="720"/>
        <w:rPr>
          <w:szCs w:val="14"/>
        </w:rPr>
      </w:pPr>
      <w:r>
        <w:rPr>
          <w:szCs w:val="14"/>
        </w:rPr>
        <w:lastRenderedPageBreak/>
        <w:t xml:space="preserve">The following charts present the amount of technical assistance activities and outputs across both targeted and intensive categories.  </w:t>
      </w:r>
      <w:r w:rsidR="00AA2600">
        <w:rPr>
          <w:szCs w:val="14"/>
        </w:rPr>
        <w:t>They present the TA provided by year when according to when the ITAA was signed</w:t>
      </w:r>
      <w:r w:rsidR="006E57D3">
        <w:rPr>
          <w:szCs w:val="14"/>
        </w:rPr>
        <w:t xml:space="preserve"> (or the relationship with the state began) and by “type” of TA, according to whether the state has a formal ITAA in place or not.  </w:t>
      </w:r>
      <w:r w:rsidR="00303006">
        <w:rPr>
          <w:szCs w:val="14"/>
        </w:rPr>
        <w:t xml:space="preserve">The columns represent the “amount” by year, while the line represents the cumulative amount over time.  </w:t>
      </w:r>
      <w:r>
        <w:rPr>
          <w:szCs w:val="14"/>
        </w:rPr>
        <w:t xml:space="preserve">The need for TA in Pre-ETS has clearly been significant and the volume of measurable work and measurable results is nothing short of impressive.  These outputs represent systems changes that are embodied in the policies and procedures of the agency and will go on to have lasting impact on client experiences, and ultimately, outcomes.  </w:t>
      </w:r>
    </w:p>
    <w:p w14:paraId="4337EE0E" w14:textId="77777777" w:rsidR="0071173A" w:rsidRDefault="0071173A" w:rsidP="0071173A">
      <w:pPr>
        <w:jc w:val="center"/>
        <w:rPr>
          <w:szCs w:val="14"/>
        </w:rPr>
      </w:pPr>
      <w:r>
        <w:rPr>
          <w:noProof/>
          <w:lang w:eastAsia="ko-KR"/>
        </w:rPr>
        <mc:AlternateContent>
          <mc:Choice Requires="cx1">
            <w:drawing>
              <wp:inline distT="0" distB="0" distL="0" distR="0" wp14:anchorId="2A17DAC6" wp14:editId="7030A94E">
                <wp:extent cx="4656667" cy="2822575"/>
                <wp:effectExtent l="0" t="0" r="10795" b="15875"/>
                <wp:docPr id="215" name="Chart 215" descr="Number of Forms submitted from years 2016 - 2019">
                  <a:extLst xmlns:a="http://schemas.openxmlformats.org/drawingml/2006/main">
                    <a:ext uri="{FF2B5EF4-FFF2-40B4-BE49-F238E27FC236}">
                      <a16:creationId xmlns:a16="http://schemas.microsoft.com/office/drawing/2014/main" id="{DE1002DC-A82C-48CE-B7A8-1F5F0F1117BE}"/>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42"/>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drawing>
              <wp:inline distT="0" distB="0" distL="0" distR="0" wp14:anchorId="2A17DAC6" wp14:editId="7030A94E">
                <wp:extent cx="4656667" cy="2822575"/>
                <wp:effectExtent l="0" t="0" r="10795" b="15875"/>
                <wp:docPr id="215" name="Chart 215" descr="Number of Forms submitted from years 2016 - 2019">
                  <a:extLst xmlns:a="http://schemas.openxmlformats.org/drawingml/2006/main">
                    <a:ext uri="{FF2B5EF4-FFF2-40B4-BE49-F238E27FC236}">
                      <a16:creationId xmlns:a16="http://schemas.microsoft.com/office/drawing/2014/main" id="{DE1002DC-A82C-48CE-B7A8-1F5F0F1117BE}"/>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215" name="Chart 215" descr="Number of Forms submitted from years 2016 - 2019">
                          <a:extLst>
                            <a:ext uri="{FF2B5EF4-FFF2-40B4-BE49-F238E27FC236}">
                              <a16:creationId xmlns:a16="http://schemas.microsoft.com/office/drawing/2014/main" id="{DE1002DC-A82C-48CE-B7A8-1F5F0F1117BE}"/>
                            </a:ext>
                          </a:extLst>
                        </pic:cNvPr>
                        <pic:cNvPicPr>
                          <a:picLocks noGrp="1" noRot="1" noChangeAspect="1" noMove="1" noResize="1" noEditPoints="1" noAdjustHandles="1" noChangeArrowheads="1" noChangeShapeType="1"/>
                        </pic:cNvPicPr>
                      </pic:nvPicPr>
                      <pic:blipFill>
                        <a:blip r:embed="rId43"/>
                        <a:stretch>
                          <a:fillRect/>
                        </a:stretch>
                      </pic:blipFill>
                      <pic:spPr>
                        <a:xfrm>
                          <a:off x="0" y="0"/>
                          <a:ext cx="4656455" cy="2822575"/>
                        </a:xfrm>
                        <a:prstGeom prst="rect">
                          <a:avLst/>
                        </a:prstGeom>
                      </pic:spPr>
                    </pic:pic>
                  </a:graphicData>
                </a:graphic>
              </wp:inline>
            </w:drawing>
          </mc:Fallback>
        </mc:AlternateContent>
      </w:r>
    </w:p>
    <w:p w14:paraId="53B4628E" w14:textId="77777777" w:rsidR="0071173A" w:rsidRDefault="0071173A" w:rsidP="0071173A">
      <w:pPr>
        <w:jc w:val="center"/>
        <w:rPr>
          <w:szCs w:val="14"/>
        </w:rPr>
      </w:pPr>
    </w:p>
    <w:p w14:paraId="4A35C8C3" w14:textId="77777777" w:rsidR="0071173A" w:rsidRDefault="0071173A" w:rsidP="0071173A">
      <w:pPr>
        <w:jc w:val="center"/>
        <w:rPr>
          <w:szCs w:val="14"/>
        </w:rPr>
      </w:pPr>
      <w:r>
        <w:rPr>
          <w:noProof/>
          <w:lang w:eastAsia="ko-KR"/>
        </w:rPr>
        <mc:AlternateContent>
          <mc:Choice Requires="cx1">
            <w:drawing>
              <wp:inline distT="0" distB="0" distL="0" distR="0" wp14:anchorId="15DC0B33" wp14:editId="35A672BA">
                <wp:extent cx="4646083" cy="2827866"/>
                <wp:effectExtent l="0" t="0" r="2540" b="10795"/>
                <wp:docPr id="216" name="Chart 216" descr="Number of contract submitted from 2016 - 2019">
                  <a:extLst xmlns:a="http://schemas.openxmlformats.org/drawingml/2006/main">
                    <a:ext uri="{FF2B5EF4-FFF2-40B4-BE49-F238E27FC236}">
                      <a16:creationId xmlns:a16="http://schemas.microsoft.com/office/drawing/2014/main" id="{A99E36F3-6B63-4B89-9E40-66701A569ECC}"/>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44"/>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drawing>
              <wp:inline distT="0" distB="0" distL="0" distR="0" wp14:anchorId="15DC0B33" wp14:editId="35A672BA">
                <wp:extent cx="4646083" cy="2827866"/>
                <wp:effectExtent l="0" t="0" r="2540" b="10795"/>
                <wp:docPr id="216" name="Chart 216" descr="Number of contract submitted from 2016 - 2019">
                  <a:extLst xmlns:a="http://schemas.openxmlformats.org/drawingml/2006/main">
                    <a:ext uri="{FF2B5EF4-FFF2-40B4-BE49-F238E27FC236}">
                      <a16:creationId xmlns:a16="http://schemas.microsoft.com/office/drawing/2014/main" id="{A99E36F3-6B63-4B89-9E40-66701A569ECC}"/>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216" name="Chart 216" descr="Number of contract submitted from 2016 - 2019">
                          <a:extLst>
                            <a:ext uri="{FF2B5EF4-FFF2-40B4-BE49-F238E27FC236}">
                              <a16:creationId xmlns:a16="http://schemas.microsoft.com/office/drawing/2014/main" id="{A99E36F3-6B63-4B89-9E40-66701A569ECC}"/>
                            </a:ext>
                          </a:extLst>
                        </pic:cNvPr>
                        <pic:cNvPicPr>
                          <a:picLocks noGrp="1" noRot="1" noChangeAspect="1" noMove="1" noResize="1" noEditPoints="1" noAdjustHandles="1" noChangeArrowheads="1" noChangeShapeType="1"/>
                        </pic:cNvPicPr>
                      </pic:nvPicPr>
                      <pic:blipFill>
                        <a:blip r:embed="rId45"/>
                        <a:stretch>
                          <a:fillRect/>
                        </a:stretch>
                      </pic:blipFill>
                      <pic:spPr>
                        <a:xfrm>
                          <a:off x="0" y="0"/>
                          <a:ext cx="4645660" cy="2827655"/>
                        </a:xfrm>
                        <a:prstGeom prst="rect">
                          <a:avLst/>
                        </a:prstGeom>
                      </pic:spPr>
                    </pic:pic>
                  </a:graphicData>
                </a:graphic>
              </wp:inline>
            </w:drawing>
          </mc:Fallback>
        </mc:AlternateContent>
      </w:r>
    </w:p>
    <w:p w14:paraId="0C63BF41" w14:textId="77777777" w:rsidR="0071173A" w:rsidRDefault="0071173A" w:rsidP="0071173A">
      <w:pPr>
        <w:jc w:val="center"/>
        <w:rPr>
          <w:szCs w:val="14"/>
        </w:rPr>
      </w:pPr>
    </w:p>
    <w:p w14:paraId="69ACCEFE" w14:textId="77777777" w:rsidR="0071173A" w:rsidRDefault="0071173A" w:rsidP="0071173A">
      <w:pPr>
        <w:jc w:val="center"/>
        <w:rPr>
          <w:szCs w:val="14"/>
        </w:rPr>
      </w:pPr>
      <w:r>
        <w:rPr>
          <w:noProof/>
          <w:lang w:eastAsia="ko-KR"/>
        </w:rPr>
        <w:lastRenderedPageBreak/>
        <mc:AlternateContent>
          <mc:Choice Requires="cx1">
            <w:drawing>
              <wp:inline distT="0" distB="0" distL="0" distR="0" wp14:anchorId="4D8C232F" wp14:editId="142EA535">
                <wp:extent cx="4663017" cy="2780241"/>
                <wp:effectExtent l="0" t="0" r="4445" b="1270"/>
                <wp:docPr id="217" name="Chart 217" descr="Number of policies from 2016 - 2019">
                  <a:extLst xmlns:a="http://schemas.openxmlformats.org/drawingml/2006/main">
                    <a:ext uri="{FF2B5EF4-FFF2-40B4-BE49-F238E27FC236}">
                      <a16:creationId xmlns:a16="http://schemas.microsoft.com/office/drawing/2014/main" id="{F04E9021-1774-4536-8CBE-3ECB7494323A}"/>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46"/>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drawing>
              <wp:inline distT="0" distB="0" distL="0" distR="0" wp14:anchorId="4D8C232F" wp14:editId="142EA535">
                <wp:extent cx="4663017" cy="2780241"/>
                <wp:effectExtent l="0" t="0" r="4445" b="1270"/>
                <wp:docPr id="217" name="Chart 217" descr="Number of policies from 2016 - 2019">
                  <a:extLst xmlns:a="http://schemas.openxmlformats.org/drawingml/2006/main">
                    <a:ext uri="{FF2B5EF4-FFF2-40B4-BE49-F238E27FC236}">
                      <a16:creationId xmlns:a16="http://schemas.microsoft.com/office/drawing/2014/main" id="{F04E9021-1774-4536-8CBE-3ECB7494323A}"/>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217" name="Chart 217" descr="Number of policies from 2016 - 2019">
                          <a:extLst>
                            <a:ext uri="{FF2B5EF4-FFF2-40B4-BE49-F238E27FC236}">
                              <a16:creationId xmlns:a16="http://schemas.microsoft.com/office/drawing/2014/main" id="{F04E9021-1774-4536-8CBE-3ECB7494323A}"/>
                            </a:ext>
                          </a:extLst>
                        </pic:cNvPr>
                        <pic:cNvPicPr>
                          <a:picLocks noGrp="1" noRot="1" noChangeAspect="1" noMove="1" noResize="1" noEditPoints="1" noAdjustHandles="1" noChangeArrowheads="1" noChangeShapeType="1"/>
                        </pic:cNvPicPr>
                      </pic:nvPicPr>
                      <pic:blipFill>
                        <a:blip r:embed="rId47"/>
                        <a:stretch>
                          <a:fillRect/>
                        </a:stretch>
                      </pic:blipFill>
                      <pic:spPr>
                        <a:xfrm>
                          <a:off x="0" y="0"/>
                          <a:ext cx="4662805" cy="2780030"/>
                        </a:xfrm>
                        <a:prstGeom prst="rect">
                          <a:avLst/>
                        </a:prstGeom>
                      </pic:spPr>
                    </pic:pic>
                  </a:graphicData>
                </a:graphic>
              </wp:inline>
            </w:drawing>
          </mc:Fallback>
        </mc:AlternateContent>
      </w:r>
    </w:p>
    <w:p w14:paraId="258DD0D3" w14:textId="77777777" w:rsidR="0071173A" w:rsidRDefault="0071173A" w:rsidP="0071173A">
      <w:pPr>
        <w:jc w:val="center"/>
        <w:rPr>
          <w:szCs w:val="14"/>
        </w:rPr>
      </w:pPr>
    </w:p>
    <w:p w14:paraId="4C90ED5E" w14:textId="77777777" w:rsidR="0071173A" w:rsidRDefault="0071173A" w:rsidP="0071173A">
      <w:pPr>
        <w:jc w:val="center"/>
        <w:rPr>
          <w:szCs w:val="14"/>
        </w:rPr>
      </w:pPr>
      <w:r>
        <w:rPr>
          <w:noProof/>
          <w:lang w:eastAsia="ko-KR"/>
        </w:rPr>
        <mc:AlternateContent>
          <mc:Choice Requires="cx1">
            <w:drawing>
              <wp:inline distT="0" distB="0" distL="0" distR="0" wp14:anchorId="5C84A1A4" wp14:editId="673A040A">
                <wp:extent cx="4497917" cy="2658533"/>
                <wp:effectExtent l="0" t="0" r="17145" b="8890"/>
                <wp:docPr id="218" name="Chart 218" descr="Number of SEA/LEA Agreements Reviewed/Revised form 2016 to 2019">
                  <a:extLst xmlns:a="http://schemas.openxmlformats.org/drawingml/2006/main">
                    <a:ext uri="{FF2B5EF4-FFF2-40B4-BE49-F238E27FC236}">
                      <a16:creationId xmlns:a16="http://schemas.microsoft.com/office/drawing/2014/main" id="{60447C68-E15D-418F-88F0-9B5B3B0FD9BF}"/>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48"/>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drawing>
              <wp:inline distT="0" distB="0" distL="0" distR="0" wp14:anchorId="5C84A1A4" wp14:editId="673A040A">
                <wp:extent cx="4497917" cy="2658533"/>
                <wp:effectExtent l="0" t="0" r="17145" b="8890"/>
                <wp:docPr id="218" name="Chart 218" descr="Number of SEA/LEA Agreements Reviewed/Revised form 2016 to 2019">
                  <a:extLst xmlns:a="http://schemas.openxmlformats.org/drawingml/2006/main">
                    <a:ext uri="{FF2B5EF4-FFF2-40B4-BE49-F238E27FC236}">
                      <a16:creationId xmlns:a16="http://schemas.microsoft.com/office/drawing/2014/main" id="{60447C68-E15D-418F-88F0-9B5B3B0FD9BF}"/>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218" name="Chart 218" descr="Number of SEA/LEA Agreements Reviewed/Revised form 2016 to 2019">
                          <a:extLst>
                            <a:ext uri="{FF2B5EF4-FFF2-40B4-BE49-F238E27FC236}">
                              <a16:creationId xmlns:a16="http://schemas.microsoft.com/office/drawing/2014/main" id="{60447C68-E15D-418F-88F0-9B5B3B0FD9BF}"/>
                            </a:ext>
                          </a:extLst>
                        </pic:cNvPr>
                        <pic:cNvPicPr>
                          <a:picLocks noGrp="1" noRot="1" noChangeAspect="1" noMove="1" noResize="1" noEditPoints="1" noAdjustHandles="1" noChangeArrowheads="1" noChangeShapeType="1"/>
                        </pic:cNvPicPr>
                      </pic:nvPicPr>
                      <pic:blipFill>
                        <a:blip r:embed="rId51"/>
                        <a:stretch>
                          <a:fillRect/>
                        </a:stretch>
                      </pic:blipFill>
                      <pic:spPr>
                        <a:xfrm>
                          <a:off x="0" y="0"/>
                          <a:ext cx="4497705" cy="2658110"/>
                        </a:xfrm>
                        <a:prstGeom prst="rect">
                          <a:avLst/>
                        </a:prstGeom>
                      </pic:spPr>
                    </pic:pic>
                  </a:graphicData>
                </a:graphic>
              </wp:inline>
            </w:drawing>
          </mc:Fallback>
        </mc:AlternateContent>
      </w:r>
    </w:p>
    <w:p w14:paraId="6EEF0A42" w14:textId="77777777" w:rsidR="0071173A" w:rsidRDefault="0071173A" w:rsidP="0071173A">
      <w:pPr>
        <w:jc w:val="center"/>
        <w:rPr>
          <w:szCs w:val="14"/>
        </w:rPr>
      </w:pPr>
    </w:p>
    <w:p w14:paraId="63698162" w14:textId="77777777" w:rsidR="0071173A" w:rsidRDefault="0071173A" w:rsidP="0071173A">
      <w:pPr>
        <w:jc w:val="center"/>
        <w:rPr>
          <w:szCs w:val="14"/>
        </w:rPr>
      </w:pPr>
      <w:r>
        <w:rPr>
          <w:noProof/>
          <w:lang w:eastAsia="ko-KR"/>
        </w:rPr>
        <w:lastRenderedPageBreak/>
        <mc:AlternateContent>
          <mc:Choice Requires="cx1">
            <w:drawing>
              <wp:inline distT="0" distB="0" distL="0" distR="0" wp14:anchorId="37B9F050" wp14:editId="7345107D">
                <wp:extent cx="4577291" cy="2658533"/>
                <wp:effectExtent l="0" t="0" r="13970" b="8890"/>
                <wp:docPr id="219" name="Chart 219" descr="Number of TA calls from 2016 to 2019">
                  <a:extLst xmlns:a="http://schemas.openxmlformats.org/drawingml/2006/main">
                    <a:ext uri="{FF2B5EF4-FFF2-40B4-BE49-F238E27FC236}">
                      <a16:creationId xmlns:a16="http://schemas.microsoft.com/office/drawing/2014/main" id="{EBC870F8-67B7-4C48-8ACE-DE88D0AE7B8C}"/>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52"/>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drawing>
              <wp:inline distT="0" distB="0" distL="0" distR="0" wp14:anchorId="37B9F050" wp14:editId="7345107D">
                <wp:extent cx="4577291" cy="2658533"/>
                <wp:effectExtent l="0" t="0" r="13970" b="8890"/>
                <wp:docPr id="219" name="Chart 219" descr="Number of TA calls from 2016 to 2019">
                  <a:extLst xmlns:a="http://schemas.openxmlformats.org/drawingml/2006/main">
                    <a:ext uri="{FF2B5EF4-FFF2-40B4-BE49-F238E27FC236}">
                      <a16:creationId xmlns:a16="http://schemas.microsoft.com/office/drawing/2014/main" id="{EBC870F8-67B7-4C48-8ACE-DE88D0AE7B8C}"/>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219" name="Chart 219" descr="Number of TA calls from 2016 to 2019">
                          <a:extLst>
                            <a:ext uri="{FF2B5EF4-FFF2-40B4-BE49-F238E27FC236}">
                              <a16:creationId xmlns:a16="http://schemas.microsoft.com/office/drawing/2014/main" id="{EBC870F8-67B7-4C48-8ACE-DE88D0AE7B8C}"/>
                            </a:ext>
                          </a:extLst>
                        </pic:cNvPr>
                        <pic:cNvPicPr>
                          <a:picLocks noGrp="1" noRot="1" noChangeAspect="1" noMove="1" noResize="1" noEditPoints="1" noAdjustHandles="1" noChangeArrowheads="1" noChangeShapeType="1"/>
                        </pic:cNvPicPr>
                      </pic:nvPicPr>
                      <pic:blipFill>
                        <a:blip r:embed="rId53"/>
                        <a:stretch>
                          <a:fillRect/>
                        </a:stretch>
                      </pic:blipFill>
                      <pic:spPr>
                        <a:xfrm>
                          <a:off x="0" y="0"/>
                          <a:ext cx="4577080" cy="2658110"/>
                        </a:xfrm>
                        <a:prstGeom prst="rect">
                          <a:avLst/>
                        </a:prstGeom>
                      </pic:spPr>
                    </pic:pic>
                  </a:graphicData>
                </a:graphic>
              </wp:inline>
            </w:drawing>
          </mc:Fallback>
        </mc:AlternateContent>
      </w:r>
    </w:p>
    <w:p w14:paraId="61956CBC" w14:textId="77777777" w:rsidR="0071173A" w:rsidRDefault="0071173A" w:rsidP="0071173A">
      <w:pPr>
        <w:jc w:val="center"/>
        <w:rPr>
          <w:szCs w:val="14"/>
        </w:rPr>
      </w:pPr>
    </w:p>
    <w:p w14:paraId="3C7943DC" w14:textId="77777777" w:rsidR="0071173A" w:rsidRDefault="0071173A" w:rsidP="0071173A">
      <w:pPr>
        <w:jc w:val="center"/>
        <w:rPr>
          <w:szCs w:val="14"/>
        </w:rPr>
      </w:pPr>
      <w:r>
        <w:rPr>
          <w:noProof/>
          <w:lang w:eastAsia="ko-KR"/>
        </w:rPr>
        <mc:AlternateContent>
          <mc:Choice Requires="cx1">
            <w:drawing>
              <wp:inline distT="0" distB="0" distL="0" distR="0" wp14:anchorId="3B968D09" wp14:editId="19AD7567">
                <wp:extent cx="4503208" cy="2658533"/>
                <wp:effectExtent l="0" t="0" r="12065" b="8890"/>
                <wp:docPr id="220" name="Chart 220" descr="Number of questions answered from 2016 to 2019">
                  <a:extLst xmlns:a="http://schemas.openxmlformats.org/drawingml/2006/main">
                    <a:ext uri="{FF2B5EF4-FFF2-40B4-BE49-F238E27FC236}">
                      <a16:creationId xmlns:a16="http://schemas.microsoft.com/office/drawing/2014/main" id="{77FB69E0-8912-4563-B03F-7B346ECBE9F2}"/>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54"/>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drawing>
              <wp:inline distT="0" distB="0" distL="0" distR="0" wp14:anchorId="3B968D09" wp14:editId="19AD7567">
                <wp:extent cx="4503208" cy="2658533"/>
                <wp:effectExtent l="0" t="0" r="12065" b="8890"/>
                <wp:docPr id="220" name="Chart 220" descr="Number of questions answered from 2016 to 2019">
                  <a:extLst xmlns:a="http://schemas.openxmlformats.org/drawingml/2006/main">
                    <a:ext uri="{FF2B5EF4-FFF2-40B4-BE49-F238E27FC236}">
                      <a16:creationId xmlns:a16="http://schemas.microsoft.com/office/drawing/2014/main" id="{77FB69E0-8912-4563-B03F-7B346ECBE9F2}"/>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220" name="Chart 220" descr="Number of questions answered from 2016 to 2019">
                          <a:extLst>
                            <a:ext uri="{FF2B5EF4-FFF2-40B4-BE49-F238E27FC236}">
                              <a16:creationId xmlns:a16="http://schemas.microsoft.com/office/drawing/2014/main" id="{77FB69E0-8912-4563-B03F-7B346ECBE9F2}"/>
                            </a:ext>
                          </a:extLst>
                        </pic:cNvPr>
                        <pic:cNvPicPr>
                          <a:picLocks noGrp="1" noRot="1" noChangeAspect="1" noMove="1" noResize="1" noEditPoints="1" noAdjustHandles="1" noChangeArrowheads="1" noChangeShapeType="1"/>
                        </pic:cNvPicPr>
                      </pic:nvPicPr>
                      <pic:blipFill>
                        <a:blip r:embed="rId55"/>
                        <a:stretch>
                          <a:fillRect/>
                        </a:stretch>
                      </pic:blipFill>
                      <pic:spPr>
                        <a:xfrm>
                          <a:off x="0" y="0"/>
                          <a:ext cx="4502785" cy="2658110"/>
                        </a:xfrm>
                        <a:prstGeom prst="rect">
                          <a:avLst/>
                        </a:prstGeom>
                      </pic:spPr>
                    </pic:pic>
                  </a:graphicData>
                </a:graphic>
              </wp:inline>
            </w:drawing>
          </mc:Fallback>
        </mc:AlternateContent>
      </w:r>
    </w:p>
    <w:p w14:paraId="132D276A" w14:textId="77777777" w:rsidR="0071173A" w:rsidRDefault="0071173A" w:rsidP="0071173A">
      <w:pPr>
        <w:rPr>
          <w:szCs w:val="14"/>
        </w:rPr>
      </w:pPr>
    </w:p>
    <w:p w14:paraId="464DD4D7" w14:textId="7A6C4CD7" w:rsidR="0071173A" w:rsidRDefault="0071173A" w:rsidP="0071173A">
      <w:pPr>
        <w:jc w:val="center"/>
        <w:rPr>
          <w:szCs w:val="14"/>
        </w:rPr>
      </w:pPr>
    </w:p>
    <w:p w14:paraId="32EB12F3" w14:textId="76706C42" w:rsidR="0071173A" w:rsidRDefault="00DD34A8" w:rsidP="0071173A">
      <w:pPr>
        <w:jc w:val="center"/>
        <w:rPr>
          <w:szCs w:val="14"/>
        </w:rPr>
      </w:pPr>
      <w:r>
        <w:rPr>
          <w:noProof/>
          <w:lang w:eastAsia="ko-KR"/>
        </w:rPr>
        <w:lastRenderedPageBreak/>
        <mc:AlternateContent>
          <mc:Choice Requires="cx1">
            <w:drawing>
              <wp:inline distT="0" distB="0" distL="0" distR="0" wp14:anchorId="51F629FE" wp14:editId="71148C6A">
                <wp:extent cx="4562947" cy="2562131"/>
                <wp:effectExtent l="0" t="0" r="9525" b="10160"/>
                <wp:docPr id="229" name="Chart 229" descr="Chart depicting the number of site visits conducted by the pre-ETS team" title="Chart on the number of site visits">
                  <a:extLst xmlns:a="http://schemas.openxmlformats.org/drawingml/2006/main">
                    <a:ext uri="{FF2B5EF4-FFF2-40B4-BE49-F238E27FC236}">
                      <a16:creationId xmlns:a16="http://schemas.microsoft.com/office/drawing/2014/main" id="{0774EFD7-A1AB-4A73-A761-2079913C1E4C}"/>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56"/>
                  </a:graphicData>
                </a:graphic>
              </wp:inline>
            </w:drawing>
          </mc:Choice>
          <mc:Fallback>
            <w:drawing>
              <wp:inline distT="0" distB="0" distL="0" distR="0" wp14:anchorId="51F629FE" wp14:editId="71148C6A">
                <wp:extent cx="4562947" cy="2562131"/>
                <wp:effectExtent l="0" t="0" r="9525" b="10160"/>
                <wp:docPr id="229" name="Chart 229" descr="Chart depicting the number of site visits conducted by the pre-ETS team" title="Chart on the number of site visits">
                  <a:extLst xmlns:a="http://schemas.openxmlformats.org/drawingml/2006/main">
                    <a:ext uri="{FF2B5EF4-FFF2-40B4-BE49-F238E27FC236}">
                      <a16:creationId xmlns:a16="http://schemas.microsoft.com/office/drawing/2014/main" id="{0774EFD7-A1AB-4A73-A761-2079913C1E4C}"/>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229" name="Chart 229" descr="Chart depicting the number of site visits conducted by the pre-ETS team" title="Chart on the number of site visits">
                          <a:extLst>
                            <a:ext uri="{FF2B5EF4-FFF2-40B4-BE49-F238E27FC236}">
                              <a16:creationId xmlns:a16="http://schemas.microsoft.com/office/drawing/2014/main" id="{0774EFD7-A1AB-4A73-A761-2079913C1E4C}"/>
                            </a:ext>
                          </a:extLst>
                        </pic:cNvPr>
                        <pic:cNvPicPr>
                          <a:picLocks noGrp="1" noRot="1" noChangeAspect="1" noMove="1" noResize="1" noEditPoints="1" noAdjustHandles="1" noChangeArrowheads="1" noChangeShapeType="1"/>
                        </pic:cNvPicPr>
                      </pic:nvPicPr>
                      <pic:blipFill>
                        <a:blip r:embed="rId57"/>
                        <a:stretch>
                          <a:fillRect/>
                        </a:stretch>
                      </pic:blipFill>
                      <pic:spPr>
                        <a:xfrm>
                          <a:off x="0" y="0"/>
                          <a:ext cx="4562475" cy="2561590"/>
                        </a:xfrm>
                        <a:prstGeom prst="rect">
                          <a:avLst/>
                        </a:prstGeom>
                      </pic:spPr>
                    </pic:pic>
                  </a:graphicData>
                </a:graphic>
              </wp:inline>
            </w:drawing>
          </mc:Fallback>
        </mc:AlternateContent>
      </w:r>
    </w:p>
    <w:p w14:paraId="7F42BBC1" w14:textId="77777777" w:rsidR="0071173A" w:rsidRDefault="0071173A" w:rsidP="0071173A">
      <w:pPr>
        <w:jc w:val="center"/>
        <w:rPr>
          <w:szCs w:val="14"/>
        </w:rPr>
      </w:pPr>
      <w:r>
        <w:rPr>
          <w:noProof/>
          <w:lang w:eastAsia="ko-KR"/>
        </w:rPr>
        <mc:AlternateContent>
          <mc:Choice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Requires="cx2">
            <w:drawing>
              <wp:inline distT="0" distB="0" distL="0" distR="0" wp14:anchorId="5711114A" wp14:editId="44D12750">
                <wp:extent cx="3697615" cy="2724049"/>
                <wp:effectExtent l="0" t="0" r="17145" b="635"/>
                <wp:docPr id="222" name="Chart 222" descr="Number of Policies for targeted TA, Intensive TS, and all TA">
                  <a:extLst xmlns:a="http://schemas.openxmlformats.org/drawingml/2006/main">
                    <a:ext uri="{FF2B5EF4-FFF2-40B4-BE49-F238E27FC236}">
                      <a16:creationId xmlns:a16="http://schemas.microsoft.com/office/drawing/2014/main" id="{8E635D52-1BD4-465E-B7C5-D84DF7B36748}"/>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58"/>
                  </a:graphicData>
                </a:graphic>
              </wp:inline>
            </w:drawing>
          </mc:Choice>
          <mc:Fallback>
            <w:drawing>
              <wp:inline distT="0" distB="0" distL="0" distR="0" wp14:anchorId="5711114A" wp14:editId="44D12750">
                <wp:extent cx="3697615" cy="2724049"/>
                <wp:effectExtent l="0" t="0" r="17145" b="635"/>
                <wp:docPr id="222" name="Chart 222" descr="Number of Policies for targeted TA, Intensive TS, and all TA">
                  <a:extLst xmlns:a="http://schemas.openxmlformats.org/drawingml/2006/main">
                    <a:ext uri="{FF2B5EF4-FFF2-40B4-BE49-F238E27FC236}">
                      <a16:creationId xmlns:a16="http://schemas.microsoft.com/office/drawing/2014/main" id="{8E635D52-1BD4-465E-B7C5-D84DF7B36748}"/>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222" name="Chart 222" descr="Number of Policies for targeted TA, Intensive TS, and all TA">
                          <a:extLst>
                            <a:ext uri="{FF2B5EF4-FFF2-40B4-BE49-F238E27FC236}">
                              <a16:creationId xmlns:a16="http://schemas.microsoft.com/office/drawing/2014/main" id="{8E635D52-1BD4-465E-B7C5-D84DF7B36748}"/>
                            </a:ext>
                          </a:extLst>
                        </pic:cNvPr>
                        <pic:cNvPicPr>
                          <a:picLocks noGrp="1" noRot="1" noChangeAspect="1" noMove="1" noResize="1" noEditPoints="1" noAdjustHandles="1" noChangeArrowheads="1" noChangeShapeType="1"/>
                        </pic:cNvPicPr>
                      </pic:nvPicPr>
                      <pic:blipFill>
                        <a:blip r:embed="rId59"/>
                        <a:stretch>
                          <a:fillRect/>
                        </a:stretch>
                      </pic:blipFill>
                      <pic:spPr>
                        <a:xfrm>
                          <a:off x="0" y="0"/>
                          <a:ext cx="3697605" cy="2723515"/>
                        </a:xfrm>
                        <a:prstGeom prst="rect">
                          <a:avLst/>
                        </a:prstGeom>
                      </pic:spPr>
                    </pic:pic>
                  </a:graphicData>
                </a:graphic>
              </wp:inline>
            </w:drawing>
          </mc:Fallback>
        </mc:AlternateContent>
      </w:r>
      <w:r>
        <w:rPr>
          <w:noProof/>
          <w:lang w:eastAsia="ko-KR"/>
        </w:rPr>
        <mc:AlternateContent>
          <mc:Choice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Requires="cx2">
            <w:drawing>
              <wp:inline distT="0" distB="0" distL="0" distR="0" wp14:anchorId="26DE0354" wp14:editId="2E326A22">
                <wp:extent cx="3782786" cy="2688771"/>
                <wp:effectExtent l="0" t="0" r="8255" b="16510"/>
                <wp:docPr id="223" name="Chart 223" descr="Number of Forms for for targeted TA, Intensive TS, and all TA">
                  <a:extLst xmlns:a="http://schemas.openxmlformats.org/drawingml/2006/main">
                    <a:ext uri="{FF2B5EF4-FFF2-40B4-BE49-F238E27FC236}">
                      <a16:creationId xmlns:a16="http://schemas.microsoft.com/office/drawing/2014/main" id="{6EBA2595-9127-45E9-9C12-80134292115A}"/>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60"/>
                  </a:graphicData>
                </a:graphic>
              </wp:inline>
            </w:drawing>
          </mc:Choice>
          <mc:Fallback>
            <w:drawing>
              <wp:inline distT="0" distB="0" distL="0" distR="0" wp14:anchorId="26DE0354" wp14:editId="2E326A22">
                <wp:extent cx="3782786" cy="2688771"/>
                <wp:effectExtent l="0" t="0" r="8255" b="16510"/>
                <wp:docPr id="223" name="Chart 223" descr="Number of Forms for for targeted TA, Intensive TS, and all TA">
                  <a:extLst xmlns:a="http://schemas.openxmlformats.org/drawingml/2006/main">
                    <a:ext uri="{FF2B5EF4-FFF2-40B4-BE49-F238E27FC236}">
                      <a16:creationId xmlns:a16="http://schemas.microsoft.com/office/drawing/2014/main" id="{6EBA2595-9127-45E9-9C12-80134292115A}"/>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223" name="Chart 223" descr="Number of Forms for for targeted TA, Intensive TS, and all TA">
                          <a:extLst>
                            <a:ext uri="{FF2B5EF4-FFF2-40B4-BE49-F238E27FC236}">
                              <a16:creationId xmlns:a16="http://schemas.microsoft.com/office/drawing/2014/main" id="{6EBA2595-9127-45E9-9C12-80134292115A}"/>
                            </a:ext>
                          </a:extLst>
                        </pic:cNvPr>
                        <pic:cNvPicPr>
                          <a:picLocks noGrp="1" noRot="1" noChangeAspect="1" noMove="1" noResize="1" noEditPoints="1" noAdjustHandles="1" noChangeArrowheads="1" noChangeShapeType="1"/>
                        </pic:cNvPicPr>
                      </pic:nvPicPr>
                      <pic:blipFill>
                        <a:blip r:embed="rId61"/>
                        <a:stretch>
                          <a:fillRect/>
                        </a:stretch>
                      </pic:blipFill>
                      <pic:spPr>
                        <a:xfrm>
                          <a:off x="0" y="0"/>
                          <a:ext cx="3782695" cy="2688590"/>
                        </a:xfrm>
                        <a:prstGeom prst="rect">
                          <a:avLst/>
                        </a:prstGeom>
                      </pic:spPr>
                    </pic:pic>
                  </a:graphicData>
                </a:graphic>
              </wp:inline>
            </w:drawing>
          </mc:Fallback>
        </mc:AlternateContent>
      </w:r>
      <w:r w:rsidRPr="00CE276C">
        <w:rPr>
          <w:noProof/>
        </w:rPr>
        <w:t xml:space="preserve"> </w:t>
      </w:r>
      <w:r>
        <w:rPr>
          <w:noProof/>
          <w:lang w:eastAsia="ko-KR"/>
        </w:rPr>
        <w:lastRenderedPageBreak/>
        <mc:AlternateContent>
          <mc:Choice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Requires="cx2">
            <w:drawing>
              <wp:inline distT="0" distB="0" distL="0" distR="0" wp14:anchorId="5F1E722A" wp14:editId="2E0EB0F7">
                <wp:extent cx="4572000" cy="2743200"/>
                <wp:effectExtent l="0" t="0" r="0" b="0"/>
                <wp:docPr id="64" name="Chart 64" descr="Number of Contracts for targeted TA, Intensive TS, and all TA">
                  <a:extLst xmlns:a="http://schemas.openxmlformats.org/drawingml/2006/main">
                    <a:ext uri="{FF2B5EF4-FFF2-40B4-BE49-F238E27FC236}">
                      <a16:creationId xmlns:a16="http://schemas.microsoft.com/office/drawing/2014/main" id="{0BB88FEB-BC90-4148-B75F-0968BCF01DD2}"/>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62"/>
                  </a:graphicData>
                </a:graphic>
              </wp:inline>
            </w:drawing>
          </mc:Choice>
          <mc:Fallback>
            <w:drawing>
              <wp:inline distT="0" distB="0" distL="0" distR="0" wp14:anchorId="5F1E722A" wp14:editId="2E0EB0F7">
                <wp:extent cx="4572000" cy="2743200"/>
                <wp:effectExtent l="0" t="0" r="0" b="0"/>
                <wp:docPr id="64" name="Chart 64" descr="Number of Contracts for targeted TA, Intensive TS, and all TA">
                  <a:extLst xmlns:a="http://schemas.openxmlformats.org/drawingml/2006/main">
                    <a:ext uri="{FF2B5EF4-FFF2-40B4-BE49-F238E27FC236}">
                      <a16:creationId xmlns:a16="http://schemas.microsoft.com/office/drawing/2014/main" id="{0BB88FEB-BC90-4148-B75F-0968BCF01DD2}"/>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64" name="Chart 64" descr="Number of Contracts for targeted TA, Intensive TS, and all TA">
                          <a:extLst>
                            <a:ext uri="{FF2B5EF4-FFF2-40B4-BE49-F238E27FC236}">
                              <a16:creationId xmlns:a16="http://schemas.microsoft.com/office/drawing/2014/main" id="{0BB88FEB-BC90-4148-B75F-0968BCF01DD2}"/>
                            </a:ext>
                          </a:extLst>
                        </pic:cNvPr>
                        <pic:cNvPicPr>
                          <a:picLocks noGrp="1" noRot="1" noChangeAspect="1" noMove="1" noResize="1" noEditPoints="1" noAdjustHandles="1" noChangeArrowheads="1" noChangeShapeType="1"/>
                        </pic:cNvPicPr>
                      </pic:nvPicPr>
                      <pic:blipFill>
                        <a:blip r:embed="rId63"/>
                        <a:stretch>
                          <a:fillRect/>
                        </a:stretch>
                      </pic:blipFill>
                      <pic:spPr>
                        <a:xfrm>
                          <a:off x="0" y="0"/>
                          <a:ext cx="4572000" cy="2743200"/>
                        </a:xfrm>
                        <a:prstGeom prst="rect">
                          <a:avLst/>
                        </a:prstGeom>
                      </pic:spPr>
                    </pic:pic>
                  </a:graphicData>
                </a:graphic>
              </wp:inline>
            </w:drawing>
          </mc:Fallback>
        </mc:AlternateContent>
      </w:r>
      <w:r>
        <w:rPr>
          <w:noProof/>
          <w:lang w:eastAsia="ko-KR"/>
        </w:rPr>
        <mc:AlternateContent>
          <mc:Choice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Requires="cx2">
            <w:drawing>
              <wp:inline distT="0" distB="0" distL="0" distR="0" wp14:anchorId="04A7C94D" wp14:editId="33E25315">
                <wp:extent cx="4572000" cy="2743200"/>
                <wp:effectExtent l="0" t="0" r="0" b="0"/>
                <wp:docPr id="65" name="Chart 65" descr="Number of SEA/LEA Agreements Reviewed/Revised for targeted TA, Intensive TS, and all TA">
                  <a:extLst xmlns:a="http://schemas.openxmlformats.org/drawingml/2006/main">
                    <a:ext uri="{FF2B5EF4-FFF2-40B4-BE49-F238E27FC236}">
                      <a16:creationId xmlns:a16="http://schemas.microsoft.com/office/drawing/2014/main" id="{AB4CC86E-D1A9-4E33-9BDA-7CED385D8BD3}"/>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64"/>
                  </a:graphicData>
                </a:graphic>
              </wp:inline>
            </w:drawing>
          </mc:Choice>
          <mc:Fallback>
            <w:drawing>
              <wp:inline distT="0" distB="0" distL="0" distR="0" wp14:anchorId="04A7C94D" wp14:editId="33E25315">
                <wp:extent cx="4572000" cy="2743200"/>
                <wp:effectExtent l="0" t="0" r="0" b="0"/>
                <wp:docPr id="65" name="Chart 65" descr="Number of SEA/LEA Agreements Reviewed/Revised for targeted TA, Intensive TS, and all TA">
                  <a:extLst xmlns:a="http://schemas.openxmlformats.org/drawingml/2006/main">
                    <a:ext uri="{FF2B5EF4-FFF2-40B4-BE49-F238E27FC236}">
                      <a16:creationId xmlns:a16="http://schemas.microsoft.com/office/drawing/2014/main" id="{AB4CC86E-D1A9-4E33-9BDA-7CED385D8BD3}"/>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65" name="Chart 65" descr="Number of SEA/LEA Agreements Reviewed/Revised for targeted TA, Intensive TS, and all TA">
                          <a:extLst>
                            <a:ext uri="{FF2B5EF4-FFF2-40B4-BE49-F238E27FC236}">
                              <a16:creationId xmlns:a16="http://schemas.microsoft.com/office/drawing/2014/main" id="{AB4CC86E-D1A9-4E33-9BDA-7CED385D8BD3}"/>
                            </a:ext>
                          </a:extLst>
                        </pic:cNvPr>
                        <pic:cNvPicPr>
                          <a:picLocks noGrp="1" noRot="1" noChangeAspect="1" noMove="1" noResize="1" noEditPoints="1" noAdjustHandles="1" noChangeArrowheads="1" noChangeShapeType="1"/>
                        </pic:cNvPicPr>
                      </pic:nvPicPr>
                      <pic:blipFill>
                        <a:blip r:embed="rId65"/>
                        <a:stretch>
                          <a:fillRect/>
                        </a:stretch>
                      </pic:blipFill>
                      <pic:spPr>
                        <a:xfrm>
                          <a:off x="0" y="0"/>
                          <a:ext cx="4572000" cy="2743200"/>
                        </a:xfrm>
                        <a:prstGeom prst="rect">
                          <a:avLst/>
                        </a:prstGeom>
                      </pic:spPr>
                    </pic:pic>
                  </a:graphicData>
                </a:graphic>
              </wp:inline>
            </w:drawing>
          </mc:Fallback>
        </mc:AlternateContent>
      </w:r>
      <w:r>
        <w:rPr>
          <w:noProof/>
          <w:lang w:eastAsia="ko-KR"/>
        </w:rPr>
        <w:lastRenderedPageBreak/>
        <mc:AlternateContent>
          <mc:Choice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Requires="cx2">
            <w:drawing>
              <wp:inline distT="0" distB="0" distL="0" distR="0" wp14:anchorId="0C9A2ABE" wp14:editId="116673E6">
                <wp:extent cx="4572000" cy="2743200"/>
                <wp:effectExtent l="0" t="0" r="0" b="0"/>
                <wp:docPr id="66" name="Chart 66" descr="Number of TA calls for targeted TA, Intensive TS, and all TA">
                  <a:extLst xmlns:a="http://schemas.openxmlformats.org/drawingml/2006/main">
                    <a:ext uri="{FF2B5EF4-FFF2-40B4-BE49-F238E27FC236}">
                      <a16:creationId xmlns:a16="http://schemas.microsoft.com/office/drawing/2014/main" id="{D4069F29-751A-4F37-81AB-890D1C0D6F47}"/>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66"/>
                  </a:graphicData>
                </a:graphic>
              </wp:inline>
            </w:drawing>
          </mc:Choice>
          <mc:Fallback>
            <w:drawing>
              <wp:inline distT="0" distB="0" distL="0" distR="0" wp14:anchorId="0C9A2ABE" wp14:editId="116673E6">
                <wp:extent cx="4572000" cy="2743200"/>
                <wp:effectExtent l="0" t="0" r="0" b="0"/>
                <wp:docPr id="66" name="Chart 66" descr="Number of TA calls for targeted TA, Intensive TS, and all TA">
                  <a:extLst xmlns:a="http://schemas.openxmlformats.org/drawingml/2006/main">
                    <a:ext uri="{FF2B5EF4-FFF2-40B4-BE49-F238E27FC236}">
                      <a16:creationId xmlns:a16="http://schemas.microsoft.com/office/drawing/2014/main" id="{D4069F29-751A-4F37-81AB-890D1C0D6F47}"/>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66" name="Chart 66" descr="Number of TA calls for targeted TA, Intensive TS, and all TA">
                          <a:extLst>
                            <a:ext uri="{FF2B5EF4-FFF2-40B4-BE49-F238E27FC236}">
                              <a16:creationId xmlns:a16="http://schemas.microsoft.com/office/drawing/2014/main" id="{D4069F29-751A-4F37-81AB-890D1C0D6F47}"/>
                            </a:ext>
                          </a:extLst>
                        </pic:cNvPr>
                        <pic:cNvPicPr>
                          <a:picLocks noGrp="1" noRot="1" noChangeAspect="1" noMove="1" noResize="1" noEditPoints="1" noAdjustHandles="1" noChangeArrowheads="1" noChangeShapeType="1"/>
                        </pic:cNvPicPr>
                      </pic:nvPicPr>
                      <pic:blipFill>
                        <a:blip r:embed="rId67"/>
                        <a:stretch>
                          <a:fillRect/>
                        </a:stretch>
                      </pic:blipFill>
                      <pic:spPr>
                        <a:xfrm>
                          <a:off x="0" y="0"/>
                          <a:ext cx="4572000" cy="2743200"/>
                        </a:xfrm>
                        <a:prstGeom prst="rect">
                          <a:avLst/>
                        </a:prstGeom>
                      </pic:spPr>
                    </pic:pic>
                  </a:graphicData>
                </a:graphic>
              </wp:inline>
            </w:drawing>
          </mc:Fallback>
        </mc:AlternateContent>
      </w:r>
      <w:r>
        <w:rPr>
          <w:noProof/>
          <w:lang w:eastAsia="ko-KR"/>
        </w:rPr>
        <mc:AlternateContent>
          <mc:Choice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Requires="cx2">
            <w:drawing>
              <wp:inline distT="0" distB="0" distL="0" distR="0" wp14:anchorId="2278ECDD" wp14:editId="14239781">
                <wp:extent cx="4572000" cy="2743200"/>
                <wp:effectExtent l="0" t="0" r="0" b="0"/>
                <wp:docPr id="67" name="Chart 67" descr="Number of Questions answered for targeted TA, Intensive TS, and all TA">
                  <a:extLst xmlns:a="http://schemas.openxmlformats.org/drawingml/2006/main">
                    <a:ext uri="{FF2B5EF4-FFF2-40B4-BE49-F238E27FC236}">
                      <a16:creationId xmlns:a16="http://schemas.microsoft.com/office/drawing/2014/main" id="{D210FB86-7905-4051-9806-E90533E0CD8A}"/>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68"/>
                  </a:graphicData>
                </a:graphic>
              </wp:inline>
            </w:drawing>
          </mc:Choice>
          <mc:Fallback>
            <w:drawing>
              <wp:inline distT="0" distB="0" distL="0" distR="0" wp14:anchorId="2278ECDD" wp14:editId="14239781">
                <wp:extent cx="4572000" cy="2743200"/>
                <wp:effectExtent l="0" t="0" r="0" b="0"/>
                <wp:docPr id="67" name="Chart 67" descr="Number of Questions answered for targeted TA, Intensive TS, and all TA">
                  <a:extLst xmlns:a="http://schemas.openxmlformats.org/drawingml/2006/main">
                    <a:ext uri="{FF2B5EF4-FFF2-40B4-BE49-F238E27FC236}">
                      <a16:creationId xmlns:a16="http://schemas.microsoft.com/office/drawing/2014/main" id="{D210FB86-7905-4051-9806-E90533E0CD8A}"/>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67" name="Chart 67" descr="Number of Questions answered for targeted TA, Intensive TS, and all TA">
                          <a:extLst>
                            <a:ext uri="{FF2B5EF4-FFF2-40B4-BE49-F238E27FC236}">
                              <a16:creationId xmlns:a16="http://schemas.microsoft.com/office/drawing/2014/main" id="{D210FB86-7905-4051-9806-E90533E0CD8A}"/>
                            </a:ext>
                          </a:extLst>
                        </pic:cNvPr>
                        <pic:cNvPicPr>
                          <a:picLocks noGrp="1" noRot="1" noChangeAspect="1" noMove="1" noResize="1" noEditPoints="1" noAdjustHandles="1" noChangeArrowheads="1" noChangeShapeType="1"/>
                        </pic:cNvPicPr>
                      </pic:nvPicPr>
                      <pic:blipFill>
                        <a:blip r:embed="rId69"/>
                        <a:stretch>
                          <a:fillRect/>
                        </a:stretch>
                      </pic:blipFill>
                      <pic:spPr>
                        <a:xfrm>
                          <a:off x="0" y="0"/>
                          <a:ext cx="4572000" cy="2743200"/>
                        </a:xfrm>
                        <a:prstGeom prst="rect">
                          <a:avLst/>
                        </a:prstGeom>
                      </pic:spPr>
                    </pic:pic>
                  </a:graphicData>
                </a:graphic>
              </wp:inline>
            </w:drawing>
          </mc:Fallback>
        </mc:AlternateContent>
      </w:r>
      <w:r>
        <w:rPr>
          <w:noProof/>
          <w:lang w:eastAsia="ko-KR"/>
        </w:rPr>
        <w:lastRenderedPageBreak/>
        <mc:AlternateContent>
          <mc:Choice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Requires="cx2">
            <w:drawing>
              <wp:inline distT="0" distB="0" distL="0" distR="0" wp14:anchorId="3477F2B3" wp14:editId="78A697C3">
                <wp:extent cx="4572000" cy="2743200"/>
                <wp:effectExtent l="0" t="0" r="0" b="0"/>
                <wp:docPr id="68" name="Chart 68" descr="Number of site visits for targeted TA, Intensive TS, and all TA">
                  <a:extLst xmlns:a="http://schemas.openxmlformats.org/drawingml/2006/main">
                    <a:ext uri="{FF2B5EF4-FFF2-40B4-BE49-F238E27FC236}">
                      <a16:creationId xmlns:a16="http://schemas.microsoft.com/office/drawing/2014/main" id="{266019A1-3CB8-4D7E-BA59-1BDCB6E81C4F}"/>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70"/>
                  </a:graphicData>
                </a:graphic>
              </wp:inline>
            </w:drawing>
          </mc:Choice>
          <mc:Fallback>
            <w:drawing>
              <wp:inline distT="0" distB="0" distL="0" distR="0" wp14:anchorId="3477F2B3" wp14:editId="78A697C3">
                <wp:extent cx="4572000" cy="2743200"/>
                <wp:effectExtent l="0" t="0" r="0" b="0"/>
                <wp:docPr id="68" name="Chart 68" descr="Number of site visits for targeted TA, Intensive TS, and all TA">
                  <a:extLst xmlns:a="http://schemas.openxmlformats.org/drawingml/2006/main">
                    <a:ext uri="{FF2B5EF4-FFF2-40B4-BE49-F238E27FC236}">
                      <a16:creationId xmlns:a16="http://schemas.microsoft.com/office/drawing/2014/main" id="{266019A1-3CB8-4D7E-BA59-1BDCB6E81C4F}"/>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68" name="Chart 68" descr="Number of site visits for targeted TA, Intensive TS, and all TA">
                          <a:extLst>
                            <a:ext uri="{FF2B5EF4-FFF2-40B4-BE49-F238E27FC236}">
                              <a16:creationId xmlns:a16="http://schemas.microsoft.com/office/drawing/2014/main" id="{266019A1-3CB8-4D7E-BA59-1BDCB6E81C4F}"/>
                            </a:ext>
                          </a:extLst>
                        </pic:cNvPr>
                        <pic:cNvPicPr>
                          <a:picLocks noGrp="1" noRot="1" noChangeAspect="1" noMove="1" noResize="1" noEditPoints="1" noAdjustHandles="1" noChangeArrowheads="1" noChangeShapeType="1"/>
                        </pic:cNvPicPr>
                      </pic:nvPicPr>
                      <pic:blipFill>
                        <a:blip r:embed="rId71"/>
                        <a:stretch>
                          <a:fillRect/>
                        </a:stretch>
                      </pic:blipFill>
                      <pic:spPr>
                        <a:xfrm>
                          <a:off x="0" y="0"/>
                          <a:ext cx="4572000" cy="2743200"/>
                        </a:xfrm>
                        <a:prstGeom prst="rect">
                          <a:avLst/>
                        </a:prstGeom>
                      </pic:spPr>
                    </pic:pic>
                  </a:graphicData>
                </a:graphic>
              </wp:inline>
            </w:drawing>
          </mc:Fallback>
        </mc:AlternateContent>
      </w:r>
    </w:p>
    <w:p w14:paraId="3E29E641" w14:textId="77777777" w:rsidR="0071173A" w:rsidRDefault="0071173A" w:rsidP="0071173A">
      <w:pPr>
        <w:rPr>
          <w:szCs w:val="14"/>
        </w:rPr>
      </w:pPr>
      <w:r>
        <w:rPr>
          <w:szCs w:val="14"/>
        </w:rPr>
        <w:br w:type="page"/>
      </w:r>
    </w:p>
    <w:p w14:paraId="6873314A" w14:textId="77777777" w:rsidR="0071173A" w:rsidRDefault="0071173A" w:rsidP="0071173A">
      <w:pPr>
        <w:pStyle w:val="Heading2"/>
        <w:numPr>
          <w:ilvl w:val="0"/>
          <w:numId w:val="0"/>
        </w:numPr>
      </w:pPr>
      <w:r>
        <w:lastRenderedPageBreak/>
        <w:tab/>
      </w:r>
      <w:bookmarkStart w:id="16" w:name="_Toc28011412"/>
      <w:r>
        <w:t>Pre-ETS: OUTCOMES PROGRESS DASHBOARDS</w:t>
      </w:r>
      <w:bookmarkEnd w:id="16"/>
      <w:r>
        <w:tab/>
      </w:r>
    </w:p>
    <w:p w14:paraId="2636D062" w14:textId="77777777" w:rsidR="0071173A" w:rsidRDefault="0071173A" w:rsidP="0071173A">
      <w:pPr>
        <w:jc w:val="center"/>
      </w:pPr>
      <w:r>
        <w:rPr>
          <w:noProof/>
          <w:lang w:eastAsia="ko-KR"/>
        </w:rPr>
        <w:drawing>
          <wp:inline distT="0" distB="0" distL="0" distR="0" wp14:anchorId="2A1912C5" wp14:editId="10680C92">
            <wp:extent cx="5211231" cy="2706986"/>
            <wp:effectExtent l="0" t="0" r="0" b="0"/>
            <wp:docPr id="69" name="Picture 69" descr="Speedometer Graphic Depicting Pre-ETS Outcomes Progress:  &#10;Overall Average 63% Complete.  &#10;17% of outcomes have not started. &#10;9% of outcomes are 25% complete. &#10;17% of outcomes are 50% complete.&#10;17% of outcomes are 75% complete. &#10;3% of outcomes are 90% complete. &#10;36% of outcomes are 100 comple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72">
                      <a:extLst>
                        <a:ext uri="{28A0092B-C50C-407E-A947-70E740481C1C}">
                          <a14:useLocalDpi xmlns:a14="http://schemas.microsoft.com/office/drawing/2010/main" val="0"/>
                        </a:ext>
                      </a:extLst>
                    </a:blip>
                    <a:srcRect l="19589" t="2032" r="21513" b="39723"/>
                    <a:stretch/>
                  </pic:blipFill>
                  <pic:spPr bwMode="auto">
                    <a:xfrm>
                      <a:off x="0" y="0"/>
                      <a:ext cx="5221673" cy="2712410"/>
                    </a:xfrm>
                    <a:prstGeom prst="rect">
                      <a:avLst/>
                    </a:prstGeom>
                    <a:noFill/>
                    <a:ln>
                      <a:noFill/>
                    </a:ln>
                    <a:extLst>
                      <a:ext uri="{53640926-AAD7-44D8-BBD7-CCE9431645EC}">
                        <a14:shadowObscured xmlns:a14="http://schemas.microsoft.com/office/drawing/2010/main"/>
                      </a:ext>
                    </a:extLst>
                  </pic:spPr>
                </pic:pic>
              </a:graphicData>
            </a:graphic>
          </wp:inline>
        </w:drawing>
      </w:r>
    </w:p>
    <w:p w14:paraId="1FE4F3AE" w14:textId="5D8BEE2D" w:rsidR="0071173A" w:rsidRDefault="00E8305C" w:rsidP="00E8305C">
      <w:pPr>
        <w:ind w:firstLine="720"/>
      </w:pPr>
      <w:r>
        <w:t>This chart shows over half of outcomes 75% or more complete, with less than one-fifth not yet started.  Below, a Year 4, Quarter 4 snapshot of those outcomes in measurable terms is presented.</w:t>
      </w:r>
    </w:p>
    <w:p w14:paraId="5C3D2530" w14:textId="6AADC5D3" w:rsidR="00E8305C" w:rsidRPr="00E8305C" w:rsidRDefault="00195403" w:rsidP="00E8305C">
      <w:pPr>
        <w:spacing w:after="0" w:line="240" w:lineRule="auto"/>
        <w:jc w:val="center"/>
        <w:rPr>
          <w:b/>
          <w:bCs/>
        </w:rPr>
      </w:pPr>
      <w:r>
        <w:rPr>
          <w:b/>
          <w:bCs/>
        </w:rPr>
        <w:t>Key Outcomes: Year 4 Quarter 4 Snapshot:</w:t>
      </w:r>
    </w:p>
    <w:p w14:paraId="2D6516E8" w14:textId="24744B89" w:rsidR="0071173A" w:rsidRDefault="006C408A" w:rsidP="0071173A">
      <w:r>
        <w:rPr>
          <w:noProof/>
          <w:lang w:eastAsia="ko-KR"/>
        </w:rPr>
        <w:drawing>
          <wp:anchor distT="0" distB="0" distL="114300" distR="114300" simplePos="0" relativeHeight="251693056" behindDoc="0" locked="0" layoutInCell="1" allowOverlap="1" wp14:anchorId="3FDF201C" wp14:editId="1C82955F">
            <wp:simplePos x="0" y="0"/>
            <wp:positionH relativeFrom="margin">
              <wp:align>center</wp:align>
            </wp:positionH>
            <wp:positionV relativeFrom="paragraph">
              <wp:posOffset>99884</wp:posOffset>
            </wp:positionV>
            <wp:extent cx="3582189" cy="4498015"/>
            <wp:effectExtent l="95250" t="95250" r="94615" b="93345"/>
            <wp:wrapNone/>
            <wp:docPr id="70" name="Picture 70" descr="infographic showing the outcome the number of students that are recorded as having received on of the five required servi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a:picLocks noChangeAspect="1"/>
                    </pic:cNvPicPr>
                  </pic:nvPicPr>
                  <pic:blipFill>
                    <a:blip r:embed="rId73"/>
                    <a:stretch>
                      <a:fillRect/>
                    </a:stretch>
                  </pic:blipFill>
                  <pic:spPr>
                    <a:xfrm>
                      <a:off x="0" y="0"/>
                      <a:ext cx="3582189" cy="4498015"/>
                    </a:xfrm>
                    <a:prstGeom prst="rect">
                      <a:avLst/>
                    </a:prstGeom>
                    <a:ln w="88900" cap="sq" cmpd="thickThin">
                      <a:solidFill>
                        <a:srgbClr val="000000"/>
                      </a:solidFill>
                      <a:prstDash val="solid"/>
                      <a:miter lim="800000"/>
                    </a:ln>
                    <a:effectLst>
                      <a:innerShdw blurRad="76200">
                        <a:srgbClr val="000000"/>
                      </a:innerShdw>
                    </a:effectLst>
                  </pic:spPr>
                </pic:pic>
              </a:graphicData>
            </a:graphic>
            <wp14:sizeRelV relativeFrom="margin">
              <wp14:pctHeight>0</wp14:pctHeight>
            </wp14:sizeRelV>
          </wp:anchor>
        </w:drawing>
      </w:r>
    </w:p>
    <w:p w14:paraId="1A2C7AB4" w14:textId="77777777" w:rsidR="0071173A" w:rsidRDefault="0071173A" w:rsidP="0071173A">
      <w:pPr>
        <w:pBdr>
          <w:bottom w:val="single" w:sz="24" w:space="1" w:color="auto"/>
        </w:pBdr>
        <w:jc w:val="center"/>
        <w:rPr>
          <w:b/>
          <w:sz w:val="36"/>
        </w:rPr>
      </w:pPr>
      <w:r>
        <w:rPr>
          <w:b/>
          <w:sz w:val="36"/>
        </w:rPr>
        <w:br w:type="page"/>
      </w:r>
    </w:p>
    <w:p w14:paraId="376C1C9D" w14:textId="77777777" w:rsidR="0071173A" w:rsidRPr="00DF444E" w:rsidRDefault="0071173A" w:rsidP="0071173A">
      <w:pPr>
        <w:pStyle w:val="Heading2"/>
        <w:numPr>
          <w:ilvl w:val="0"/>
          <w:numId w:val="0"/>
        </w:numPr>
      </w:pPr>
      <w:bookmarkStart w:id="17" w:name="_Toc28011413"/>
      <w:r w:rsidRPr="00DF444E">
        <w:lastRenderedPageBreak/>
        <w:t>Pre-ETS ITAs: RESOURCES</w:t>
      </w:r>
      <w:bookmarkEnd w:id="17"/>
    </w:p>
    <w:p w14:paraId="653BD473" w14:textId="77777777" w:rsidR="00427B35" w:rsidRDefault="0071173A" w:rsidP="00427B35">
      <w:pPr>
        <w:spacing w:after="0" w:line="240" w:lineRule="auto"/>
        <w:rPr>
          <w:rFonts w:eastAsia="Times New Roman" w:cstheme="minorHAnsi"/>
          <w:sz w:val="24"/>
          <w:szCs w:val="24"/>
        </w:rPr>
      </w:pPr>
      <w:r>
        <w:rPr>
          <w:rFonts w:eastAsia="Times New Roman" w:cstheme="minorHAnsi"/>
          <w:sz w:val="24"/>
          <w:szCs w:val="24"/>
        </w:rPr>
        <w:t xml:space="preserve">Available on the WINTAC website, the Pre-ETS team has developed a number of resources to support TA and training and provide guidance to SVRAs as they meet their requirements for </w:t>
      </w:r>
      <w:r w:rsidR="00427B35">
        <w:rPr>
          <w:rFonts w:eastAsia="Times New Roman" w:cstheme="minorHAnsi"/>
          <w:sz w:val="24"/>
          <w:szCs w:val="24"/>
        </w:rPr>
        <w:t>Pre-ETS under WIOA:</w:t>
      </w:r>
    </w:p>
    <w:p w14:paraId="4352351D" w14:textId="77777777" w:rsidR="00427B35" w:rsidRPr="00523733" w:rsidRDefault="00427B35" w:rsidP="00427B35">
      <w:pPr>
        <w:spacing w:after="0" w:line="240" w:lineRule="auto"/>
        <w:rPr>
          <w:rFonts w:eastAsia="Times New Roman" w:cstheme="minorHAnsi"/>
          <w:sz w:val="24"/>
          <w:szCs w:val="24"/>
        </w:rPr>
      </w:pPr>
    </w:p>
    <w:p w14:paraId="43CC849C" w14:textId="77777777" w:rsidR="00427B35" w:rsidRPr="005466F3" w:rsidRDefault="00366D34" w:rsidP="00427B35">
      <w:pPr>
        <w:pStyle w:val="ListParagraph"/>
        <w:numPr>
          <w:ilvl w:val="0"/>
          <w:numId w:val="71"/>
        </w:numPr>
      </w:pPr>
      <w:hyperlink r:id="rId74" w:tgtFrame="_blank" w:history="1">
        <w:r w:rsidR="00427B35" w:rsidRPr="005466F3">
          <w:rPr>
            <w:rStyle w:val="Hyperlink"/>
            <w:b/>
            <w:bCs/>
          </w:rPr>
          <w:t>Registered Apprenticeship Training RSA-911 Reporting</w:t>
        </w:r>
      </w:hyperlink>
      <w:r w:rsidR="00427B35" w:rsidRPr="005466F3">
        <w:br/>
        <w:t>The WINTAC has developed a resource, </w:t>
      </w:r>
      <w:hyperlink r:id="rId75" w:tgtFrame="_blank" w:history="1">
        <w:r w:rsidR="00427B35" w:rsidRPr="005466F3">
          <w:rPr>
            <w:rStyle w:val="Hyperlink"/>
          </w:rPr>
          <w:t>Registered Apprenticeship Training</w:t>
        </w:r>
      </w:hyperlink>
      <w:r w:rsidR="00427B35" w:rsidRPr="005466F3">
        <w:t>, to assist State VR Agencies in accurately reporting Registered Apprenticeship Trainings in the RSA-911. This </w:t>
      </w:r>
      <w:hyperlink r:id="rId76" w:tgtFrame="_blank" w:history="1">
        <w:r w:rsidR="00427B35" w:rsidRPr="005466F3">
          <w:rPr>
            <w:rStyle w:val="Hyperlink"/>
          </w:rPr>
          <w:t>guide</w:t>
        </w:r>
      </w:hyperlink>
      <w:r w:rsidR="00427B35" w:rsidRPr="005466F3">
        <w:t> includes information related to training service documentation, WIOA performance reporting and the RSA-911 Data Elements associated.</w:t>
      </w:r>
    </w:p>
    <w:p w14:paraId="18081DCE" w14:textId="77777777" w:rsidR="00427B35" w:rsidRPr="005466F3" w:rsidRDefault="00366D34" w:rsidP="00427B35">
      <w:pPr>
        <w:pStyle w:val="ListParagraph"/>
        <w:numPr>
          <w:ilvl w:val="0"/>
          <w:numId w:val="71"/>
        </w:numPr>
      </w:pPr>
      <w:hyperlink r:id="rId77" w:tgtFrame="_blank" w:history="1">
        <w:r w:rsidR="00427B35" w:rsidRPr="005466F3">
          <w:rPr>
            <w:rStyle w:val="Hyperlink"/>
            <w:b/>
            <w:bCs/>
          </w:rPr>
          <w:t>Toolkit for Career Pathways</w:t>
        </w:r>
      </w:hyperlink>
      <w:r w:rsidR="00427B35" w:rsidRPr="005466F3">
        <w:t> This toolkit has been developed by the WINTAC as a resource to assist State VR Agencies in utilizing a career pathways framework for IPE development, strengthening common performance measures, and enhancing positive employment outcomes. This </w:t>
      </w:r>
      <w:hyperlink r:id="rId78" w:tgtFrame="_blank" w:history="1">
        <w:r w:rsidR="00427B35" w:rsidRPr="005466F3">
          <w:rPr>
            <w:rStyle w:val="Hyperlink"/>
          </w:rPr>
          <w:t>checklist</w:t>
        </w:r>
      </w:hyperlink>
      <w:r w:rsidR="00427B35" w:rsidRPr="005466F3">
        <w:t> includes information related to utilizing pre-employment transition services as a first step in the career pathways process.</w:t>
      </w:r>
    </w:p>
    <w:p w14:paraId="0A6C261B" w14:textId="77777777" w:rsidR="00427B35" w:rsidRPr="005466F3" w:rsidRDefault="00366D34" w:rsidP="00427B35">
      <w:pPr>
        <w:pStyle w:val="ListParagraph"/>
        <w:numPr>
          <w:ilvl w:val="0"/>
          <w:numId w:val="71"/>
        </w:numPr>
      </w:pPr>
      <w:hyperlink r:id="rId79" w:tgtFrame="_blank" w:history="1">
        <w:r w:rsidR="00427B35" w:rsidRPr="005466F3">
          <w:rPr>
            <w:rStyle w:val="Hyperlink"/>
            <w:b/>
            <w:bCs/>
          </w:rPr>
          <w:t>Work Based Learning Measures Series</w:t>
        </w:r>
      </w:hyperlink>
      <w:r w:rsidR="00427B35" w:rsidRPr="005466F3">
        <w:rPr>
          <w:b/>
          <w:bCs/>
        </w:rPr>
        <w:t> </w:t>
      </w:r>
      <w:r w:rsidR="00427B35" w:rsidRPr="005466F3">
        <w:t>available through The College and Career Readiness and Success Center A resource on measuring student learning while participating in work-based learning experiences</w:t>
      </w:r>
    </w:p>
    <w:p w14:paraId="71FE8B1C" w14:textId="77777777" w:rsidR="00427B35" w:rsidRPr="005466F3" w:rsidRDefault="00366D34" w:rsidP="00427B35">
      <w:pPr>
        <w:pStyle w:val="ListParagraph"/>
        <w:numPr>
          <w:ilvl w:val="0"/>
          <w:numId w:val="71"/>
        </w:numPr>
      </w:pPr>
      <w:hyperlink r:id="rId80" w:tgtFrame="_blank" w:history="1">
        <w:r w:rsidR="00427B35" w:rsidRPr="005466F3">
          <w:rPr>
            <w:rStyle w:val="Hyperlink"/>
            <w:b/>
            <w:bCs/>
          </w:rPr>
          <w:t>WIOA Performance Indicators - IDEA Part B Transition Performance Indicator Crosswalk</w:t>
        </w:r>
      </w:hyperlink>
    </w:p>
    <w:p w14:paraId="4D2B9EF1" w14:textId="77777777" w:rsidR="00427B35" w:rsidRPr="005466F3" w:rsidRDefault="00366D34" w:rsidP="00427B35">
      <w:pPr>
        <w:pStyle w:val="ListParagraph"/>
        <w:numPr>
          <w:ilvl w:val="0"/>
          <w:numId w:val="71"/>
        </w:numPr>
      </w:pPr>
      <w:hyperlink r:id="rId81" w:tgtFrame="_blank" w:history="1">
        <w:r w:rsidR="00427B35" w:rsidRPr="005466F3">
          <w:rPr>
            <w:rStyle w:val="Hyperlink"/>
            <w:b/>
            <w:bCs/>
          </w:rPr>
          <w:t>WIOA-IDEA - Perkins V Indicator Crosswalk</w:t>
        </w:r>
      </w:hyperlink>
    </w:p>
    <w:p w14:paraId="1D7D6170" w14:textId="77777777" w:rsidR="00427B35" w:rsidRPr="005466F3" w:rsidRDefault="00366D34" w:rsidP="00427B35">
      <w:pPr>
        <w:pStyle w:val="ListParagraph"/>
        <w:numPr>
          <w:ilvl w:val="0"/>
          <w:numId w:val="71"/>
        </w:numPr>
      </w:pPr>
      <w:hyperlink r:id="rId82" w:history="1">
        <w:r w:rsidR="00427B35" w:rsidRPr="005466F3">
          <w:rPr>
            <w:rStyle w:val="Hyperlink"/>
            <w:b/>
            <w:bCs/>
          </w:rPr>
          <w:t>CRP Guidebook</w:t>
        </w:r>
      </w:hyperlink>
      <w:r w:rsidR="00427B35" w:rsidRPr="005466F3">
        <w:rPr>
          <w:b/>
          <w:bCs/>
        </w:rPr>
        <w:t>: This guide, developed by WINTAC and Transcen Inc., provides strategies for CRP’s to collaborate with SVRA’s on effective provision of Pre-ETS</w:t>
      </w:r>
    </w:p>
    <w:p w14:paraId="6E0FD004" w14:textId="77777777" w:rsidR="00427B35" w:rsidRPr="005466F3" w:rsidRDefault="00427B35" w:rsidP="00427B35">
      <w:pPr>
        <w:pStyle w:val="ListParagraph"/>
        <w:numPr>
          <w:ilvl w:val="0"/>
          <w:numId w:val="71"/>
        </w:numPr>
      </w:pPr>
      <w:r w:rsidRPr="005466F3">
        <w:rPr>
          <w:b/>
          <w:bCs/>
        </w:rPr>
        <w:t>Presentations at CSAVR and NCSAB:</w:t>
      </w:r>
    </w:p>
    <w:p w14:paraId="6FAC0A7C" w14:textId="77777777" w:rsidR="00427B35" w:rsidRPr="005466F3" w:rsidRDefault="00366D34" w:rsidP="00427B35">
      <w:pPr>
        <w:pStyle w:val="ListParagraph"/>
        <w:numPr>
          <w:ilvl w:val="1"/>
          <w:numId w:val="71"/>
        </w:numPr>
      </w:pPr>
      <w:hyperlink r:id="rId83" w:tgtFrame="_blank" w:history="1">
        <w:r w:rsidR="00427B35" w:rsidRPr="005466F3">
          <w:rPr>
            <w:rStyle w:val="Hyperlink"/>
            <w:b/>
            <w:bCs/>
          </w:rPr>
          <w:t>On the Right Track: Tracking and Reporting Pre-Employment Transition Services</w:t>
        </w:r>
      </w:hyperlink>
    </w:p>
    <w:p w14:paraId="361B1994" w14:textId="77777777" w:rsidR="00427B35" w:rsidRPr="005466F3" w:rsidRDefault="00366D34" w:rsidP="00427B35">
      <w:pPr>
        <w:pStyle w:val="ListParagraph"/>
        <w:numPr>
          <w:ilvl w:val="0"/>
          <w:numId w:val="71"/>
        </w:numPr>
      </w:pPr>
      <w:hyperlink r:id="rId84" w:history="1">
        <w:r w:rsidR="00427B35" w:rsidRPr="005466F3">
          <w:rPr>
            <w:rStyle w:val="Hyperlink"/>
            <w:b/>
            <w:bCs/>
          </w:rPr>
          <w:t>Pre-Employment Transition Services Implementation Checklist</w:t>
        </w:r>
      </w:hyperlink>
    </w:p>
    <w:p w14:paraId="48B11736" w14:textId="77777777" w:rsidR="00427B35" w:rsidRPr="005466F3" w:rsidRDefault="00366D34" w:rsidP="00427B35">
      <w:pPr>
        <w:pStyle w:val="ListParagraph"/>
        <w:numPr>
          <w:ilvl w:val="0"/>
          <w:numId w:val="71"/>
        </w:numPr>
      </w:pPr>
      <w:hyperlink r:id="rId85" w:history="1">
        <w:r w:rsidR="00427B35" w:rsidRPr="005466F3">
          <w:rPr>
            <w:rStyle w:val="Hyperlink"/>
            <w:b/>
            <w:bCs/>
          </w:rPr>
          <w:t>Time Allocation Guide for Pre-Employment Transition Services</w:t>
        </w:r>
      </w:hyperlink>
    </w:p>
    <w:p w14:paraId="4CD4414B" w14:textId="77777777" w:rsidR="00427B35" w:rsidRPr="005466F3" w:rsidRDefault="00366D34" w:rsidP="00427B35">
      <w:pPr>
        <w:pStyle w:val="ListParagraph"/>
        <w:numPr>
          <w:ilvl w:val="0"/>
          <w:numId w:val="71"/>
        </w:numPr>
      </w:pPr>
      <w:hyperlink r:id="rId86" w:history="1">
        <w:r w:rsidR="00427B35" w:rsidRPr="005466F3">
          <w:rPr>
            <w:rStyle w:val="Hyperlink"/>
            <w:b/>
            <w:bCs/>
          </w:rPr>
          <w:t>Process for determining if the agency can move from required pre-employment transition services to authorized activities</w:t>
        </w:r>
      </w:hyperlink>
    </w:p>
    <w:p w14:paraId="05D9A973" w14:textId="77777777" w:rsidR="00427B35" w:rsidRPr="005466F3" w:rsidRDefault="00366D34" w:rsidP="00427B35">
      <w:pPr>
        <w:pStyle w:val="ListParagraph"/>
        <w:numPr>
          <w:ilvl w:val="0"/>
          <w:numId w:val="71"/>
        </w:numPr>
      </w:pPr>
      <w:hyperlink r:id="rId87" w:tgtFrame="_blank" w:history="1">
        <w:r w:rsidR="00427B35" w:rsidRPr="005466F3">
          <w:rPr>
            <w:rStyle w:val="Hyperlink"/>
            <w:b/>
            <w:bCs/>
          </w:rPr>
          <w:t>New: Review Instrument - Formal Interagency Agreements</w:t>
        </w:r>
      </w:hyperlink>
      <w:r w:rsidR="00427B35" w:rsidRPr="005466F3">
        <w:t> The U.S Department of Education’s Office of Special Education and Rehabilitative Services (OSERS), has provided states with a review instrument for the formal interagency agreement between SEAs and VR agencies, as required by Section 101(a)(11)(D) of the Rehabilitation Act of 1973, as amended by Title IV of the Workforce Innovation and Opportunity Act (WIOA), and 34 C.F.R. § 361.22(b). This </w:t>
      </w:r>
      <w:hyperlink r:id="rId88" w:tgtFrame="_blank" w:history="1">
        <w:r w:rsidR="00427B35" w:rsidRPr="005466F3">
          <w:rPr>
            <w:rStyle w:val="Hyperlink"/>
          </w:rPr>
          <w:t>review instrument</w:t>
        </w:r>
      </w:hyperlink>
      <w:r w:rsidR="00427B35" w:rsidRPr="005466F3">
        <w:t> offers strategies and resources to increase collaboration between the State and local agencies under these two programs, as well as program providers, so they may more effectively serve students and youth with disabilities.</w:t>
      </w:r>
    </w:p>
    <w:p w14:paraId="0A465408" w14:textId="77777777" w:rsidR="00427B35" w:rsidRPr="005466F3" w:rsidRDefault="00366D34" w:rsidP="00427B35">
      <w:pPr>
        <w:pStyle w:val="ListParagraph"/>
        <w:numPr>
          <w:ilvl w:val="0"/>
          <w:numId w:val="71"/>
        </w:numPr>
      </w:pPr>
      <w:hyperlink r:id="rId89" w:history="1">
        <w:r w:rsidR="00427B35" w:rsidRPr="005466F3">
          <w:rPr>
            <w:rStyle w:val="Hyperlink"/>
            <w:b/>
            <w:bCs/>
          </w:rPr>
          <w:t>Updated 07/10/17: WINTAC-NTACT-Interagency Agreement Toolkit Guide</w:t>
        </w:r>
      </w:hyperlink>
    </w:p>
    <w:p w14:paraId="471273AC" w14:textId="77777777" w:rsidR="00427B35" w:rsidRPr="005466F3" w:rsidRDefault="00366D34" w:rsidP="00427B35">
      <w:pPr>
        <w:pStyle w:val="ListParagraph"/>
        <w:numPr>
          <w:ilvl w:val="0"/>
          <w:numId w:val="71"/>
        </w:numPr>
      </w:pPr>
      <w:hyperlink r:id="rId90" w:history="1">
        <w:r w:rsidR="00427B35" w:rsidRPr="005466F3">
          <w:rPr>
            <w:rStyle w:val="Hyperlink"/>
            <w:b/>
            <w:bCs/>
          </w:rPr>
          <w:t>New: Introduction To Formal Interagency Agreement Toolkit</w:t>
        </w:r>
      </w:hyperlink>
    </w:p>
    <w:p w14:paraId="29EC733D" w14:textId="77777777" w:rsidR="00427B35" w:rsidRPr="005466F3" w:rsidRDefault="00366D34" w:rsidP="00427B35">
      <w:pPr>
        <w:pStyle w:val="ListParagraph"/>
        <w:numPr>
          <w:ilvl w:val="0"/>
          <w:numId w:val="71"/>
        </w:numPr>
      </w:pPr>
      <w:hyperlink r:id="rId91" w:history="1">
        <w:r w:rsidR="00427B35" w:rsidRPr="005466F3">
          <w:rPr>
            <w:rStyle w:val="Hyperlink"/>
            <w:b/>
            <w:bCs/>
          </w:rPr>
          <w:t>New: Discussion Prompts-Interagency Agreement Local Level</w:t>
        </w:r>
      </w:hyperlink>
    </w:p>
    <w:p w14:paraId="6F0DB842" w14:textId="77777777" w:rsidR="00427B35" w:rsidRPr="005466F3" w:rsidRDefault="00366D34" w:rsidP="00427B35">
      <w:pPr>
        <w:pStyle w:val="ListParagraph"/>
        <w:numPr>
          <w:ilvl w:val="0"/>
          <w:numId w:val="71"/>
        </w:numPr>
      </w:pPr>
      <w:hyperlink r:id="rId92" w:history="1">
        <w:r w:rsidR="00427B35" w:rsidRPr="005466F3">
          <w:rPr>
            <w:rStyle w:val="Hyperlink"/>
            <w:b/>
            <w:bCs/>
          </w:rPr>
          <w:t>New: Discussion Prompts-Interagency Agreement State Level</w:t>
        </w:r>
      </w:hyperlink>
    </w:p>
    <w:p w14:paraId="7C62B8A7" w14:textId="77777777" w:rsidR="00427B35" w:rsidRPr="005466F3" w:rsidRDefault="00366D34" w:rsidP="00427B35">
      <w:pPr>
        <w:pStyle w:val="ListParagraph"/>
        <w:numPr>
          <w:ilvl w:val="0"/>
          <w:numId w:val="71"/>
        </w:numPr>
      </w:pPr>
      <w:hyperlink r:id="rId93" w:history="1">
        <w:r w:rsidR="00427B35" w:rsidRPr="005466F3">
          <w:rPr>
            <w:rStyle w:val="Hyperlink"/>
            <w:b/>
            <w:bCs/>
          </w:rPr>
          <w:t>New: Rehab Act and IDEA regs for Interagency Agreement</w:t>
        </w:r>
      </w:hyperlink>
    </w:p>
    <w:p w14:paraId="7252E875" w14:textId="77777777" w:rsidR="00427B35" w:rsidRPr="005466F3" w:rsidRDefault="00366D34" w:rsidP="00427B35">
      <w:pPr>
        <w:pStyle w:val="ListParagraph"/>
        <w:numPr>
          <w:ilvl w:val="0"/>
          <w:numId w:val="71"/>
        </w:numPr>
      </w:pPr>
      <w:hyperlink r:id="rId94" w:history="1">
        <w:r w:rsidR="00427B35" w:rsidRPr="005466F3">
          <w:rPr>
            <w:rStyle w:val="Hyperlink"/>
            <w:b/>
            <w:bCs/>
          </w:rPr>
          <w:t>New: Interagency Agreement Language Examples</w:t>
        </w:r>
      </w:hyperlink>
    </w:p>
    <w:p w14:paraId="71ACD234" w14:textId="77777777" w:rsidR="00427B35" w:rsidRPr="005466F3" w:rsidRDefault="00427B35" w:rsidP="00427B35">
      <w:pPr>
        <w:pStyle w:val="ListParagraph"/>
        <w:numPr>
          <w:ilvl w:val="0"/>
          <w:numId w:val="71"/>
        </w:numPr>
      </w:pPr>
      <w:r w:rsidRPr="005466F3">
        <w:rPr>
          <w:b/>
          <w:bCs/>
        </w:rPr>
        <w:t>Pacer Resources</w:t>
      </w:r>
    </w:p>
    <w:p w14:paraId="0E08FEEB" w14:textId="77777777" w:rsidR="00427B35" w:rsidRPr="005466F3" w:rsidRDefault="00427B35" w:rsidP="00427B35">
      <w:pPr>
        <w:pStyle w:val="ListParagraph"/>
        <w:numPr>
          <w:ilvl w:val="1"/>
          <w:numId w:val="71"/>
        </w:numPr>
      </w:pPr>
      <w:r w:rsidRPr="005466F3">
        <w:rPr>
          <w:b/>
          <w:bCs/>
        </w:rPr>
        <w:lastRenderedPageBreak/>
        <w:t>Check out Pacer's resource on </w:t>
      </w:r>
      <w:hyperlink r:id="rId95" w:tgtFrame="_blank" w:history="1">
        <w:r w:rsidRPr="005466F3">
          <w:rPr>
            <w:rStyle w:val="Hyperlink"/>
            <w:b/>
            <w:bCs/>
          </w:rPr>
          <w:t>Free and low cost mobile apps</w:t>
        </w:r>
      </w:hyperlink>
      <w:r w:rsidRPr="005466F3">
        <w:rPr>
          <w:b/>
          <w:bCs/>
        </w:rPr>
        <w:t> available to support students with disabilities.</w:t>
      </w:r>
    </w:p>
    <w:p w14:paraId="0A2831C0" w14:textId="77777777" w:rsidR="00427B35" w:rsidRPr="005466F3" w:rsidRDefault="00366D34" w:rsidP="00427B35">
      <w:pPr>
        <w:pStyle w:val="ListParagraph"/>
        <w:numPr>
          <w:ilvl w:val="1"/>
          <w:numId w:val="71"/>
        </w:numPr>
      </w:pPr>
      <w:hyperlink r:id="rId96" w:tgtFrame="_blank" w:history="1">
        <w:r w:rsidR="00427B35" w:rsidRPr="005466F3">
          <w:rPr>
            <w:rStyle w:val="Hyperlink"/>
            <w:b/>
            <w:bCs/>
          </w:rPr>
          <w:t>“Mental Health, Anxiety and Vision Loss”</w:t>
        </w:r>
      </w:hyperlink>
    </w:p>
    <w:p w14:paraId="430944F4" w14:textId="77777777" w:rsidR="00427B35" w:rsidRPr="005466F3" w:rsidRDefault="00366D34" w:rsidP="00427B35">
      <w:pPr>
        <w:pStyle w:val="ListParagraph"/>
        <w:numPr>
          <w:ilvl w:val="1"/>
          <w:numId w:val="71"/>
        </w:numPr>
      </w:pPr>
      <w:hyperlink r:id="rId97" w:tgtFrame="_blank" w:history="1">
        <w:r w:rsidR="00427B35" w:rsidRPr="005466F3">
          <w:rPr>
            <w:rStyle w:val="Hyperlink"/>
            <w:b/>
            <w:bCs/>
          </w:rPr>
          <w:t>“Preparing Youth with Vision Loss for Careers and Success: What Parents Can Do”</w:t>
        </w:r>
      </w:hyperlink>
    </w:p>
    <w:p w14:paraId="55A712F1" w14:textId="77777777" w:rsidR="00427B35" w:rsidRPr="005466F3" w:rsidRDefault="00366D34" w:rsidP="00427B35">
      <w:pPr>
        <w:pStyle w:val="ListParagraph"/>
        <w:numPr>
          <w:ilvl w:val="1"/>
          <w:numId w:val="71"/>
        </w:numPr>
      </w:pPr>
      <w:hyperlink r:id="rId98" w:tgtFrame="_blank" w:history="1">
        <w:r w:rsidR="00427B35" w:rsidRPr="005466F3">
          <w:rPr>
            <w:rStyle w:val="Hyperlink"/>
            <w:b/>
            <w:bCs/>
          </w:rPr>
          <w:t>“Disability Laws and Rights: What Youth with Vision Loss Need to Know”</w:t>
        </w:r>
      </w:hyperlink>
    </w:p>
    <w:p w14:paraId="058E7A47" w14:textId="77777777" w:rsidR="00427B35" w:rsidRPr="005466F3" w:rsidRDefault="00427B35" w:rsidP="00427B35">
      <w:pPr>
        <w:pStyle w:val="ListParagraph"/>
        <w:numPr>
          <w:ilvl w:val="0"/>
          <w:numId w:val="71"/>
        </w:numPr>
      </w:pPr>
      <w:r w:rsidRPr="005466F3">
        <w:rPr>
          <w:b/>
          <w:bCs/>
        </w:rPr>
        <w:t>Resources for the Required Pre-ETS Activities</w:t>
      </w:r>
      <w:r w:rsidRPr="005466F3">
        <w:rPr>
          <w:b/>
          <w:bCs/>
        </w:rPr>
        <w:br/>
        <w:t>These resources are intended to provide transition planning programming support for students and youth with disabilities. They can be used by vr professionals, educators, service providers, family members and individuals with disabilities.</w:t>
      </w:r>
    </w:p>
    <w:p w14:paraId="45F59749" w14:textId="77777777" w:rsidR="00427B35" w:rsidRPr="005466F3" w:rsidRDefault="00366D34" w:rsidP="00427B35">
      <w:pPr>
        <w:pStyle w:val="ListParagraph"/>
        <w:numPr>
          <w:ilvl w:val="1"/>
          <w:numId w:val="71"/>
        </w:numPr>
      </w:pPr>
      <w:hyperlink r:id="rId99" w:history="1">
        <w:r w:rsidR="00427B35" w:rsidRPr="005466F3">
          <w:rPr>
            <w:rStyle w:val="Hyperlink"/>
            <w:b/>
            <w:bCs/>
          </w:rPr>
          <w:t>Job exploration counseling</w:t>
        </w:r>
      </w:hyperlink>
    </w:p>
    <w:p w14:paraId="79B9ACC6" w14:textId="77777777" w:rsidR="00427B35" w:rsidRPr="005466F3" w:rsidRDefault="00366D34" w:rsidP="00427B35">
      <w:pPr>
        <w:pStyle w:val="ListParagraph"/>
        <w:numPr>
          <w:ilvl w:val="1"/>
          <w:numId w:val="71"/>
        </w:numPr>
      </w:pPr>
      <w:hyperlink r:id="rId100" w:history="1">
        <w:r w:rsidR="00427B35" w:rsidRPr="005466F3">
          <w:rPr>
            <w:rStyle w:val="Hyperlink"/>
            <w:b/>
            <w:bCs/>
          </w:rPr>
          <w:t>Work-based learning experiences, which may include in-school or after school opportunities, experiences outside of the traditional school setting, and/or internships</w:t>
        </w:r>
      </w:hyperlink>
    </w:p>
    <w:p w14:paraId="63261F4A" w14:textId="77777777" w:rsidR="00427B35" w:rsidRPr="005466F3" w:rsidRDefault="00366D34" w:rsidP="00427B35">
      <w:pPr>
        <w:pStyle w:val="ListParagraph"/>
        <w:numPr>
          <w:ilvl w:val="1"/>
          <w:numId w:val="71"/>
        </w:numPr>
      </w:pPr>
      <w:hyperlink r:id="rId101" w:history="1">
        <w:r w:rsidR="00427B35" w:rsidRPr="005466F3">
          <w:rPr>
            <w:rStyle w:val="Hyperlink"/>
            <w:b/>
            <w:bCs/>
          </w:rPr>
          <w:t>Counseling on opportunities for enrollment in comprehensive transition or postsecondary educational programs</w:t>
        </w:r>
      </w:hyperlink>
    </w:p>
    <w:p w14:paraId="488B415C" w14:textId="77777777" w:rsidR="00427B35" w:rsidRPr="005466F3" w:rsidRDefault="00366D34" w:rsidP="00427B35">
      <w:pPr>
        <w:pStyle w:val="ListParagraph"/>
        <w:numPr>
          <w:ilvl w:val="1"/>
          <w:numId w:val="71"/>
        </w:numPr>
      </w:pPr>
      <w:hyperlink r:id="rId102" w:history="1">
        <w:r w:rsidR="00427B35" w:rsidRPr="005466F3">
          <w:rPr>
            <w:rStyle w:val="Hyperlink"/>
            <w:b/>
            <w:bCs/>
          </w:rPr>
          <w:t>Workplace readiness training to develop social skills and independent living</w:t>
        </w:r>
      </w:hyperlink>
    </w:p>
    <w:p w14:paraId="21573A58" w14:textId="77777777" w:rsidR="00427B35" w:rsidRPr="005466F3" w:rsidRDefault="00366D34" w:rsidP="00427B35">
      <w:pPr>
        <w:pStyle w:val="ListParagraph"/>
        <w:numPr>
          <w:ilvl w:val="1"/>
          <w:numId w:val="71"/>
        </w:numPr>
      </w:pPr>
      <w:hyperlink r:id="rId103" w:history="1">
        <w:r w:rsidR="00427B35" w:rsidRPr="005466F3">
          <w:rPr>
            <w:rStyle w:val="Hyperlink"/>
            <w:b/>
            <w:bCs/>
          </w:rPr>
          <w:t>Instruction in self-advocacy</w:t>
        </w:r>
      </w:hyperlink>
    </w:p>
    <w:p w14:paraId="2A66063B" w14:textId="77777777" w:rsidR="00427B35" w:rsidRPr="005466F3" w:rsidRDefault="00427B35" w:rsidP="00427B35">
      <w:pPr>
        <w:pStyle w:val="ListParagraph"/>
        <w:numPr>
          <w:ilvl w:val="0"/>
          <w:numId w:val="71"/>
        </w:numPr>
      </w:pPr>
      <w:r w:rsidRPr="005466F3">
        <w:rPr>
          <w:b/>
          <w:bCs/>
        </w:rPr>
        <w:t>RSA presentation from the 2016 CSAVR conference:</w:t>
      </w:r>
    </w:p>
    <w:p w14:paraId="2709CB1E" w14:textId="77777777" w:rsidR="00427B35" w:rsidRPr="005466F3" w:rsidRDefault="00366D34" w:rsidP="00427B35">
      <w:pPr>
        <w:pStyle w:val="ListParagraph"/>
        <w:numPr>
          <w:ilvl w:val="1"/>
          <w:numId w:val="71"/>
        </w:numPr>
      </w:pPr>
      <w:hyperlink r:id="rId104" w:tgtFrame="_blank" w:history="1">
        <w:r w:rsidR="00427B35" w:rsidRPr="005466F3">
          <w:rPr>
            <w:rStyle w:val="Hyperlink"/>
            <w:b/>
            <w:bCs/>
          </w:rPr>
          <w:t>Overview and Discussion of Federal Regulations on Transition Services and Pre-Employment Transition Services</w:t>
        </w:r>
      </w:hyperlink>
    </w:p>
    <w:p w14:paraId="3DC214E4" w14:textId="77777777" w:rsidR="00427B35" w:rsidRPr="005466F3" w:rsidRDefault="00366D34" w:rsidP="00427B35">
      <w:pPr>
        <w:pStyle w:val="ListParagraph"/>
        <w:numPr>
          <w:ilvl w:val="1"/>
          <w:numId w:val="71"/>
        </w:numPr>
      </w:pPr>
      <w:hyperlink r:id="rId105" w:tgtFrame="_blank" w:history="1">
        <w:r w:rsidR="00427B35" w:rsidRPr="005466F3">
          <w:rPr>
            <w:rStyle w:val="Hyperlink"/>
            <w:b/>
            <w:bCs/>
          </w:rPr>
          <w:t>Overview and Discussion of Federal Fiscal Regulations, including fiscal accountability for pre-employment transition services</w:t>
        </w:r>
      </w:hyperlink>
    </w:p>
    <w:p w14:paraId="59A8443F" w14:textId="77777777" w:rsidR="00427B35" w:rsidRPr="005466F3" w:rsidRDefault="00427B35" w:rsidP="00427B35">
      <w:pPr>
        <w:pStyle w:val="ListParagraph"/>
        <w:numPr>
          <w:ilvl w:val="0"/>
          <w:numId w:val="71"/>
        </w:numPr>
      </w:pPr>
      <w:bookmarkStart w:id="18" w:name="fed_resources"/>
      <w:bookmarkEnd w:id="18"/>
      <w:r w:rsidRPr="005466F3">
        <w:rPr>
          <w:b/>
          <w:bCs/>
        </w:rPr>
        <w:t>Federal Resources &amp; Information</w:t>
      </w:r>
    </w:p>
    <w:p w14:paraId="274F016D" w14:textId="77777777" w:rsidR="00427B35" w:rsidRPr="005466F3" w:rsidRDefault="00366D34" w:rsidP="00427B35">
      <w:pPr>
        <w:pStyle w:val="ListParagraph"/>
        <w:numPr>
          <w:ilvl w:val="1"/>
          <w:numId w:val="71"/>
        </w:numPr>
      </w:pPr>
      <w:hyperlink r:id="rId106" w:tgtFrame="_blank" w:history="1">
        <w:r w:rsidR="00427B35" w:rsidRPr="005466F3">
          <w:rPr>
            <w:rStyle w:val="Hyperlink"/>
            <w:b/>
            <w:bCs/>
          </w:rPr>
          <w:t>Increasing Postsecondary Opportunities and Success for Students and Youth with Disabilities</w:t>
        </w:r>
      </w:hyperlink>
    </w:p>
    <w:p w14:paraId="1CF67297" w14:textId="77777777" w:rsidR="00427B35" w:rsidRPr="005466F3" w:rsidRDefault="00366D34" w:rsidP="00427B35">
      <w:pPr>
        <w:pStyle w:val="ListParagraph"/>
        <w:numPr>
          <w:ilvl w:val="1"/>
          <w:numId w:val="71"/>
        </w:numPr>
      </w:pPr>
      <w:hyperlink r:id="rId107" w:tgtFrame="_blank" w:history="1">
        <w:r w:rsidR="00427B35" w:rsidRPr="005466F3">
          <w:rPr>
            <w:rStyle w:val="Hyperlink"/>
            <w:b/>
            <w:bCs/>
          </w:rPr>
          <w:t>RSA Technical Assistance Circular (TAC) 18-02 titled "Submission Procedures for Prior Written Approval Requests under the State Vocational Rehabilitation (VR) Services Program."</w:t>
        </w:r>
      </w:hyperlink>
    </w:p>
    <w:p w14:paraId="3596C2FA" w14:textId="77777777" w:rsidR="00427B35" w:rsidRPr="005466F3" w:rsidRDefault="00366D34" w:rsidP="00427B35">
      <w:pPr>
        <w:pStyle w:val="ListParagraph"/>
        <w:numPr>
          <w:ilvl w:val="1"/>
          <w:numId w:val="71"/>
        </w:numPr>
      </w:pPr>
      <w:hyperlink r:id="rId108" w:tgtFrame="_blank" w:history="1">
        <w:r w:rsidR="00427B35" w:rsidRPr="005466F3">
          <w:rPr>
            <w:rStyle w:val="Hyperlink"/>
            <w:b/>
            <w:bCs/>
          </w:rPr>
          <w:t>Technical Assistance Audio Program on Pre-Employment Transition Services Expenditures</w:t>
        </w:r>
      </w:hyperlink>
      <w:r w:rsidR="00427B35" w:rsidRPr="005466F3">
        <w:rPr>
          <w:b/>
          <w:bCs/>
        </w:rPr>
        <w:t> </w:t>
      </w:r>
    </w:p>
    <w:p w14:paraId="73C2CC88" w14:textId="77777777" w:rsidR="00427B35" w:rsidRPr="005466F3" w:rsidRDefault="00366D34" w:rsidP="00427B35">
      <w:pPr>
        <w:pStyle w:val="ListParagraph"/>
        <w:numPr>
          <w:ilvl w:val="1"/>
          <w:numId w:val="71"/>
        </w:numPr>
      </w:pPr>
      <w:hyperlink r:id="rId109" w:tgtFrame="_blank" w:history="1">
        <w:r w:rsidR="00427B35" w:rsidRPr="005466F3">
          <w:rPr>
            <w:rStyle w:val="Hyperlink"/>
            <w:b/>
            <w:bCs/>
          </w:rPr>
          <w:t>A Transition Guide to Postsecondary Education and Employment for Students and Youth with Disabilities</w:t>
        </w:r>
      </w:hyperlink>
    </w:p>
    <w:p w14:paraId="132D63D6" w14:textId="77777777" w:rsidR="00427B35" w:rsidRPr="005466F3" w:rsidRDefault="00366D34" w:rsidP="00427B35">
      <w:pPr>
        <w:pStyle w:val="ListParagraph"/>
        <w:numPr>
          <w:ilvl w:val="1"/>
          <w:numId w:val="71"/>
        </w:numPr>
      </w:pPr>
      <w:hyperlink r:id="rId110" w:tgtFrame="_blank" w:history="1">
        <w:r w:rsidR="00427B35" w:rsidRPr="005466F3">
          <w:rPr>
            <w:rStyle w:val="Hyperlink"/>
            <w:b/>
            <w:bCs/>
          </w:rPr>
          <w:t>Auxiliary Aids and Services for Students with Disabilities In the Provision of Pre-Employment Transition Services</w:t>
        </w:r>
      </w:hyperlink>
    </w:p>
    <w:p w14:paraId="4F5BC7E8" w14:textId="77777777" w:rsidR="00427B35" w:rsidRPr="005466F3" w:rsidRDefault="00366D34" w:rsidP="00427B35">
      <w:pPr>
        <w:pStyle w:val="ListParagraph"/>
        <w:numPr>
          <w:ilvl w:val="1"/>
          <w:numId w:val="71"/>
        </w:numPr>
      </w:pPr>
      <w:hyperlink r:id="rId111" w:tgtFrame="_blank" w:tooltip="Download the What to Know About Work-Based Learning Experiences for Students and Youth with Disabilities" w:history="1">
        <w:r w:rsidR="00427B35" w:rsidRPr="005466F3">
          <w:rPr>
            <w:rStyle w:val="Hyperlink"/>
            <w:b/>
            <w:bCs/>
          </w:rPr>
          <w:t>What to Know About Work-Based Learning Experiences for Students and Youth with Disabilities </w:t>
        </w:r>
      </w:hyperlink>
    </w:p>
    <w:p w14:paraId="0F10EDD8" w14:textId="77777777" w:rsidR="00427B35" w:rsidRPr="005466F3" w:rsidRDefault="00366D34" w:rsidP="00427B35">
      <w:pPr>
        <w:pStyle w:val="ListParagraph"/>
        <w:numPr>
          <w:ilvl w:val="1"/>
          <w:numId w:val="71"/>
        </w:numPr>
      </w:pPr>
      <w:hyperlink r:id="rId112" w:tgtFrame="_blank" w:history="1">
        <w:r w:rsidR="00427B35" w:rsidRPr="005466F3">
          <w:rPr>
            <w:rStyle w:val="Hyperlink"/>
            <w:b/>
            <w:bCs/>
          </w:rPr>
          <w:t>What to Know About Transition Services for Students and Youth with Disabilities</w:t>
        </w:r>
      </w:hyperlink>
    </w:p>
    <w:p w14:paraId="178133CA" w14:textId="77777777" w:rsidR="00427B35" w:rsidRPr="005466F3" w:rsidRDefault="00366D34" w:rsidP="00427B35">
      <w:pPr>
        <w:pStyle w:val="ListParagraph"/>
        <w:numPr>
          <w:ilvl w:val="1"/>
          <w:numId w:val="71"/>
        </w:numPr>
      </w:pPr>
      <w:hyperlink r:id="rId113" w:tgtFrame="_blank" w:history="1">
        <w:r w:rsidR="00427B35" w:rsidRPr="005466F3">
          <w:rPr>
            <w:rStyle w:val="Hyperlink"/>
            <w:b/>
            <w:bCs/>
          </w:rPr>
          <w:t>The 2020 Youth Transition Plan: A federal Interagency Strategy</w:t>
        </w:r>
      </w:hyperlink>
    </w:p>
    <w:p w14:paraId="52AC8853" w14:textId="77777777" w:rsidR="00427B35" w:rsidRPr="005466F3" w:rsidRDefault="00366D34" w:rsidP="00427B35">
      <w:pPr>
        <w:pStyle w:val="ListParagraph"/>
        <w:numPr>
          <w:ilvl w:val="1"/>
          <w:numId w:val="71"/>
        </w:numPr>
      </w:pPr>
      <w:hyperlink r:id="rId114" w:tgtFrame="_blank" w:history="1">
        <w:r w:rsidR="00427B35" w:rsidRPr="005466F3">
          <w:rPr>
            <w:rStyle w:val="Hyperlink"/>
            <w:b/>
            <w:bCs/>
          </w:rPr>
          <w:t>RSA: Period of Performance for Formula Grant Awards FAQs</w:t>
        </w:r>
      </w:hyperlink>
    </w:p>
    <w:p w14:paraId="3FF6BDFB" w14:textId="77777777" w:rsidR="00427B35" w:rsidRPr="005466F3" w:rsidRDefault="00366D34" w:rsidP="00427B35">
      <w:pPr>
        <w:pStyle w:val="ListParagraph"/>
        <w:numPr>
          <w:ilvl w:val="1"/>
          <w:numId w:val="71"/>
        </w:numPr>
      </w:pPr>
      <w:hyperlink r:id="rId115" w:tgtFrame="_blank" w:history="1">
        <w:r w:rsidR="00427B35" w:rsidRPr="005466F3">
          <w:rPr>
            <w:rStyle w:val="Hyperlink"/>
            <w:b/>
            <w:bCs/>
          </w:rPr>
          <w:t>PD-16-04 - "Revision of Policy Directive (PD) 14-01 instructions for the completion of the Case Service Report (RSA-911) for the State Vocational Rehabilitation Services Program and the State Supported Employment Services Program"</w:t>
        </w:r>
      </w:hyperlink>
    </w:p>
    <w:p w14:paraId="77E31A40" w14:textId="77777777" w:rsidR="00427B35" w:rsidRPr="005466F3" w:rsidRDefault="00366D34" w:rsidP="00427B35">
      <w:pPr>
        <w:pStyle w:val="ListParagraph"/>
        <w:numPr>
          <w:ilvl w:val="1"/>
          <w:numId w:val="71"/>
        </w:numPr>
      </w:pPr>
      <w:hyperlink r:id="rId116" w:tgtFrame="_blank" w:history="1">
        <w:r w:rsidR="00427B35" w:rsidRPr="005466F3">
          <w:rPr>
            <w:rStyle w:val="Hyperlink"/>
            <w:b/>
            <w:bCs/>
          </w:rPr>
          <w:t>Guidelines: Supporting Documentation for Case Service Report (RSA-911)</w:t>
        </w:r>
        <w:r w:rsidR="00427B35" w:rsidRPr="005466F3">
          <w:rPr>
            <w:rStyle w:val="Hyperlink"/>
            <w:b/>
            <w:bCs/>
          </w:rPr>
          <w:br/>
          <w:t>Revised June 14, 2017 (PDF, 1MB)</w:t>
        </w:r>
      </w:hyperlink>
    </w:p>
    <w:p w14:paraId="5E7301CF" w14:textId="77777777" w:rsidR="00427B35" w:rsidRPr="005466F3" w:rsidRDefault="00366D34" w:rsidP="00427B35">
      <w:pPr>
        <w:pStyle w:val="ListParagraph"/>
        <w:numPr>
          <w:ilvl w:val="1"/>
          <w:numId w:val="71"/>
        </w:numPr>
      </w:pPr>
      <w:hyperlink r:id="rId117" w:tgtFrame="_blank" w:history="1">
        <w:r w:rsidR="00427B35" w:rsidRPr="005466F3">
          <w:rPr>
            <w:rStyle w:val="Hyperlink"/>
            <w:b/>
            <w:bCs/>
          </w:rPr>
          <w:t>TAC-17-01 - "Performance Accountability Guidance for Workforce Innovation and Opportunity Act Title I, Title II, Title III and Title IV Core Programs"</w:t>
        </w:r>
      </w:hyperlink>
    </w:p>
    <w:p w14:paraId="7D194613" w14:textId="77777777" w:rsidR="00427B35" w:rsidRPr="005466F3" w:rsidRDefault="00366D34" w:rsidP="00427B35">
      <w:pPr>
        <w:pStyle w:val="ListParagraph"/>
        <w:numPr>
          <w:ilvl w:val="1"/>
          <w:numId w:val="71"/>
        </w:numPr>
      </w:pPr>
      <w:hyperlink r:id="rId118" w:tgtFrame="_blank" w:history="1">
        <w:r w:rsidR="00427B35" w:rsidRPr="005466F3">
          <w:rPr>
            <w:rStyle w:val="Hyperlink"/>
            <w:b/>
            <w:bCs/>
          </w:rPr>
          <w:t>RSA Webinar on New FY 2015 GAN Attachment for Pre-Employment Transition Services, Supported Employment, and Maintenance of Effort</w:t>
        </w:r>
      </w:hyperlink>
    </w:p>
    <w:p w14:paraId="4DA24BF9" w14:textId="77777777" w:rsidR="00427B35" w:rsidRPr="005466F3" w:rsidRDefault="00366D34" w:rsidP="00427B35">
      <w:pPr>
        <w:pStyle w:val="ListParagraph"/>
        <w:numPr>
          <w:ilvl w:val="1"/>
          <w:numId w:val="71"/>
        </w:numPr>
      </w:pPr>
      <w:hyperlink r:id="rId119" w:tgtFrame="_blank" w:history="1">
        <w:r w:rsidR="00427B35" w:rsidRPr="005466F3">
          <w:rPr>
            <w:rStyle w:val="Hyperlink"/>
            <w:b/>
            <w:bCs/>
          </w:rPr>
          <w:t>Transcript for RSA Webinar on New FY 2015 GAN Attachments for Pre-ETS, Supported Employment, and Maintenance of Effort</w:t>
        </w:r>
      </w:hyperlink>
    </w:p>
    <w:p w14:paraId="66498012" w14:textId="77777777" w:rsidR="00427B35" w:rsidRPr="005466F3" w:rsidRDefault="00427B35" w:rsidP="00427B35">
      <w:pPr>
        <w:pStyle w:val="ListParagraph"/>
        <w:numPr>
          <w:ilvl w:val="0"/>
          <w:numId w:val="71"/>
        </w:numPr>
      </w:pPr>
      <w:r w:rsidRPr="005466F3">
        <w:rPr>
          <w:b/>
          <w:bCs/>
        </w:rPr>
        <w:t>The Department of Labor's has the following e-laws resources regarding the Fair Labor Standards act and volunteers and school to work designations.</w:t>
      </w:r>
    </w:p>
    <w:p w14:paraId="2CC332F8" w14:textId="77777777" w:rsidR="00427B35" w:rsidRPr="005466F3" w:rsidRDefault="00366D34" w:rsidP="00427B35">
      <w:pPr>
        <w:pStyle w:val="ListParagraph"/>
        <w:numPr>
          <w:ilvl w:val="1"/>
          <w:numId w:val="71"/>
        </w:numPr>
      </w:pPr>
      <w:hyperlink r:id="rId120" w:tgtFrame="_blank" w:history="1">
        <w:r w:rsidR="00427B35" w:rsidRPr="005466F3">
          <w:rPr>
            <w:rStyle w:val="Hyperlink"/>
            <w:b/>
            <w:bCs/>
          </w:rPr>
          <w:t>elaws - Fair Labor Standards Act Advisor: Volunteers</w:t>
        </w:r>
      </w:hyperlink>
    </w:p>
    <w:p w14:paraId="5787144E" w14:textId="77777777" w:rsidR="00427B35" w:rsidRPr="005466F3" w:rsidRDefault="00366D34" w:rsidP="00427B35">
      <w:pPr>
        <w:pStyle w:val="ListParagraph"/>
        <w:numPr>
          <w:ilvl w:val="1"/>
          <w:numId w:val="71"/>
        </w:numPr>
      </w:pPr>
      <w:hyperlink r:id="rId121" w:tgtFrame="_blank" w:history="1">
        <w:r w:rsidR="00427B35" w:rsidRPr="005466F3">
          <w:rPr>
            <w:rStyle w:val="Hyperlink"/>
            <w:b/>
            <w:bCs/>
          </w:rPr>
          <w:t>elaws - Fair Labor Standards Act Advisor: School-to-Work</w:t>
        </w:r>
      </w:hyperlink>
    </w:p>
    <w:p w14:paraId="7422E7B9" w14:textId="77777777" w:rsidR="00427B35" w:rsidRPr="005466F3" w:rsidRDefault="00366D34" w:rsidP="00427B35">
      <w:pPr>
        <w:pStyle w:val="ListParagraph"/>
        <w:numPr>
          <w:ilvl w:val="1"/>
          <w:numId w:val="71"/>
        </w:numPr>
      </w:pPr>
      <w:hyperlink r:id="rId122" w:tgtFrame="_blank" w:history="1">
        <w:r w:rsidR="00427B35" w:rsidRPr="005466F3">
          <w:rPr>
            <w:rStyle w:val="Hyperlink"/>
            <w:b/>
            <w:bCs/>
          </w:rPr>
          <w:t>elaws - Fair Labor Standards Act Advisor: Trainees</w:t>
        </w:r>
      </w:hyperlink>
    </w:p>
    <w:p w14:paraId="7A2099EB" w14:textId="77777777" w:rsidR="00427B35" w:rsidRPr="005466F3" w:rsidRDefault="00427B35" w:rsidP="00427B35">
      <w:pPr>
        <w:pStyle w:val="ListParagraph"/>
        <w:numPr>
          <w:ilvl w:val="0"/>
          <w:numId w:val="71"/>
        </w:numPr>
      </w:pPr>
      <w:r w:rsidRPr="005466F3">
        <w:rPr>
          <w:b/>
          <w:bCs/>
        </w:rPr>
        <w:t>The Department of Labor, Wage and Hour Division (WHD) has the following Fact Sheets regarding the Fair Labor Standards Act:</w:t>
      </w:r>
    </w:p>
    <w:p w14:paraId="4FBDB3FF" w14:textId="77777777" w:rsidR="00427B35" w:rsidRPr="005466F3" w:rsidRDefault="00366D34" w:rsidP="00427B35">
      <w:pPr>
        <w:pStyle w:val="ListParagraph"/>
        <w:numPr>
          <w:ilvl w:val="1"/>
          <w:numId w:val="71"/>
        </w:numPr>
      </w:pPr>
      <w:hyperlink r:id="rId123" w:tgtFrame="_blank" w:history="1">
        <w:r w:rsidR="00427B35" w:rsidRPr="005466F3">
          <w:rPr>
            <w:rStyle w:val="Hyperlink"/>
            <w:b/>
            <w:bCs/>
          </w:rPr>
          <w:t>#71: Internship Programs Under The Fair Labor Standards Act</w:t>
        </w:r>
      </w:hyperlink>
    </w:p>
    <w:p w14:paraId="3BAF1F92" w14:textId="77777777" w:rsidR="00427B35" w:rsidRPr="005466F3" w:rsidRDefault="00427B35" w:rsidP="00427B35">
      <w:pPr>
        <w:pStyle w:val="ListParagraph"/>
        <w:numPr>
          <w:ilvl w:val="1"/>
          <w:numId w:val="71"/>
        </w:numPr>
      </w:pPr>
      <w:r w:rsidRPr="005466F3">
        <w:rPr>
          <w:b/>
          <w:bCs/>
        </w:rPr>
        <w:t>This fact sheet provides general information to help determine whether interns and students working for “for-profit” employers are entitled to minimum wages and overtime pay under the Fair Labor Standards Act (FLSA).</w:t>
      </w:r>
      <w:r w:rsidRPr="005466F3">
        <w:rPr>
          <w:b/>
          <w:bCs/>
        </w:rPr>
        <w:br/>
      </w:r>
      <w:bookmarkStart w:id="19" w:name="national_tac"/>
      <w:bookmarkEnd w:id="19"/>
      <w:r w:rsidRPr="005466F3">
        <w:rPr>
          <w:b/>
          <w:bCs/>
        </w:rPr>
        <w:t>National Technical Assistance Centers Focused on Youth, Disability, and Transition</w:t>
      </w:r>
    </w:p>
    <w:p w14:paraId="485AE706" w14:textId="77777777" w:rsidR="00427B35" w:rsidRPr="005466F3" w:rsidRDefault="00366D34" w:rsidP="00427B35">
      <w:pPr>
        <w:pStyle w:val="ListParagraph"/>
        <w:numPr>
          <w:ilvl w:val="0"/>
          <w:numId w:val="71"/>
        </w:numPr>
      </w:pPr>
      <w:hyperlink r:id="rId124" w:tgtFrame="_blank" w:history="1">
        <w:r w:rsidR="00427B35" w:rsidRPr="005466F3">
          <w:rPr>
            <w:rStyle w:val="Hyperlink"/>
            <w:b/>
            <w:bCs/>
          </w:rPr>
          <w:t>JYTAC Snapshot</w:t>
        </w:r>
      </w:hyperlink>
    </w:p>
    <w:bookmarkStart w:id="20" w:name="external_sites"/>
    <w:bookmarkEnd w:id="20"/>
    <w:p w14:paraId="77044A0B" w14:textId="2F4774E4" w:rsidR="0071173A" w:rsidRPr="00896269" w:rsidRDefault="00427B35" w:rsidP="00427B35">
      <w:pPr>
        <w:pStyle w:val="ListParagraph"/>
        <w:numPr>
          <w:ilvl w:val="0"/>
          <w:numId w:val="71"/>
        </w:numPr>
      </w:pPr>
      <w:r w:rsidRPr="005466F3">
        <w:rPr>
          <w:b/>
          <w:bCs/>
        </w:rPr>
        <w:fldChar w:fldCharType="begin"/>
      </w:r>
      <w:r w:rsidRPr="005466F3">
        <w:rPr>
          <w:b/>
          <w:bCs/>
        </w:rPr>
        <w:instrText xml:space="preserve"> HYPERLINK "http://www.wintac.org/topic-areas/pre-employment-transition-services/resources/introduction-external-websites" \t "_blank" </w:instrText>
      </w:r>
      <w:r w:rsidRPr="005466F3">
        <w:rPr>
          <w:b/>
          <w:bCs/>
        </w:rPr>
        <w:fldChar w:fldCharType="separate"/>
      </w:r>
      <w:r w:rsidRPr="005466F3">
        <w:rPr>
          <w:rStyle w:val="Hyperlink"/>
          <w:b/>
          <w:bCs/>
        </w:rPr>
        <w:t>Introduction of External Websites</w:t>
      </w:r>
      <w:r w:rsidRPr="005466F3">
        <w:fldChar w:fldCharType="end"/>
      </w:r>
    </w:p>
    <w:p w14:paraId="7A998B0B" w14:textId="77777777" w:rsidR="0071173A" w:rsidRDefault="0071173A" w:rsidP="0071173A">
      <w:pPr>
        <w:pBdr>
          <w:bottom w:val="single" w:sz="24" w:space="1" w:color="auto"/>
        </w:pBdr>
        <w:jc w:val="center"/>
        <w:rPr>
          <w:b/>
          <w:sz w:val="36"/>
        </w:rPr>
      </w:pPr>
      <w:r>
        <w:rPr>
          <w:b/>
          <w:sz w:val="36"/>
        </w:rPr>
        <w:br w:type="page"/>
      </w:r>
    </w:p>
    <w:p w14:paraId="6F78195B" w14:textId="77777777" w:rsidR="0071173A" w:rsidRPr="00DF444E" w:rsidRDefault="0071173A" w:rsidP="0071173A">
      <w:pPr>
        <w:pStyle w:val="Heading2"/>
        <w:numPr>
          <w:ilvl w:val="0"/>
          <w:numId w:val="0"/>
        </w:numPr>
      </w:pPr>
      <w:bookmarkStart w:id="21" w:name="_Toc28011414"/>
      <w:r w:rsidRPr="00DF444E">
        <w:lastRenderedPageBreak/>
        <w:t>Pre-ETS ITAs: PROGRESS NARRATIVE</w:t>
      </w:r>
      <w:bookmarkEnd w:id="21"/>
    </w:p>
    <w:p w14:paraId="6D71BBB5" w14:textId="77777777" w:rsidR="0071173A" w:rsidRDefault="0071173A" w:rsidP="0071173A">
      <w:pPr>
        <w:pStyle w:val="Heading3"/>
        <w:numPr>
          <w:ilvl w:val="0"/>
          <w:numId w:val="0"/>
        </w:numPr>
      </w:pPr>
      <w:r>
        <w:t>National Lens</w:t>
      </w:r>
    </w:p>
    <w:p w14:paraId="01FC01D7" w14:textId="77777777" w:rsidR="00427B35" w:rsidRDefault="00427B35" w:rsidP="00427B35">
      <w:pPr>
        <w:ind w:firstLine="360"/>
      </w:pPr>
      <w:r>
        <w:t xml:space="preserve">The Workforce Innovation and Opportunities Act (WIOA) requires states to reserve 15 percent of their Vocational Rehabilitation federal funds to provide pre-employment transition services (Pre-ETS) to students with disabilities, in a recognition that services will facilitate meaningful opportunities to obtain training and supports which ultimately facilitate employment (GAO, 2018). WINTAC’s Pre-ETS team provides intensive technical assistance (TA) to state vocational rehabilitation agencies (SVRA) as they comply with WIOA regulations governing the implementation of Pre-ETS related mandates issued by the Rehabilitation Services Administration (RSA). </w:t>
      </w:r>
    </w:p>
    <w:p w14:paraId="3BDF42E3" w14:textId="77777777" w:rsidR="00427B35" w:rsidRPr="00035CD7" w:rsidRDefault="00427B35" w:rsidP="00427B35">
      <w:pPr>
        <w:ind w:firstLine="360"/>
      </w:pPr>
      <w:r>
        <w:t xml:space="preserve">Reviews of Pre-ETS implementation provide insight into how </w:t>
      </w:r>
      <w:r w:rsidRPr="00035CD7">
        <w:t>SVRAs and partners are working towards effective models of service delivery to improve transition and employment outcomes, and how their early experiences shaped WINTAC’s TA approach.  In 2016, the National Council on Disability conducted a survey with follow-up interviews of SVRAs and TA providers to examine Pre-ETS service delivery two and a half years after WIOA (NCD, 2017).  As might be expected at such an early stage of implementation with regulations and guidance still being issued, agencies were experiencing challenges with requirements pertaining to the 15 percent reserve rules, allowable costs, and tracking services (NCD).  In addition, partnerships between SVRAs and education entities to support effective implementation were still being formalized to facilitate needed access to information, and when applicable, parental involvement and consent (NCD).  Similar findings from SVRA surveys and interviews in 2017 by the Government Accountability Office (GAO) showed states working on spending their 15 percent reserve but needing further guidance on allowable costs and interagency agreements, and looking for examples of best practices.</w:t>
      </w:r>
    </w:p>
    <w:p w14:paraId="7F15D7A1" w14:textId="77777777" w:rsidR="00427B35" w:rsidRPr="00035CD7" w:rsidRDefault="00427B35" w:rsidP="00427B35">
      <w:pPr>
        <w:ind w:firstLine="360"/>
      </w:pPr>
      <w:r w:rsidRPr="00035CD7">
        <w:t xml:space="preserve">At the same time, successful partnership examples were emerging. In a presentation at the Office of Special Education Program’s Leadership Conference, TA centers supporting SVRAs (including WINTAC) presented examples of interagency collaboration between SVRAs and state and local education agencies to provide Pre-ETS (Haley, Unruh, &amp; Johnson, 2017).  They found one state implemented agreements with common </w:t>
      </w:r>
      <w:r>
        <w:t>terminology</w:t>
      </w:r>
      <w:r w:rsidRPr="00035CD7">
        <w:t xml:space="preserve"> which facilitated uniformity and consistency in language, but not necessarily </w:t>
      </w:r>
      <w:r>
        <w:t xml:space="preserve">the </w:t>
      </w:r>
      <w:r w:rsidRPr="00035CD7">
        <w:t xml:space="preserve">improved communication </w:t>
      </w:r>
      <w:r>
        <w:t xml:space="preserve">required for </w:t>
      </w:r>
      <w:r w:rsidRPr="00035CD7">
        <w:t>consistent mutual understanding or implementation.  In another state cross-agency leadership teams facilitated shared understanding, goals, and plans.  Other states were developing curricula, policies, procedures, resource guides, and creating formal referral mechanisms for Pre-ETS.</w:t>
      </w:r>
    </w:p>
    <w:p w14:paraId="03FE322E" w14:textId="77777777" w:rsidR="00427B35" w:rsidRPr="00035CD7" w:rsidRDefault="00427B35" w:rsidP="00427B35">
      <w:pPr>
        <w:ind w:firstLine="360"/>
      </w:pPr>
      <w:r w:rsidRPr="00035CD7">
        <w:t xml:space="preserve">Studies of the emerging landscape of Pre-ETS from </w:t>
      </w:r>
      <w:r>
        <w:t xml:space="preserve">the perspective of </w:t>
      </w:r>
      <w:r w:rsidRPr="00035CD7">
        <w:t xml:space="preserve">particular stakeholders demonstrated that extending SVRA partnerships to qualify services as PreETS is one successful way to meet program goals.  Pollard, Traugott, Thelin, and Grigal (2018) examined Pre-ETS provision involving collaboration with higher education settings – specifically Transition and Postsecondary Programs for Students with Intelllectual Disabilities (TPSIDs), </w:t>
      </w:r>
      <w:r>
        <w:t xml:space="preserve">which are </w:t>
      </w:r>
      <w:r w:rsidRPr="00035CD7">
        <w:t xml:space="preserve">demonstration projects that receive initial funding from the U.S. Department of Education, but look to additional sources of funding for sustainability. They found 22 TPSIDs partnering with SVRAs, 119 dually enrolled students who received Pre-ETS, </w:t>
      </w:r>
      <w:r>
        <w:t>resulting in</w:t>
      </w:r>
      <w:r w:rsidRPr="00035CD7">
        <w:t xml:space="preserve"> 51% of those students </w:t>
      </w:r>
      <w:r>
        <w:t>being</w:t>
      </w:r>
      <w:r w:rsidRPr="00035CD7">
        <w:t xml:space="preserve"> employed and 41% in career development.</w:t>
      </w:r>
    </w:p>
    <w:p w14:paraId="7FCBEC4C" w14:textId="4E231C90" w:rsidR="0071173A" w:rsidRPr="00035CD7" w:rsidRDefault="00427B35" w:rsidP="00427B35">
      <w:pPr>
        <w:ind w:firstLine="360"/>
      </w:pPr>
      <w:r w:rsidRPr="00035CD7">
        <w:t xml:space="preserve">In 2016 and 2017 Luecking and Fabian (2019) conducted a national survey and follow-up interviews after WIOA’s passage but prior to regulations being fully implemented, similar to the GAO and NCD, </w:t>
      </w:r>
      <w:r w:rsidRPr="00035CD7">
        <w:lastRenderedPageBreak/>
        <w:t>directly surveying VR Counselors (VRCs) to understand their perspectives.  VRCs reported improved relationships with schools, increased outreach to families, earlier engagement with youth, and increased invitations to join IEP meetings.  They also noted some challenges, including increased reporting requirements, larger caseloads, inadequate community provider resources, and the perennial challenge of transportation.  In terms of specific services, most respondents noted directly providing post-secondary and job exploration counseling, but contracting out work readiness training and work-based learning.  Local challenges affecting service delivery also included being in order of selection, having a large rural population, and reliance on large national providers for Pre-ETS (e.g., Project Search).  Strategies were already being implemented to manage some of these common issues, including creating specialized caseloads or roles of transition counselors, adapting existing transition partnerships, collocating programs for seamless access, and “creative” transportation solutions such as ride-sharing programs or stipends.  Luecking and Fabian conclude that existing positive relationships and addition of specialized roles to meet increased demands facilitated meeting requirements more easily, that resource and community challenges such as transportation and capacity were differentiators between rural and urban settings and that use of Pre-ETS as a pathway to VR was emerging.</w:t>
      </w:r>
    </w:p>
    <w:p w14:paraId="4D35182B" w14:textId="77777777" w:rsidR="0071173A" w:rsidRPr="00035CD7" w:rsidRDefault="0071173A" w:rsidP="0071173A">
      <w:pPr>
        <w:pStyle w:val="Heading3"/>
        <w:numPr>
          <w:ilvl w:val="0"/>
          <w:numId w:val="0"/>
        </w:numPr>
      </w:pPr>
      <w:r w:rsidRPr="00035CD7">
        <w:t>WINTAC Lens</w:t>
      </w:r>
    </w:p>
    <w:p w14:paraId="2F0E7854" w14:textId="77777777" w:rsidR="00427B35" w:rsidRPr="00035CD7" w:rsidRDefault="00427B35" w:rsidP="00427B35">
      <w:pPr>
        <w:ind w:firstLine="720"/>
      </w:pPr>
      <w:r w:rsidRPr="00035CD7">
        <w:t>Pre-ETS is one of WINTAC’s most in-demand subject areas for which all levels of technical assistance is requested, as demonstrated by the high number (3</w:t>
      </w:r>
      <w:r>
        <w:t>6</w:t>
      </w:r>
      <w:r w:rsidRPr="00035CD7">
        <w:t>) of formal intensive technical assistance agreements (ITAAs) in place</w:t>
      </w:r>
      <w:r>
        <w:t xml:space="preserve"> (4 more than mid-year 4)</w:t>
      </w:r>
      <w:r w:rsidRPr="00035CD7">
        <w:t xml:space="preserve">.  These ITAAs draw from a menu of activities identified in the logic model, which each have an associated output and contribute to a set of defined short-term outcomes expected to be achieved within this funding cycle.  </w:t>
      </w:r>
    </w:p>
    <w:p w14:paraId="592AF15A" w14:textId="77777777" w:rsidR="00427B35" w:rsidRDefault="00427B35" w:rsidP="00427B35">
      <w:pPr>
        <w:tabs>
          <w:tab w:val="left" w:pos="360"/>
        </w:tabs>
        <w:rPr>
          <w:szCs w:val="14"/>
        </w:rPr>
      </w:pPr>
      <w:r>
        <w:rPr>
          <w:szCs w:val="14"/>
        </w:rPr>
        <w:tab/>
      </w:r>
      <w:r w:rsidRPr="00533653">
        <w:rPr>
          <w:b/>
          <w:bCs/>
          <w:i/>
          <w:iCs/>
          <w:szCs w:val="14"/>
          <w:u w:val="single"/>
        </w:rPr>
        <w:t>TA Progress.</w:t>
      </w:r>
      <w:r>
        <w:rPr>
          <w:szCs w:val="14"/>
        </w:rPr>
        <w:t xml:space="preserve"> Across the topic area of Pre-ETS (first dashboard), we see that the majority of activities (69%) are nearing or have reached completion (representing a completion rate of 75% or  more).  Below the average activity progress bar, using “thermometer charts,” the progress rate is broken out by specific activity with the linked outputs’ progress rates provided side-by-side.  For the most part, we see a one-to-one correspondence between the rate of completion for an activity and its associated output, but in a few cases, we see fewer completed outputs than activities.  This is true for activities two, five, and six to a slight degree – activities which represent developing policies and agreements and may be delayed due to engagement of multiple parties inside and outside the agency, such as partner organizations or agency and state leadership.</w:t>
      </w:r>
    </w:p>
    <w:p w14:paraId="5F79E46F" w14:textId="77777777" w:rsidR="00427B35" w:rsidRDefault="00427B35" w:rsidP="00427B35">
      <w:pPr>
        <w:tabs>
          <w:tab w:val="left" w:pos="360"/>
        </w:tabs>
        <w:rPr>
          <w:szCs w:val="14"/>
        </w:rPr>
      </w:pPr>
      <w:r>
        <w:rPr>
          <w:szCs w:val="14"/>
        </w:rPr>
        <w:tab/>
        <w:t>The first set of “thermometer” charts demonstrate the success of the Pre-ETS team in making significant headway with most of their activities and outputs.  These include activities related to reviewing existing policies and procedures related to tracking and reporting expenses, reviewing past expenditures, training staff on WIOA requirements for Pre-ETS, establishing an RSA-approved model for Pre-ETS spending, and supporting partnerships and agreements with LEAs and SEAs.  Activities 4, 9, and 10 (and linked outputs) show the lowest “temperatures,” reflecting slower progress.  Activities 4 and 9 correspond to internal controls and training regarding agency protocols and are activities that must necessarily come after policies are reviewed, revised, and approved.  Activity 10 is the Pre-ETS team’s engagement with Peer Mentoring Pilots and is a more recent development.  As such, it is not surprising to find these activities at earlier stages of completion.</w:t>
      </w:r>
    </w:p>
    <w:p w14:paraId="623D4EE3" w14:textId="77777777" w:rsidR="00427B35" w:rsidRDefault="00427B35" w:rsidP="00427B35">
      <w:pPr>
        <w:tabs>
          <w:tab w:val="left" w:pos="360"/>
        </w:tabs>
        <w:rPr>
          <w:szCs w:val="14"/>
        </w:rPr>
      </w:pPr>
      <w:r>
        <w:rPr>
          <w:szCs w:val="14"/>
        </w:rPr>
        <w:tab/>
        <w:t xml:space="preserve">In a comprehensive accounting of all Pre-ETS activities for Year 4 (including Targeted TA), the Pre-ETS team tabulated the services they’ve provided to all states across four years in terms of the number </w:t>
      </w:r>
      <w:r>
        <w:rPr>
          <w:szCs w:val="14"/>
        </w:rPr>
        <w:lastRenderedPageBreak/>
        <w:t>of: policies, forms, contracts, SEA/LEA agreements, TA calls, questions answered, and site visits.  This data is reflected in the bar charts and funnel charts presented above.  As expected, reviewing forms and contracts started earlier on; a trend also seen with the review and revision of SEA/LEA agreements, TA calls, and questions.  The need for site visits has been more consistent over the years.  The line above the bars demonstrates the cumulative total of activity as the years progress, demonstrating the high rate of activity by the Pre-ETS team over the years.  Across categories, the bulk of services was provided to states with ITAAs, with a fair amount of TA calls and questions answered for “Targeted” states.</w:t>
      </w:r>
    </w:p>
    <w:p w14:paraId="65084F20" w14:textId="77777777" w:rsidR="00427B35" w:rsidRDefault="00427B35" w:rsidP="00427B35">
      <w:pPr>
        <w:tabs>
          <w:tab w:val="left" w:pos="360"/>
        </w:tabs>
        <w:rPr>
          <w:rFonts w:cstheme="minorHAnsi"/>
        </w:rPr>
      </w:pPr>
      <w:r>
        <w:rPr>
          <w:szCs w:val="14"/>
        </w:rPr>
        <w:tab/>
      </w:r>
      <w:r w:rsidRPr="00662F12">
        <w:rPr>
          <w:b/>
          <w:bCs/>
          <w:i/>
          <w:iCs/>
          <w:szCs w:val="14"/>
          <w:u w:val="single"/>
        </w:rPr>
        <w:t>Challenges Overcome.</w:t>
      </w:r>
      <w:r>
        <w:rPr>
          <w:i/>
          <w:iCs/>
          <w:szCs w:val="14"/>
        </w:rPr>
        <w:t xml:space="preserve"> </w:t>
      </w:r>
      <w:r w:rsidRPr="00662F12">
        <w:rPr>
          <w:szCs w:val="14"/>
        </w:rPr>
        <w:t xml:space="preserve"> </w:t>
      </w:r>
      <w:r>
        <w:rPr>
          <w:szCs w:val="14"/>
        </w:rPr>
        <w:t xml:space="preserve">As with much of WIOA, the Pre-ETS area required SVRAs to implement new internal systems for tracking and reporting data related to performance and to provide new types of services.  These requirements meant SVRAs had to implement all new processes, train (and often hire new) staff, originate or renegotiate partnership agreements, and conduct rigorous outreach to newly defined eligible customers.  The Pre-ETS team successfully developed template agreements, processes, materials, and </w:t>
      </w:r>
      <w:r w:rsidRPr="00D43F44">
        <w:rPr>
          <w:rFonts w:cstheme="minorHAnsi"/>
        </w:rPr>
        <w:t>trainings and worked intensively one-on-one with each state to customize the TA approach and templates.  This involved reviewing and revising hundreds of policies</w:t>
      </w:r>
      <w:r>
        <w:rPr>
          <w:rFonts w:cstheme="minorHAnsi"/>
        </w:rPr>
        <w:t xml:space="preserve"> (383)</w:t>
      </w:r>
      <w:r w:rsidRPr="00D43F44">
        <w:rPr>
          <w:rFonts w:cstheme="minorHAnsi"/>
        </w:rPr>
        <w:t xml:space="preserve">, forms, </w:t>
      </w:r>
      <w:r>
        <w:rPr>
          <w:rFonts w:cstheme="minorHAnsi"/>
        </w:rPr>
        <w:t xml:space="preserve"> 152) </w:t>
      </w:r>
      <w:r w:rsidRPr="00D43F44">
        <w:rPr>
          <w:rFonts w:cstheme="minorHAnsi"/>
        </w:rPr>
        <w:t>contracts</w:t>
      </w:r>
      <w:r>
        <w:rPr>
          <w:rFonts w:cstheme="minorHAnsi"/>
        </w:rPr>
        <w:t xml:space="preserve"> (177)</w:t>
      </w:r>
      <w:r w:rsidRPr="00D43F44">
        <w:rPr>
          <w:rFonts w:cstheme="minorHAnsi"/>
        </w:rPr>
        <w:t>, and agreements with partners</w:t>
      </w:r>
      <w:r>
        <w:rPr>
          <w:rFonts w:cstheme="minorHAnsi"/>
        </w:rPr>
        <w:t xml:space="preserve"> (86)</w:t>
      </w:r>
      <w:r w:rsidRPr="00D43F44">
        <w:rPr>
          <w:rFonts w:cstheme="minorHAnsi"/>
        </w:rPr>
        <w:t xml:space="preserve"> and </w:t>
      </w:r>
      <w:r>
        <w:rPr>
          <w:rFonts w:cstheme="minorHAnsi"/>
        </w:rPr>
        <w:t>conducting</w:t>
      </w:r>
      <w:r w:rsidRPr="00D43F44">
        <w:rPr>
          <w:rFonts w:cstheme="minorHAnsi"/>
        </w:rPr>
        <w:t xml:space="preserve"> hundreds of </w:t>
      </w:r>
      <w:r>
        <w:rPr>
          <w:rFonts w:cstheme="minorHAnsi"/>
        </w:rPr>
        <w:t>TA calls (712)</w:t>
      </w:r>
      <w:r w:rsidRPr="00D43F44">
        <w:rPr>
          <w:rFonts w:cstheme="minorHAnsi"/>
        </w:rPr>
        <w:t>, site visits</w:t>
      </w:r>
      <w:r>
        <w:rPr>
          <w:rFonts w:cstheme="minorHAnsi"/>
        </w:rPr>
        <w:t xml:space="preserve"> (83)</w:t>
      </w:r>
      <w:r w:rsidRPr="00D43F44">
        <w:rPr>
          <w:rFonts w:cstheme="minorHAnsi"/>
        </w:rPr>
        <w:t>, and answering individual questions from SVRAs</w:t>
      </w:r>
      <w:r>
        <w:rPr>
          <w:rFonts w:cstheme="minorHAnsi"/>
        </w:rPr>
        <w:t xml:space="preserve"> (565)</w:t>
      </w:r>
      <w:r w:rsidRPr="00D43F44">
        <w:rPr>
          <w:rFonts w:cstheme="minorHAnsi"/>
        </w:rPr>
        <w:t xml:space="preserve"> – both targeted and intensive states.  </w:t>
      </w:r>
    </w:p>
    <w:p w14:paraId="0AD077B6" w14:textId="77777777" w:rsidR="00427B35" w:rsidRDefault="00427B35" w:rsidP="00427B35">
      <w:pPr>
        <w:tabs>
          <w:tab w:val="left" w:pos="360"/>
        </w:tabs>
        <w:rPr>
          <w:rFonts w:cstheme="minorHAnsi"/>
        </w:rPr>
      </w:pPr>
      <w:r>
        <w:rPr>
          <w:rFonts w:cstheme="minorHAnsi"/>
        </w:rPr>
        <w:tab/>
        <w:t xml:space="preserve">Other challenges included those common across the VR system nationally: administrative and staff turnover and in many states, significant restructuring of agencies including and up to combining general agencies and agencies for the blind.  In states where agencies were still separate, but both were in need of Pre-ETS assistance, the team was consistently able to overcome long-standing barriers to collaboration and bring parties together to achieve mutual and synergistic benefits to each.  This relationship building in other states could also involve bringing fiscal and data sides of organizations together, or VR and Education or other state parties.  </w:t>
      </w:r>
    </w:p>
    <w:p w14:paraId="7A8D48F8" w14:textId="77777777" w:rsidR="00427B35" w:rsidRDefault="00427B35" w:rsidP="00427B35">
      <w:pPr>
        <w:tabs>
          <w:tab w:val="left" w:pos="360"/>
        </w:tabs>
        <w:rPr>
          <w:rFonts w:cstheme="minorHAnsi"/>
        </w:rPr>
      </w:pPr>
      <w:r>
        <w:rPr>
          <w:rFonts w:cstheme="minorHAnsi"/>
        </w:rPr>
        <w:tab/>
        <w:t xml:space="preserve">Island territories were affected by hurricanes which impacted their progress and compounded other particularized challenges they face such as general lack of resources and employment opportunities in their remote locations and/or language barriers when interpreting federal guidance.  And, across many states, antiquated or inadequate case management systems were not able to track data as required and needed significant updating or complete shifts to new systems.  Handling these challenges required significant, intense, and highly customized and specialized TA by the Pre-ETS team, often outside the specific areas articulated in the ITAAs.  </w:t>
      </w:r>
    </w:p>
    <w:p w14:paraId="193559B7" w14:textId="77777777" w:rsidR="00427B35" w:rsidRPr="00D43F44" w:rsidRDefault="00427B35" w:rsidP="00427B35">
      <w:pPr>
        <w:tabs>
          <w:tab w:val="left" w:pos="360"/>
        </w:tabs>
        <w:rPr>
          <w:rFonts w:cstheme="minorHAnsi"/>
        </w:rPr>
      </w:pPr>
      <w:r>
        <w:rPr>
          <w:rFonts w:cstheme="minorHAnsi"/>
        </w:rPr>
        <w:tab/>
        <w:t>Similarly, the need to start delivering a high volume of new services meant restructuring and developing anew a set of relationships with third-party entities old and new and setting reasonable expectations and rates – another area not articulated in the language of ITAAs per se, but needed in many states.  It may be an activity worth including in future versions of the logic model/menu for ITAAs.</w:t>
      </w:r>
    </w:p>
    <w:p w14:paraId="2EBF92A1" w14:textId="77777777" w:rsidR="00427B35" w:rsidRDefault="00427B35" w:rsidP="00427B35">
      <w:pPr>
        <w:tabs>
          <w:tab w:val="left" w:pos="360"/>
        </w:tabs>
        <w:rPr>
          <w:rFonts w:cstheme="minorHAnsi"/>
        </w:rPr>
      </w:pPr>
      <w:r w:rsidRPr="00D43F44">
        <w:rPr>
          <w:rFonts w:cstheme="minorHAnsi"/>
          <w:i/>
          <w:iCs/>
        </w:rPr>
        <w:tab/>
      </w:r>
      <w:r w:rsidRPr="00AD7B12">
        <w:rPr>
          <w:rFonts w:cstheme="minorHAnsi"/>
          <w:b/>
          <w:bCs/>
          <w:i/>
          <w:iCs/>
          <w:u w:val="single"/>
        </w:rPr>
        <w:t>Impact</w:t>
      </w:r>
      <w:r w:rsidRPr="00D43F44">
        <w:rPr>
          <w:rFonts w:cstheme="minorHAnsi"/>
          <w:i/>
          <w:iCs/>
        </w:rPr>
        <w:t>.</w:t>
      </w:r>
      <w:r w:rsidRPr="00AD7B12">
        <w:rPr>
          <w:rFonts w:cstheme="minorHAnsi"/>
        </w:rPr>
        <w:t xml:space="preserve">  </w:t>
      </w:r>
      <w:r>
        <w:rPr>
          <w:rFonts w:cstheme="minorHAnsi"/>
        </w:rPr>
        <w:t xml:space="preserve">The assistance of the Pre-ETS team has systemically changed youth services through intensive work with 36 SVRAs and targeted assistance to 37 other SVRAs.  Dedicated funds are being spent on specific, qualifying training and services for eligible youth as they transition between secondary and post-secondary life and begin education and career shifts that will set them on a path to success.  Collaborations with state and local education agencies are being originated and/or revised substantially to ensure definition and separation of roles and responsibilities and accurate tracking of expenses.  In some cases interagency council meetings and data sharing agreements that include Education and VR are being established as well, ensuring ongoing partnership and collaborations over time.  These </w:t>
      </w:r>
      <w:r>
        <w:rPr>
          <w:rFonts w:cstheme="minorHAnsi"/>
        </w:rPr>
        <w:lastRenderedPageBreak/>
        <w:t>developments are systems changes which directly impact SVRA customers – in this case, students with disabilities.  The infographic on the outcomes dashboard page provides a quarter four snapshot of students served overall, receiving at least one Pre-ETS service, potentially eligible for services, and who applied for VR services.  Although the numbers are impressive, they currently lack context in terms of change over time and percentage of students overall.</w:t>
      </w:r>
    </w:p>
    <w:p w14:paraId="0668F977" w14:textId="0060D0F7" w:rsidR="00427B35" w:rsidRDefault="00427B35" w:rsidP="00427B35">
      <w:pPr>
        <w:tabs>
          <w:tab w:val="left" w:pos="360"/>
        </w:tabs>
        <w:rPr>
          <w:rFonts w:cstheme="minorHAnsi"/>
        </w:rPr>
      </w:pPr>
      <w:r>
        <w:rPr>
          <w:rFonts w:cstheme="minorHAnsi"/>
        </w:rPr>
        <w:tab/>
      </w:r>
      <w:r w:rsidRPr="00D43F44">
        <w:rPr>
          <w:rFonts w:cstheme="minorHAnsi"/>
        </w:rPr>
        <w:t>Because of requirements</w:t>
      </w:r>
      <w:r>
        <w:rPr>
          <w:rFonts w:cstheme="minorHAnsi"/>
        </w:rPr>
        <w:t xml:space="preserve"> to</w:t>
      </w:r>
      <w:r w:rsidRPr="00D43F44">
        <w:rPr>
          <w:rFonts w:cstheme="minorHAnsi"/>
        </w:rPr>
        <w:t xml:space="preserve"> track spending on new Pre-ETS services and</w:t>
      </w:r>
      <w:r>
        <w:rPr>
          <w:rFonts w:cstheme="minorHAnsi"/>
        </w:rPr>
        <w:t xml:space="preserve"> the numbers of</w:t>
      </w:r>
      <w:r w:rsidRPr="00D43F44">
        <w:rPr>
          <w:rFonts w:cstheme="minorHAnsi"/>
        </w:rPr>
        <w:t xml:space="preserve"> students served and potentially eligible for services, fiscal analyses of cost for services or per student, and return-on-investment/cost-benefit analyses are possible.  As all states move towards improved and accurate </w:t>
      </w:r>
      <w:r>
        <w:rPr>
          <w:rFonts w:cstheme="minorHAnsi"/>
        </w:rPr>
        <w:t>spending and reporting</w:t>
      </w:r>
      <w:r w:rsidRPr="00D43F44">
        <w:rPr>
          <w:rFonts w:cstheme="minorHAnsi"/>
        </w:rPr>
        <w:t xml:space="preserve"> and students complete transitions after receiving services, these enhanced analyses will make clear the full extent of impact locally and any national trends. </w:t>
      </w:r>
      <w:r>
        <w:rPr>
          <w:rFonts w:cstheme="minorHAnsi"/>
        </w:rPr>
        <w:t>Some agencies have already begun to work with the CPM team to understand how to make connections between services agencies are providing and outcomes they are reporting.</w:t>
      </w:r>
    </w:p>
    <w:p w14:paraId="1D3D3AC5" w14:textId="4C58CEB7" w:rsidR="00427B35" w:rsidRDefault="00122076" w:rsidP="00427B35">
      <w:pPr>
        <w:tabs>
          <w:tab w:val="left" w:pos="360"/>
        </w:tabs>
        <w:rPr>
          <w:i/>
          <w:iCs/>
        </w:rPr>
      </w:pPr>
      <w:r w:rsidRPr="00DA20BE">
        <w:rPr>
          <w:rFonts w:cstheme="minorHAnsi"/>
          <w:noProof/>
          <w:lang w:eastAsia="ko-KR"/>
        </w:rPr>
        <mc:AlternateContent>
          <mc:Choice Requires="wps">
            <w:drawing>
              <wp:anchor distT="182880" distB="182880" distL="182880" distR="182880" simplePos="0" relativeHeight="251710464" behindDoc="0" locked="0" layoutInCell="1" allowOverlap="1" wp14:anchorId="4CBBBB35" wp14:editId="0C53D49C">
                <wp:simplePos x="0" y="0"/>
                <wp:positionH relativeFrom="margin">
                  <wp:posOffset>-352897</wp:posOffset>
                </wp:positionH>
                <wp:positionV relativeFrom="margin">
                  <wp:posOffset>6472668</wp:posOffset>
                </wp:positionV>
                <wp:extent cx="6687820" cy="1502410"/>
                <wp:effectExtent l="0" t="0" r="0" b="2540"/>
                <wp:wrapSquare wrapText="bothSides"/>
                <wp:docPr id="230" name="Snip Single Corner Rectangle 117"/>
                <wp:cNvGraphicFramePr/>
                <a:graphic xmlns:a="http://schemas.openxmlformats.org/drawingml/2006/main">
                  <a:graphicData uri="http://schemas.microsoft.com/office/word/2010/wordprocessingShape">
                    <wps:wsp>
                      <wps:cNvSpPr/>
                      <wps:spPr>
                        <a:xfrm>
                          <a:off x="0" y="0"/>
                          <a:ext cx="6687820" cy="1502410"/>
                        </a:xfrm>
                        <a:prstGeom prst="snip1Rect">
                          <a:avLst/>
                        </a:prstGeom>
                        <a:ln>
                          <a:noFill/>
                        </a:ln>
                      </wps:spPr>
                      <wps:style>
                        <a:lnRef idx="2">
                          <a:schemeClr val="accent1">
                            <a:shade val="50000"/>
                          </a:schemeClr>
                        </a:lnRef>
                        <a:fillRef idx="1003">
                          <a:schemeClr val="dk2"/>
                        </a:fillRef>
                        <a:effectRef idx="0">
                          <a:schemeClr val="accent1"/>
                        </a:effectRef>
                        <a:fontRef idx="minor">
                          <a:schemeClr val="lt1"/>
                        </a:fontRef>
                      </wps:style>
                      <wps:txbx>
                        <w:txbxContent>
                          <w:p w14:paraId="35B84C00" w14:textId="77777777" w:rsidR="00366D34" w:rsidRPr="0015483C" w:rsidRDefault="00366D34" w:rsidP="00122076">
                            <w:pPr>
                              <w:rPr>
                                <w:i/>
                                <w:iCs/>
                                <w:caps/>
                                <w:sz w:val="24"/>
                                <w:szCs w:val="28"/>
                              </w:rPr>
                            </w:pPr>
                            <w:r w:rsidRPr="0015483C">
                              <w:rPr>
                                <w:i/>
                                <w:iCs/>
                                <w:sz w:val="24"/>
                                <w:szCs w:val="24"/>
                              </w:rPr>
                              <w:t>Counseling on psed options has taught many clients about the support services provided at colleges and universities.  They did not know these were available until they attended pre-ets classes.</w:t>
                            </w:r>
                            <w:r>
                              <w:rPr>
                                <w:i/>
                                <w:iCs/>
                                <w:sz w:val="24"/>
                                <w:szCs w:val="24"/>
                              </w:rPr>
                              <w:t xml:space="preserve">  </w:t>
                            </w:r>
                            <w:r w:rsidRPr="0015483C">
                              <w:rPr>
                                <w:i/>
                                <w:iCs/>
                                <w:sz w:val="24"/>
                                <w:szCs w:val="24"/>
                              </w:rPr>
                              <w:t xml:space="preserve">Students who participate in  pre-ETS now have a solid direction/plan when they exit high school.  They feel pre-ETS help students “connect the dots” for post-high school planning.  </w:t>
                            </w:r>
                            <w:r w:rsidRPr="00BC1725">
                              <w:rPr>
                                <w:i/>
                                <w:iCs/>
                                <w:sz w:val="24"/>
                                <w:szCs w:val="24"/>
                              </w:rPr>
                              <w:t>Counselors reported that they are seeing students who were on a Special Education Certificate track enroll in adult education courses after high school and work towards obtaining their high GED or equivalency.</w:t>
                            </w:r>
                          </w:p>
                        </w:txbxContent>
                      </wps:txbx>
                      <wps:bodyPr rot="0" spcFirstLastPara="0" vertOverflow="overflow" horzOverflow="overflow" vert="horz" wrap="square" lIns="137160" tIns="91440" rIns="91440" bIns="9144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BBBB35" id="_x0000_s1026" style="position:absolute;margin-left:-27.8pt;margin-top:509.65pt;width:526.6pt;height:118.3pt;z-index:251710464;visibility:visible;mso-wrap-style:square;mso-width-percent:0;mso-height-percent:0;mso-wrap-distance-left:14.4pt;mso-wrap-distance-top:14.4pt;mso-wrap-distance-right:14.4pt;mso-wrap-distance-bottom:14.4pt;mso-position-horizontal:absolute;mso-position-horizontal-relative:margin;mso-position-vertical:absolute;mso-position-vertical-relative:margin;mso-width-percent:0;mso-height-percent:0;mso-width-relative:margin;mso-height-relative:margin;v-text-anchor:top" coordsize="6687820,150241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" adj="-11796480,,5400" path="m,l6437413,r250407,250407l6687820,1502410,,1502410,,xe" fillcolor="#4d5f78 [2994]" stroked="f" strokeweight="1pt">
                <v:fill color2="#2a3442 [2018]" rotate="t" colors="0 #5d6d85;.5 #485972;1 #334258" focus="100%" type="gradient">
                  <o:fill v:ext="view" type="gradientUnscaled"/>
                </v:fill>
                <v:stroke joinstyle="miter"/>
                <v:formulas/>
                <v:path arrowok="t" o:connecttype="custom" o:connectlocs="0,0;6437413,0;6687820,250407;6687820,1502410;0,1502410;0,0" o:connectangles="0,0,0,0,0,0" textboxrect="0,0,6687820,1502410"/>
                <v:textbox inset="10.8pt,7.2pt,,7.2pt">
                  <w:txbxContent>
                    <w:p w14:paraId="35B84C00" w14:textId="77777777" w:rsidR="00366D34" w:rsidRPr="0015483C" w:rsidRDefault="00366D34" w:rsidP="00122076">
                      <w:pPr>
                        <w:rPr>
                          <w:i/>
                          <w:iCs/>
                          <w:caps/>
                          <w:sz w:val="24"/>
                          <w:szCs w:val="28"/>
                        </w:rPr>
                      </w:pPr>
                      <w:r w:rsidRPr="0015483C">
                        <w:rPr>
                          <w:i/>
                          <w:iCs/>
                          <w:sz w:val="24"/>
                          <w:szCs w:val="24"/>
                        </w:rPr>
                        <w:t>Counseling on psed options has taught many clients about the support services provided at colleges and universities.  They did not know these were available until they attended pre-ets classes.</w:t>
                      </w:r>
                      <w:r>
                        <w:rPr>
                          <w:i/>
                          <w:iCs/>
                          <w:sz w:val="24"/>
                          <w:szCs w:val="24"/>
                        </w:rPr>
                        <w:t xml:space="preserve">  </w:t>
                      </w:r>
                      <w:r w:rsidRPr="0015483C">
                        <w:rPr>
                          <w:i/>
                          <w:iCs/>
                          <w:sz w:val="24"/>
                          <w:szCs w:val="24"/>
                        </w:rPr>
                        <w:t xml:space="preserve">Students who participate in  pre-ETS now have a solid direction/plan when they exit high school.  They feel pre-ETS help students “connect the dots” for post-high school planning.  </w:t>
                      </w:r>
                      <w:r w:rsidRPr="00BC1725">
                        <w:rPr>
                          <w:i/>
                          <w:iCs/>
                          <w:sz w:val="24"/>
                          <w:szCs w:val="24"/>
                        </w:rPr>
                        <w:t>Counselors reported that they are seeing students who were on a Special Education Certificate track enroll in adult education courses after high school and work towards obtaining their high GED or equivalency.</w:t>
                      </w:r>
                    </w:p>
                  </w:txbxContent>
                </v:textbox>
                <w10:wrap type="square" anchorx="margin" anchory="margin"/>
              </v:shape>
            </w:pict>
          </mc:Fallback>
        </mc:AlternateContent>
      </w:r>
      <w:r w:rsidR="00427B35">
        <w:rPr>
          <w:rFonts w:cstheme="minorHAnsi"/>
        </w:rPr>
        <w:tab/>
        <w:t>Impacts have been made systemically to support the interpretation and application of Pre-ETS by the TA Team in collaboration with RSA as the Team works with states to implement mandates and contradictory or unexpected obstacles are encountered.  The subject matter expertise of the TA Team and their ability to understand ground-level details and its connection to tree-top level regulatory intent is considerable and directly meaningful:  “</w:t>
      </w:r>
      <w:r w:rsidR="00427B35" w:rsidRPr="00D67AB1">
        <w:rPr>
          <w:i/>
          <w:iCs/>
        </w:rPr>
        <w:t xml:space="preserve">Upon completion of the review, RSA provided additional guidance that clarified the importance of how states project funds remaining for authorized, their supporting documentation for showing how they are making the services available to swd who need them, and that this was not a fiscal forecast but a “set-aside determination”. With this additional clarifying guidance from RSA, the Pre-ETS team worked very closely with NC regarding changes in determining which students needed Pre-ETS services, and recommended North Carolina strengthen their written processes to reflect how they will reasonably identify the number of students with disabilities that either want, need, or are already receiving the required Pre-ETS services, so that they can then move from required to authorized activities, if they have funds remaining. As a result of this guidance, </w:t>
      </w:r>
      <w:r w:rsidR="00427B35" w:rsidRPr="00D67AB1">
        <w:rPr>
          <w:b/>
          <w:bCs/>
          <w:i/>
          <w:iCs/>
          <w:u w:val="single"/>
        </w:rPr>
        <w:t>the WINTAC Pre-ETS team also worked with RSA to issue clarifying guidance for all states regarding this type of methodology; and began working diligently with NC to review and revise their existing methodology</w:t>
      </w:r>
      <w:r w:rsidR="00427B35" w:rsidRPr="00D67AB1">
        <w:rPr>
          <w:i/>
          <w:iCs/>
        </w:rPr>
        <w:t xml:space="preserve">. Since it is much easier for the blind agency to get to the authorized, it is conceivable that the blind agency might be able to get to the authorized however the general agency may not be able to when using a combined forecast in looking at the cost per student. Therefore, </w:t>
      </w:r>
      <w:r w:rsidR="00427B35" w:rsidRPr="00D67AB1">
        <w:rPr>
          <w:b/>
          <w:bCs/>
          <w:i/>
          <w:iCs/>
          <w:u w:val="single"/>
        </w:rPr>
        <w:t>we recommended considering developing two separate set aside determinations, and the Pre-ETS team suggested once finalized they then submit to their RSA liaison for review</w:t>
      </w:r>
      <w:r w:rsidR="00427B35" w:rsidRPr="00D67AB1">
        <w:rPr>
          <w:i/>
          <w:iCs/>
        </w:rPr>
        <w:t>. This was a very intensive and impactful activity.</w:t>
      </w:r>
      <w:r w:rsidR="00427B35">
        <w:rPr>
          <w:i/>
          <w:iCs/>
        </w:rPr>
        <w:t>”</w:t>
      </w:r>
    </w:p>
    <w:p w14:paraId="6D74D265" w14:textId="45FB14C6" w:rsidR="00122076" w:rsidRPr="00122076" w:rsidRDefault="00122076" w:rsidP="00122076"/>
    <w:p w14:paraId="1B0FD35A" w14:textId="295D9EEA" w:rsidR="00427B35" w:rsidRDefault="001A5653" w:rsidP="00427B35">
      <w:pPr>
        <w:tabs>
          <w:tab w:val="left" w:pos="360"/>
        </w:tabs>
        <w:rPr>
          <w:rFonts w:cstheme="minorHAnsi"/>
        </w:rPr>
      </w:pPr>
      <w:r w:rsidRPr="00C947E0">
        <w:rPr>
          <w:rFonts w:ascii="Times New Roman" w:hAnsi="Times New Roman" w:cs="Times New Roman"/>
          <w:noProof/>
          <w:sz w:val="24"/>
          <w:szCs w:val="24"/>
          <w:lang w:eastAsia="ko-KR"/>
        </w:rPr>
        <mc:AlternateContent>
          <mc:Choice Requires="wps">
            <w:drawing>
              <wp:anchor distT="0" distB="0" distL="114300" distR="114300" simplePos="0" relativeHeight="251696128" behindDoc="0" locked="0" layoutInCell="1" allowOverlap="1" wp14:anchorId="687860DF" wp14:editId="2D189515">
                <wp:simplePos x="0" y="0"/>
                <wp:positionH relativeFrom="column">
                  <wp:posOffset>2305050</wp:posOffset>
                </wp:positionH>
                <wp:positionV relativeFrom="paragraph">
                  <wp:posOffset>2118360</wp:posOffset>
                </wp:positionV>
                <wp:extent cx="4087368" cy="1911096"/>
                <wp:effectExtent l="0" t="0" r="8890" b="0"/>
                <wp:wrapSquare wrapText="bothSides"/>
                <wp:docPr id="72" name="Snip Single Corner Rectangle 117"/>
                <wp:cNvGraphicFramePr/>
                <a:graphic xmlns:a="http://schemas.openxmlformats.org/drawingml/2006/main">
                  <a:graphicData uri="http://schemas.microsoft.com/office/word/2010/wordprocessingShape">
                    <wps:wsp>
                      <wps:cNvSpPr/>
                      <wps:spPr>
                        <a:xfrm>
                          <a:off x="0" y="0"/>
                          <a:ext cx="4087368" cy="1911096"/>
                        </a:xfrm>
                        <a:prstGeom prst="snip1Rect">
                          <a:avLst/>
                        </a:prstGeom>
                        <a:ln>
                          <a:noFill/>
                        </a:ln>
                      </wps:spPr>
                      <wps:style>
                        <a:lnRef idx="2">
                          <a:schemeClr val="accent1">
                            <a:shade val="50000"/>
                          </a:schemeClr>
                        </a:lnRef>
                        <a:fillRef idx="1003">
                          <a:schemeClr val="dk2"/>
                        </a:fillRef>
                        <a:effectRef idx="0">
                          <a:schemeClr val="accent1"/>
                        </a:effectRef>
                        <a:fontRef idx="minor">
                          <a:schemeClr val="lt1"/>
                        </a:fontRef>
                      </wps:style>
                      <wps:txbx>
                        <w:txbxContent>
                          <w:p w14:paraId="6FF647A4" w14:textId="14B3EBB6" w:rsidR="00366D34" w:rsidRPr="001A5653" w:rsidRDefault="00366D34" w:rsidP="00427B35">
                            <w:pPr>
                              <w:spacing w:after="0" w:line="276" w:lineRule="auto"/>
                              <w:ind w:left="270"/>
                              <w:rPr>
                                <w:rFonts w:ascii="Times New Roman" w:hAnsi="Times New Roman" w:cs="Times New Roman"/>
                                <w:i/>
                                <w:iCs/>
                                <w:sz w:val="24"/>
                                <w:szCs w:val="24"/>
                              </w:rPr>
                            </w:pPr>
                            <w:r w:rsidRPr="001A5653">
                              <w:rPr>
                                <w:rFonts w:ascii="Times New Roman" w:hAnsi="Times New Roman" w:cs="Times New Roman"/>
                                <w:i/>
                                <w:iCs/>
                                <w:sz w:val="24"/>
                                <w:szCs w:val="24"/>
                              </w:rPr>
                              <w:t>We have always worked with kids but the difference now is that bc we are working with students earlier, whether it is Pre-ETS or another VR service, we  are able to start addressing their goals and subsequently their individual needs so much earlier because we can begin work experiences much sooner</w:t>
                            </w:r>
                            <w:r w:rsidRPr="001A5653">
                              <w:rPr>
                                <w:rFonts w:ascii="Times New Roman" w:hAnsi="Times New Roman" w:cs="Times New Roman"/>
                                <w:b/>
                                <w:bCs/>
                                <w:i/>
                                <w:iCs/>
                                <w:sz w:val="28"/>
                                <w:szCs w:val="28"/>
                              </w:rPr>
                              <w:t>, and the teachers love being able to partner on ideas.</w:t>
                            </w:r>
                            <w:r w:rsidRPr="001A5653">
                              <w:rPr>
                                <w:rFonts w:ascii="Times New Roman" w:hAnsi="Times New Roman" w:cs="Times New Roman"/>
                                <w:i/>
                                <w:iCs/>
                                <w:sz w:val="24"/>
                                <w:szCs w:val="24"/>
                              </w:rPr>
                              <w:t xml:space="preserve"> [emphasis added]</w:t>
                            </w:r>
                          </w:p>
                        </w:txbxContent>
                      </wps:txbx>
                      <wps:bodyPr rot="0" spcFirstLastPara="0" vertOverflow="overflow" horzOverflow="overflow" vert="horz" wrap="square" lIns="137160" tIns="91440" rIns="91440" bIns="9144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7860DF" id="_x0000_s1027" style="position:absolute;margin-left:181.5pt;margin-top:166.8pt;width:321.85pt;height:150.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4087368,1911096"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" adj="-11796480,,5400" path="m,l3768846,r318522,318522l4087368,1911096,,1911096,,xe" fillcolor="#4d5f78 [2994]" stroked="f" strokeweight="1pt">
                <v:fill color2="#2a3442 [2018]" rotate="t" colors="0 #5d6d85;.5 #485972;1 #334258" focus="100%" type="gradient">
                  <o:fill v:ext="view" type="gradientUnscaled"/>
                </v:fill>
                <v:stroke joinstyle="miter"/>
                <v:formulas/>
                <v:path arrowok="t" o:connecttype="custom" o:connectlocs="0,0;3768846,0;4087368,318522;4087368,1911096;0,1911096;0,0" o:connectangles="0,0,0,0,0,0" textboxrect="0,0,4087368,1911096"/>
                <v:textbox inset="10.8pt,7.2pt,,7.2pt">
                  <w:txbxContent>
                    <w:p w14:paraId="6FF647A4" w14:textId="14B3EBB6" w:rsidR="00366D34" w:rsidRPr="001A5653" w:rsidRDefault="00366D34" w:rsidP="00427B35">
                      <w:pPr>
                        <w:spacing w:after="0" w:line="276" w:lineRule="auto"/>
                        <w:ind w:left="270"/>
                        <w:rPr>
                          <w:rFonts w:ascii="Times New Roman" w:hAnsi="Times New Roman" w:cs="Times New Roman"/>
                          <w:i/>
                          <w:iCs/>
                          <w:sz w:val="24"/>
                          <w:szCs w:val="24"/>
                        </w:rPr>
                      </w:pPr>
                      <w:r w:rsidRPr="001A5653">
                        <w:rPr>
                          <w:rFonts w:ascii="Times New Roman" w:hAnsi="Times New Roman" w:cs="Times New Roman"/>
                          <w:i/>
                          <w:iCs/>
                          <w:sz w:val="24"/>
                          <w:szCs w:val="24"/>
                        </w:rPr>
                        <w:t>We have always worked with kids but the difference now is that bc we are working with students earlier, whether it is Pre-ETS or another VR service, we  are able to start addressing their goals and subsequently their individual needs so much earlier because we can begin work experiences much sooner</w:t>
                      </w:r>
                      <w:r w:rsidRPr="001A5653">
                        <w:rPr>
                          <w:rFonts w:ascii="Times New Roman" w:hAnsi="Times New Roman" w:cs="Times New Roman"/>
                          <w:b/>
                          <w:bCs/>
                          <w:i/>
                          <w:iCs/>
                          <w:sz w:val="28"/>
                          <w:szCs w:val="28"/>
                        </w:rPr>
                        <w:t>, and the teachers love being able to partner on ideas.</w:t>
                      </w:r>
                      <w:r w:rsidRPr="001A5653">
                        <w:rPr>
                          <w:rFonts w:ascii="Times New Roman" w:hAnsi="Times New Roman" w:cs="Times New Roman"/>
                          <w:i/>
                          <w:iCs/>
                          <w:sz w:val="24"/>
                          <w:szCs w:val="24"/>
                        </w:rPr>
                        <w:t xml:space="preserve"> [emphasis added]</w:t>
                      </w:r>
                    </w:p>
                  </w:txbxContent>
                </v:textbox>
                <w10:wrap type="square"/>
              </v:shape>
            </w:pict>
          </mc:Fallback>
        </mc:AlternateContent>
      </w:r>
      <w:r w:rsidR="00427B35" w:rsidRPr="00C947E0">
        <w:rPr>
          <w:rFonts w:ascii="Times New Roman" w:hAnsi="Times New Roman" w:cs="Times New Roman"/>
          <w:noProof/>
          <w:sz w:val="24"/>
          <w:szCs w:val="24"/>
          <w:lang w:eastAsia="ko-KR"/>
        </w:rPr>
        <mc:AlternateContent>
          <mc:Choice Requires="wps">
            <w:drawing>
              <wp:inline distT="0" distB="0" distL="0" distR="0" wp14:anchorId="384B5AE4" wp14:editId="6D7145F8">
                <wp:extent cx="4324350" cy="1990725"/>
                <wp:effectExtent l="0" t="0" r="0" b="9525"/>
                <wp:docPr id="71" name="Snip Single Corner Rectangle 117"/>
                <wp:cNvGraphicFramePr/>
                <a:graphic xmlns:a="http://schemas.openxmlformats.org/drawingml/2006/main">
                  <a:graphicData uri="http://schemas.microsoft.com/office/word/2010/wordprocessingShape">
                    <wps:wsp>
                      <wps:cNvSpPr/>
                      <wps:spPr>
                        <a:xfrm>
                          <a:off x="0" y="0"/>
                          <a:ext cx="4324350" cy="1990725"/>
                        </a:xfrm>
                        <a:prstGeom prst="snip1Rect">
                          <a:avLst/>
                        </a:prstGeom>
                        <a:ln>
                          <a:noFill/>
                        </a:ln>
                      </wps:spPr>
                      <wps:style>
                        <a:lnRef idx="2">
                          <a:schemeClr val="accent1">
                            <a:shade val="50000"/>
                          </a:schemeClr>
                        </a:lnRef>
                        <a:fillRef idx="1003">
                          <a:schemeClr val="dk2"/>
                        </a:fillRef>
                        <a:effectRef idx="0">
                          <a:schemeClr val="accent1"/>
                        </a:effectRef>
                        <a:fontRef idx="minor">
                          <a:schemeClr val="lt1"/>
                        </a:fontRef>
                      </wps:style>
                      <wps:txbx>
                        <w:txbxContent>
                          <w:p w14:paraId="492BF30B" w14:textId="31DA3855" w:rsidR="00366D34" w:rsidRPr="00427B35" w:rsidRDefault="00366D34" w:rsidP="00427B35">
                            <w:pPr>
                              <w:spacing w:after="0" w:line="276" w:lineRule="auto"/>
                              <w:ind w:left="180"/>
                              <w:rPr>
                                <w:rFonts w:ascii="Times New Roman" w:hAnsi="Times New Roman" w:cs="Times New Roman"/>
                                <w:b/>
                                <w:bCs/>
                                <w:i/>
                                <w:iCs/>
                                <w:sz w:val="24"/>
                                <w:szCs w:val="24"/>
                              </w:rPr>
                            </w:pPr>
                            <w:r w:rsidRPr="00427B35">
                              <w:rPr>
                                <w:rFonts w:ascii="Times New Roman" w:hAnsi="Times New Roman" w:cs="Times New Roman"/>
                                <w:b/>
                                <w:bCs/>
                                <w:i/>
                                <w:iCs/>
                                <w:sz w:val="24"/>
                                <w:szCs w:val="24"/>
                              </w:rPr>
                              <w:t>[State contact] has stated it is hard to put into words but for her the biggest impact has been our encouragement, our support, and our guidance/feedback of all of their documents and policies and procedures. Wintac has been her team in successfully implementing all of these changes as a result of WIOA. [Context: State Administrator has been disengaged internally and with TA Team. Implementation falls to state contact.]</w:t>
                            </w:r>
                          </w:p>
                        </w:txbxContent>
                      </wps:txbx>
                      <wps:bodyPr rot="0" spcFirstLastPara="0" vertOverflow="overflow" horzOverflow="overflow" vert="horz" wrap="square" lIns="137160" tIns="91440" rIns="91440" bIns="91440" numCol="1" spcCol="0" rtlCol="0" fromWordArt="0" anchor="t" anchorCtr="0" forceAA="0" compatLnSpc="1">
                        <a:prstTxWarp prst="textNoShape">
                          <a:avLst/>
                        </a:prstTxWarp>
                        <a:noAutofit/>
                      </wps:bodyPr>
                    </wps:wsp>
                  </a:graphicData>
                </a:graphic>
              </wp:inline>
            </w:drawing>
          </mc:Choice>
          <mc:Fallback>
            <w:pict>
              <v:shape w14:anchorId="384B5AE4" id="Snip Single Corner Rectangle 117" o:spid="_x0000_s1028" style="width:340.5pt;height:156.75pt;visibility:visible;mso-wrap-style:square;mso-left-percent:-10001;mso-top-percent:-10001;mso-position-horizontal:absolute;mso-position-horizontal-relative:char;mso-position-vertical:absolute;mso-position-vertical-relative:line;mso-left-percent:-10001;mso-top-percent:-10001;v-text-anchor:top" coordsize="4324350,19907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" adj="-11796480,,5400" path="m,l3992556,r331794,331794l4324350,1990725,,1990725,,xe" fillcolor="#4d5f78 [2994]" stroked="f" strokeweight="1pt">
                <v:fill color2="#2a3442 [2018]" rotate="t" colors="0 #5d6d85;.5 #485972;1 #334258" focus="100%" type="gradient">
                  <o:fill v:ext="view" type="gradientUnscaled"/>
                </v:fill>
                <v:stroke joinstyle="miter"/>
                <v:formulas/>
                <v:path arrowok="t" o:connecttype="custom" o:connectlocs="0,0;3992556,0;4324350,331794;4324350,1990725;0,1990725;0,0" o:connectangles="0,0,0,0,0,0" textboxrect="0,0,4324350,1990725"/>
                <v:textbox inset="10.8pt,7.2pt,,7.2pt">
                  <w:txbxContent>
                    <w:p w14:paraId="492BF30B" w14:textId="31DA3855" w:rsidR="00366D34" w:rsidRPr="00427B35" w:rsidRDefault="00366D34" w:rsidP="00427B35">
                      <w:pPr>
                        <w:spacing w:after="0" w:line="276" w:lineRule="auto"/>
                        <w:ind w:left="180"/>
                        <w:rPr>
                          <w:rFonts w:ascii="Times New Roman" w:hAnsi="Times New Roman" w:cs="Times New Roman"/>
                          <w:b/>
                          <w:bCs/>
                          <w:i/>
                          <w:iCs/>
                          <w:sz w:val="24"/>
                          <w:szCs w:val="24"/>
                        </w:rPr>
                      </w:pPr>
                      <w:r w:rsidRPr="00427B35">
                        <w:rPr>
                          <w:rFonts w:ascii="Times New Roman" w:hAnsi="Times New Roman" w:cs="Times New Roman"/>
                          <w:b/>
                          <w:bCs/>
                          <w:i/>
                          <w:iCs/>
                          <w:sz w:val="24"/>
                          <w:szCs w:val="24"/>
                        </w:rPr>
                        <w:t>[State contact] has stated it is hard to put into words but for her the biggest impact has been our encouragement, our support, and our guidance/feedback of all of their documents and policies and procedures. Wintac has been her team in successfully implementing all of these changes as a result of WIOA. [Context: State Administrator has been disengaged internally and with TA Team. Implementation falls to state contact.]</w:t>
                      </w:r>
                    </w:p>
                  </w:txbxContent>
                </v:textbox>
                <w10:anchorlock/>
              </v:shape>
            </w:pict>
          </mc:Fallback>
        </mc:AlternateContent>
      </w:r>
    </w:p>
    <w:p w14:paraId="249142A5" w14:textId="12BAF535" w:rsidR="00427B35" w:rsidRDefault="00427B35" w:rsidP="00427B35">
      <w:pPr>
        <w:tabs>
          <w:tab w:val="left" w:pos="360"/>
        </w:tabs>
        <w:rPr>
          <w:rFonts w:cstheme="minorHAnsi"/>
        </w:rPr>
      </w:pPr>
    </w:p>
    <w:p w14:paraId="6328405B" w14:textId="28A99831" w:rsidR="00427B35" w:rsidRDefault="00427B35" w:rsidP="00427B35">
      <w:pPr>
        <w:tabs>
          <w:tab w:val="left" w:pos="360"/>
        </w:tabs>
        <w:rPr>
          <w:rFonts w:cstheme="minorHAnsi"/>
        </w:rPr>
      </w:pPr>
    </w:p>
    <w:p w14:paraId="3065FB06" w14:textId="535BED25" w:rsidR="00427B35" w:rsidRDefault="00427B35" w:rsidP="00427B35">
      <w:pPr>
        <w:tabs>
          <w:tab w:val="left" w:pos="360"/>
        </w:tabs>
        <w:rPr>
          <w:rFonts w:cstheme="minorHAnsi"/>
        </w:rPr>
      </w:pPr>
    </w:p>
    <w:p w14:paraId="08A587BA" w14:textId="77777777" w:rsidR="00427B35" w:rsidRDefault="00427B35" w:rsidP="00427B35">
      <w:pPr>
        <w:tabs>
          <w:tab w:val="left" w:pos="360"/>
        </w:tabs>
        <w:rPr>
          <w:rFonts w:cstheme="minorHAnsi"/>
        </w:rPr>
      </w:pPr>
    </w:p>
    <w:p w14:paraId="16E66B94" w14:textId="5F65FEEA" w:rsidR="00755285" w:rsidRDefault="0071173A" w:rsidP="00427B35">
      <w:pPr>
        <w:tabs>
          <w:tab w:val="left" w:pos="360"/>
        </w:tabs>
        <w:rPr>
          <w:szCs w:val="14"/>
        </w:rPr>
      </w:pPr>
      <w:r>
        <w:rPr>
          <w:szCs w:val="14"/>
        </w:rPr>
        <w:tab/>
      </w:r>
    </w:p>
    <w:p w14:paraId="498E4A79" w14:textId="0EA3EEC2" w:rsidR="005D5D53" w:rsidRDefault="005D5D53" w:rsidP="00427B35">
      <w:pPr>
        <w:tabs>
          <w:tab w:val="left" w:pos="360"/>
        </w:tabs>
        <w:rPr>
          <w:noProof/>
        </w:rPr>
        <w:sectPr w:rsidR="005D5D53" w:rsidSect="00D27D05">
          <w:pgSz w:w="12240" w:h="15840" w:code="1"/>
          <w:pgMar w:top="1440" w:right="1440" w:bottom="1440" w:left="1440" w:header="720" w:footer="720" w:gutter="0"/>
          <w:pgBorders w:offsetFrom="page">
            <w:top w:val="thinThickSmallGap" w:sz="24" w:space="24" w:color="2F5496" w:themeColor="accent1" w:themeShade="BF"/>
            <w:left w:val="thinThickSmallGap" w:sz="24" w:space="24" w:color="2F5496" w:themeColor="accent1" w:themeShade="BF"/>
            <w:bottom w:val="thickThinSmallGap" w:sz="24" w:space="24" w:color="2F5496" w:themeColor="accent1" w:themeShade="BF"/>
            <w:right w:val="thickThinSmallGap" w:sz="24" w:space="24" w:color="2F5496" w:themeColor="accent1" w:themeShade="BF"/>
          </w:pgBorders>
          <w:cols w:space="720"/>
          <w:docGrid w:linePitch="360"/>
        </w:sectPr>
      </w:pPr>
      <w:r w:rsidRPr="00C947E0">
        <w:rPr>
          <w:rFonts w:ascii="Times New Roman" w:hAnsi="Times New Roman" w:cs="Times New Roman"/>
          <w:noProof/>
          <w:sz w:val="24"/>
          <w:szCs w:val="24"/>
          <w:lang w:eastAsia="ko-KR"/>
        </w:rPr>
        <mc:AlternateContent>
          <mc:Choice Requires="wps">
            <w:drawing>
              <wp:anchor distT="182880" distB="182880" distL="182880" distR="182880" simplePos="0" relativeHeight="251699200" behindDoc="0" locked="0" layoutInCell="1" allowOverlap="1" wp14:anchorId="1DCD46C9" wp14:editId="3C9ED92C">
                <wp:simplePos x="0" y="0"/>
                <wp:positionH relativeFrom="margin">
                  <wp:posOffset>2969260</wp:posOffset>
                </wp:positionH>
                <wp:positionV relativeFrom="margin">
                  <wp:posOffset>4535629</wp:posOffset>
                </wp:positionV>
                <wp:extent cx="3416300" cy="2905760"/>
                <wp:effectExtent l="0" t="0" r="0" b="8890"/>
                <wp:wrapSquare wrapText="bothSides"/>
                <wp:docPr id="74" name="Snip Single Corner Rectangle 117"/>
                <wp:cNvGraphicFramePr/>
                <a:graphic xmlns:a="http://schemas.openxmlformats.org/drawingml/2006/main">
                  <a:graphicData uri="http://schemas.microsoft.com/office/word/2010/wordprocessingShape">
                    <wps:wsp>
                      <wps:cNvSpPr/>
                      <wps:spPr>
                        <a:xfrm>
                          <a:off x="0" y="0"/>
                          <a:ext cx="3416300" cy="2905760"/>
                        </a:xfrm>
                        <a:prstGeom prst="snip1Rect">
                          <a:avLst/>
                        </a:prstGeom>
                        <a:ln>
                          <a:noFill/>
                        </a:ln>
                      </wps:spPr>
                      <wps:style>
                        <a:lnRef idx="2">
                          <a:schemeClr val="accent1">
                            <a:shade val="50000"/>
                          </a:schemeClr>
                        </a:lnRef>
                        <a:fillRef idx="1003">
                          <a:schemeClr val="dk2"/>
                        </a:fillRef>
                        <a:effectRef idx="0">
                          <a:schemeClr val="accent1"/>
                        </a:effectRef>
                        <a:fontRef idx="minor">
                          <a:schemeClr val="lt1"/>
                        </a:fontRef>
                      </wps:style>
                      <wps:txbx>
                        <w:txbxContent>
                          <w:p w14:paraId="20B9CFC1" w14:textId="77777777" w:rsidR="00366D34" w:rsidRPr="001908B1" w:rsidRDefault="00366D34" w:rsidP="005D5D53">
                            <w:pPr>
                              <w:spacing w:after="0" w:line="276" w:lineRule="auto"/>
                              <w:ind w:left="540"/>
                              <w:rPr>
                                <w:rFonts w:ascii="Times New Roman" w:hAnsi="Times New Roman" w:cs="Times New Roman"/>
                                <w:sz w:val="24"/>
                                <w:szCs w:val="24"/>
                              </w:rPr>
                            </w:pPr>
                            <w:r w:rsidRPr="001908B1">
                              <w:rPr>
                                <w:rFonts w:ascii="Times New Roman" w:hAnsi="Times New Roman" w:cs="Times New Roman"/>
                                <w:i/>
                                <w:sz w:val="24"/>
                                <w:szCs w:val="24"/>
                              </w:rPr>
                              <w:t>Pre-ETS team has always been there for us - a support for us not only in the big picture, but also give feedback on the little things we were doing - having someone review our work and support always available to us and the support provided was so good to share our questions and concerns and then share that information with staff with a level of confidence we would not have had without WINTAC. Support down to the little details has been really helpful.</w:t>
                            </w:r>
                          </w:p>
                        </w:txbxContent>
                      </wps:txbx>
                      <wps:bodyPr rot="0" spcFirstLastPara="0" vertOverflow="overflow" horzOverflow="overflow" vert="horz" wrap="square" lIns="137160" tIns="91440" rIns="91440" bIns="9144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CD46C9" id="_x0000_s1029" style="position:absolute;margin-left:233.8pt;margin-top:357.15pt;width:269pt;height:228.8pt;z-index:251699200;visibility:visible;mso-wrap-style:square;mso-width-percent:0;mso-height-percent:0;mso-wrap-distance-left:14.4pt;mso-wrap-distance-top:14.4pt;mso-wrap-distance-right:14.4pt;mso-wrap-distance-bottom:14.4pt;mso-position-horizontal:absolute;mso-position-horizontal-relative:margin;mso-position-vertical:absolute;mso-position-vertical-relative:margin;mso-width-percent:0;mso-height-percent:0;mso-width-relative:margin;mso-height-relative:margin;v-text-anchor:top" coordsize="3416300,290576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" adj="-11796480,,5400" path="m,l2931997,r484303,484303l3416300,2905760,,2905760,,xe" fillcolor="#4d5f78 [2994]" stroked="f" strokeweight="1pt">
                <v:fill color2="#2a3442 [2018]" rotate="t" colors="0 #5d6d85;.5 #485972;1 #334258" focus="100%" type="gradient">
                  <o:fill v:ext="view" type="gradientUnscaled"/>
                </v:fill>
                <v:stroke joinstyle="miter"/>
                <v:formulas/>
                <v:path arrowok="t" o:connecttype="custom" o:connectlocs="0,0;2931997,0;3416300,484303;3416300,2905760;0,2905760;0,0" o:connectangles="0,0,0,0,0,0" textboxrect="0,0,3416300,2905760"/>
                <v:textbox inset="10.8pt,7.2pt,,7.2pt">
                  <w:txbxContent>
                    <w:p w14:paraId="20B9CFC1" w14:textId="77777777" w:rsidR="00366D34" w:rsidRPr="001908B1" w:rsidRDefault="00366D34" w:rsidP="005D5D53">
                      <w:pPr>
                        <w:spacing w:after="0" w:line="276" w:lineRule="auto"/>
                        <w:ind w:left="540"/>
                        <w:rPr>
                          <w:rFonts w:ascii="Times New Roman" w:hAnsi="Times New Roman" w:cs="Times New Roman"/>
                          <w:sz w:val="24"/>
                          <w:szCs w:val="24"/>
                        </w:rPr>
                      </w:pPr>
                      <w:r w:rsidRPr="001908B1">
                        <w:rPr>
                          <w:rFonts w:ascii="Times New Roman" w:hAnsi="Times New Roman" w:cs="Times New Roman"/>
                          <w:i/>
                          <w:sz w:val="24"/>
                          <w:szCs w:val="24"/>
                        </w:rPr>
                        <w:t>Pre-ETS team has always been there for us - a support for us not only in the big picture, but also give feedback on the little things we were doing - having someone review our work and support always available to us and the support provided was so good to share our questions and concerns and then share that information with staff with a level of confidence we would not have had without WINTAC. Support down to the little details has been really helpful.</w:t>
                      </w:r>
                    </w:p>
                  </w:txbxContent>
                </v:textbox>
                <w10:wrap type="square" anchorx="margin" anchory="margin"/>
              </v:shape>
            </w:pict>
          </mc:Fallback>
        </mc:AlternateContent>
      </w:r>
      <w:r w:rsidRPr="00C947E0">
        <w:rPr>
          <w:rFonts w:ascii="Times New Roman" w:hAnsi="Times New Roman" w:cs="Times New Roman"/>
          <w:noProof/>
          <w:sz w:val="24"/>
          <w:szCs w:val="24"/>
          <w:lang w:eastAsia="ko-KR"/>
        </w:rPr>
        <mc:AlternateContent>
          <mc:Choice Requires="wps">
            <w:drawing>
              <wp:anchor distT="0" distB="0" distL="114300" distR="114300" simplePos="0" relativeHeight="251697152" behindDoc="0" locked="0" layoutInCell="1" allowOverlap="1" wp14:anchorId="25367333" wp14:editId="25E0CAC9">
                <wp:simplePos x="0" y="0"/>
                <wp:positionH relativeFrom="column">
                  <wp:posOffset>-323850</wp:posOffset>
                </wp:positionH>
                <wp:positionV relativeFrom="paragraph">
                  <wp:posOffset>948690</wp:posOffset>
                </wp:positionV>
                <wp:extent cx="3124200" cy="3724275"/>
                <wp:effectExtent l="0" t="0" r="0" b="9525"/>
                <wp:wrapSquare wrapText="bothSides"/>
                <wp:docPr id="73" name="Snip Single Corner Rectangle 117"/>
                <wp:cNvGraphicFramePr/>
                <a:graphic xmlns:a="http://schemas.openxmlformats.org/drawingml/2006/main">
                  <a:graphicData uri="http://schemas.microsoft.com/office/word/2010/wordprocessingShape">
                    <wps:wsp>
                      <wps:cNvSpPr/>
                      <wps:spPr>
                        <a:xfrm>
                          <a:off x="0" y="0"/>
                          <a:ext cx="3124200" cy="3724275"/>
                        </a:xfrm>
                        <a:prstGeom prst="snip1Rect">
                          <a:avLst/>
                        </a:prstGeom>
                        <a:ln>
                          <a:noFill/>
                        </a:ln>
                      </wps:spPr>
                      <wps:style>
                        <a:lnRef idx="2">
                          <a:schemeClr val="accent1">
                            <a:shade val="50000"/>
                          </a:schemeClr>
                        </a:lnRef>
                        <a:fillRef idx="1003">
                          <a:schemeClr val="dk2"/>
                        </a:fillRef>
                        <a:effectRef idx="0">
                          <a:schemeClr val="accent1"/>
                        </a:effectRef>
                        <a:fontRef idx="minor">
                          <a:schemeClr val="lt1"/>
                        </a:fontRef>
                      </wps:style>
                      <wps:txbx>
                        <w:txbxContent>
                          <w:p w14:paraId="4384A707" w14:textId="2EF991CA" w:rsidR="00366D34" w:rsidRPr="001A5653" w:rsidRDefault="00366D34" w:rsidP="001908B1">
                            <w:pPr>
                              <w:spacing w:after="0" w:line="276" w:lineRule="auto"/>
                              <w:ind w:left="90"/>
                              <w:rPr>
                                <w:rFonts w:ascii="Times New Roman" w:hAnsi="Times New Roman" w:cs="Times New Roman"/>
                                <w:i/>
                                <w:iCs/>
                                <w:sz w:val="24"/>
                                <w:szCs w:val="24"/>
                              </w:rPr>
                            </w:pPr>
                            <w:r w:rsidRPr="001A5653">
                              <w:rPr>
                                <w:rFonts w:ascii="Times New Roman" w:hAnsi="Times New Roman" w:cs="Times New Roman"/>
                                <w:i/>
                                <w:iCs/>
                                <w:sz w:val="24"/>
                                <w:szCs w:val="24"/>
                              </w:rPr>
                              <w:t>Working with the students earlier has raised expectations for families, students themselves, vr counselors, and the school staff in ways we have never seen before. Because we are working with the kids earlier, they are identifying solutions to potential barriers much sooner, which opens up many more career options then would have ever been discussed before, especially prior to hs graduation.</w:t>
                            </w:r>
                          </w:p>
                        </w:txbxContent>
                      </wps:txbx>
                      <wps:bodyPr rot="0" spcFirstLastPara="0" vertOverflow="overflow" horzOverflow="overflow" vert="horz" wrap="square" lIns="137160" tIns="91440" rIns="91440" bIns="9144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367333" id="_x0000_s1030" style="position:absolute;margin-left:-25.5pt;margin-top:74.7pt;width:246pt;height:293.2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3124200,372427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" adj="-11796480,,5400" path="m,l2603490,r520710,520710l3124200,3724275,,3724275,,xe" fillcolor="#4d5f78 [2994]" stroked="f" strokeweight="1pt">
                <v:fill color2="#2a3442 [2018]" rotate="t" colors="0 #5d6d85;.5 #485972;1 #334258" focus="100%" type="gradient">
                  <o:fill v:ext="view" type="gradientUnscaled"/>
                </v:fill>
                <v:stroke joinstyle="miter"/>
                <v:formulas/>
                <v:path arrowok="t" o:connecttype="custom" o:connectlocs="0,0;2603490,0;3124200,520710;3124200,3724275;0,3724275;0,0" o:connectangles="0,0,0,0,0,0" textboxrect="0,0,3124200,3724275"/>
                <v:textbox inset="10.8pt,7.2pt,,7.2pt">
                  <w:txbxContent>
                    <w:p w14:paraId="4384A707" w14:textId="2EF991CA" w:rsidR="00366D34" w:rsidRPr="001A5653" w:rsidRDefault="00366D34" w:rsidP="001908B1">
                      <w:pPr>
                        <w:spacing w:after="0" w:line="276" w:lineRule="auto"/>
                        <w:ind w:left="90"/>
                        <w:rPr>
                          <w:rFonts w:ascii="Times New Roman" w:hAnsi="Times New Roman" w:cs="Times New Roman"/>
                          <w:i/>
                          <w:iCs/>
                          <w:sz w:val="24"/>
                          <w:szCs w:val="24"/>
                        </w:rPr>
                      </w:pPr>
                      <w:r w:rsidRPr="001A5653">
                        <w:rPr>
                          <w:rFonts w:ascii="Times New Roman" w:hAnsi="Times New Roman" w:cs="Times New Roman"/>
                          <w:i/>
                          <w:iCs/>
                          <w:sz w:val="24"/>
                          <w:szCs w:val="24"/>
                        </w:rPr>
                        <w:t>Working with the students earlier has raised expectations for families, students themselves, vr counselors, and the school staff in ways we have never seen before. Because we are working with the kids earlier, they are identifying solutions to potential barriers much sooner, which opens up many more career options then would have ever been discussed before, especially prior to hs graduation.</w:t>
                      </w:r>
                    </w:p>
                  </w:txbxContent>
                </v:textbox>
                <w10:wrap type="square"/>
              </v:shape>
            </w:pict>
          </mc:Fallback>
        </mc:AlternateContent>
      </w:r>
    </w:p>
    <w:p w14:paraId="76F66A72" w14:textId="77777777" w:rsidR="005D5D53" w:rsidRDefault="007478A2" w:rsidP="005D5D53">
      <w:pPr>
        <w:rPr>
          <w:noProof/>
        </w:rPr>
      </w:pPr>
      <w:r w:rsidRPr="00C947E0">
        <w:rPr>
          <w:rFonts w:ascii="Times New Roman" w:hAnsi="Times New Roman" w:cs="Times New Roman"/>
          <w:noProof/>
          <w:sz w:val="24"/>
          <w:szCs w:val="24"/>
          <w:lang w:eastAsia="ko-KR"/>
        </w:rPr>
        <w:lastRenderedPageBreak/>
        <mc:AlternateContent>
          <mc:Choice Requires="wps">
            <w:drawing>
              <wp:anchor distT="0" distB="0" distL="114300" distR="114300" simplePos="0" relativeHeight="251705344" behindDoc="0" locked="0" layoutInCell="1" allowOverlap="1" wp14:anchorId="62561046" wp14:editId="7CCE8E76">
                <wp:simplePos x="0" y="0"/>
                <wp:positionH relativeFrom="column">
                  <wp:posOffset>-202383</wp:posOffset>
                </wp:positionH>
                <wp:positionV relativeFrom="paragraph">
                  <wp:posOffset>1701202</wp:posOffset>
                </wp:positionV>
                <wp:extent cx="3371850" cy="1866900"/>
                <wp:effectExtent l="0" t="0" r="0" b="0"/>
                <wp:wrapSquare wrapText="bothSides"/>
                <wp:docPr id="77" name="Snip Single Corner Rectangle 117"/>
                <wp:cNvGraphicFramePr/>
                <a:graphic xmlns:a="http://schemas.openxmlformats.org/drawingml/2006/main">
                  <a:graphicData uri="http://schemas.microsoft.com/office/word/2010/wordprocessingShape">
                    <wps:wsp>
                      <wps:cNvSpPr/>
                      <wps:spPr>
                        <a:xfrm>
                          <a:off x="0" y="0"/>
                          <a:ext cx="3371850" cy="1866900"/>
                        </a:xfrm>
                        <a:prstGeom prst="snip1Rect">
                          <a:avLst/>
                        </a:prstGeom>
                        <a:ln>
                          <a:noFill/>
                        </a:ln>
                      </wps:spPr>
                      <wps:style>
                        <a:lnRef idx="2">
                          <a:schemeClr val="accent1">
                            <a:shade val="50000"/>
                          </a:schemeClr>
                        </a:lnRef>
                        <a:fillRef idx="1003">
                          <a:schemeClr val="dk2"/>
                        </a:fillRef>
                        <a:effectRef idx="0">
                          <a:schemeClr val="accent1"/>
                        </a:effectRef>
                        <a:fontRef idx="minor">
                          <a:schemeClr val="lt1"/>
                        </a:fontRef>
                      </wps:style>
                      <wps:txbx>
                        <w:txbxContent>
                          <w:p w14:paraId="779B5089" w14:textId="4875B536" w:rsidR="00366D34" w:rsidRPr="001A5653" w:rsidRDefault="00366D34" w:rsidP="005D5D53">
                            <w:pPr>
                              <w:spacing w:after="0" w:line="276" w:lineRule="auto"/>
                              <w:ind w:left="90" w:hanging="90"/>
                              <w:rPr>
                                <w:rFonts w:ascii="Times New Roman" w:hAnsi="Times New Roman" w:cs="Times New Roman"/>
                                <w:i/>
                                <w:iCs/>
                                <w:sz w:val="24"/>
                                <w:szCs w:val="24"/>
                              </w:rPr>
                            </w:pPr>
                            <w:r w:rsidRPr="005D5D53">
                              <w:rPr>
                                <w:rFonts w:ascii="Times New Roman" w:hAnsi="Times New Roman" w:cs="Times New Roman"/>
                                <w:i/>
                                <w:iCs/>
                                <w:sz w:val="24"/>
                                <w:szCs w:val="24"/>
                              </w:rPr>
                              <w:t xml:space="preserve">The relationships we built ha[ve] gotten us through all of these issues - our communication with the schools are totally different now and true partners now - it was all surface level before-two separate systems that hung out ever[y] once in awhile and [are] now really in it together.  </w:t>
                            </w:r>
                          </w:p>
                        </w:txbxContent>
                      </wps:txbx>
                      <wps:bodyPr rot="0" spcFirstLastPara="0" vertOverflow="overflow" horzOverflow="overflow" vert="horz" wrap="square" lIns="137160" tIns="91440" rIns="91440" bIns="9144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561046" id="_x0000_s1031" style="position:absolute;margin-left:-15.95pt;margin-top:133.95pt;width:265.5pt;height:147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3371850,18669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" adj="-11796480,,5400" path="m,l3060694,r311156,311156l3371850,1866900,,1866900,,xe" fillcolor="#4d5f78 [2994]" stroked="f" strokeweight="1pt">
                <v:fill color2="#2a3442 [2018]" rotate="t" colors="0 #5d6d85;.5 #485972;1 #334258" focus="100%" type="gradient">
                  <o:fill v:ext="view" type="gradientUnscaled"/>
                </v:fill>
                <v:stroke joinstyle="miter"/>
                <v:formulas/>
                <v:path arrowok="t" o:connecttype="custom" o:connectlocs="0,0;3060694,0;3371850,311156;3371850,1866900;0,1866900;0,0" o:connectangles="0,0,0,0,0,0" textboxrect="0,0,3371850,1866900"/>
                <v:textbox inset="10.8pt,7.2pt,,7.2pt">
                  <w:txbxContent>
                    <w:p w14:paraId="779B5089" w14:textId="4875B536" w:rsidR="00366D34" w:rsidRPr="001A5653" w:rsidRDefault="00366D34" w:rsidP="005D5D53">
                      <w:pPr>
                        <w:spacing w:after="0" w:line="276" w:lineRule="auto"/>
                        <w:ind w:left="90" w:hanging="90"/>
                        <w:rPr>
                          <w:rFonts w:ascii="Times New Roman" w:hAnsi="Times New Roman" w:cs="Times New Roman"/>
                          <w:i/>
                          <w:iCs/>
                          <w:sz w:val="24"/>
                          <w:szCs w:val="24"/>
                        </w:rPr>
                      </w:pPr>
                      <w:r w:rsidRPr="005D5D53">
                        <w:rPr>
                          <w:rFonts w:ascii="Times New Roman" w:hAnsi="Times New Roman" w:cs="Times New Roman"/>
                          <w:i/>
                          <w:iCs/>
                          <w:sz w:val="24"/>
                          <w:szCs w:val="24"/>
                        </w:rPr>
                        <w:t xml:space="preserve">The relationships we built ha[ve] gotten us through all of these issues - our communication with the schools are totally different now and true partners now - it was all surface level before-two separate systems that hung out ever[y] once in awhile and [are] now really in it together.  </w:t>
                      </w:r>
                    </w:p>
                  </w:txbxContent>
                </v:textbox>
                <w10:wrap type="square"/>
              </v:shape>
            </w:pict>
          </mc:Fallback>
        </mc:AlternateContent>
      </w:r>
      <w:r w:rsidRPr="00C947E0">
        <w:rPr>
          <w:rFonts w:ascii="Times New Roman" w:hAnsi="Times New Roman" w:cs="Times New Roman"/>
          <w:noProof/>
          <w:sz w:val="24"/>
          <w:szCs w:val="24"/>
          <w:lang w:eastAsia="ko-KR"/>
        </w:rPr>
        <mc:AlternateContent>
          <mc:Choice Requires="wps">
            <w:drawing>
              <wp:anchor distT="0" distB="0" distL="114300" distR="114300" simplePos="0" relativeHeight="251703296" behindDoc="0" locked="0" layoutInCell="1" allowOverlap="1" wp14:anchorId="3B946088" wp14:editId="4ADBDB81">
                <wp:simplePos x="0" y="0"/>
                <wp:positionH relativeFrom="column">
                  <wp:posOffset>3430905</wp:posOffset>
                </wp:positionH>
                <wp:positionV relativeFrom="paragraph">
                  <wp:posOffset>1059180</wp:posOffset>
                </wp:positionV>
                <wp:extent cx="2816225" cy="1986915"/>
                <wp:effectExtent l="0" t="0" r="3175" b="0"/>
                <wp:wrapSquare wrapText="bothSides"/>
                <wp:docPr id="76" name="Snip Single Corner Rectangle 117"/>
                <wp:cNvGraphicFramePr/>
                <a:graphic xmlns:a="http://schemas.openxmlformats.org/drawingml/2006/main">
                  <a:graphicData uri="http://schemas.microsoft.com/office/word/2010/wordprocessingShape">
                    <wps:wsp>
                      <wps:cNvSpPr/>
                      <wps:spPr>
                        <a:xfrm>
                          <a:off x="0" y="0"/>
                          <a:ext cx="2816225" cy="1986915"/>
                        </a:xfrm>
                        <a:prstGeom prst="snip1Rect">
                          <a:avLst/>
                        </a:prstGeom>
                        <a:ln>
                          <a:noFill/>
                        </a:ln>
                      </wps:spPr>
                      <wps:style>
                        <a:lnRef idx="2">
                          <a:schemeClr val="accent1">
                            <a:shade val="50000"/>
                          </a:schemeClr>
                        </a:lnRef>
                        <a:fillRef idx="1003">
                          <a:schemeClr val="dk2"/>
                        </a:fillRef>
                        <a:effectRef idx="0">
                          <a:schemeClr val="accent1"/>
                        </a:effectRef>
                        <a:fontRef idx="minor">
                          <a:schemeClr val="lt1"/>
                        </a:fontRef>
                      </wps:style>
                      <wps:txbx>
                        <w:txbxContent>
                          <w:p w14:paraId="007935C2" w14:textId="516C4BE1" w:rsidR="00366D34" w:rsidRPr="001A5653" w:rsidRDefault="00366D34" w:rsidP="005D5D53">
                            <w:pPr>
                              <w:spacing w:after="0" w:line="276" w:lineRule="auto"/>
                              <w:ind w:left="90" w:hanging="90"/>
                              <w:rPr>
                                <w:rFonts w:ascii="Times New Roman" w:hAnsi="Times New Roman" w:cs="Times New Roman"/>
                                <w:i/>
                                <w:iCs/>
                                <w:sz w:val="24"/>
                                <w:szCs w:val="24"/>
                              </w:rPr>
                            </w:pPr>
                            <w:r w:rsidRPr="005D5D53">
                              <w:rPr>
                                <w:rFonts w:ascii="Times New Roman" w:hAnsi="Times New Roman" w:cs="Times New Roman"/>
                                <w:i/>
                                <w:iCs/>
                                <w:sz w:val="24"/>
                                <w:szCs w:val="24"/>
                              </w:rPr>
                              <w:t>[State] ha[s] updated over 114 Third Party Cooperative Arrangements and provided training to those TPCAs regarding service delivery updates, reporting procedures and allowable costs to be charged and supporting documentation requirements.</w:t>
                            </w:r>
                          </w:p>
                        </w:txbxContent>
                      </wps:txbx>
                      <wps:bodyPr rot="0" spcFirstLastPara="0" vertOverflow="overflow" horzOverflow="overflow" vert="horz" wrap="square" lIns="137160" tIns="91440" rIns="91440" bIns="9144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946088" id="_x0000_s1032" style="position:absolute;margin-left:270.15pt;margin-top:83.4pt;width:221.75pt;height:156.4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2816225,198691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" adj="-11796480,,5400" path="m,l2485066,r331159,331159l2816225,1986915,,1986915,,xe" fillcolor="#4d5f78 [2994]" stroked="f" strokeweight="1pt">
                <v:fill color2="#2a3442 [2018]" rotate="t" colors="0 #5d6d85;.5 #485972;1 #334258" focus="100%" type="gradient">
                  <o:fill v:ext="view" type="gradientUnscaled"/>
                </v:fill>
                <v:stroke joinstyle="miter"/>
                <v:formulas/>
                <v:path arrowok="t" o:connecttype="custom" o:connectlocs="0,0;2485066,0;2816225,331159;2816225,1986915;0,1986915;0,0" o:connectangles="0,0,0,0,0,0" textboxrect="0,0,2816225,1986915"/>
                <v:textbox inset="10.8pt,7.2pt,,7.2pt">
                  <w:txbxContent>
                    <w:p w14:paraId="007935C2" w14:textId="516C4BE1" w:rsidR="00366D34" w:rsidRPr="001A5653" w:rsidRDefault="00366D34" w:rsidP="005D5D53">
                      <w:pPr>
                        <w:spacing w:after="0" w:line="276" w:lineRule="auto"/>
                        <w:ind w:left="90" w:hanging="90"/>
                        <w:rPr>
                          <w:rFonts w:ascii="Times New Roman" w:hAnsi="Times New Roman" w:cs="Times New Roman"/>
                          <w:i/>
                          <w:iCs/>
                          <w:sz w:val="24"/>
                          <w:szCs w:val="24"/>
                        </w:rPr>
                      </w:pPr>
                      <w:r w:rsidRPr="005D5D53">
                        <w:rPr>
                          <w:rFonts w:ascii="Times New Roman" w:hAnsi="Times New Roman" w:cs="Times New Roman"/>
                          <w:i/>
                          <w:iCs/>
                          <w:sz w:val="24"/>
                          <w:szCs w:val="24"/>
                        </w:rPr>
                        <w:t>[State] ha[s] updated over 114 Third Party Cooperative Arrangements and provided training to those TPCAs regarding service delivery updates, reporting procedures and allowable costs to be charged and supporting documentation requirements.</w:t>
                      </w:r>
                    </w:p>
                  </w:txbxContent>
                </v:textbox>
                <w10:wrap type="square"/>
              </v:shape>
            </w:pict>
          </mc:Fallback>
        </mc:AlternateContent>
      </w:r>
      <w:r w:rsidR="005D5D53" w:rsidRPr="00C947E0">
        <w:rPr>
          <w:rFonts w:ascii="Times New Roman" w:hAnsi="Times New Roman" w:cs="Times New Roman"/>
          <w:noProof/>
          <w:sz w:val="24"/>
          <w:szCs w:val="24"/>
          <w:lang w:eastAsia="ko-KR"/>
        </w:rPr>
        <mc:AlternateContent>
          <mc:Choice Requires="wps">
            <w:drawing>
              <wp:anchor distT="0" distB="0" distL="114300" distR="114300" simplePos="0" relativeHeight="251707392" behindDoc="0" locked="0" layoutInCell="1" allowOverlap="1" wp14:anchorId="6E05A64C" wp14:editId="3708E26F">
                <wp:simplePos x="0" y="0"/>
                <wp:positionH relativeFrom="column">
                  <wp:posOffset>3333750</wp:posOffset>
                </wp:positionH>
                <wp:positionV relativeFrom="paragraph">
                  <wp:posOffset>3524250</wp:posOffset>
                </wp:positionV>
                <wp:extent cx="2838450" cy="2847975"/>
                <wp:effectExtent l="0" t="0" r="0" b="9525"/>
                <wp:wrapSquare wrapText="bothSides"/>
                <wp:docPr id="78" name="Snip Single Corner Rectangle 117"/>
                <wp:cNvGraphicFramePr/>
                <a:graphic xmlns:a="http://schemas.openxmlformats.org/drawingml/2006/main">
                  <a:graphicData uri="http://schemas.microsoft.com/office/word/2010/wordprocessingShape">
                    <wps:wsp>
                      <wps:cNvSpPr/>
                      <wps:spPr>
                        <a:xfrm>
                          <a:off x="0" y="0"/>
                          <a:ext cx="2838450" cy="2847975"/>
                        </a:xfrm>
                        <a:prstGeom prst="snip1Rect">
                          <a:avLst/>
                        </a:prstGeom>
                        <a:ln>
                          <a:noFill/>
                        </a:ln>
                      </wps:spPr>
                      <wps:style>
                        <a:lnRef idx="2">
                          <a:schemeClr val="accent1">
                            <a:shade val="50000"/>
                          </a:schemeClr>
                        </a:lnRef>
                        <a:fillRef idx="1003">
                          <a:schemeClr val="dk2"/>
                        </a:fillRef>
                        <a:effectRef idx="0">
                          <a:schemeClr val="accent1"/>
                        </a:effectRef>
                        <a:fontRef idx="minor">
                          <a:schemeClr val="lt1"/>
                        </a:fontRef>
                      </wps:style>
                      <wps:txbx>
                        <w:txbxContent>
                          <w:p w14:paraId="7B4DCBB8" w14:textId="10FAD20E" w:rsidR="00366D34" w:rsidRPr="001A5653" w:rsidRDefault="00366D34" w:rsidP="004613DD">
                            <w:pPr>
                              <w:spacing w:after="0" w:line="276" w:lineRule="auto"/>
                              <w:ind w:left="90"/>
                              <w:rPr>
                                <w:rFonts w:ascii="Times New Roman" w:hAnsi="Times New Roman" w:cs="Times New Roman"/>
                                <w:i/>
                                <w:iCs/>
                                <w:sz w:val="24"/>
                                <w:szCs w:val="24"/>
                              </w:rPr>
                            </w:pPr>
                            <w:r w:rsidRPr="005D5D53">
                              <w:rPr>
                                <w:rFonts w:ascii="Times New Roman" w:hAnsi="Times New Roman" w:cs="Times New Roman"/>
                                <w:i/>
                                <w:iCs/>
                                <w:sz w:val="24"/>
                                <w:szCs w:val="24"/>
                              </w:rPr>
                              <w:t>Increasing number of swd applying for vr and they are getting pulled off the waiting list right when they graduate hs! If it wasn’t for pre-ets they would have just been sitting there! All of that upfront work has been done - rapid engagement now with vr!</w:t>
                            </w:r>
                          </w:p>
                        </w:txbxContent>
                      </wps:txbx>
                      <wps:bodyPr rot="0" spcFirstLastPara="0" vertOverflow="overflow" horzOverflow="overflow" vert="horz" wrap="square" lIns="137160" tIns="91440" rIns="91440" bIns="9144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05A64C" id="_x0000_s1033" style="position:absolute;margin-left:262.5pt;margin-top:277.5pt;width:223.5pt;height:224.2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2838450,284797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" adj="-11796480,,5400" path="m,l2365366,r473084,473084l2838450,2847975,,2847975,,xe" fillcolor="#4d5f78 [2994]" stroked="f" strokeweight="1pt">
                <v:fill color2="#2a3442 [2018]" rotate="t" colors="0 #5d6d85;.5 #485972;1 #334258" focus="100%" type="gradient">
                  <o:fill v:ext="view" type="gradientUnscaled"/>
                </v:fill>
                <v:stroke joinstyle="miter"/>
                <v:formulas/>
                <v:path arrowok="t" o:connecttype="custom" o:connectlocs="0,0;2365366,0;2838450,473084;2838450,2847975;0,2847975;0,0" o:connectangles="0,0,0,0,0,0" textboxrect="0,0,2838450,2847975"/>
                <v:textbox inset="10.8pt,7.2pt,,7.2pt">
                  <w:txbxContent>
                    <w:p w14:paraId="7B4DCBB8" w14:textId="10FAD20E" w:rsidR="00366D34" w:rsidRPr="001A5653" w:rsidRDefault="00366D34" w:rsidP="004613DD">
                      <w:pPr>
                        <w:spacing w:after="0" w:line="276" w:lineRule="auto"/>
                        <w:ind w:left="90"/>
                        <w:rPr>
                          <w:rFonts w:ascii="Times New Roman" w:hAnsi="Times New Roman" w:cs="Times New Roman"/>
                          <w:i/>
                          <w:iCs/>
                          <w:sz w:val="24"/>
                          <w:szCs w:val="24"/>
                        </w:rPr>
                      </w:pPr>
                      <w:r w:rsidRPr="005D5D53">
                        <w:rPr>
                          <w:rFonts w:ascii="Times New Roman" w:hAnsi="Times New Roman" w:cs="Times New Roman"/>
                          <w:i/>
                          <w:iCs/>
                          <w:sz w:val="24"/>
                          <w:szCs w:val="24"/>
                        </w:rPr>
                        <w:t>Increasing number of swd applying for vr and they are getting pulled off the waiting list right when they graduate hs! If it wasn’t for pre-ets they would have just been sitting there! All of that upfront work has been done - rapid engagement now with vr!</w:t>
                      </w:r>
                    </w:p>
                  </w:txbxContent>
                </v:textbox>
                <w10:wrap type="square"/>
              </v:shape>
            </w:pict>
          </mc:Fallback>
        </mc:AlternateContent>
      </w:r>
      <w:r w:rsidR="005D5D53" w:rsidRPr="00C947E0">
        <w:rPr>
          <w:rFonts w:ascii="Times New Roman" w:hAnsi="Times New Roman" w:cs="Times New Roman"/>
          <w:noProof/>
          <w:sz w:val="24"/>
          <w:szCs w:val="24"/>
          <w:lang w:eastAsia="ko-KR"/>
        </w:rPr>
        <mc:AlternateContent>
          <mc:Choice Requires="wps">
            <w:drawing>
              <wp:anchor distT="0" distB="0" distL="114300" distR="114300" simplePos="0" relativeHeight="251701248" behindDoc="0" locked="0" layoutInCell="1" allowOverlap="1" wp14:anchorId="0D08035F" wp14:editId="7EF69CAF">
                <wp:simplePos x="0" y="0"/>
                <wp:positionH relativeFrom="column">
                  <wp:posOffset>0</wp:posOffset>
                </wp:positionH>
                <wp:positionV relativeFrom="paragraph">
                  <wp:posOffset>285750</wp:posOffset>
                </wp:positionV>
                <wp:extent cx="3124200" cy="876300"/>
                <wp:effectExtent l="0" t="0" r="0" b="0"/>
                <wp:wrapSquare wrapText="bothSides"/>
                <wp:docPr id="75" name="Snip Single Corner Rectangle 117"/>
                <wp:cNvGraphicFramePr/>
                <a:graphic xmlns:a="http://schemas.openxmlformats.org/drawingml/2006/main">
                  <a:graphicData uri="http://schemas.microsoft.com/office/word/2010/wordprocessingShape">
                    <wps:wsp>
                      <wps:cNvSpPr/>
                      <wps:spPr>
                        <a:xfrm>
                          <a:off x="0" y="0"/>
                          <a:ext cx="3124200" cy="876300"/>
                        </a:xfrm>
                        <a:prstGeom prst="snip1Rect">
                          <a:avLst/>
                        </a:prstGeom>
                        <a:ln>
                          <a:noFill/>
                        </a:ln>
                      </wps:spPr>
                      <wps:style>
                        <a:lnRef idx="2">
                          <a:schemeClr val="accent1">
                            <a:shade val="50000"/>
                          </a:schemeClr>
                        </a:lnRef>
                        <a:fillRef idx="1003">
                          <a:schemeClr val="dk2"/>
                        </a:fillRef>
                        <a:effectRef idx="0">
                          <a:schemeClr val="accent1"/>
                        </a:effectRef>
                        <a:fontRef idx="minor">
                          <a:schemeClr val="lt1"/>
                        </a:fontRef>
                      </wps:style>
                      <wps:txbx>
                        <w:txbxContent>
                          <w:p w14:paraId="46779540" w14:textId="4B08CADE" w:rsidR="00366D34" w:rsidRPr="001A5653" w:rsidRDefault="00366D34" w:rsidP="005D5D53">
                            <w:pPr>
                              <w:spacing w:after="0" w:line="276" w:lineRule="auto"/>
                              <w:ind w:left="90" w:hanging="90"/>
                              <w:rPr>
                                <w:rFonts w:ascii="Times New Roman" w:hAnsi="Times New Roman" w:cs="Times New Roman"/>
                                <w:i/>
                                <w:iCs/>
                                <w:sz w:val="24"/>
                                <w:szCs w:val="24"/>
                              </w:rPr>
                            </w:pPr>
                            <w:r w:rsidRPr="005D5D53">
                              <w:rPr>
                                <w:rFonts w:ascii="Times New Roman" w:hAnsi="Times New Roman" w:cs="Times New Roman"/>
                                <w:i/>
                                <w:iCs/>
                                <w:sz w:val="24"/>
                                <w:szCs w:val="24"/>
                              </w:rPr>
                              <w:t>“With this meeting, I am re-thinking the structure of the whole agency”.</w:t>
                            </w:r>
                          </w:p>
                        </w:txbxContent>
                      </wps:txbx>
                      <wps:bodyPr rot="0" spcFirstLastPara="0" vertOverflow="overflow" horzOverflow="overflow" vert="horz" wrap="square" lIns="137160" tIns="91440" rIns="91440" bIns="9144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08035F" id="_x0000_s1034" style="position:absolute;margin-left:0;margin-top:22.5pt;width:246pt;height:69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3124200,8763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" adj="-11796480,,5400" path="m,l2978147,r146053,146053l3124200,876300,,876300,,xe" fillcolor="#4d5f78 [2994]" stroked="f" strokeweight="1pt">
                <v:fill color2="#2a3442 [2018]" rotate="t" colors="0 #5d6d85;.5 #485972;1 #334258" focus="100%" type="gradient">
                  <o:fill v:ext="view" type="gradientUnscaled"/>
                </v:fill>
                <v:stroke joinstyle="miter"/>
                <v:formulas/>
                <v:path arrowok="t" o:connecttype="custom" o:connectlocs="0,0;2978147,0;3124200,146053;3124200,876300;0,876300;0,0" o:connectangles="0,0,0,0,0,0" textboxrect="0,0,3124200,876300"/>
                <v:textbox inset="10.8pt,7.2pt,,7.2pt">
                  <w:txbxContent>
                    <w:p w14:paraId="46779540" w14:textId="4B08CADE" w:rsidR="00366D34" w:rsidRPr="001A5653" w:rsidRDefault="00366D34" w:rsidP="005D5D53">
                      <w:pPr>
                        <w:spacing w:after="0" w:line="276" w:lineRule="auto"/>
                        <w:ind w:left="90" w:hanging="90"/>
                        <w:rPr>
                          <w:rFonts w:ascii="Times New Roman" w:hAnsi="Times New Roman" w:cs="Times New Roman"/>
                          <w:i/>
                          <w:iCs/>
                          <w:sz w:val="24"/>
                          <w:szCs w:val="24"/>
                        </w:rPr>
                      </w:pPr>
                      <w:r w:rsidRPr="005D5D53">
                        <w:rPr>
                          <w:rFonts w:ascii="Times New Roman" w:hAnsi="Times New Roman" w:cs="Times New Roman"/>
                          <w:i/>
                          <w:iCs/>
                          <w:sz w:val="24"/>
                          <w:szCs w:val="24"/>
                        </w:rPr>
                        <w:t>“With this meeting, I am re-thinking the structure of the whole agency”.</w:t>
                      </w:r>
                    </w:p>
                  </w:txbxContent>
                </v:textbox>
                <w10:wrap type="square"/>
              </v:shape>
            </w:pict>
          </mc:Fallback>
        </mc:AlternateContent>
      </w:r>
    </w:p>
    <w:p w14:paraId="715C65CF" w14:textId="77777777" w:rsidR="007478A2" w:rsidRPr="007478A2" w:rsidRDefault="007478A2" w:rsidP="007478A2"/>
    <w:p w14:paraId="140035AC" w14:textId="77777777" w:rsidR="007478A2" w:rsidRPr="007478A2" w:rsidRDefault="007478A2" w:rsidP="007478A2"/>
    <w:p w14:paraId="13A035BA" w14:textId="77777777" w:rsidR="007478A2" w:rsidRPr="007478A2" w:rsidRDefault="007478A2" w:rsidP="007478A2"/>
    <w:p w14:paraId="3985C229" w14:textId="77777777" w:rsidR="007478A2" w:rsidRPr="007478A2" w:rsidRDefault="007478A2" w:rsidP="007478A2"/>
    <w:p w14:paraId="6B8F6FA1" w14:textId="77777777" w:rsidR="007478A2" w:rsidRPr="007478A2" w:rsidRDefault="007478A2" w:rsidP="007478A2"/>
    <w:p w14:paraId="225FD15C" w14:textId="77777777" w:rsidR="007478A2" w:rsidRPr="007478A2" w:rsidRDefault="007478A2" w:rsidP="007478A2"/>
    <w:p w14:paraId="0E9E4D1F" w14:textId="77777777" w:rsidR="007478A2" w:rsidRPr="007478A2" w:rsidRDefault="007478A2" w:rsidP="007478A2"/>
    <w:p w14:paraId="52783100" w14:textId="77777777" w:rsidR="007478A2" w:rsidRPr="007478A2" w:rsidRDefault="007478A2" w:rsidP="007478A2"/>
    <w:p w14:paraId="635CCEFB" w14:textId="77777777" w:rsidR="007478A2" w:rsidRPr="007478A2" w:rsidRDefault="007478A2" w:rsidP="007478A2"/>
    <w:p w14:paraId="37EEC397" w14:textId="7FED7270" w:rsidR="007478A2" w:rsidRPr="007478A2" w:rsidRDefault="007478A2" w:rsidP="007478A2">
      <w:r w:rsidRPr="00DA20BE">
        <w:rPr>
          <w:rFonts w:cstheme="minorHAnsi"/>
          <w:noProof/>
          <w:lang w:eastAsia="ko-KR"/>
        </w:rPr>
        <mc:AlternateContent>
          <mc:Choice Requires="wps">
            <w:drawing>
              <wp:anchor distT="182880" distB="182880" distL="182880" distR="182880" simplePos="0" relativeHeight="251712512" behindDoc="0" locked="0" layoutInCell="1" allowOverlap="1" wp14:anchorId="534C2600" wp14:editId="74E7BC4C">
                <wp:simplePos x="0" y="0"/>
                <wp:positionH relativeFrom="margin">
                  <wp:align>left</wp:align>
                </wp:positionH>
                <wp:positionV relativeFrom="margin">
                  <wp:posOffset>4653280</wp:posOffset>
                </wp:positionV>
                <wp:extent cx="3096260" cy="2326640"/>
                <wp:effectExtent l="0" t="0" r="8890" b="0"/>
                <wp:wrapSquare wrapText="bothSides"/>
                <wp:docPr id="231" name="Snip Single Corner Rectangle 117"/>
                <wp:cNvGraphicFramePr/>
                <a:graphic xmlns:a="http://schemas.openxmlformats.org/drawingml/2006/main">
                  <a:graphicData uri="http://schemas.microsoft.com/office/word/2010/wordprocessingShape">
                    <wps:wsp>
                      <wps:cNvSpPr/>
                      <wps:spPr>
                        <a:xfrm>
                          <a:off x="0" y="0"/>
                          <a:ext cx="3096260" cy="2326741"/>
                        </a:xfrm>
                        <a:prstGeom prst="snip1Rect">
                          <a:avLst/>
                        </a:prstGeom>
                        <a:ln>
                          <a:noFill/>
                        </a:ln>
                      </wps:spPr>
                      <wps:style>
                        <a:lnRef idx="2">
                          <a:schemeClr val="accent1">
                            <a:shade val="50000"/>
                          </a:schemeClr>
                        </a:lnRef>
                        <a:fillRef idx="1003">
                          <a:schemeClr val="dk2"/>
                        </a:fillRef>
                        <a:effectRef idx="0">
                          <a:schemeClr val="accent1"/>
                        </a:effectRef>
                        <a:fontRef idx="minor">
                          <a:schemeClr val="lt1"/>
                        </a:fontRef>
                      </wps:style>
                      <wps:txbx>
                        <w:txbxContent>
                          <w:p w14:paraId="032123E5" w14:textId="77777777" w:rsidR="00366D34" w:rsidRPr="003836D4" w:rsidRDefault="00366D34" w:rsidP="007478A2">
                            <w:pPr>
                              <w:rPr>
                                <w:i/>
                                <w:iCs/>
                                <w:caps/>
                                <w:sz w:val="24"/>
                                <w:szCs w:val="28"/>
                              </w:rPr>
                            </w:pPr>
                            <w:r w:rsidRPr="003836D4">
                              <w:rPr>
                                <w:i/>
                                <w:iCs/>
                                <w:sz w:val="24"/>
                                <w:szCs w:val="24"/>
                              </w:rPr>
                              <w:t>Students are developing a “solid” vocational goal due to the pre-ets classes and their participation in summer internships.</w:t>
                            </w:r>
                            <w:r>
                              <w:rPr>
                                <w:i/>
                                <w:iCs/>
                                <w:sz w:val="24"/>
                                <w:szCs w:val="24"/>
                              </w:rPr>
                              <w:t xml:space="preserve">  </w:t>
                            </w:r>
                            <w:r w:rsidRPr="003836D4">
                              <w:rPr>
                                <w:i/>
                                <w:iCs/>
                                <w:sz w:val="24"/>
                                <w:szCs w:val="24"/>
                              </w:rPr>
                              <w:t>The Summer Transition Camps for students who are deaf is a great time to provide pre-ETS services to students. This resolves the issue of having to pull students out of class during the school year to attend pre-ETS.</w:t>
                            </w:r>
                          </w:p>
                        </w:txbxContent>
                      </wps:txbx>
                      <wps:bodyPr rot="0" spcFirstLastPara="0" vertOverflow="overflow" horzOverflow="overflow" vert="horz" wrap="square" lIns="137160" tIns="91440" rIns="91440" bIns="9144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4C2600" id="_x0000_s1035" style="position:absolute;margin-left:0;margin-top:366.4pt;width:243.8pt;height:183.2pt;z-index:251712512;visibility:visible;mso-wrap-style:square;mso-width-percent:0;mso-height-percent:0;mso-wrap-distance-left:14.4pt;mso-wrap-distance-top:14.4pt;mso-wrap-distance-right:14.4pt;mso-wrap-distance-bottom:14.4pt;mso-position-horizontal:left;mso-position-horizontal-relative:margin;mso-position-vertical:absolute;mso-position-vertical-relative:margin;mso-width-percent:0;mso-height-percent:0;mso-width-relative:margin;mso-height-relative:margin;v-text-anchor:top" coordsize="3096260,2326741"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" adj="-11796480,,5400" path="m,l2708462,r387798,387798l3096260,2326741,,2326741,,xe" fillcolor="#4d5f78 [2994]" stroked="f" strokeweight="1pt">
                <v:fill color2="#2a3442 [2018]" rotate="t" colors="0 #5d6d85;.5 #485972;1 #334258" focus="100%" type="gradient">
                  <o:fill v:ext="view" type="gradientUnscaled"/>
                </v:fill>
                <v:stroke joinstyle="miter"/>
                <v:formulas/>
                <v:path arrowok="t" o:connecttype="custom" o:connectlocs="0,0;2708462,0;3096260,387798;3096260,2326741;0,2326741;0,0" o:connectangles="0,0,0,0,0,0" textboxrect="0,0,3096260,2326741"/>
                <v:textbox inset="10.8pt,7.2pt,,7.2pt">
                  <w:txbxContent>
                    <w:p w14:paraId="032123E5" w14:textId="77777777" w:rsidR="00366D34" w:rsidRPr="003836D4" w:rsidRDefault="00366D34" w:rsidP="007478A2">
                      <w:pPr>
                        <w:rPr>
                          <w:i/>
                          <w:iCs/>
                          <w:caps/>
                          <w:sz w:val="24"/>
                          <w:szCs w:val="28"/>
                        </w:rPr>
                      </w:pPr>
                      <w:r w:rsidRPr="003836D4">
                        <w:rPr>
                          <w:i/>
                          <w:iCs/>
                          <w:sz w:val="24"/>
                          <w:szCs w:val="24"/>
                        </w:rPr>
                        <w:t>Students are developing a “solid” vocational goal due to the pre-ets classes and their participation in summer internships.</w:t>
                      </w:r>
                      <w:r>
                        <w:rPr>
                          <w:i/>
                          <w:iCs/>
                          <w:sz w:val="24"/>
                          <w:szCs w:val="24"/>
                        </w:rPr>
                        <w:t xml:space="preserve">  </w:t>
                      </w:r>
                      <w:r w:rsidRPr="003836D4">
                        <w:rPr>
                          <w:i/>
                          <w:iCs/>
                          <w:sz w:val="24"/>
                          <w:szCs w:val="24"/>
                        </w:rPr>
                        <w:t>The Summer Transition Camps for students who are deaf is a great time to provide pre-ETS services to students. This resolves the issue of having to pull students out of class during the school year to attend pre-ETS.</w:t>
                      </w:r>
                    </w:p>
                  </w:txbxContent>
                </v:textbox>
                <w10:wrap type="square" anchorx="margin" anchory="margin"/>
              </v:shape>
            </w:pict>
          </mc:Fallback>
        </mc:AlternateContent>
      </w:r>
    </w:p>
    <w:p w14:paraId="651413AF" w14:textId="77777777" w:rsidR="007478A2" w:rsidRPr="007478A2" w:rsidRDefault="007478A2" w:rsidP="007478A2"/>
    <w:p w14:paraId="23D024D1" w14:textId="77777777" w:rsidR="007478A2" w:rsidRPr="007478A2" w:rsidRDefault="007478A2" w:rsidP="007478A2"/>
    <w:p w14:paraId="5B94372E" w14:textId="4E440DBF" w:rsidR="007478A2" w:rsidRPr="007478A2" w:rsidRDefault="007478A2" w:rsidP="007478A2">
      <w:pPr>
        <w:sectPr w:rsidR="007478A2" w:rsidRPr="007478A2" w:rsidSect="00D27D05">
          <w:footerReference w:type="default" r:id="rId125"/>
          <w:pgSz w:w="12240" w:h="15840" w:code="1"/>
          <w:pgMar w:top="1440" w:right="1440" w:bottom="1440" w:left="1440" w:header="720" w:footer="720" w:gutter="0"/>
          <w:pgBorders w:offsetFrom="page">
            <w:top w:val="thinThickSmallGap" w:sz="24" w:space="24" w:color="2F5496" w:themeColor="accent1" w:themeShade="BF"/>
            <w:left w:val="thinThickSmallGap" w:sz="24" w:space="24" w:color="2F5496" w:themeColor="accent1" w:themeShade="BF"/>
            <w:bottom w:val="thickThinSmallGap" w:sz="24" w:space="24" w:color="2F5496" w:themeColor="accent1" w:themeShade="BF"/>
            <w:right w:val="thickThinSmallGap" w:sz="24" w:space="24" w:color="2F5496" w:themeColor="accent1" w:themeShade="BF"/>
          </w:pgBorders>
          <w:cols w:space="720"/>
          <w:docGrid w:linePitch="360"/>
        </w:sectPr>
      </w:pPr>
    </w:p>
    <w:p w14:paraId="6F6E2A0C" w14:textId="146828A0" w:rsidR="005D5D53" w:rsidRDefault="009219BD" w:rsidP="005D5D53">
      <w:pPr>
        <w:tabs>
          <w:tab w:val="left" w:pos="360"/>
        </w:tabs>
        <w:rPr>
          <w:rFonts w:cstheme="minorHAnsi"/>
        </w:rPr>
      </w:pPr>
      <w:r w:rsidRPr="009219BD">
        <w:rPr>
          <w:rFonts w:cstheme="minorHAnsi"/>
        </w:rPr>
        <w:lastRenderedPageBreak/>
        <w:tab/>
      </w:r>
      <w:r w:rsidR="005D5D53">
        <w:rPr>
          <w:rFonts w:cstheme="minorHAnsi"/>
          <w:b/>
          <w:bCs/>
          <w:i/>
          <w:iCs/>
          <w:u w:val="single"/>
        </w:rPr>
        <w:t>E</w:t>
      </w:r>
      <w:r w:rsidR="005D5D53" w:rsidRPr="00AD2F4E">
        <w:rPr>
          <w:rFonts w:cstheme="minorHAnsi"/>
          <w:b/>
          <w:bCs/>
          <w:i/>
          <w:iCs/>
          <w:u w:val="single"/>
        </w:rPr>
        <w:t>valuation Recommendations.</w:t>
      </w:r>
      <w:r w:rsidR="005D5D53" w:rsidRPr="00AD2F4E">
        <w:rPr>
          <w:rFonts w:cstheme="minorHAnsi"/>
        </w:rPr>
        <w:t xml:space="preserve">  </w:t>
      </w:r>
      <w:r w:rsidR="005D5D53">
        <w:rPr>
          <w:rFonts w:cstheme="minorHAnsi"/>
        </w:rPr>
        <w:t xml:space="preserve">As seen in the dashboards, the Pre-ETS team has made considerable progress in initiating and completing key activities to ensure agencies come into compliance with the Pre-ETS related mandates of WIOA.  State VR agencies are serving students, tracking and reporting expenses, and collaborating with Departments of Education to eliminate gaps in service and reach all students.  As we move into Year 5, the data being provided by states will benefit from context.  In terms of students served in various reported categories (e.g., receiving at least one Pre-ETS, potentially eligible, applying for services), total numbers and trends over time will facilitate understanding the significant changes taking place.  In terms of dollars expended, understanding the increase over time relative to states without ITAs (or even targeted TA interaction) in addition to as a function of the state’s overall budget, expenditures, and population of youth with disabilities will also provide needed context.  As noted earlier, further analyses can also break down cost per student and cost per outcome with continued effective tracking of costs and sharing of data.  In some cases, it seems the TA Team is able to access this information and presents it in narratives.  The TA Team has identified the potential in additional data collection as time proceeds and further outcomes will become evident, including for example measurable skills gains, credential attainment, CIE outcomes – and we agree!  One challenge sometimes noted is that case management systems or agencies are not set up to collect this data.  As it relates specifically to the intended impact of WIOA and Pre-ETS mandates, it is of national interest to consistently have agencies track and report this data.  Similarly, it is noted that some youth being served are of age ranges or in categories of service that do not fall into that which requires reporting.  Therefore, their long-term trajectories may not always be considered or “counted” unless they continue in services.  It would be worthwhile to expand tracking those receiving all services to understand impacts comprehensively.  </w:t>
      </w:r>
    </w:p>
    <w:p w14:paraId="3121A61E" w14:textId="77777777" w:rsidR="005D5D53" w:rsidRDefault="005D5D53" w:rsidP="005D5D53">
      <w:pPr>
        <w:tabs>
          <w:tab w:val="left" w:pos="360"/>
        </w:tabs>
        <w:rPr>
          <w:rFonts w:cstheme="minorHAnsi"/>
          <w:i/>
          <w:iCs/>
        </w:rPr>
        <w:sectPr w:rsidR="005D5D53" w:rsidSect="00D27D05">
          <w:pgSz w:w="12240" w:h="15840" w:code="1"/>
          <w:pgMar w:top="1440" w:right="1440" w:bottom="1440" w:left="1440" w:header="720" w:footer="720" w:gutter="0"/>
          <w:pgBorders w:offsetFrom="page">
            <w:top w:val="thinThickSmallGap" w:sz="24" w:space="24" w:color="2F5496" w:themeColor="accent1" w:themeShade="BF"/>
            <w:left w:val="thinThickSmallGap" w:sz="24" w:space="24" w:color="2F5496" w:themeColor="accent1" w:themeShade="BF"/>
            <w:bottom w:val="thickThinSmallGap" w:sz="24" w:space="24" w:color="2F5496" w:themeColor="accent1" w:themeShade="BF"/>
            <w:right w:val="thickThinSmallGap" w:sz="24" w:space="24" w:color="2F5496" w:themeColor="accent1" w:themeShade="BF"/>
          </w:pgBorders>
          <w:cols w:space="720"/>
          <w:docGrid w:linePitch="360"/>
        </w:sectPr>
      </w:pPr>
      <w:r>
        <w:rPr>
          <w:rFonts w:cstheme="minorHAnsi"/>
        </w:rPr>
        <w:tab/>
        <w:t xml:space="preserve">In addition to contextualizing the services provided and their costs based on expenditures, the systems changes and impacts can continue to be explored.  What are the types of Pre-ETS services being provided by the states across the nation?  Are these services effectively reaching underserved populations?  What are the barriers to outreach and services and what promising or innovative approaches are agencies using to remove those barriers?  What services or characteristics predict ongoing student engagement with VR and application for services?  And fundamentally, as time passes: what are the outcomes of students receiving Pre-ETS?  In some states, the TA Team noted that as more students receive services, more and more funds are expended and less may be available for adult services – nationally, this should be examined.  This challenge was noted thusly in one case: </w:t>
      </w:r>
      <w:r w:rsidRPr="00B30162">
        <w:rPr>
          <w:rFonts w:cstheme="minorHAnsi"/>
          <w:i/>
          <w:iCs/>
        </w:rPr>
        <w:t>“Right now, they are spending more than their 15% and are looking at how they may be able to take another look at how they are making pre-ets available to ensure that the model they are using is sustainable to their program.  They have been operating under an OOS for more than 20 years and with the reservation requirement, their wait list continues to grow.  As they continue to serve more students every year, their expenditures for pre-ets continues to grow.  They are concerned that there are less resources for adults with disabilities as a result.  Since you cannot limit access to potentially eligible students for pre-ets once you expend the 15%, there is no way to ensure sufficient funds are available to all other eligible individuals to be served.”</w:t>
      </w:r>
    </w:p>
    <w:p w14:paraId="2DF3C91D" w14:textId="2F5E0CF7" w:rsidR="00E81F8C" w:rsidRPr="00755285" w:rsidRDefault="00755285" w:rsidP="00755285">
      <w:pPr>
        <w:pStyle w:val="Heading1"/>
        <w:numPr>
          <w:ilvl w:val="0"/>
          <w:numId w:val="59"/>
        </w:numPr>
        <w:pBdr>
          <w:bottom w:val="single" w:sz="18" w:space="1" w:color="auto"/>
        </w:pBdr>
        <w:shd w:val="clear" w:color="auto" w:fill="auto"/>
        <w:ind w:left="720"/>
        <w:rPr>
          <w:caps w:val="0"/>
          <w:szCs w:val="52"/>
        </w:rPr>
      </w:pPr>
      <w:bookmarkStart w:id="22" w:name="_Toc28011415"/>
      <w:r w:rsidRPr="00755285">
        <w:rPr>
          <w:caps w:val="0"/>
          <w:szCs w:val="52"/>
        </w:rPr>
        <w:lastRenderedPageBreak/>
        <w:t>Section 511</w:t>
      </w:r>
      <w:bookmarkEnd w:id="22"/>
    </w:p>
    <w:p w14:paraId="1325FCE3" w14:textId="77777777" w:rsidR="00755285" w:rsidRDefault="00755285" w:rsidP="00755285"/>
    <w:p w14:paraId="33634956" w14:textId="77777777" w:rsidR="00755285" w:rsidRDefault="00755285" w:rsidP="00755285">
      <w:pPr>
        <w:jc w:val="center"/>
        <w:rPr>
          <w:noProof/>
        </w:rPr>
      </w:pPr>
      <w:r>
        <w:rPr>
          <w:noProof/>
          <w:lang w:eastAsia="ko-KR"/>
        </w:rPr>
        <w:drawing>
          <wp:inline distT="0" distB="0" distL="0" distR="0" wp14:anchorId="733DE582" wp14:editId="36FB6467">
            <wp:extent cx="5924550" cy="4305300"/>
            <wp:effectExtent l="323850" t="323850" r="323850" b="323850"/>
            <wp:docPr id="178" name="Picture 178" descr="Map of the United States depicting states with ITAAs covering Section 511, which include: AK, AZ, CA, ID,  IL,  LA,  MN,  MS, NV,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5924550" cy="430530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p>
    <w:p w14:paraId="03013CEA" w14:textId="77777777" w:rsidR="00755285" w:rsidRDefault="00755285" w:rsidP="00755285"/>
    <w:p w14:paraId="618A9A39" w14:textId="77777777" w:rsidR="00755285" w:rsidRDefault="00755285" w:rsidP="00755285">
      <w:pPr>
        <w:sectPr w:rsidR="00755285" w:rsidSect="00D27D05">
          <w:pgSz w:w="12240" w:h="15840" w:code="1"/>
          <w:pgMar w:top="1440" w:right="1440" w:bottom="1440" w:left="1440" w:header="720" w:footer="720" w:gutter="0"/>
          <w:pgBorders w:offsetFrom="page">
            <w:top w:val="thinThickSmallGap" w:sz="24" w:space="24" w:color="2F5496" w:themeColor="accent1" w:themeShade="BF"/>
            <w:left w:val="thinThickSmallGap" w:sz="24" w:space="24" w:color="2F5496" w:themeColor="accent1" w:themeShade="BF"/>
            <w:bottom w:val="thickThinSmallGap" w:sz="24" w:space="24" w:color="2F5496" w:themeColor="accent1" w:themeShade="BF"/>
            <w:right w:val="thickThinSmallGap" w:sz="24" w:space="24" w:color="2F5496" w:themeColor="accent1" w:themeShade="BF"/>
          </w:pgBorders>
          <w:cols w:space="720"/>
          <w:vAlign w:val="center"/>
          <w:docGrid w:linePitch="360"/>
        </w:sectPr>
      </w:pPr>
    </w:p>
    <w:p w14:paraId="1D4B65E9" w14:textId="77777777" w:rsidR="00755285" w:rsidRPr="00206792" w:rsidRDefault="00755285" w:rsidP="00BA0D82">
      <w:pPr>
        <w:pStyle w:val="Heading2"/>
        <w:numPr>
          <w:ilvl w:val="0"/>
          <w:numId w:val="0"/>
        </w:numPr>
        <w:shd w:val="clear" w:color="auto" w:fill="8EAADB" w:themeFill="accent1" w:themeFillTint="99"/>
      </w:pPr>
      <w:bookmarkStart w:id="23" w:name="_Toc28011416"/>
      <w:r>
        <w:lastRenderedPageBreak/>
        <w:t>Section 511</w:t>
      </w:r>
      <w:r w:rsidRPr="00987BC7">
        <w:t xml:space="preserve"> – </w:t>
      </w:r>
      <w:r>
        <w:t xml:space="preserve">ITA </w:t>
      </w:r>
      <w:r w:rsidRPr="00987BC7">
        <w:t>Logic Model</w:t>
      </w:r>
      <w:bookmarkEnd w:id="23"/>
    </w:p>
    <w:tbl>
      <w:tblPr>
        <w:tblW w:w="5000" w:type="pct"/>
        <w:tblLook w:val="04A0" w:firstRow="1" w:lastRow="0" w:firstColumn="1" w:lastColumn="0" w:noHBand="0" w:noVBand="1"/>
      </w:tblPr>
      <w:tblGrid>
        <w:gridCol w:w="4675"/>
        <w:gridCol w:w="4675"/>
      </w:tblGrid>
      <w:tr w:rsidR="00755285" w:rsidRPr="00206792" w14:paraId="0C34826A" w14:textId="77777777" w:rsidTr="003B3F23">
        <w:trPr>
          <w:trHeight w:val="278"/>
          <w:tblHeader/>
        </w:trPr>
        <w:tc>
          <w:tcPr>
            <w:tcW w:w="2500" w:type="pct"/>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hideMark/>
          </w:tcPr>
          <w:p w14:paraId="70916705" w14:textId="77777777" w:rsidR="00755285" w:rsidRPr="00206792" w:rsidRDefault="00755285" w:rsidP="00755285">
            <w:pPr>
              <w:pStyle w:val="Heading3"/>
              <w:numPr>
                <w:ilvl w:val="0"/>
                <w:numId w:val="0"/>
              </w:numPr>
              <w:ind w:left="1440" w:hanging="1470"/>
            </w:pPr>
            <w:r w:rsidRPr="00206792">
              <w:t>Activity</w:t>
            </w:r>
          </w:p>
        </w:tc>
        <w:tc>
          <w:tcPr>
            <w:tcW w:w="2500" w:type="pct"/>
            <w:tcBorders>
              <w:top w:val="single" w:sz="4" w:space="0" w:color="auto"/>
              <w:left w:val="nil"/>
              <w:bottom w:val="single" w:sz="4" w:space="0" w:color="auto"/>
              <w:right w:val="single" w:sz="4" w:space="0" w:color="auto"/>
            </w:tcBorders>
            <w:shd w:val="clear" w:color="auto" w:fill="D9E2F3" w:themeFill="accent1" w:themeFillTint="33"/>
            <w:vAlign w:val="center"/>
            <w:hideMark/>
          </w:tcPr>
          <w:p w14:paraId="152A20AE" w14:textId="77777777" w:rsidR="00755285" w:rsidRPr="00206792" w:rsidRDefault="00755285" w:rsidP="00755285">
            <w:pPr>
              <w:pStyle w:val="Heading3"/>
              <w:numPr>
                <w:ilvl w:val="0"/>
                <w:numId w:val="0"/>
              </w:numPr>
              <w:ind w:left="1440" w:hanging="1544"/>
            </w:pPr>
            <w:r w:rsidRPr="00206792">
              <w:t>Output</w:t>
            </w:r>
          </w:p>
        </w:tc>
      </w:tr>
      <w:tr w:rsidR="00755285" w:rsidRPr="00206792" w14:paraId="2AC8A810" w14:textId="77777777" w:rsidTr="003B3F23">
        <w:trPr>
          <w:trHeight w:val="20"/>
        </w:trPr>
        <w:tc>
          <w:tcPr>
            <w:tcW w:w="2500" w:type="pct"/>
            <w:tcBorders>
              <w:top w:val="nil"/>
              <w:left w:val="single" w:sz="4" w:space="0" w:color="000000"/>
              <w:bottom w:val="single" w:sz="4" w:space="0" w:color="000000"/>
              <w:right w:val="single" w:sz="4" w:space="0" w:color="000000"/>
            </w:tcBorders>
            <w:shd w:val="clear" w:color="auto" w:fill="auto"/>
            <w:vAlign w:val="center"/>
            <w:hideMark/>
          </w:tcPr>
          <w:p w14:paraId="557BCFC2" w14:textId="77777777" w:rsidR="00755285" w:rsidRPr="00206792" w:rsidRDefault="00755285" w:rsidP="00755285">
            <w:pPr>
              <w:pStyle w:val="ListParagraph"/>
              <w:numPr>
                <w:ilvl w:val="0"/>
                <w:numId w:val="61"/>
              </w:numPr>
              <w:spacing w:line="240" w:lineRule="auto"/>
            </w:pPr>
            <w:r w:rsidRPr="00206792">
              <w:t>Identify the number of individuals employed in subminimum wage employment (SMW) by employer or CRP in the State.</w:t>
            </w:r>
          </w:p>
        </w:tc>
        <w:tc>
          <w:tcPr>
            <w:tcW w:w="2500" w:type="pct"/>
            <w:tcBorders>
              <w:top w:val="nil"/>
              <w:left w:val="nil"/>
              <w:bottom w:val="single" w:sz="4" w:space="0" w:color="000000"/>
              <w:right w:val="single" w:sz="4" w:space="0" w:color="000000"/>
            </w:tcBorders>
            <w:shd w:val="clear" w:color="auto" w:fill="auto"/>
            <w:vAlign w:val="center"/>
            <w:hideMark/>
          </w:tcPr>
          <w:p w14:paraId="09DE289C" w14:textId="77777777" w:rsidR="00755285" w:rsidRPr="00206792" w:rsidRDefault="00755285" w:rsidP="00755285">
            <w:pPr>
              <w:pStyle w:val="ListParagraph"/>
              <w:numPr>
                <w:ilvl w:val="0"/>
                <w:numId w:val="62"/>
              </w:numPr>
              <w:spacing w:line="240" w:lineRule="auto"/>
              <w:ind w:left="340"/>
            </w:pPr>
            <w:r w:rsidRPr="00206792">
              <w:t>A complete list of individuals working in a given State by CRP.</w:t>
            </w:r>
          </w:p>
        </w:tc>
      </w:tr>
      <w:tr w:rsidR="00755285" w:rsidRPr="00206792" w14:paraId="6DCDC894" w14:textId="77777777" w:rsidTr="003B3F23">
        <w:trPr>
          <w:trHeight w:val="20"/>
        </w:trPr>
        <w:tc>
          <w:tcPr>
            <w:tcW w:w="2500" w:type="pct"/>
            <w:tcBorders>
              <w:top w:val="nil"/>
              <w:left w:val="single" w:sz="4" w:space="0" w:color="000000"/>
              <w:bottom w:val="single" w:sz="4" w:space="0" w:color="000000"/>
              <w:right w:val="single" w:sz="4" w:space="0" w:color="000000"/>
            </w:tcBorders>
            <w:shd w:val="clear" w:color="auto" w:fill="auto"/>
            <w:vAlign w:val="center"/>
            <w:hideMark/>
          </w:tcPr>
          <w:p w14:paraId="6EE43AE9" w14:textId="77777777" w:rsidR="00755285" w:rsidRPr="00206792" w:rsidRDefault="00755285" w:rsidP="00755285">
            <w:pPr>
              <w:pStyle w:val="ListParagraph"/>
              <w:numPr>
                <w:ilvl w:val="0"/>
                <w:numId w:val="61"/>
              </w:numPr>
              <w:spacing w:line="240" w:lineRule="auto"/>
            </w:pPr>
            <w:r w:rsidRPr="00206792">
              <w:t>Assist the VR program to understand their responsibilities  under Section 511.</w:t>
            </w:r>
          </w:p>
        </w:tc>
        <w:tc>
          <w:tcPr>
            <w:tcW w:w="2500" w:type="pct"/>
            <w:tcBorders>
              <w:top w:val="nil"/>
              <w:left w:val="nil"/>
              <w:bottom w:val="single" w:sz="4" w:space="0" w:color="000000"/>
              <w:right w:val="single" w:sz="4" w:space="0" w:color="000000"/>
            </w:tcBorders>
            <w:shd w:val="clear" w:color="auto" w:fill="auto"/>
            <w:vAlign w:val="center"/>
            <w:hideMark/>
          </w:tcPr>
          <w:p w14:paraId="44B4F953" w14:textId="77777777" w:rsidR="00755285" w:rsidRPr="00206792" w:rsidRDefault="00755285" w:rsidP="00755285">
            <w:pPr>
              <w:pStyle w:val="ListParagraph"/>
              <w:numPr>
                <w:ilvl w:val="0"/>
                <w:numId w:val="62"/>
              </w:numPr>
              <w:spacing w:line="240" w:lineRule="auto"/>
              <w:ind w:left="340"/>
            </w:pPr>
            <w:r w:rsidRPr="00206792">
              <w:t>A strategic plan to identify an effective and efficient response to Section 511.</w:t>
            </w:r>
          </w:p>
        </w:tc>
      </w:tr>
      <w:tr w:rsidR="00755285" w:rsidRPr="00206792" w14:paraId="31F04042" w14:textId="77777777" w:rsidTr="003B3F23">
        <w:trPr>
          <w:trHeight w:val="20"/>
        </w:trPr>
        <w:tc>
          <w:tcPr>
            <w:tcW w:w="2500" w:type="pct"/>
            <w:tcBorders>
              <w:top w:val="nil"/>
              <w:left w:val="single" w:sz="4" w:space="0" w:color="000000"/>
              <w:bottom w:val="single" w:sz="4" w:space="0" w:color="000000"/>
              <w:right w:val="single" w:sz="4" w:space="0" w:color="000000"/>
            </w:tcBorders>
            <w:shd w:val="clear" w:color="auto" w:fill="auto"/>
            <w:vAlign w:val="center"/>
            <w:hideMark/>
          </w:tcPr>
          <w:p w14:paraId="0A94D765" w14:textId="77777777" w:rsidR="00755285" w:rsidRPr="00206792" w:rsidRDefault="00755285" w:rsidP="00755285">
            <w:pPr>
              <w:pStyle w:val="ListParagraph"/>
              <w:numPr>
                <w:ilvl w:val="0"/>
                <w:numId w:val="61"/>
              </w:numPr>
              <w:spacing w:line="240" w:lineRule="auto"/>
            </w:pPr>
            <w:r w:rsidRPr="00206792">
              <w:t>Assist the VR program to understand their responsibilities to youth prior to them entering into SMW.</w:t>
            </w:r>
          </w:p>
        </w:tc>
        <w:tc>
          <w:tcPr>
            <w:tcW w:w="2500" w:type="pct"/>
            <w:tcBorders>
              <w:top w:val="nil"/>
              <w:left w:val="nil"/>
              <w:bottom w:val="single" w:sz="4" w:space="0" w:color="000000"/>
              <w:right w:val="single" w:sz="4" w:space="0" w:color="000000"/>
            </w:tcBorders>
            <w:shd w:val="clear" w:color="auto" w:fill="auto"/>
            <w:vAlign w:val="center"/>
            <w:hideMark/>
          </w:tcPr>
          <w:p w14:paraId="0B17FA76" w14:textId="77777777" w:rsidR="00755285" w:rsidRPr="00206792" w:rsidRDefault="00755285" w:rsidP="00755285">
            <w:pPr>
              <w:pStyle w:val="ListParagraph"/>
              <w:numPr>
                <w:ilvl w:val="0"/>
                <w:numId w:val="62"/>
              </w:numPr>
              <w:spacing w:line="240" w:lineRule="auto"/>
              <w:ind w:left="340"/>
            </w:pPr>
            <w:r w:rsidRPr="00206792">
              <w:t>Number of youth receiving required services, information and documentation prior to entering SMW.</w:t>
            </w:r>
          </w:p>
        </w:tc>
      </w:tr>
      <w:tr w:rsidR="00755285" w:rsidRPr="00206792" w14:paraId="49B0D18F" w14:textId="77777777" w:rsidTr="003B3F23">
        <w:trPr>
          <w:trHeight w:val="20"/>
        </w:trPr>
        <w:tc>
          <w:tcPr>
            <w:tcW w:w="2500" w:type="pct"/>
            <w:tcBorders>
              <w:top w:val="nil"/>
              <w:left w:val="single" w:sz="4" w:space="0" w:color="000000"/>
              <w:bottom w:val="single" w:sz="4" w:space="0" w:color="000000"/>
              <w:right w:val="single" w:sz="4" w:space="0" w:color="000000"/>
            </w:tcBorders>
            <w:shd w:val="clear" w:color="auto" w:fill="auto"/>
            <w:vAlign w:val="center"/>
            <w:hideMark/>
          </w:tcPr>
          <w:p w14:paraId="68DDF113" w14:textId="77777777" w:rsidR="00755285" w:rsidRPr="00206792" w:rsidRDefault="00755285" w:rsidP="00755285">
            <w:pPr>
              <w:pStyle w:val="ListParagraph"/>
              <w:numPr>
                <w:ilvl w:val="0"/>
                <w:numId w:val="61"/>
              </w:numPr>
              <w:spacing w:line="240" w:lineRule="auto"/>
            </w:pPr>
            <w:r w:rsidRPr="00206792">
              <w:t>Assist the VR program to identify ways to provide career counseling, and information and referral to the individuals entering in, or currently in SMW.</w:t>
            </w:r>
          </w:p>
        </w:tc>
        <w:tc>
          <w:tcPr>
            <w:tcW w:w="2500" w:type="pct"/>
            <w:tcBorders>
              <w:top w:val="nil"/>
              <w:left w:val="nil"/>
              <w:bottom w:val="single" w:sz="4" w:space="0" w:color="000000"/>
              <w:right w:val="single" w:sz="4" w:space="0" w:color="000000"/>
            </w:tcBorders>
            <w:shd w:val="clear" w:color="auto" w:fill="auto"/>
            <w:vAlign w:val="center"/>
            <w:hideMark/>
          </w:tcPr>
          <w:p w14:paraId="25766296" w14:textId="77777777" w:rsidR="00755285" w:rsidRPr="00206792" w:rsidRDefault="00755285" w:rsidP="00755285">
            <w:pPr>
              <w:pStyle w:val="ListParagraph"/>
              <w:numPr>
                <w:ilvl w:val="0"/>
                <w:numId w:val="62"/>
              </w:numPr>
              <w:spacing w:line="240" w:lineRule="auto"/>
              <w:ind w:left="340"/>
            </w:pPr>
            <w:r w:rsidRPr="00206792">
              <w:t>Percent of individuals entering into, or currently in SMW that receive CC&amp;I&amp;R.</w:t>
            </w:r>
          </w:p>
        </w:tc>
      </w:tr>
      <w:tr w:rsidR="00755285" w:rsidRPr="00206792" w14:paraId="7A6AFD65" w14:textId="77777777" w:rsidTr="003B3F23">
        <w:trPr>
          <w:trHeight w:val="20"/>
        </w:trPr>
        <w:tc>
          <w:tcPr>
            <w:tcW w:w="2500" w:type="pct"/>
            <w:tcBorders>
              <w:top w:val="nil"/>
              <w:left w:val="single" w:sz="4" w:space="0" w:color="000000"/>
              <w:bottom w:val="nil"/>
              <w:right w:val="single" w:sz="4" w:space="0" w:color="000000"/>
            </w:tcBorders>
            <w:shd w:val="clear" w:color="auto" w:fill="auto"/>
            <w:vAlign w:val="center"/>
            <w:hideMark/>
          </w:tcPr>
          <w:p w14:paraId="1F643637" w14:textId="77777777" w:rsidR="00755285" w:rsidRPr="00206792" w:rsidRDefault="00755285" w:rsidP="00755285">
            <w:pPr>
              <w:pStyle w:val="ListParagraph"/>
              <w:numPr>
                <w:ilvl w:val="0"/>
                <w:numId w:val="61"/>
              </w:numPr>
              <w:spacing w:line="240" w:lineRule="auto"/>
            </w:pPr>
            <w:r w:rsidRPr="00206792">
              <w:t>Assist the VR program to develop policies and procedures that will ensure they are compliant with all of the requirements of Section 511.</w:t>
            </w:r>
          </w:p>
        </w:tc>
        <w:tc>
          <w:tcPr>
            <w:tcW w:w="2500" w:type="pct"/>
            <w:vMerge w:val="restart"/>
            <w:tcBorders>
              <w:top w:val="nil"/>
              <w:left w:val="nil"/>
              <w:right w:val="single" w:sz="4" w:space="0" w:color="000000"/>
            </w:tcBorders>
            <w:shd w:val="clear" w:color="auto" w:fill="auto"/>
            <w:vAlign w:val="center"/>
            <w:hideMark/>
          </w:tcPr>
          <w:p w14:paraId="62809898" w14:textId="77777777" w:rsidR="00755285" w:rsidRPr="00206792" w:rsidRDefault="00755285" w:rsidP="00755285">
            <w:pPr>
              <w:pStyle w:val="ListParagraph"/>
              <w:numPr>
                <w:ilvl w:val="0"/>
                <w:numId w:val="62"/>
              </w:numPr>
              <w:spacing w:line="240" w:lineRule="auto"/>
              <w:ind w:left="340"/>
            </w:pPr>
            <w:r w:rsidRPr="00206792">
              <w:t>Completed policies and procedures that address documentation requirements of Section 511.</w:t>
            </w:r>
          </w:p>
        </w:tc>
      </w:tr>
      <w:tr w:rsidR="00755285" w:rsidRPr="00206792" w14:paraId="0ECB032F" w14:textId="77777777" w:rsidTr="003B3F23">
        <w:trPr>
          <w:trHeight w:val="20"/>
        </w:trPr>
        <w:tc>
          <w:tcPr>
            <w:tcW w:w="250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5880765" w14:textId="77777777" w:rsidR="00755285" w:rsidRPr="00206792" w:rsidRDefault="00755285" w:rsidP="00755285">
            <w:pPr>
              <w:pStyle w:val="ListParagraph"/>
              <w:numPr>
                <w:ilvl w:val="0"/>
                <w:numId w:val="61"/>
              </w:numPr>
              <w:spacing w:line="240" w:lineRule="auto"/>
            </w:pPr>
            <w:r w:rsidRPr="00206792">
              <w:t>Assist the VR program to develop documentation processes that include completion of Pre-ETS, receipt of transition services, CC&amp;I&amp;R and self-advocacy training opportunities.</w:t>
            </w:r>
          </w:p>
        </w:tc>
        <w:tc>
          <w:tcPr>
            <w:tcW w:w="2500" w:type="pct"/>
            <w:vMerge/>
            <w:tcBorders>
              <w:left w:val="nil"/>
              <w:bottom w:val="single" w:sz="4" w:space="0" w:color="auto"/>
              <w:right w:val="single" w:sz="4" w:space="0" w:color="000000"/>
            </w:tcBorders>
            <w:shd w:val="clear" w:color="auto" w:fill="auto"/>
            <w:vAlign w:val="center"/>
            <w:hideMark/>
          </w:tcPr>
          <w:p w14:paraId="7E90A9B2" w14:textId="77777777" w:rsidR="00755285" w:rsidRPr="00206792" w:rsidRDefault="00755285" w:rsidP="00755285">
            <w:pPr>
              <w:pStyle w:val="ListParagraph"/>
              <w:numPr>
                <w:ilvl w:val="0"/>
                <w:numId w:val="62"/>
              </w:numPr>
              <w:spacing w:line="240" w:lineRule="auto"/>
              <w:ind w:left="340"/>
            </w:pPr>
          </w:p>
        </w:tc>
      </w:tr>
      <w:tr w:rsidR="00755285" w:rsidRPr="00206792" w14:paraId="4FED0715" w14:textId="77777777" w:rsidTr="003B3F23">
        <w:trPr>
          <w:trHeight w:val="20"/>
        </w:trPr>
        <w:tc>
          <w:tcPr>
            <w:tcW w:w="250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D45DCBF" w14:textId="77777777" w:rsidR="00755285" w:rsidRPr="00206792" w:rsidRDefault="00755285" w:rsidP="00755285">
            <w:pPr>
              <w:pStyle w:val="ListParagraph"/>
              <w:numPr>
                <w:ilvl w:val="0"/>
                <w:numId w:val="61"/>
              </w:numPr>
              <w:spacing w:line="240" w:lineRule="auto"/>
            </w:pPr>
            <w:r w:rsidRPr="00206792">
              <w:t>Assist in the development of career counseling, and information and referral services to be provided to youth and adults prior to entering into SMW jobs, and those currently employed in SMW jobs at the prescribed time intervals.</w:t>
            </w:r>
          </w:p>
        </w:tc>
        <w:tc>
          <w:tcPr>
            <w:tcW w:w="250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C32477B" w14:textId="77777777" w:rsidR="00755285" w:rsidRPr="00206792" w:rsidRDefault="00755285" w:rsidP="00755285">
            <w:pPr>
              <w:pStyle w:val="ListParagraph"/>
              <w:numPr>
                <w:ilvl w:val="0"/>
                <w:numId w:val="62"/>
              </w:numPr>
              <w:spacing w:line="240" w:lineRule="auto"/>
              <w:ind w:left="340"/>
            </w:pPr>
            <w:r w:rsidRPr="00206792">
              <w:t>Number and type of CC&amp;I&amp;R resources developed and the number and percentage of youth and adults that receive this information at prescribed intervals.</w:t>
            </w:r>
          </w:p>
        </w:tc>
      </w:tr>
      <w:tr w:rsidR="00755285" w:rsidRPr="00206792" w14:paraId="59054B8F" w14:textId="77777777" w:rsidTr="003B3F23">
        <w:trPr>
          <w:trHeight w:val="20"/>
        </w:trPr>
        <w:tc>
          <w:tcPr>
            <w:tcW w:w="2500" w:type="pct"/>
            <w:tcBorders>
              <w:top w:val="single" w:sz="4" w:space="0" w:color="auto"/>
              <w:left w:val="single" w:sz="4" w:space="0" w:color="000000"/>
              <w:bottom w:val="nil"/>
              <w:right w:val="single" w:sz="4" w:space="0" w:color="000000"/>
            </w:tcBorders>
            <w:shd w:val="clear" w:color="auto" w:fill="auto"/>
            <w:vAlign w:val="center"/>
            <w:hideMark/>
          </w:tcPr>
          <w:p w14:paraId="5335A2D2" w14:textId="77777777" w:rsidR="00755285" w:rsidRPr="00206792" w:rsidRDefault="00755285" w:rsidP="00755285">
            <w:pPr>
              <w:pStyle w:val="ListParagraph"/>
              <w:numPr>
                <w:ilvl w:val="0"/>
                <w:numId w:val="61"/>
              </w:numPr>
              <w:spacing w:line="240" w:lineRule="auto"/>
            </w:pPr>
            <w:r w:rsidRPr="00206792">
              <w:t>Assist the VR program to identify and provide information on self-advocacy, self-determination and peer mentoring training opportunities that can be made available to individuals working in SMW for employers with less than 15 people.</w:t>
            </w:r>
          </w:p>
        </w:tc>
        <w:tc>
          <w:tcPr>
            <w:tcW w:w="2500" w:type="pct"/>
            <w:tcBorders>
              <w:top w:val="single" w:sz="4" w:space="0" w:color="auto"/>
              <w:left w:val="nil"/>
              <w:bottom w:val="single" w:sz="4" w:space="0" w:color="auto"/>
              <w:right w:val="single" w:sz="4" w:space="0" w:color="auto"/>
            </w:tcBorders>
            <w:shd w:val="clear" w:color="auto" w:fill="auto"/>
            <w:vAlign w:val="center"/>
            <w:hideMark/>
          </w:tcPr>
          <w:p w14:paraId="4BB4253C" w14:textId="77777777" w:rsidR="00755285" w:rsidRPr="00206792" w:rsidRDefault="00755285" w:rsidP="00755285">
            <w:pPr>
              <w:pStyle w:val="ListParagraph"/>
              <w:numPr>
                <w:ilvl w:val="0"/>
                <w:numId w:val="62"/>
              </w:numPr>
              <w:spacing w:line="240" w:lineRule="auto"/>
              <w:ind w:left="340"/>
            </w:pPr>
            <w:r w:rsidRPr="00206792">
              <w:t>Percent of individuals that receive information on self-advocacy, self-determination and peer mentoring opportunities available in their geographic area at prescribed intervals.</w:t>
            </w:r>
          </w:p>
        </w:tc>
      </w:tr>
      <w:tr w:rsidR="00755285" w:rsidRPr="00206792" w14:paraId="370036B1" w14:textId="77777777" w:rsidTr="003B3F23">
        <w:trPr>
          <w:trHeight w:val="20"/>
        </w:trPr>
        <w:tc>
          <w:tcPr>
            <w:tcW w:w="250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B3081D8" w14:textId="77777777" w:rsidR="00755285" w:rsidRPr="00206792" w:rsidRDefault="00755285" w:rsidP="00755285">
            <w:pPr>
              <w:pStyle w:val="ListParagraph"/>
              <w:numPr>
                <w:ilvl w:val="0"/>
                <w:numId w:val="61"/>
              </w:numPr>
              <w:spacing w:line="240" w:lineRule="auto"/>
            </w:pPr>
            <w:r w:rsidRPr="00206792">
              <w:t>Assist the VR program to develop partnerships with SEAs, LEAs, IL programs, and others that are essential for effective implementation.</w:t>
            </w:r>
          </w:p>
        </w:tc>
        <w:tc>
          <w:tcPr>
            <w:tcW w:w="2500" w:type="pct"/>
            <w:tcBorders>
              <w:top w:val="nil"/>
              <w:left w:val="nil"/>
              <w:bottom w:val="single" w:sz="4" w:space="0" w:color="auto"/>
              <w:right w:val="single" w:sz="4" w:space="0" w:color="000000"/>
            </w:tcBorders>
            <w:shd w:val="clear" w:color="auto" w:fill="auto"/>
            <w:vAlign w:val="center"/>
            <w:hideMark/>
          </w:tcPr>
          <w:p w14:paraId="4EF20D97" w14:textId="77777777" w:rsidR="00755285" w:rsidRPr="00206792" w:rsidRDefault="00755285" w:rsidP="00755285">
            <w:pPr>
              <w:pStyle w:val="ListParagraph"/>
              <w:numPr>
                <w:ilvl w:val="0"/>
                <w:numId w:val="62"/>
              </w:numPr>
              <w:spacing w:line="240" w:lineRule="auto"/>
              <w:ind w:left="340"/>
            </w:pPr>
            <w:r w:rsidRPr="00206792">
              <w:t>Number of partnerships developed with the intent of effectively responding to Section 511 and the number of MOUs completed with partner agencies.</w:t>
            </w:r>
          </w:p>
        </w:tc>
      </w:tr>
      <w:tr w:rsidR="00755285" w:rsidRPr="00206792" w14:paraId="0933D631" w14:textId="77777777" w:rsidTr="003B3F23">
        <w:trPr>
          <w:trHeight w:val="20"/>
        </w:trPr>
        <w:tc>
          <w:tcPr>
            <w:tcW w:w="2500" w:type="pct"/>
            <w:tcBorders>
              <w:top w:val="single" w:sz="4" w:space="0" w:color="auto"/>
              <w:left w:val="single" w:sz="4" w:space="0" w:color="000000"/>
              <w:bottom w:val="single" w:sz="4" w:space="0" w:color="auto"/>
              <w:right w:val="single" w:sz="4" w:space="0" w:color="000000"/>
            </w:tcBorders>
            <w:shd w:val="clear" w:color="auto" w:fill="auto"/>
            <w:vAlign w:val="center"/>
            <w:hideMark/>
          </w:tcPr>
          <w:p w14:paraId="1E3F002A" w14:textId="77777777" w:rsidR="00755285" w:rsidRPr="00206792" w:rsidRDefault="00755285" w:rsidP="00755285">
            <w:pPr>
              <w:pStyle w:val="ListParagraph"/>
              <w:numPr>
                <w:ilvl w:val="0"/>
                <w:numId w:val="61"/>
              </w:numPr>
              <w:spacing w:line="240" w:lineRule="auto"/>
            </w:pPr>
            <w:r w:rsidRPr="00206792">
              <w:t>Assist the VR program to identify whether a work site or environment is considered to be competitive integrated employment.</w:t>
            </w:r>
          </w:p>
        </w:tc>
        <w:tc>
          <w:tcPr>
            <w:tcW w:w="2500" w:type="pct"/>
            <w:tcBorders>
              <w:top w:val="single" w:sz="4" w:space="0" w:color="auto"/>
              <w:left w:val="nil"/>
              <w:bottom w:val="single" w:sz="4" w:space="0" w:color="000000"/>
              <w:right w:val="single" w:sz="4" w:space="0" w:color="000000"/>
            </w:tcBorders>
            <w:shd w:val="clear" w:color="auto" w:fill="auto"/>
            <w:vAlign w:val="center"/>
            <w:hideMark/>
          </w:tcPr>
          <w:p w14:paraId="71F61941" w14:textId="77777777" w:rsidR="00755285" w:rsidRPr="00206792" w:rsidRDefault="00755285" w:rsidP="00755285">
            <w:pPr>
              <w:pStyle w:val="ListParagraph"/>
              <w:numPr>
                <w:ilvl w:val="0"/>
                <w:numId w:val="62"/>
              </w:numPr>
              <w:spacing w:line="240" w:lineRule="auto"/>
              <w:ind w:left="340"/>
            </w:pPr>
            <w:r w:rsidRPr="00206792">
              <w:t>Number of sites evaluated to determine if they meet the definition of CIE.</w:t>
            </w:r>
          </w:p>
        </w:tc>
      </w:tr>
      <w:tr w:rsidR="00755285" w:rsidRPr="00206792" w14:paraId="2390BACF" w14:textId="77777777" w:rsidTr="003B3F23">
        <w:trPr>
          <w:trHeight w:val="20"/>
        </w:trPr>
        <w:tc>
          <w:tcPr>
            <w:tcW w:w="2500" w:type="pct"/>
            <w:tcBorders>
              <w:top w:val="single" w:sz="4" w:space="0" w:color="auto"/>
              <w:left w:val="single" w:sz="4" w:space="0" w:color="000000"/>
              <w:bottom w:val="single" w:sz="4" w:space="0" w:color="auto"/>
              <w:right w:val="single" w:sz="4" w:space="0" w:color="000000"/>
            </w:tcBorders>
            <w:shd w:val="clear" w:color="auto" w:fill="auto"/>
            <w:vAlign w:val="center"/>
          </w:tcPr>
          <w:p w14:paraId="24ACC7C8" w14:textId="77777777" w:rsidR="00755285" w:rsidRPr="00206792" w:rsidRDefault="00755285" w:rsidP="00755285">
            <w:pPr>
              <w:pStyle w:val="ListParagraph"/>
              <w:numPr>
                <w:ilvl w:val="0"/>
                <w:numId w:val="61"/>
              </w:numPr>
              <w:spacing w:line="240" w:lineRule="auto"/>
            </w:pPr>
            <w:r w:rsidRPr="00206792">
              <w:t>Assist the VR program to develop its SE and CE programs to promote CIE rather than SMW.</w:t>
            </w:r>
          </w:p>
        </w:tc>
        <w:tc>
          <w:tcPr>
            <w:tcW w:w="2500" w:type="pct"/>
            <w:tcBorders>
              <w:top w:val="single" w:sz="4" w:space="0" w:color="auto"/>
              <w:left w:val="nil"/>
              <w:bottom w:val="single" w:sz="4" w:space="0" w:color="auto"/>
              <w:right w:val="single" w:sz="4" w:space="0" w:color="000000"/>
            </w:tcBorders>
            <w:shd w:val="clear" w:color="auto" w:fill="auto"/>
            <w:vAlign w:val="center"/>
          </w:tcPr>
          <w:p w14:paraId="1378FD0E" w14:textId="77777777" w:rsidR="00755285" w:rsidRPr="00206792" w:rsidRDefault="00755285" w:rsidP="00755285">
            <w:pPr>
              <w:pStyle w:val="ListParagraph"/>
              <w:numPr>
                <w:ilvl w:val="0"/>
                <w:numId w:val="62"/>
              </w:numPr>
              <w:spacing w:line="240" w:lineRule="auto"/>
              <w:ind w:left="340"/>
            </w:pPr>
            <w:r w:rsidRPr="00206792">
              <w:t>Number of individuals referred to SE and CE rather than SMW.</w:t>
            </w:r>
          </w:p>
        </w:tc>
      </w:tr>
      <w:tr w:rsidR="00755285" w:rsidRPr="00206792" w14:paraId="747E1F17" w14:textId="77777777" w:rsidTr="003B3F23">
        <w:trPr>
          <w:trHeight w:val="4358"/>
        </w:trPr>
        <w:tc>
          <w:tcPr>
            <w:tcW w:w="5000" w:type="pct"/>
            <w:gridSpan w:val="2"/>
            <w:tcBorders>
              <w:top w:val="single" w:sz="4" w:space="0" w:color="auto"/>
              <w:left w:val="single" w:sz="4" w:space="0" w:color="000000"/>
              <w:bottom w:val="single" w:sz="4" w:space="0" w:color="auto"/>
              <w:right w:val="single" w:sz="4" w:space="0" w:color="000000"/>
            </w:tcBorders>
            <w:shd w:val="clear" w:color="auto" w:fill="D9E2F3" w:themeFill="accent1" w:themeFillTint="33"/>
            <w:vAlign w:val="center"/>
          </w:tcPr>
          <w:p w14:paraId="025B5DF0" w14:textId="77777777" w:rsidR="00755285" w:rsidRPr="00206792" w:rsidRDefault="00755285" w:rsidP="003B3F23">
            <w:pPr>
              <w:spacing w:line="240" w:lineRule="auto"/>
              <w:jc w:val="center"/>
              <w:rPr>
                <w:b/>
              </w:rPr>
            </w:pPr>
            <w:r w:rsidRPr="00206792">
              <w:rPr>
                <w:b/>
              </w:rPr>
              <w:lastRenderedPageBreak/>
              <w:t>Short-Term Outcomes</w:t>
            </w:r>
          </w:p>
          <w:p w14:paraId="062F5F49" w14:textId="77777777" w:rsidR="00755285" w:rsidRPr="00206792" w:rsidRDefault="00755285" w:rsidP="00755285">
            <w:pPr>
              <w:pStyle w:val="ListParagraph"/>
              <w:numPr>
                <w:ilvl w:val="0"/>
                <w:numId w:val="1"/>
              </w:numPr>
              <w:spacing w:after="0" w:line="240" w:lineRule="auto"/>
            </w:pPr>
            <w:r w:rsidRPr="00206792">
              <w:t>An increase in the number of individuals with the most significant disabilities that obtain CIE rather than SMW employment.</w:t>
            </w:r>
          </w:p>
          <w:p w14:paraId="6267359B" w14:textId="77777777" w:rsidR="00755285" w:rsidRPr="00206792" w:rsidRDefault="00755285" w:rsidP="00755285">
            <w:pPr>
              <w:pStyle w:val="ListParagraph"/>
              <w:numPr>
                <w:ilvl w:val="0"/>
                <w:numId w:val="1"/>
              </w:numPr>
              <w:spacing w:after="0" w:line="240" w:lineRule="auto"/>
            </w:pPr>
            <w:r w:rsidRPr="00206792">
              <w:t>A decrease in the number of youth that enter SMW employment.</w:t>
            </w:r>
          </w:p>
          <w:p w14:paraId="2C807416" w14:textId="77777777" w:rsidR="00755285" w:rsidRPr="00206792" w:rsidRDefault="00755285" w:rsidP="00755285">
            <w:pPr>
              <w:pStyle w:val="ListParagraph"/>
              <w:numPr>
                <w:ilvl w:val="0"/>
                <w:numId w:val="1"/>
              </w:numPr>
              <w:spacing w:after="0" w:line="240" w:lineRule="auto"/>
            </w:pPr>
            <w:r w:rsidRPr="00206792">
              <w:t>A decrease in the number of  adults that choose to remain in SMW jobs.</w:t>
            </w:r>
          </w:p>
          <w:p w14:paraId="56F2330D" w14:textId="77777777" w:rsidR="00755285" w:rsidRPr="00206792" w:rsidRDefault="00755285" w:rsidP="00755285">
            <w:pPr>
              <w:pStyle w:val="ListParagraph"/>
              <w:numPr>
                <w:ilvl w:val="0"/>
                <w:numId w:val="1"/>
              </w:numPr>
              <w:spacing w:after="0" w:line="240" w:lineRule="auto"/>
            </w:pPr>
            <w:r w:rsidRPr="00206792">
              <w:t>An increase in the number of employers that are willing to provide supported or customized employment opportunities in a given State.</w:t>
            </w:r>
          </w:p>
          <w:p w14:paraId="249D695E" w14:textId="77777777" w:rsidR="00755285" w:rsidRPr="00206792" w:rsidRDefault="00755285" w:rsidP="00755285">
            <w:pPr>
              <w:pStyle w:val="ListParagraph"/>
              <w:numPr>
                <w:ilvl w:val="0"/>
                <w:numId w:val="1"/>
              </w:numPr>
              <w:spacing w:after="0" w:line="240" w:lineRule="auto"/>
            </w:pPr>
            <w:r w:rsidRPr="00206792">
              <w:t>An increase in the number of individuals with the most significant disabilities that are able to effectively advocate for themselves.</w:t>
            </w:r>
          </w:p>
          <w:p w14:paraId="45E0075A" w14:textId="77777777" w:rsidR="00755285" w:rsidRPr="00206792" w:rsidRDefault="00755285" w:rsidP="00755285">
            <w:pPr>
              <w:pStyle w:val="ListParagraph"/>
              <w:numPr>
                <w:ilvl w:val="0"/>
                <w:numId w:val="1"/>
              </w:numPr>
              <w:spacing w:after="0" w:line="240" w:lineRule="auto"/>
            </w:pPr>
            <w:r w:rsidRPr="00206792">
              <w:t>An increase in the number of individuals that utilize the services of partner agencies to pursue CIE rather than SMW jobs.</w:t>
            </w:r>
          </w:p>
          <w:p w14:paraId="3E86D71F" w14:textId="77777777" w:rsidR="00755285" w:rsidRPr="00206792" w:rsidRDefault="00755285" w:rsidP="003B3F23">
            <w:pPr>
              <w:spacing w:line="240" w:lineRule="auto"/>
              <w:jc w:val="center"/>
              <w:rPr>
                <w:b/>
              </w:rPr>
            </w:pPr>
            <w:r w:rsidRPr="00206792">
              <w:rPr>
                <w:b/>
              </w:rPr>
              <w:t>Long-Term Outcomes</w:t>
            </w:r>
          </w:p>
          <w:p w14:paraId="55F7886B" w14:textId="77777777" w:rsidR="00755285" w:rsidRPr="00206792" w:rsidRDefault="00755285" w:rsidP="00755285">
            <w:pPr>
              <w:pStyle w:val="ListParagraph"/>
              <w:numPr>
                <w:ilvl w:val="0"/>
                <w:numId w:val="1"/>
              </w:numPr>
              <w:spacing w:after="0" w:line="240" w:lineRule="auto"/>
            </w:pPr>
            <w:r w:rsidRPr="00206792">
              <w:t>An increase in the earnings and level of self-sufficiency of individuals with the most significant disabilities.</w:t>
            </w:r>
          </w:p>
          <w:p w14:paraId="143947A4" w14:textId="77777777" w:rsidR="00755285" w:rsidRPr="00206792" w:rsidRDefault="00755285" w:rsidP="00755285">
            <w:pPr>
              <w:pStyle w:val="ListParagraph"/>
              <w:numPr>
                <w:ilvl w:val="0"/>
                <w:numId w:val="1"/>
              </w:numPr>
              <w:spacing w:after="0" w:line="240" w:lineRule="auto"/>
            </w:pPr>
            <w:r w:rsidRPr="00206792">
              <w:t>A decrease in the number of SMW employment opportunities in a given State.</w:t>
            </w:r>
          </w:p>
        </w:tc>
      </w:tr>
    </w:tbl>
    <w:p w14:paraId="257B9E42" w14:textId="77777777" w:rsidR="00755285" w:rsidRDefault="00755285" w:rsidP="003B3F23">
      <w:pPr>
        <w:tabs>
          <w:tab w:val="center" w:pos="4680"/>
          <w:tab w:val="right" w:pos="9360"/>
        </w:tabs>
        <w:rPr>
          <w:b/>
          <w:sz w:val="36"/>
        </w:rPr>
      </w:pPr>
    </w:p>
    <w:p w14:paraId="127308D8" w14:textId="77777777" w:rsidR="00755285" w:rsidRDefault="00755285" w:rsidP="003B3F23">
      <w:pPr>
        <w:tabs>
          <w:tab w:val="center" w:pos="4680"/>
          <w:tab w:val="right" w:pos="9360"/>
        </w:tabs>
        <w:rPr>
          <w:b/>
          <w:sz w:val="36"/>
        </w:rPr>
      </w:pPr>
    </w:p>
    <w:p w14:paraId="62270927" w14:textId="77777777" w:rsidR="00755285" w:rsidRDefault="00755285" w:rsidP="00755285">
      <w:pPr>
        <w:rPr>
          <w:b/>
          <w:sz w:val="36"/>
        </w:rPr>
      </w:pPr>
      <w:r>
        <w:rPr>
          <w:b/>
          <w:sz w:val="36"/>
        </w:rPr>
        <w:br w:type="page"/>
      </w:r>
    </w:p>
    <w:p w14:paraId="0E971056" w14:textId="0A027512" w:rsidR="00755285" w:rsidRDefault="00755285" w:rsidP="00BA0D82">
      <w:pPr>
        <w:pStyle w:val="Heading2"/>
        <w:numPr>
          <w:ilvl w:val="0"/>
          <w:numId w:val="0"/>
        </w:numPr>
      </w:pPr>
      <w:bookmarkStart w:id="24" w:name="_Toc28011417"/>
      <w:r>
        <w:lastRenderedPageBreak/>
        <w:t>Section 511</w:t>
      </w:r>
      <w:r>
        <w:br/>
        <w:t>ACTIVITIES &amp; OUTPUTS PROGRESS DASHBOARDS</w:t>
      </w:r>
      <w:bookmarkEnd w:id="24"/>
    </w:p>
    <w:p w14:paraId="545A6DAF" w14:textId="77777777" w:rsidR="00755285" w:rsidRDefault="00755285" w:rsidP="00755285"/>
    <w:p w14:paraId="2C2EC67D" w14:textId="77777777" w:rsidR="00755285" w:rsidRDefault="00755285" w:rsidP="00755285">
      <w:pPr>
        <w:rPr>
          <w:sz w:val="36"/>
        </w:rPr>
      </w:pPr>
      <w:r>
        <w:rPr>
          <w:noProof/>
          <w:lang w:eastAsia="ko-KR"/>
        </w:rPr>
        <w:drawing>
          <wp:inline distT="0" distB="0" distL="0" distR="0" wp14:anchorId="4DB98D9B" wp14:editId="627A5144">
            <wp:extent cx="5943600" cy="2239306"/>
            <wp:effectExtent l="0" t="0" r="12700" b="8890"/>
            <wp:docPr id="179" name="Chart 179" descr="progress  section 511  activities.&#10;100% completed">
              <a:extLst xmlns:a="http://schemas.openxmlformats.org/drawingml/2006/main">
                <a:ext uri="{FF2B5EF4-FFF2-40B4-BE49-F238E27FC236}">
                  <a16:creationId xmlns:a16="http://schemas.microsoft.com/office/drawing/2014/main" id="{FE75B25E-7731-4DBC-A9F9-A49C1944668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7"/>
              </a:graphicData>
            </a:graphic>
          </wp:inline>
        </w:drawing>
      </w:r>
    </w:p>
    <w:p w14:paraId="1981832D" w14:textId="77777777" w:rsidR="00755285" w:rsidRDefault="00755285" w:rsidP="00755285">
      <w:pPr>
        <w:jc w:val="center"/>
        <w:rPr>
          <w:szCs w:val="14"/>
        </w:rPr>
      </w:pPr>
      <w:r w:rsidRPr="00AF43E6">
        <w:rPr>
          <w:szCs w:val="14"/>
        </w:rPr>
        <w:t>Across the Section 511 topic area, we see that all ITAA activities are complete.</w:t>
      </w:r>
    </w:p>
    <w:p w14:paraId="1892200E" w14:textId="77777777" w:rsidR="00755285" w:rsidRDefault="00755285" w:rsidP="00755285">
      <w:pPr>
        <w:rPr>
          <w:szCs w:val="14"/>
        </w:rPr>
      </w:pPr>
      <w:r>
        <w:rPr>
          <w:szCs w:val="14"/>
        </w:rPr>
        <w:br w:type="page"/>
      </w:r>
    </w:p>
    <w:p w14:paraId="38E4703C" w14:textId="77777777" w:rsidR="00755285" w:rsidRDefault="00755285" w:rsidP="00755285">
      <w:pPr>
        <w:ind w:firstLine="720"/>
        <w:rPr>
          <w:rFonts w:cstheme="minorHAnsi"/>
          <w:highlight w:val="lightGray"/>
        </w:rPr>
      </w:pPr>
      <w:r w:rsidRPr="00540B16">
        <w:rPr>
          <w:rFonts w:cstheme="minorHAnsi"/>
        </w:rPr>
        <w:lastRenderedPageBreak/>
        <w:t xml:space="preserve">In the following “thermometer charts,” the progress rate is broken down by specific activity with the linked outputs’ progress rates provided side-by-side. </w:t>
      </w:r>
      <w:r w:rsidRPr="00540B16">
        <w:t xml:space="preserve">As is evident here, all Section 511 activities resulted in completed outputs. The majority of these outputs include completion of a strategic plan (7), development of CC&amp;I&amp;R resources (5), and development or improvement of policies and procedures (4). </w:t>
      </w:r>
      <w:r w:rsidRPr="00540B16">
        <w:rPr>
          <w:rFonts w:cstheme="minorHAnsi"/>
        </w:rPr>
        <w:t>The thermometers for three of the activities (#1, #3 and #6) show no progress because they are not included in any ITAAs. The other five activities account for the overall progress illustrated in the previous chart.</w:t>
      </w:r>
      <w:r w:rsidRPr="00F04386">
        <w:rPr>
          <w:rFonts w:cstheme="minorHAnsi"/>
          <w:highlight w:val="lightGray"/>
        </w:rPr>
        <w:t xml:space="preserve"> </w:t>
      </w:r>
    </w:p>
    <w:p w14:paraId="2EB27BA6" w14:textId="77777777" w:rsidR="00755285" w:rsidRDefault="00755285" w:rsidP="00755285">
      <w:pPr>
        <w:rPr>
          <w:rFonts w:cstheme="minorHAnsi"/>
        </w:rPr>
        <w:sectPr w:rsidR="00755285" w:rsidSect="00D27D05">
          <w:headerReference w:type="even" r:id="rId128"/>
          <w:headerReference w:type="default" r:id="rId129"/>
          <w:footerReference w:type="even" r:id="rId130"/>
          <w:footerReference w:type="default" r:id="rId131"/>
          <w:headerReference w:type="first" r:id="rId132"/>
          <w:footerReference w:type="first" r:id="rId133"/>
          <w:pgSz w:w="12240" w:h="15840" w:code="1"/>
          <w:pgMar w:top="1440" w:right="1440" w:bottom="1440" w:left="1440" w:header="720" w:footer="720" w:gutter="0"/>
          <w:pgBorders w:offsetFrom="page">
            <w:top w:val="thinThickSmallGap" w:sz="24" w:space="24" w:color="2F5496" w:themeColor="accent1" w:themeShade="BF"/>
            <w:left w:val="thinThickSmallGap" w:sz="24" w:space="24" w:color="2F5496" w:themeColor="accent1" w:themeShade="BF"/>
            <w:bottom w:val="thickThinSmallGap" w:sz="24" w:space="24" w:color="2F5496" w:themeColor="accent1" w:themeShade="BF"/>
            <w:right w:val="thickThinSmallGap" w:sz="24" w:space="24" w:color="2F5496" w:themeColor="accent1" w:themeShade="BF"/>
          </w:pgBorders>
          <w:cols w:space="720"/>
          <w:docGrid w:linePitch="360"/>
        </w:sectPr>
      </w:pPr>
    </w:p>
    <w:p w14:paraId="103E5E95" w14:textId="77777777" w:rsidR="00755285" w:rsidRPr="009E1D1A" w:rsidRDefault="00755285" w:rsidP="00755285">
      <w:pPr>
        <w:rPr>
          <w:rFonts w:cstheme="minorHAnsi"/>
        </w:rPr>
      </w:pPr>
      <w:r w:rsidRPr="009E1D1A">
        <w:rPr>
          <w:rFonts w:cstheme="minorHAnsi"/>
          <w:noProof/>
          <w:lang w:eastAsia="ko-KR"/>
        </w:rPr>
        <w:drawing>
          <wp:inline distT="0" distB="0" distL="0" distR="0" wp14:anchorId="098C955E" wp14:editId="53917F8A">
            <wp:extent cx="2791842" cy="5145242"/>
            <wp:effectExtent l="0" t="0" r="8890" b="17780"/>
            <wp:docPr id="180" name="Chart 180" descr="Section 511 activity #1 no activities and outputs reported">
              <a:extLst xmlns:a="http://schemas.openxmlformats.org/drawingml/2006/main">
                <a:ext uri="{FF2B5EF4-FFF2-40B4-BE49-F238E27FC236}">
                  <a16:creationId xmlns:a16="http://schemas.microsoft.com/office/drawing/2014/main" id="{D2F48BC1-1A43-417D-9AB2-B9AEA20DAE8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4"/>
              </a:graphicData>
            </a:graphic>
          </wp:inline>
        </w:drawing>
      </w:r>
    </w:p>
    <w:p w14:paraId="43BF3459" w14:textId="77777777" w:rsidR="00755285" w:rsidRPr="009E1D1A" w:rsidRDefault="00755285" w:rsidP="00755285">
      <w:pPr>
        <w:rPr>
          <w:rFonts w:cstheme="minorHAnsi"/>
        </w:rPr>
      </w:pPr>
      <w:r w:rsidRPr="009E1D1A">
        <w:rPr>
          <w:rFonts w:cstheme="minorHAnsi"/>
          <w:b/>
          <w:bCs/>
        </w:rPr>
        <w:t>Activity 1</w:t>
      </w:r>
      <w:r w:rsidRPr="009E1D1A">
        <w:rPr>
          <w:rFonts w:cstheme="minorHAnsi"/>
        </w:rPr>
        <w:t>:</w:t>
      </w:r>
      <w:r>
        <w:rPr>
          <w:szCs w:val="14"/>
        </w:rPr>
        <w:t xml:space="preserve"> </w:t>
      </w:r>
      <w:r w:rsidRPr="009E1D1A">
        <w:rPr>
          <w:rFonts w:cstheme="minorHAnsi"/>
        </w:rPr>
        <w:t>Identify the number of individuals employed in subminimum wage employment (SMW) by employer or CRP in the State.</w:t>
      </w:r>
    </w:p>
    <w:p w14:paraId="19481958" w14:textId="77777777" w:rsidR="00755285" w:rsidRPr="009E1D1A" w:rsidRDefault="00755285" w:rsidP="00755285">
      <w:pPr>
        <w:rPr>
          <w:rFonts w:cstheme="minorHAnsi"/>
        </w:rPr>
      </w:pPr>
      <w:r w:rsidRPr="009E1D1A">
        <w:rPr>
          <w:rFonts w:cstheme="minorHAnsi"/>
          <w:b/>
          <w:bCs/>
        </w:rPr>
        <w:t xml:space="preserve">Output </w:t>
      </w:r>
      <w:r>
        <w:rPr>
          <w:rFonts w:cstheme="minorHAnsi"/>
          <w:b/>
          <w:bCs/>
        </w:rPr>
        <w:t xml:space="preserve">A: </w:t>
      </w:r>
      <w:r w:rsidRPr="009E1D1A">
        <w:rPr>
          <w:rFonts w:cstheme="minorHAnsi"/>
        </w:rPr>
        <w:t>A complete list of individuals working in a given State by CRP.</w:t>
      </w:r>
    </w:p>
    <w:p w14:paraId="7E0104BB" w14:textId="77777777" w:rsidR="00755285" w:rsidRPr="009E1D1A" w:rsidRDefault="00755285" w:rsidP="00755285">
      <w:pPr>
        <w:rPr>
          <w:rFonts w:cstheme="minorHAnsi"/>
        </w:rPr>
      </w:pPr>
      <w:r w:rsidRPr="009E1D1A">
        <w:rPr>
          <w:rFonts w:cstheme="minorHAnsi"/>
          <w:noProof/>
          <w:lang w:eastAsia="ko-KR"/>
        </w:rPr>
        <w:drawing>
          <wp:inline distT="0" distB="0" distL="0" distR="0" wp14:anchorId="628DA87E" wp14:editId="5140B3F9">
            <wp:extent cx="2791842" cy="5145242"/>
            <wp:effectExtent l="0" t="0" r="8890" b="17780"/>
            <wp:docPr id="181" name="Chart 181" descr="Section 511 activity #2 100% activities and outputs completed">
              <a:extLst xmlns:a="http://schemas.openxmlformats.org/drawingml/2006/main">
                <a:ext uri="{FF2B5EF4-FFF2-40B4-BE49-F238E27FC236}">
                  <a16:creationId xmlns:a16="http://schemas.microsoft.com/office/drawing/2014/main" id="{A5BDF29E-F162-486E-B47A-23430124BDA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5"/>
              </a:graphicData>
            </a:graphic>
          </wp:inline>
        </w:drawing>
      </w:r>
    </w:p>
    <w:p w14:paraId="081F69E1" w14:textId="77777777" w:rsidR="00755285" w:rsidRPr="009E1D1A" w:rsidRDefault="00755285" w:rsidP="00755285">
      <w:pPr>
        <w:rPr>
          <w:rFonts w:cstheme="minorHAnsi"/>
        </w:rPr>
      </w:pPr>
      <w:r w:rsidRPr="009E1D1A">
        <w:rPr>
          <w:rFonts w:cstheme="minorHAnsi"/>
          <w:b/>
          <w:bCs/>
        </w:rPr>
        <w:t>Activity 2:</w:t>
      </w:r>
      <w:r w:rsidRPr="009E1D1A">
        <w:rPr>
          <w:rFonts w:cstheme="minorHAnsi"/>
        </w:rPr>
        <w:t xml:space="preserve"> Assist the VR program to understand their responsibilities under Section 511. </w:t>
      </w:r>
    </w:p>
    <w:p w14:paraId="382D9E9A" w14:textId="77777777" w:rsidR="00755285" w:rsidRPr="009E1D1A" w:rsidRDefault="00755285" w:rsidP="00755285">
      <w:pPr>
        <w:rPr>
          <w:rFonts w:cstheme="minorHAnsi"/>
        </w:rPr>
      </w:pPr>
      <w:r w:rsidRPr="009E1D1A">
        <w:rPr>
          <w:rFonts w:cstheme="minorHAnsi"/>
          <w:b/>
          <w:bCs/>
        </w:rPr>
        <w:t xml:space="preserve">Output B: </w:t>
      </w:r>
      <w:r w:rsidRPr="009E1D1A">
        <w:rPr>
          <w:rFonts w:cstheme="minorHAnsi"/>
        </w:rPr>
        <w:t>A strategic plan to identify an effective and efficient response to Section 511.</w:t>
      </w:r>
    </w:p>
    <w:p w14:paraId="492A46D2" w14:textId="77777777" w:rsidR="00755285" w:rsidRPr="009E1D1A" w:rsidRDefault="00755285" w:rsidP="00755285">
      <w:pPr>
        <w:rPr>
          <w:rFonts w:cstheme="minorHAnsi"/>
        </w:rPr>
      </w:pPr>
      <w:r w:rsidRPr="009E1D1A">
        <w:rPr>
          <w:rFonts w:cstheme="minorHAnsi"/>
          <w:noProof/>
          <w:lang w:eastAsia="ko-KR"/>
        </w:rPr>
        <w:lastRenderedPageBreak/>
        <w:drawing>
          <wp:inline distT="0" distB="0" distL="0" distR="0" wp14:anchorId="7D0C88E8" wp14:editId="79A2A6EC">
            <wp:extent cx="2791842" cy="5145242"/>
            <wp:effectExtent l="0" t="0" r="8890" b="17780"/>
            <wp:docPr id="182" name="Chart 182" descr="Section 511 Activity 3 No activities or outputs reports">
              <a:extLst xmlns:a="http://schemas.openxmlformats.org/drawingml/2006/main">
                <a:ext uri="{FF2B5EF4-FFF2-40B4-BE49-F238E27FC236}">
                  <a16:creationId xmlns:a16="http://schemas.microsoft.com/office/drawing/2014/main" id="{582C691D-4166-4C06-9593-84FD2F63820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6"/>
              </a:graphicData>
            </a:graphic>
          </wp:inline>
        </w:drawing>
      </w:r>
    </w:p>
    <w:p w14:paraId="75EBCE10" w14:textId="77777777" w:rsidR="00755285" w:rsidRPr="009E1D1A" w:rsidRDefault="00755285" w:rsidP="00755285">
      <w:pPr>
        <w:rPr>
          <w:rFonts w:cstheme="minorHAnsi"/>
        </w:rPr>
      </w:pPr>
      <w:r w:rsidRPr="009E1D1A">
        <w:rPr>
          <w:rFonts w:cstheme="minorHAnsi"/>
          <w:b/>
          <w:bCs/>
        </w:rPr>
        <w:t>Activity 3</w:t>
      </w:r>
      <w:r w:rsidRPr="009E1D1A">
        <w:rPr>
          <w:rFonts w:cstheme="minorHAnsi"/>
        </w:rPr>
        <w:t>:</w:t>
      </w:r>
      <w:r>
        <w:rPr>
          <w:szCs w:val="14"/>
        </w:rPr>
        <w:t xml:space="preserve"> </w:t>
      </w:r>
      <w:r w:rsidRPr="009E1D1A">
        <w:rPr>
          <w:rFonts w:cstheme="minorHAnsi"/>
        </w:rPr>
        <w:t>Assist the VR program to understand their responsibilities to youth prior to them entering into SMW</w:t>
      </w:r>
    </w:p>
    <w:p w14:paraId="724D2B9A" w14:textId="77777777" w:rsidR="00755285" w:rsidRPr="009E1D1A" w:rsidRDefault="00755285" w:rsidP="00755285">
      <w:pPr>
        <w:rPr>
          <w:rFonts w:cstheme="minorHAnsi"/>
        </w:rPr>
      </w:pPr>
      <w:r w:rsidRPr="009E1D1A">
        <w:rPr>
          <w:rFonts w:cstheme="minorHAnsi"/>
          <w:b/>
          <w:bCs/>
        </w:rPr>
        <w:t>Output C:</w:t>
      </w:r>
      <w:r w:rsidRPr="009E1D1A">
        <w:rPr>
          <w:rFonts w:cstheme="minorHAnsi"/>
        </w:rPr>
        <w:t xml:space="preserve"> Number of youth receiving required services, information and documentation prior to entering SMW.</w:t>
      </w:r>
    </w:p>
    <w:p w14:paraId="158EB373" w14:textId="77777777" w:rsidR="00755285" w:rsidRPr="009E1D1A" w:rsidRDefault="00755285" w:rsidP="00755285">
      <w:pPr>
        <w:rPr>
          <w:rFonts w:cstheme="minorHAnsi"/>
        </w:rPr>
      </w:pPr>
      <w:r w:rsidRPr="009E1D1A">
        <w:rPr>
          <w:rFonts w:cstheme="minorHAnsi"/>
          <w:noProof/>
          <w:lang w:eastAsia="ko-KR"/>
        </w:rPr>
        <w:drawing>
          <wp:inline distT="0" distB="0" distL="0" distR="0" wp14:anchorId="7877724F" wp14:editId="76439605">
            <wp:extent cx="2791842" cy="5145242"/>
            <wp:effectExtent l="0" t="0" r="8890" b="17780"/>
            <wp:docPr id="183" name="Chart 183" descr="Section 511 activity #4 100% activities and outputs completed">
              <a:extLst xmlns:a="http://schemas.openxmlformats.org/drawingml/2006/main">
                <a:ext uri="{FF2B5EF4-FFF2-40B4-BE49-F238E27FC236}">
                  <a16:creationId xmlns:a16="http://schemas.microsoft.com/office/drawing/2014/main" id="{234D59AF-F5AC-404E-9E69-51A9ADE8855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7"/>
              </a:graphicData>
            </a:graphic>
          </wp:inline>
        </w:drawing>
      </w:r>
    </w:p>
    <w:p w14:paraId="1E870A09" w14:textId="77777777" w:rsidR="00755285" w:rsidRPr="009E1D1A" w:rsidRDefault="00755285" w:rsidP="00755285">
      <w:pPr>
        <w:rPr>
          <w:rFonts w:cstheme="minorHAnsi"/>
        </w:rPr>
      </w:pPr>
      <w:r w:rsidRPr="009E1D1A">
        <w:rPr>
          <w:rFonts w:cstheme="minorHAnsi"/>
          <w:b/>
          <w:bCs/>
        </w:rPr>
        <w:t>Activity 4:</w:t>
      </w:r>
      <w:r w:rsidRPr="009E1D1A">
        <w:rPr>
          <w:rFonts w:cstheme="minorHAnsi"/>
        </w:rPr>
        <w:t xml:space="preserve"> Assist the VR program to identify ways to provide career counseling, and information and referral to the individuals entering in, or currently in SMW.</w:t>
      </w:r>
    </w:p>
    <w:p w14:paraId="3D98CB25" w14:textId="77777777" w:rsidR="00755285" w:rsidRPr="009E1D1A" w:rsidRDefault="00755285" w:rsidP="00755285">
      <w:pPr>
        <w:rPr>
          <w:rFonts w:cstheme="minorHAnsi"/>
        </w:rPr>
      </w:pPr>
      <w:r w:rsidRPr="009E1D1A">
        <w:rPr>
          <w:rFonts w:cstheme="minorHAnsi"/>
          <w:b/>
          <w:bCs/>
        </w:rPr>
        <w:t>Output D:</w:t>
      </w:r>
      <w:r w:rsidRPr="009E1D1A">
        <w:rPr>
          <w:rFonts w:cstheme="minorHAnsi"/>
        </w:rPr>
        <w:t xml:space="preserve"> Percent of individuals entering into, or currently in SMW that receive CC&amp;I&amp;R.</w:t>
      </w:r>
    </w:p>
    <w:p w14:paraId="29B6160C" w14:textId="77777777" w:rsidR="00755285" w:rsidRPr="009E1D1A" w:rsidRDefault="00755285" w:rsidP="00755285">
      <w:pPr>
        <w:rPr>
          <w:rFonts w:cstheme="minorHAnsi"/>
        </w:rPr>
      </w:pPr>
      <w:r w:rsidRPr="009E1D1A">
        <w:rPr>
          <w:rFonts w:cstheme="minorHAnsi"/>
          <w:noProof/>
          <w:lang w:eastAsia="ko-KR"/>
        </w:rPr>
        <w:lastRenderedPageBreak/>
        <w:drawing>
          <wp:inline distT="0" distB="0" distL="0" distR="0" wp14:anchorId="7644CBBA" wp14:editId="4CA10CF1">
            <wp:extent cx="2791842" cy="5145242"/>
            <wp:effectExtent l="0" t="0" r="8890" b="17780"/>
            <wp:docPr id="184" name="Chart 184" descr="Section 511 activity #5 100% activities and outputs completed">
              <a:extLst xmlns:a="http://schemas.openxmlformats.org/drawingml/2006/main">
                <a:ext uri="{FF2B5EF4-FFF2-40B4-BE49-F238E27FC236}">
                  <a16:creationId xmlns:a16="http://schemas.microsoft.com/office/drawing/2014/main" id="{ED6588D7-C516-4130-87D6-A01FC468866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8"/>
              </a:graphicData>
            </a:graphic>
          </wp:inline>
        </w:drawing>
      </w:r>
    </w:p>
    <w:p w14:paraId="49788866" w14:textId="77777777" w:rsidR="00755285" w:rsidRPr="009E1D1A" w:rsidRDefault="00755285" w:rsidP="00755285">
      <w:pPr>
        <w:rPr>
          <w:rFonts w:cstheme="minorHAnsi"/>
        </w:rPr>
      </w:pPr>
      <w:r w:rsidRPr="009E1D1A">
        <w:rPr>
          <w:rFonts w:cstheme="minorHAnsi"/>
          <w:b/>
          <w:bCs/>
        </w:rPr>
        <w:t>Activity</w:t>
      </w:r>
      <w:r w:rsidRPr="009E1D1A">
        <w:rPr>
          <w:rFonts w:cstheme="minorHAnsi"/>
        </w:rPr>
        <w:t xml:space="preserve"> </w:t>
      </w:r>
      <w:r w:rsidRPr="009E1D1A">
        <w:rPr>
          <w:rFonts w:cstheme="minorHAnsi"/>
          <w:b/>
          <w:bCs/>
        </w:rPr>
        <w:t>5:</w:t>
      </w:r>
      <w:r w:rsidRPr="009E1D1A">
        <w:rPr>
          <w:rFonts w:cstheme="minorHAnsi"/>
        </w:rPr>
        <w:t xml:space="preserve"> Assist the VR program to develop policies and procedures that will ensure they are compliant with all of the requirements of Section 511.</w:t>
      </w:r>
    </w:p>
    <w:p w14:paraId="30159A2E" w14:textId="77777777" w:rsidR="00755285" w:rsidRPr="009E1D1A" w:rsidRDefault="00755285" w:rsidP="00755285">
      <w:pPr>
        <w:rPr>
          <w:rFonts w:cstheme="minorHAnsi"/>
        </w:rPr>
      </w:pPr>
      <w:r w:rsidRPr="009E1D1A">
        <w:rPr>
          <w:rFonts w:cstheme="minorHAnsi"/>
          <w:b/>
          <w:bCs/>
        </w:rPr>
        <w:t>Output E:</w:t>
      </w:r>
      <w:r w:rsidRPr="009E1D1A">
        <w:rPr>
          <w:rFonts w:cstheme="minorHAnsi"/>
        </w:rPr>
        <w:t xml:space="preserve"> Completed policies and procedures that address documentation requirements of Section 511.</w:t>
      </w:r>
    </w:p>
    <w:p w14:paraId="47C8AA7B" w14:textId="77777777" w:rsidR="00755285" w:rsidRPr="009E1D1A" w:rsidRDefault="00755285" w:rsidP="00755285">
      <w:pPr>
        <w:rPr>
          <w:rFonts w:cstheme="minorHAnsi"/>
        </w:rPr>
      </w:pPr>
      <w:r w:rsidRPr="009E1D1A">
        <w:rPr>
          <w:rFonts w:cstheme="minorHAnsi"/>
          <w:noProof/>
          <w:lang w:eastAsia="ko-KR"/>
        </w:rPr>
        <w:drawing>
          <wp:inline distT="0" distB="0" distL="0" distR="0" wp14:anchorId="251F8255" wp14:editId="500F20B8">
            <wp:extent cx="2791842" cy="5145242"/>
            <wp:effectExtent l="0" t="0" r="8890" b="17780"/>
            <wp:docPr id="185" name="Chart 185" descr="Section 511 activity #6 no activities and outputs reported">
              <a:extLst xmlns:a="http://schemas.openxmlformats.org/drawingml/2006/main">
                <a:ext uri="{FF2B5EF4-FFF2-40B4-BE49-F238E27FC236}">
                  <a16:creationId xmlns:a16="http://schemas.microsoft.com/office/drawing/2014/main" id="{7850A2AD-385E-4E3D-89AF-709B3B8313A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9"/>
              </a:graphicData>
            </a:graphic>
          </wp:inline>
        </w:drawing>
      </w:r>
    </w:p>
    <w:p w14:paraId="78410D5E" w14:textId="77777777" w:rsidR="00755285" w:rsidRPr="009E1D1A" w:rsidRDefault="00755285" w:rsidP="00755285">
      <w:pPr>
        <w:rPr>
          <w:rFonts w:cstheme="minorHAnsi"/>
        </w:rPr>
      </w:pPr>
      <w:r w:rsidRPr="009E1D1A">
        <w:rPr>
          <w:rFonts w:cstheme="minorHAnsi"/>
          <w:b/>
          <w:bCs/>
        </w:rPr>
        <w:t>Activity 6:</w:t>
      </w:r>
      <w:r w:rsidRPr="009E1D1A">
        <w:rPr>
          <w:rFonts w:cstheme="minorHAnsi"/>
        </w:rPr>
        <w:t xml:space="preserve"> Assist the VR program to develop documentation processes that include completion of Pre-ETS, receipt of transition services, CC&amp;I&amp;R and self-advocacy training opportunities. </w:t>
      </w:r>
    </w:p>
    <w:p w14:paraId="72AAC36F" w14:textId="77777777" w:rsidR="00755285" w:rsidRPr="009E1D1A" w:rsidRDefault="00755285" w:rsidP="00755285">
      <w:pPr>
        <w:rPr>
          <w:rFonts w:cstheme="minorHAnsi"/>
        </w:rPr>
      </w:pPr>
      <w:r w:rsidRPr="009E1D1A">
        <w:rPr>
          <w:rFonts w:cstheme="minorHAnsi"/>
          <w:b/>
          <w:bCs/>
        </w:rPr>
        <w:t>Output E:</w:t>
      </w:r>
      <w:r w:rsidRPr="009E1D1A">
        <w:rPr>
          <w:rFonts w:cstheme="minorHAnsi"/>
        </w:rPr>
        <w:t xml:space="preserve"> Completed policies and procedures that address documentation requirements of Section 511.</w:t>
      </w:r>
    </w:p>
    <w:p w14:paraId="1C1875EF" w14:textId="77777777" w:rsidR="00755285" w:rsidRPr="009E1D1A" w:rsidRDefault="00755285" w:rsidP="00755285">
      <w:pPr>
        <w:rPr>
          <w:rFonts w:cstheme="minorHAnsi"/>
        </w:rPr>
      </w:pPr>
      <w:r w:rsidRPr="009E1D1A">
        <w:rPr>
          <w:rFonts w:cstheme="minorHAnsi"/>
          <w:noProof/>
          <w:lang w:eastAsia="ko-KR"/>
        </w:rPr>
        <w:lastRenderedPageBreak/>
        <w:drawing>
          <wp:inline distT="0" distB="0" distL="0" distR="0" wp14:anchorId="21A94B7B" wp14:editId="6E22503B">
            <wp:extent cx="2791842" cy="5145242"/>
            <wp:effectExtent l="0" t="0" r="8890" b="17780"/>
            <wp:docPr id="186" name="Chart 186" descr="Section 511 activity #7 100% activities and outputs completed">
              <a:extLst xmlns:a="http://schemas.openxmlformats.org/drawingml/2006/main">
                <a:ext uri="{FF2B5EF4-FFF2-40B4-BE49-F238E27FC236}">
                  <a16:creationId xmlns:a16="http://schemas.microsoft.com/office/drawing/2014/main" id="{9D5BC071-377F-49AF-9A2E-6C81DD14778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0"/>
              </a:graphicData>
            </a:graphic>
          </wp:inline>
        </w:drawing>
      </w:r>
    </w:p>
    <w:p w14:paraId="717107FF" w14:textId="77777777" w:rsidR="00755285" w:rsidRPr="009E1D1A" w:rsidRDefault="00755285" w:rsidP="00755285">
      <w:pPr>
        <w:rPr>
          <w:rFonts w:cstheme="minorHAnsi"/>
        </w:rPr>
      </w:pPr>
      <w:r w:rsidRPr="009E1D1A">
        <w:rPr>
          <w:rFonts w:cstheme="minorHAnsi"/>
          <w:b/>
          <w:bCs/>
        </w:rPr>
        <w:t>Activity 7:</w:t>
      </w:r>
      <w:r w:rsidRPr="009E1D1A">
        <w:rPr>
          <w:rFonts w:cstheme="minorHAnsi"/>
        </w:rPr>
        <w:t xml:space="preserve"> Assist in the development of career counseling, and information and referral services to be provided to youth and adults prior to entering into SMW jobs, and those currently employed in SMW jobs at the prescribed time intervals.</w:t>
      </w:r>
    </w:p>
    <w:p w14:paraId="184CA7FE" w14:textId="77777777" w:rsidR="00755285" w:rsidRPr="009E1D1A" w:rsidRDefault="00755285" w:rsidP="00755285">
      <w:pPr>
        <w:rPr>
          <w:rFonts w:cstheme="minorHAnsi"/>
        </w:rPr>
      </w:pPr>
      <w:r w:rsidRPr="009E1D1A">
        <w:rPr>
          <w:rFonts w:cstheme="minorHAnsi"/>
          <w:b/>
          <w:bCs/>
        </w:rPr>
        <w:t>Output F:</w:t>
      </w:r>
      <w:r w:rsidRPr="009E1D1A">
        <w:rPr>
          <w:rFonts w:cstheme="minorHAnsi"/>
        </w:rPr>
        <w:t xml:space="preserve"> Number and type of CC&amp;I&amp;R resources developed and the number and percentage of youth and adults that receive this information at prescribed intervals.</w:t>
      </w:r>
    </w:p>
    <w:p w14:paraId="4FD5738B" w14:textId="77777777" w:rsidR="00755285" w:rsidRPr="009E1D1A" w:rsidRDefault="00755285" w:rsidP="00755285">
      <w:pPr>
        <w:rPr>
          <w:rFonts w:cstheme="minorHAnsi"/>
        </w:rPr>
      </w:pPr>
      <w:r w:rsidRPr="009E1D1A">
        <w:rPr>
          <w:rFonts w:cstheme="minorHAnsi"/>
          <w:noProof/>
          <w:lang w:eastAsia="ko-KR"/>
        </w:rPr>
        <w:drawing>
          <wp:inline distT="0" distB="0" distL="0" distR="0" wp14:anchorId="776AE904" wp14:editId="35EFA9CB">
            <wp:extent cx="2791842" cy="5145242"/>
            <wp:effectExtent l="0" t="0" r="8890" b="17780"/>
            <wp:docPr id="187" name="Chart 187" descr="Section 511 activity #8 100% activities and outputs completed">
              <a:extLst xmlns:a="http://schemas.openxmlformats.org/drawingml/2006/main">
                <a:ext uri="{FF2B5EF4-FFF2-40B4-BE49-F238E27FC236}">
                  <a16:creationId xmlns:a16="http://schemas.microsoft.com/office/drawing/2014/main" id="{1B833EB0-B756-472F-8242-C4AB23A4FE0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1"/>
              </a:graphicData>
            </a:graphic>
          </wp:inline>
        </w:drawing>
      </w:r>
    </w:p>
    <w:p w14:paraId="4ABE8525" w14:textId="77777777" w:rsidR="00755285" w:rsidRPr="009E1D1A" w:rsidRDefault="00755285" w:rsidP="00755285">
      <w:pPr>
        <w:rPr>
          <w:rFonts w:cstheme="minorHAnsi"/>
        </w:rPr>
      </w:pPr>
      <w:r w:rsidRPr="009E1D1A">
        <w:rPr>
          <w:rFonts w:cstheme="minorHAnsi"/>
          <w:b/>
          <w:bCs/>
        </w:rPr>
        <w:t>Activity 8:</w:t>
      </w:r>
      <w:r w:rsidRPr="009E1D1A">
        <w:rPr>
          <w:rFonts w:cstheme="minorHAnsi"/>
        </w:rPr>
        <w:t xml:space="preserve"> Assist the VR program to identify and provide information on self-advocacy, self-determination and peer mentoring training opportunities that can be made available to individuals working in SMW for employers with less than 15 people.</w:t>
      </w:r>
    </w:p>
    <w:p w14:paraId="0A06BAA1" w14:textId="77777777" w:rsidR="00755285" w:rsidRPr="009E1D1A" w:rsidRDefault="00755285" w:rsidP="00755285">
      <w:pPr>
        <w:rPr>
          <w:rFonts w:cstheme="minorHAnsi"/>
        </w:rPr>
      </w:pPr>
      <w:r w:rsidRPr="009E1D1A">
        <w:rPr>
          <w:rFonts w:cstheme="minorHAnsi"/>
          <w:b/>
          <w:bCs/>
        </w:rPr>
        <w:t>Output G:</w:t>
      </w:r>
      <w:r w:rsidRPr="009E1D1A">
        <w:rPr>
          <w:rFonts w:cstheme="minorHAnsi"/>
        </w:rPr>
        <w:t xml:space="preserve"> Percent of individuals that receive information on self-advocacy, self-determination and peer mentoring opportunities available in their geographic area at prescribed intervals.</w:t>
      </w:r>
    </w:p>
    <w:p w14:paraId="3F327254" w14:textId="77777777" w:rsidR="00755285" w:rsidRDefault="00755285" w:rsidP="00755285">
      <w:pPr>
        <w:rPr>
          <w:szCs w:val="14"/>
        </w:rPr>
        <w:sectPr w:rsidR="00755285" w:rsidSect="00D27D05">
          <w:type w:val="continuous"/>
          <w:pgSz w:w="12240" w:h="15840"/>
          <w:pgMar w:top="1440" w:right="1440" w:bottom="1440" w:left="1440" w:header="720" w:footer="720" w:gutter="0"/>
          <w:pgBorders w:offsetFrom="page">
            <w:top w:val="thinThickSmallGap" w:sz="24" w:space="24" w:color="2F5496" w:themeColor="accent1" w:themeShade="BF"/>
            <w:left w:val="thinThickSmallGap" w:sz="24" w:space="24" w:color="2F5496" w:themeColor="accent1" w:themeShade="BF"/>
            <w:bottom w:val="thickThinSmallGap" w:sz="24" w:space="24" w:color="2F5496" w:themeColor="accent1" w:themeShade="BF"/>
            <w:right w:val="thickThinSmallGap" w:sz="24" w:space="24" w:color="2F5496" w:themeColor="accent1" w:themeShade="BF"/>
          </w:pgBorders>
          <w:cols w:num="2" w:space="720"/>
          <w:docGrid w:linePitch="360"/>
        </w:sectPr>
      </w:pPr>
      <w:r>
        <w:rPr>
          <w:szCs w:val="14"/>
        </w:rPr>
        <w:br w:type="page"/>
      </w:r>
    </w:p>
    <w:p w14:paraId="0D58D111" w14:textId="77777777" w:rsidR="00755285" w:rsidRDefault="00755285" w:rsidP="00755285">
      <w:pPr>
        <w:ind w:firstLine="720"/>
        <w:rPr>
          <w:szCs w:val="14"/>
        </w:rPr>
        <w:sectPr w:rsidR="00755285" w:rsidSect="00D27D05">
          <w:type w:val="continuous"/>
          <w:pgSz w:w="12240" w:h="15840"/>
          <w:pgMar w:top="1440" w:right="1440" w:bottom="1440" w:left="1440" w:header="720" w:footer="720" w:gutter="0"/>
          <w:pgBorders w:offsetFrom="page">
            <w:top w:val="thinThickSmallGap" w:sz="24" w:space="24" w:color="2F5496" w:themeColor="accent1" w:themeShade="BF"/>
            <w:left w:val="thinThickSmallGap" w:sz="24" w:space="24" w:color="2F5496" w:themeColor="accent1" w:themeShade="BF"/>
            <w:bottom w:val="thickThinSmallGap" w:sz="24" w:space="24" w:color="2F5496" w:themeColor="accent1" w:themeShade="BF"/>
            <w:right w:val="thickThinSmallGap" w:sz="24" w:space="24" w:color="2F5496" w:themeColor="accent1" w:themeShade="BF"/>
          </w:pgBorders>
          <w:cols w:space="720"/>
          <w:docGrid w:linePitch="360"/>
        </w:sectPr>
      </w:pPr>
      <w:r>
        <w:rPr>
          <w:noProof/>
          <w:lang w:eastAsia="ko-KR"/>
        </w:rPr>
        <w:lastRenderedPageBreak/>
        <w:drawing>
          <wp:inline distT="0" distB="0" distL="0" distR="0" wp14:anchorId="79BD1C0E" wp14:editId="66EA3254">
            <wp:extent cx="5414649" cy="3206107"/>
            <wp:effectExtent l="0" t="0" r="0" b="0"/>
            <wp:docPr id="188" name="Picture 188" descr="progress  section 511 outcomes.&#10;83% completed 100%, 11%  completed 75%, 6% completed 25%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42">
                      <a:extLst>
                        <a:ext uri="{28A0092B-C50C-407E-A947-70E740481C1C}">
                          <a14:useLocalDpi xmlns:a14="http://schemas.microsoft.com/office/drawing/2010/main" val="0"/>
                        </a:ext>
                      </a:extLst>
                    </a:blip>
                    <a:srcRect l="19990" t="2257" r="18836" b="36804"/>
                    <a:stretch/>
                  </pic:blipFill>
                  <pic:spPr bwMode="auto">
                    <a:xfrm>
                      <a:off x="0" y="0"/>
                      <a:ext cx="5415025" cy="3206330"/>
                    </a:xfrm>
                    <a:prstGeom prst="rect">
                      <a:avLst/>
                    </a:prstGeom>
                    <a:noFill/>
                    <a:ln>
                      <a:noFill/>
                    </a:ln>
                    <a:extLst>
                      <a:ext uri="{53640926-AAD7-44D8-BBD7-CCE9431645EC}">
                        <a14:shadowObscured xmlns:a14="http://schemas.microsoft.com/office/drawing/2010/main"/>
                      </a:ext>
                    </a:extLst>
                  </pic:spPr>
                </pic:pic>
              </a:graphicData>
            </a:graphic>
          </wp:inline>
        </w:drawing>
      </w:r>
    </w:p>
    <w:p w14:paraId="235936C5" w14:textId="77777777" w:rsidR="00755285" w:rsidRDefault="00755285" w:rsidP="00755285">
      <w:pPr>
        <w:spacing w:after="0" w:line="240" w:lineRule="auto"/>
        <w:ind w:firstLine="720"/>
        <w:rPr>
          <w:rFonts w:cstheme="minorHAnsi"/>
        </w:rPr>
      </w:pPr>
      <w:r w:rsidRPr="0037545C">
        <w:t>This</w:t>
      </w:r>
      <w:r>
        <w:t xml:space="preserve"> infographic shows that fully 83% of Section 511 short term outcomes were achieved. </w:t>
      </w:r>
      <w:r w:rsidRPr="0037545C">
        <w:t xml:space="preserve">Most of these outcomes involved </w:t>
      </w:r>
      <w:r>
        <w:t xml:space="preserve">periodic </w:t>
      </w:r>
      <w:r w:rsidRPr="0037545C">
        <w:t>provision of CC&amp;I&amp;R to all individuals in subminimum wage production employment or measurable decreases in the number of individuals with disabilities who choose subminimum wage employment</w:t>
      </w:r>
      <w:r w:rsidRPr="0037545C">
        <w:rPr>
          <w:rFonts w:cstheme="minorHAnsi"/>
        </w:rPr>
        <w:t>.</w:t>
      </w:r>
    </w:p>
    <w:p w14:paraId="3096E2E2" w14:textId="77777777" w:rsidR="00755285" w:rsidRPr="008562A4" w:rsidRDefault="00755285" w:rsidP="00755285">
      <w:pPr>
        <w:rPr>
          <w:rFonts w:cstheme="minorHAnsi"/>
        </w:rPr>
        <w:sectPr w:rsidR="00755285" w:rsidRPr="008562A4" w:rsidSect="00D27D05">
          <w:type w:val="continuous"/>
          <w:pgSz w:w="12240" w:h="15840"/>
          <w:pgMar w:top="1440" w:right="1440" w:bottom="1440" w:left="1440" w:header="720" w:footer="720" w:gutter="0"/>
          <w:pgBorders w:offsetFrom="page">
            <w:top w:val="thinThickSmallGap" w:sz="24" w:space="24" w:color="2F5496" w:themeColor="accent1" w:themeShade="BF"/>
            <w:left w:val="thinThickSmallGap" w:sz="24" w:space="24" w:color="2F5496" w:themeColor="accent1" w:themeShade="BF"/>
            <w:bottom w:val="thickThinSmallGap" w:sz="24" w:space="24" w:color="2F5496" w:themeColor="accent1" w:themeShade="BF"/>
            <w:right w:val="thickThinSmallGap" w:sz="24" w:space="24" w:color="2F5496" w:themeColor="accent1" w:themeShade="BF"/>
          </w:pgBorders>
          <w:pgNumType w:chapStyle="1"/>
          <w:cols w:space="720"/>
          <w:docGrid w:linePitch="360"/>
        </w:sectPr>
      </w:pPr>
      <w:r>
        <w:rPr>
          <w:rFonts w:cstheme="minorHAnsi"/>
        </w:rPr>
        <w:br w:type="page"/>
      </w:r>
    </w:p>
    <w:p w14:paraId="278ABE3C" w14:textId="77777777" w:rsidR="00755285" w:rsidRPr="00A40490" w:rsidRDefault="00755285" w:rsidP="00BA0D82">
      <w:pPr>
        <w:pStyle w:val="Heading2"/>
        <w:numPr>
          <w:ilvl w:val="0"/>
          <w:numId w:val="0"/>
        </w:numPr>
      </w:pPr>
      <w:bookmarkStart w:id="25" w:name="_Toc28011418"/>
      <w:bookmarkStart w:id="26" w:name="_Toc10122202"/>
      <w:r w:rsidRPr="00A40490">
        <w:lastRenderedPageBreak/>
        <w:t>Section 511 ITAs: RESOURCES</w:t>
      </w:r>
      <w:bookmarkEnd w:id="25"/>
    </w:p>
    <w:p w14:paraId="10B0DE3D" w14:textId="77777777" w:rsidR="00755285" w:rsidRPr="00D6378D" w:rsidRDefault="00755285" w:rsidP="00755285">
      <w:pPr>
        <w:spacing w:after="0" w:line="240" w:lineRule="auto"/>
        <w:rPr>
          <w:rFonts w:eastAsia="Times New Roman" w:cstheme="minorHAnsi"/>
          <w:sz w:val="24"/>
          <w:szCs w:val="24"/>
        </w:rPr>
      </w:pPr>
      <w:r w:rsidRPr="00D6378D">
        <w:rPr>
          <w:rFonts w:eastAsia="Times New Roman" w:cstheme="minorHAnsi"/>
          <w:sz w:val="24"/>
          <w:szCs w:val="24"/>
        </w:rPr>
        <w:t>Available on the WINTAC website, the TA team has developed a number of resources to support SVRAs as they continue to meet the Section 511 requirements.</w:t>
      </w:r>
    </w:p>
    <w:p w14:paraId="6C4A86DA" w14:textId="77777777" w:rsidR="00755285" w:rsidRDefault="00755285" w:rsidP="00755285">
      <w:pPr>
        <w:spacing w:after="0" w:line="240" w:lineRule="auto"/>
        <w:rPr>
          <w:rFonts w:eastAsia="Times New Roman" w:cstheme="minorHAnsi"/>
          <w:sz w:val="24"/>
          <w:szCs w:val="24"/>
        </w:rPr>
      </w:pPr>
    </w:p>
    <w:p w14:paraId="022437FC" w14:textId="77777777" w:rsidR="00755285" w:rsidRPr="00005A9D" w:rsidRDefault="00755285" w:rsidP="00755285">
      <w:pPr>
        <w:pStyle w:val="ListParagraph"/>
        <w:numPr>
          <w:ilvl w:val="0"/>
          <w:numId w:val="60"/>
        </w:numPr>
        <w:spacing w:after="0" w:line="240" w:lineRule="auto"/>
        <w:ind w:left="360"/>
        <w:rPr>
          <w:rFonts w:cstheme="minorHAnsi"/>
        </w:rPr>
      </w:pPr>
      <w:r w:rsidRPr="00005A9D">
        <w:rPr>
          <w:rFonts w:cstheme="minorHAnsi"/>
          <w:b/>
        </w:rPr>
        <w:t>Change in SMW employment:</w:t>
      </w:r>
      <w:r w:rsidRPr="00005A9D">
        <w:rPr>
          <w:rFonts w:cstheme="minorHAnsi"/>
        </w:rPr>
        <w:t xml:space="preserve"> WINTAC completed a study that spans from January, 2016 through July, 2018 on the change in the number of 14c certificate holders and the change in the number of individuals with disabilities working in subminimum wage employment. This information is based on data from the Wage and Hour Division of the Department of Labor.</w:t>
      </w:r>
    </w:p>
    <w:p w14:paraId="4284697B" w14:textId="77777777" w:rsidR="00755285" w:rsidRPr="00773A2D" w:rsidRDefault="00366D34" w:rsidP="00755285">
      <w:pPr>
        <w:pStyle w:val="NormalWeb"/>
        <w:numPr>
          <w:ilvl w:val="1"/>
          <w:numId w:val="60"/>
        </w:numPr>
        <w:spacing w:before="0" w:beforeAutospacing="0" w:after="150" w:afterAutospacing="0"/>
        <w:ind w:left="1080"/>
        <w:rPr>
          <w:rFonts w:asciiTheme="minorHAnsi" w:hAnsiTheme="minorHAnsi" w:cstheme="minorHAnsi"/>
          <w:sz w:val="22"/>
          <w:szCs w:val="22"/>
        </w:rPr>
      </w:pPr>
      <w:hyperlink r:id="rId143" w:tgtFrame="_blank" w:history="1">
        <w:r w:rsidR="00755285" w:rsidRPr="00773A2D">
          <w:rPr>
            <w:rStyle w:val="Hyperlink"/>
            <w:rFonts w:asciiTheme="minorHAnsi" w:hAnsiTheme="minorHAnsi" w:cstheme="minorHAnsi"/>
            <w:color w:val="auto"/>
            <w:sz w:val="22"/>
            <w:szCs w:val="22"/>
          </w:rPr>
          <w:t>Click here to see a summary of the change by State</w:t>
        </w:r>
        <w:r w:rsidR="00755285" w:rsidRPr="00773A2D">
          <w:rPr>
            <w:rStyle w:val="apple-converted-space"/>
            <w:rFonts w:asciiTheme="minorHAnsi" w:hAnsiTheme="minorHAnsi" w:cstheme="minorHAnsi"/>
            <w:sz w:val="22"/>
            <w:szCs w:val="22"/>
          </w:rPr>
          <w:t> </w:t>
        </w:r>
      </w:hyperlink>
    </w:p>
    <w:p w14:paraId="6CCF7098" w14:textId="77777777" w:rsidR="00755285" w:rsidRPr="00773A2D" w:rsidRDefault="00366D34" w:rsidP="00755285">
      <w:pPr>
        <w:pStyle w:val="NormalWeb"/>
        <w:numPr>
          <w:ilvl w:val="1"/>
          <w:numId w:val="60"/>
        </w:numPr>
        <w:spacing w:before="0" w:beforeAutospacing="0" w:after="150" w:afterAutospacing="0"/>
        <w:ind w:left="1080"/>
        <w:rPr>
          <w:rFonts w:asciiTheme="minorHAnsi" w:hAnsiTheme="minorHAnsi" w:cstheme="minorHAnsi"/>
          <w:sz w:val="22"/>
          <w:szCs w:val="22"/>
        </w:rPr>
      </w:pPr>
      <w:hyperlink r:id="rId144" w:tgtFrame="_blank" w:history="1">
        <w:r w:rsidR="00755285" w:rsidRPr="00773A2D">
          <w:rPr>
            <w:rStyle w:val="Hyperlink"/>
            <w:rFonts w:asciiTheme="minorHAnsi" w:hAnsiTheme="minorHAnsi" w:cstheme="minorHAnsi"/>
            <w:color w:val="auto"/>
            <w:sz w:val="22"/>
            <w:szCs w:val="22"/>
          </w:rPr>
          <w:t>Click here to see the specific State by State according to the tabs at the bottom of the spreadsheet</w:t>
        </w:r>
      </w:hyperlink>
    </w:p>
    <w:p w14:paraId="6D1F710D" w14:textId="77777777" w:rsidR="00755285" w:rsidRPr="00005A9D" w:rsidRDefault="00755285" w:rsidP="00755285">
      <w:pPr>
        <w:pStyle w:val="NormalWeb"/>
        <w:spacing w:before="0" w:beforeAutospacing="0" w:after="150" w:afterAutospacing="0"/>
        <w:ind w:left="360"/>
        <w:rPr>
          <w:rFonts w:asciiTheme="minorHAnsi" w:hAnsiTheme="minorHAnsi" w:cstheme="minorHAnsi"/>
          <w:sz w:val="22"/>
          <w:szCs w:val="22"/>
        </w:rPr>
      </w:pPr>
      <w:r w:rsidRPr="00005A9D">
        <w:rPr>
          <w:rFonts w:asciiTheme="minorHAnsi" w:hAnsiTheme="minorHAnsi" w:cstheme="minorHAnsi"/>
          <w:sz w:val="22"/>
          <w:szCs w:val="22"/>
        </w:rPr>
        <w:t>Phase Two of the project will examine what happened to the 14c holders who let their certificates expire without renewing.</w:t>
      </w:r>
    </w:p>
    <w:p w14:paraId="6A40E70C" w14:textId="77777777" w:rsidR="00755285" w:rsidRPr="00005A9D" w:rsidRDefault="00755285" w:rsidP="00755285">
      <w:pPr>
        <w:pStyle w:val="ListParagraph"/>
        <w:numPr>
          <w:ilvl w:val="0"/>
          <w:numId w:val="60"/>
        </w:numPr>
        <w:spacing w:after="0" w:line="240" w:lineRule="auto"/>
        <w:ind w:left="360"/>
        <w:rPr>
          <w:rFonts w:eastAsia="Times New Roman" w:cstheme="minorHAnsi"/>
          <w:b/>
        </w:rPr>
      </w:pPr>
      <w:r w:rsidRPr="00005A9D">
        <w:rPr>
          <w:rFonts w:eastAsia="Times New Roman" w:cstheme="minorHAnsi"/>
          <w:b/>
          <w:bCs/>
        </w:rPr>
        <w:t>Career Counseling and Information and Referral (CC&amp;I&amp;R) Examples</w:t>
      </w:r>
    </w:p>
    <w:p w14:paraId="56ECA3C8" w14:textId="77777777" w:rsidR="00755285" w:rsidRPr="00005A9D" w:rsidRDefault="00755285" w:rsidP="00755285">
      <w:pPr>
        <w:pStyle w:val="NormalWeb"/>
        <w:spacing w:before="0" w:beforeAutospacing="0" w:after="0" w:afterAutospacing="0"/>
        <w:ind w:left="720"/>
        <w:rPr>
          <w:rFonts w:asciiTheme="minorHAnsi" w:hAnsiTheme="minorHAnsi" w:cstheme="minorHAnsi"/>
          <w:i/>
          <w:sz w:val="22"/>
          <w:szCs w:val="22"/>
        </w:rPr>
      </w:pPr>
      <w:r w:rsidRPr="00005A9D">
        <w:rPr>
          <w:rFonts w:asciiTheme="minorHAnsi" w:hAnsiTheme="minorHAnsi" w:cstheme="minorHAnsi"/>
          <w:i/>
          <w:sz w:val="22"/>
          <w:szCs w:val="22"/>
        </w:rPr>
        <w:t>Hawaii's Section 511 Documents</w:t>
      </w:r>
    </w:p>
    <w:p w14:paraId="4F540320" w14:textId="77777777" w:rsidR="00755285" w:rsidRPr="00005A9D" w:rsidRDefault="00366D34" w:rsidP="00755285">
      <w:pPr>
        <w:pStyle w:val="NormalWeb"/>
        <w:numPr>
          <w:ilvl w:val="1"/>
          <w:numId w:val="63"/>
        </w:numPr>
        <w:spacing w:before="0" w:beforeAutospacing="0" w:after="120" w:afterAutospacing="0"/>
        <w:rPr>
          <w:rFonts w:asciiTheme="minorHAnsi" w:hAnsiTheme="minorHAnsi" w:cstheme="minorHAnsi"/>
          <w:sz w:val="22"/>
          <w:szCs w:val="22"/>
        </w:rPr>
      </w:pPr>
      <w:hyperlink r:id="rId145" w:tgtFrame="_blank" w:history="1">
        <w:r w:rsidR="00755285" w:rsidRPr="00005A9D">
          <w:rPr>
            <w:rStyle w:val="Hyperlink"/>
            <w:rFonts w:asciiTheme="minorHAnsi" w:hAnsiTheme="minorHAnsi" w:cstheme="minorHAnsi"/>
            <w:color w:val="auto"/>
            <w:sz w:val="22"/>
            <w:szCs w:val="22"/>
          </w:rPr>
          <w:t>CC&amp;I&amp;R Presentation</w:t>
        </w:r>
      </w:hyperlink>
    </w:p>
    <w:p w14:paraId="6508C9CD" w14:textId="77777777" w:rsidR="00755285" w:rsidRPr="00005A9D" w:rsidRDefault="00366D34" w:rsidP="00755285">
      <w:pPr>
        <w:pStyle w:val="NormalWeb"/>
        <w:numPr>
          <w:ilvl w:val="1"/>
          <w:numId w:val="63"/>
        </w:numPr>
        <w:spacing w:before="0" w:beforeAutospacing="0" w:after="120" w:afterAutospacing="0"/>
        <w:rPr>
          <w:rFonts w:asciiTheme="minorHAnsi" w:hAnsiTheme="minorHAnsi" w:cstheme="minorHAnsi"/>
          <w:sz w:val="22"/>
          <w:szCs w:val="22"/>
        </w:rPr>
      </w:pPr>
      <w:hyperlink r:id="rId146" w:tgtFrame="_blank" w:history="1">
        <w:r w:rsidR="00755285" w:rsidRPr="00005A9D">
          <w:rPr>
            <w:rStyle w:val="Hyperlink"/>
            <w:rFonts w:asciiTheme="minorHAnsi" w:hAnsiTheme="minorHAnsi" w:cstheme="minorHAnsi"/>
            <w:color w:val="auto"/>
            <w:sz w:val="22"/>
            <w:szCs w:val="22"/>
          </w:rPr>
          <w:t>Hawaii Information and referral form</w:t>
        </w:r>
      </w:hyperlink>
    </w:p>
    <w:p w14:paraId="1D329BE2" w14:textId="77777777" w:rsidR="00755285" w:rsidRPr="00005A9D" w:rsidRDefault="00366D34" w:rsidP="00755285">
      <w:pPr>
        <w:pStyle w:val="NormalWeb"/>
        <w:numPr>
          <w:ilvl w:val="1"/>
          <w:numId w:val="63"/>
        </w:numPr>
        <w:spacing w:before="0" w:beforeAutospacing="0" w:after="120" w:afterAutospacing="0"/>
        <w:rPr>
          <w:rFonts w:asciiTheme="minorHAnsi" w:hAnsiTheme="minorHAnsi" w:cstheme="minorHAnsi"/>
          <w:sz w:val="22"/>
          <w:szCs w:val="22"/>
        </w:rPr>
      </w:pPr>
      <w:hyperlink r:id="rId147" w:tgtFrame="_blank" w:history="1">
        <w:r w:rsidR="00755285" w:rsidRPr="00005A9D">
          <w:rPr>
            <w:rStyle w:val="Hyperlink"/>
            <w:rFonts w:asciiTheme="minorHAnsi" w:hAnsiTheme="minorHAnsi" w:cstheme="minorHAnsi"/>
            <w:color w:val="auto"/>
            <w:sz w:val="22"/>
            <w:szCs w:val="22"/>
          </w:rPr>
          <w:t>Hawaii self-advocacy, self-determination and peer mentoring form</w:t>
        </w:r>
      </w:hyperlink>
    </w:p>
    <w:p w14:paraId="399301D9" w14:textId="77777777" w:rsidR="00755285" w:rsidRPr="00005A9D" w:rsidRDefault="00366D34" w:rsidP="00755285">
      <w:pPr>
        <w:pStyle w:val="NormalWeb"/>
        <w:numPr>
          <w:ilvl w:val="1"/>
          <w:numId w:val="63"/>
        </w:numPr>
        <w:spacing w:before="0" w:beforeAutospacing="0" w:after="60" w:afterAutospacing="0"/>
        <w:rPr>
          <w:rFonts w:asciiTheme="minorHAnsi" w:hAnsiTheme="minorHAnsi" w:cstheme="minorHAnsi"/>
          <w:sz w:val="22"/>
          <w:szCs w:val="22"/>
        </w:rPr>
      </w:pPr>
      <w:hyperlink r:id="rId148" w:tgtFrame="_blank" w:history="1">
        <w:r w:rsidR="00755285" w:rsidRPr="00005A9D">
          <w:rPr>
            <w:rStyle w:val="Hyperlink"/>
            <w:rFonts w:asciiTheme="minorHAnsi" w:hAnsiTheme="minorHAnsi" w:cstheme="minorHAnsi"/>
            <w:color w:val="auto"/>
            <w:sz w:val="22"/>
            <w:szCs w:val="22"/>
          </w:rPr>
          <w:t>Hawaii subminimum wage letter to employee and parent/guardian</w:t>
        </w:r>
      </w:hyperlink>
    </w:p>
    <w:p w14:paraId="57BAA604" w14:textId="77777777" w:rsidR="00755285" w:rsidRPr="00005A9D" w:rsidRDefault="00755285" w:rsidP="00755285">
      <w:pPr>
        <w:pStyle w:val="NormalWeb"/>
        <w:spacing w:before="0" w:beforeAutospacing="0" w:after="0" w:afterAutospacing="0"/>
        <w:ind w:left="720"/>
        <w:rPr>
          <w:rFonts w:asciiTheme="minorHAnsi" w:hAnsiTheme="minorHAnsi" w:cstheme="minorHAnsi"/>
          <w:sz w:val="22"/>
          <w:szCs w:val="22"/>
        </w:rPr>
      </w:pPr>
      <w:r w:rsidRPr="00005A9D">
        <w:rPr>
          <w:rFonts w:asciiTheme="minorHAnsi" w:hAnsiTheme="minorHAnsi" w:cstheme="minorHAnsi"/>
          <w:i/>
          <w:sz w:val="22"/>
          <w:szCs w:val="22"/>
        </w:rPr>
        <w:t>Examples of CC&amp;I&amp;R Presentation Materials:</w:t>
      </w:r>
      <w:r w:rsidRPr="00005A9D">
        <w:rPr>
          <w:rFonts w:asciiTheme="minorHAnsi" w:hAnsiTheme="minorHAnsi" w:cstheme="minorHAnsi"/>
          <w:sz w:val="22"/>
          <w:szCs w:val="22"/>
        </w:rPr>
        <w:t xml:space="preserve"> Each of these presentations is being conducted at the work site. The 14(c) employer is allowing the VR program or contracted staff to come in to the work site and present to an established number of individuals. The required documentation is completed on-site when the presentation is over.</w:t>
      </w:r>
    </w:p>
    <w:p w14:paraId="2E7FCC88" w14:textId="77777777" w:rsidR="00755285" w:rsidRPr="00005A9D" w:rsidRDefault="00366D34" w:rsidP="00755285">
      <w:pPr>
        <w:pStyle w:val="NormalWeb"/>
        <w:numPr>
          <w:ilvl w:val="1"/>
          <w:numId w:val="63"/>
        </w:numPr>
        <w:spacing w:before="0" w:beforeAutospacing="0" w:after="60" w:afterAutospacing="0"/>
        <w:rPr>
          <w:rFonts w:asciiTheme="minorHAnsi" w:hAnsiTheme="minorHAnsi" w:cstheme="minorHAnsi"/>
          <w:sz w:val="22"/>
          <w:szCs w:val="22"/>
        </w:rPr>
      </w:pPr>
      <w:hyperlink r:id="rId149" w:tgtFrame="_blank" w:history="1">
        <w:r w:rsidR="00755285" w:rsidRPr="00005A9D">
          <w:rPr>
            <w:rStyle w:val="Hyperlink"/>
            <w:rFonts w:asciiTheme="minorHAnsi" w:hAnsiTheme="minorHAnsi" w:cstheme="minorHAnsi"/>
            <w:color w:val="auto"/>
            <w:sz w:val="22"/>
            <w:szCs w:val="22"/>
          </w:rPr>
          <w:t>Idaho Division of Vocational Rehabilitation</w:t>
        </w:r>
      </w:hyperlink>
    </w:p>
    <w:p w14:paraId="77D65884" w14:textId="77777777" w:rsidR="00755285" w:rsidRPr="00005A9D" w:rsidRDefault="00366D34" w:rsidP="00755285">
      <w:pPr>
        <w:pStyle w:val="NormalWeb"/>
        <w:numPr>
          <w:ilvl w:val="1"/>
          <w:numId w:val="63"/>
        </w:numPr>
        <w:spacing w:before="0" w:beforeAutospacing="0" w:after="60" w:afterAutospacing="0"/>
        <w:rPr>
          <w:rFonts w:asciiTheme="minorHAnsi" w:hAnsiTheme="minorHAnsi" w:cstheme="minorHAnsi"/>
          <w:sz w:val="22"/>
          <w:szCs w:val="22"/>
        </w:rPr>
      </w:pPr>
      <w:hyperlink r:id="rId150" w:tgtFrame="_blank" w:history="1">
        <w:r w:rsidR="00755285" w:rsidRPr="00005A9D">
          <w:rPr>
            <w:rStyle w:val="Hyperlink"/>
            <w:rFonts w:asciiTheme="minorHAnsi" w:hAnsiTheme="minorHAnsi" w:cstheme="minorHAnsi"/>
            <w:color w:val="auto"/>
            <w:sz w:val="22"/>
            <w:szCs w:val="22"/>
          </w:rPr>
          <w:t>Hawaii Division of Vocational Rehabilitation</w:t>
        </w:r>
      </w:hyperlink>
    </w:p>
    <w:p w14:paraId="750EBB5B" w14:textId="77777777" w:rsidR="00755285" w:rsidRPr="00005A9D" w:rsidRDefault="00755285" w:rsidP="00755285">
      <w:pPr>
        <w:pStyle w:val="NormalWeb"/>
        <w:spacing w:before="0" w:beforeAutospacing="0" w:after="0" w:afterAutospacing="0"/>
        <w:ind w:left="720"/>
        <w:rPr>
          <w:rFonts w:asciiTheme="minorHAnsi" w:hAnsiTheme="minorHAnsi" w:cstheme="minorHAnsi"/>
          <w:sz w:val="22"/>
          <w:szCs w:val="22"/>
        </w:rPr>
      </w:pPr>
      <w:r w:rsidRPr="00005A9D">
        <w:rPr>
          <w:rFonts w:asciiTheme="minorHAnsi" w:hAnsiTheme="minorHAnsi" w:cstheme="minorHAnsi"/>
          <w:i/>
          <w:sz w:val="22"/>
          <w:szCs w:val="22"/>
        </w:rPr>
        <w:t>Examples of CC&amp;I&amp;R Presentation Materials:</w:t>
      </w:r>
      <w:r w:rsidRPr="00005A9D">
        <w:rPr>
          <w:rFonts w:asciiTheme="minorHAnsi" w:hAnsiTheme="minorHAnsi" w:cstheme="minorHAnsi"/>
          <w:sz w:val="22"/>
          <w:szCs w:val="22"/>
        </w:rPr>
        <w:t xml:space="preserve"> RSA reviewed the CC&amp;I&amp;R forms developed by Indiana and has recommended them for adaption and use by other VR programs. You can access these forms by clicking on the links below:</w:t>
      </w:r>
    </w:p>
    <w:p w14:paraId="5136988E" w14:textId="77777777" w:rsidR="00755285" w:rsidRPr="00005A9D" w:rsidRDefault="00366D34" w:rsidP="00755285">
      <w:pPr>
        <w:pStyle w:val="NormalWeb"/>
        <w:numPr>
          <w:ilvl w:val="1"/>
          <w:numId w:val="63"/>
        </w:numPr>
        <w:spacing w:before="0" w:beforeAutospacing="0" w:after="60" w:afterAutospacing="0"/>
        <w:rPr>
          <w:rFonts w:asciiTheme="minorHAnsi" w:hAnsiTheme="minorHAnsi" w:cstheme="minorHAnsi"/>
          <w:sz w:val="22"/>
          <w:szCs w:val="22"/>
        </w:rPr>
      </w:pPr>
      <w:hyperlink r:id="rId151" w:tgtFrame="_blank" w:history="1">
        <w:r w:rsidR="00755285" w:rsidRPr="00005A9D">
          <w:rPr>
            <w:rStyle w:val="Hyperlink"/>
            <w:rFonts w:asciiTheme="minorHAnsi" w:hAnsiTheme="minorHAnsi" w:cstheme="minorHAnsi"/>
            <w:color w:val="auto"/>
            <w:sz w:val="22"/>
            <w:szCs w:val="22"/>
          </w:rPr>
          <w:t>CC&amp;I&amp;R Participation and Refusal Cover Sheets</w:t>
        </w:r>
      </w:hyperlink>
    </w:p>
    <w:p w14:paraId="36875B39" w14:textId="77777777" w:rsidR="00755285" w:rsidRPr="00005A9D" w:rsidRDefault="00366D34" w:rsidP="00755285">
      <w:pPr>
        <w:pStyle w:val="NormalWeb"/>
        <w:numPr>
          <w:ilvl w:val="1"/>
          <w:numId w:val="63"/>
        </w:numPr>
        <w:spacing w:before="0" w:beforeAutospacing="0" w:after="60" w:afterAutospacing="0"/>
        <w:rPr>
          <w:rFonts w:asciiTheme="minorHAnsi" w:hAnsiTheme="minorHAnsi" w:cstheme="minorHAnsi"/>
          <w:sz w:val="22"/>
          <w:szCs w:val="22"/>
        </w:rPr>
      </w:pPr>
      <w:hyperlink r:id="rId152" w:tgtFrame="_blank" w:history="1">
        <w:r w:rsidR="00755285" w:rsidRPr="00005A9D">
          <w:rPr>
            <w:rStyle w:val="Hyperlink"/>
            <w:rFonts w:asciiTheme="minorHAnsi" w:hAnsiTheme="minorHAnsi" w:cstheme="minorHAnsi"/>
            <w:color w:val="auto"/>
            <w:sz w:val="22"/>
            <w:szCs w:val="22"/>
          </w:rPr>
          <w:t>Youth Participation or Refusal Cover Sheets</w:t>
        </w:r>
      </w:hyperlink>
    </w:p>
    <w:p w14:paraId="01C3792B" w14:textId="77777777" w:rsidR="00755285" w:rsidRPr="00005A9D" w:rsidRDefault="00755285" w:rsidP="00755285">
      <w:pPr>
        <w:pStyle w:val="NormalWeb"/>
        <w:spacing w:before="0" w:beforeAutospacing="0" w:after="0" w:afterAutospacing="0"/>
        <w:ind w:left="720"/>
        <w:rPr>
          <w:rFonts w:asciiTheme="minorHAnsi" w:hAnsiTheme="minorHAnsi" w:cstheme="minorHAnsi"/>
          <w:sz w:val="22"/>
          <w:szCs w:val="22"/>
        </w:rPr>
      </w:pPr>
      <w:r w:rsidRPr="00005A9D">
        <w:rPr>
          <w:rFonts w:asciiTheme="minorHAnsi" w:hAnsiTheme="minorHAnsi" w:cstheme="minorHAnsi"/>
          <w:i/>
          <w:sz w:val="22"/>
          <w:szCs w:val="22"/>
        </w:rPr>
        <w:t>Common elements of career counseling:</w:t>
      </w:r>
      <w:r w:rsidRPr="00005A9D">
        <w:rPr>
          <w:rFonts w:asciiTheme="minorHAnsi" w:hAnsiTheme="minorHAnsi" w:cstheme="minorHAnsi"/>
          <w:sz w:val="22"/>
          <w:szCs w:val="22"/>
        </w:rPr>
        <w:t xml:space="preserve"> Although the Final Rule for Section 511 does not specify what the content of CC&amp;I&amp;R should be, WINTAC identified </w:t>
      </w:r>
      <w:hyperlink r:id="rId153" w:tgtFrame="_blank" w:history="1">
        <w:r w:rsidRPr="00005A9D">
          <w:rPr>
            <w:rFonts w:asciiTheme="minorHAnsi" w:hAnsiTheme="minorHAnsi" w:cstheme="minorHAnsi"/>
            <w:b/>
            <w:bCs/>
            <w:sz w:val="22"/>
            <w:szCs w:val="22"/>
          </w:rPr>
          <w:t>common elements of career counseling and agencies</w:t>
        </w:r>
      </w:hyperlink>
      <w:r w:rsidRPr="00005A9D">
        <w:rPr>
          <w:rFonts w:asciiTheme="minorHAnsi" w:hAnsiTheme="minorHAnsi" w:cstheme="minorHAnsi"/>
          <w:sz w:val="22"/>
          <w:szCs w:val="22"/>
        </w:rPr>
        <w:t xml:space="preserve"> to include when providing information and referral services, as well as common State, Federal and other programs that may provide opportunities for competitive integrated employment for individuals with disabilities.</w:t>
      </w:r>
    </w:p>
    <w:p w14:paraId="430C29D5" w14:textId="77777777" w:rsidR="00755285" w:rsidRDefault="00755285" w:rsidP="00755285">
      <w:pPr>
        <w:rPr>
          <w:rFonts w:cstheme="minorHAnsi"/>
          <w:b/>
          <w:sz w:val="36"/>
          <w:szCs w:val="36"/>
        </w:rPr>
      </w:pPr>
      <w:r>
        <w:rPr>
          <w:rFonts w:cstheme="minorHAnsi"/>
          <w:b/>
          <w:sz w:val="36"/>
          <w:szCs w:val="36"/>
        </w:rPr>
        <w:br w:type="page"/>
      </w:r>
    </w:p>
    <w:p w14:paraId="44ADA799" w14:textId="77777777" w:rsidR="00755285" w:rsidRPr="00A40490" w:rsidRDefault="00755285" w:rsidP="00BA0D82">
      <w:pPr>
        <w:pStyle w:val="Heading2"/>
        <w:numPr>
          <w:ilvl w:val="0"/>
          <w:numId w:val="0"/>
        </w:numPr>
      </w:pPr>
      <w:bookmarkStart w:id="27" w:name="_Toc28011419"/>
      <w:r w:rsidRPr="00A40490">
        <w:lastRenderedPageBreak/>
        <w:t>Section 511 ITAs: PROGRESS NARRATIVE</w:t>
      </w:r>
      <w:bookmarkEnd w:id="27"/>
    </w:p>
    <w:p w14:paraId="5503738B" w14:textId="77777777" w:rsidR="00755285" w:rsidRPr="00005A9D" w:rsidRDefault="00755285" w:rsidP="00755285">
      <w:pPr>
        <w:pStyle w:val="Heading3"/>
        <w:numPr>
          <w:ilvl w:val="0"/>
          <w:numId w:val="0"/>
        </w:numPr>
        <w:ind w:left="1440" w:hanging="1440"/>
      </w:pPr>
      <w:r w:rsidRPr="00005A9D">
        <w:t>National Lens</w:t>
      </w:r>
      <w:bookmarkEnd w:id="26"/>
    </w:p>
    <w:p w14:paraId="007488F8" w14:textId="77777777" w:rsidR="00755285" w:rsidRPr="00005A9D" w:rsidRDefault="00755285" w:rsidP="00755285">
      <w:pPr>
        <w:ind w:firstLine="360"/>
        <w:rPr>
          <w:rFonts w:eastAsia="Times New Roman" w:cstheme="minorHAnsi"/>
          <w:shd w:val="clear" w:color="auto" w:fill="FFFFFF"/>
        </w:rPr>
      </w:pPr>
      <w:r w:rsidRPr="00005A9D">
        <w:rPr>
          <w:rFonts w:eastAsia="Times New Roman" w:cstheme="minorHAnsi"/>
          <w:shd w:val="clear" w:color="auto" w:fill="FFFFFF"/>
        </w:rPr>
        <w:t xml:space="preserve">Section 511 of the Rehabilitation Act places limitations on the payment of subminimum wages by entities holding special wage certificates under Section 14(c) of the Fair Labor Standards Act.  The purpose of Section 511 is to ensure that individuals with disabilities have access to information and services that will enable </w:t>
      </w:r>
      <w:r w:rsidRPr="00005A9D">
        <w:t>them</w:t>
      </w:r>
      <w:r w:rsidRPr="00005A9D">
        <w:rPr>
          <w:rFonts w:eastAsia="Times New Roman" w:cstheme="minorHAnsi"/>
          <w:shd w:val="clear" w:color="auto" w:fill="FFFFFF"/>
        </w:rPr>
        <w:t xml:space="preserve"> to achieve competitive integrated employment.  Section 511 includes requirements for State VR agencies, subminimum wage employers and local and/or State educational agencies, including specific requirements for youth prior to their participation in subminimum wage employment. </w:t>
      </w:r>
    </w:p>
    <w:p w14:paraId="11B75409" w14:textId="77777777" w:rsidR="00755285" w:rsidRPr="00005A9D" w:rsidRDefault="00755285" w:rsidP="00755285">
      <w:pPr>
        <w:ind w:firstLine="360"/>
        <w:rPr>
          <w:rFonts w:eastAsia="Times New Roman" w:cstheme="minorHAnsi"/>
        </w:rPr>
      </w:pPr>
      <w:r w:rsidRPr="00005A9D">
        <w:rPr>
          <w:rFonts w:eastAsia="Times New Roman" w:cstheme="minorHAnsi"/>
        </w:rPr>
        <w:t xml:space="preserve">In a paper examining disability employment from a sociological inquiry perspective, Gardiner (2018) notes the importance of using data to demonstrate whether and how sheltered workshops negatively impact the employment outcomes of individuals with disabilities, particularly those with intellectual disabilities.  Doxey, Jaehning, McMillan, Vandagriff, and Winsor (2017) call for the same and identify ways to access and review data in their brief such as using the monitoring authority of state-level Protection and Advocacy agencies, Freedom of Information Act requests, and examining VR data on career counseling and information and referral services.  States also have various reporting requirements that yield information on employment outcomes related to subminimum wage and in their example on Alaska they point out that employers must identify the work category of their employees; unfortunately, in Alaska the main categories are janitorial, clerical, maintenance, and food-related jobs that may demonstrate the pervasive “low expectations and stereotypes of individuals with disabilities in the workforce. (Doxey et al.)”  Ultimately, WIOA communicates how “contemporary U.S. federal disability policy has heightened expectations that youth with disabilities…can and should be prepared to work in integrated workplaces (Novak, 2015).” </w:t>
      </w:r>
    </w:p>
    <w:p w14:paraId="411F8AC1" w14:textId="77777777" w:rsidR="00755285" w:rsidRDefault="00755285" w:rsidP="00755285">
      <w:pPr>
        <w:ind w:firstLine="360"/>
        <w:rPr>
          <w:rFonts w:eastAsia="Times New Roman" w:cstheme="minorHAnsi"/>
        </w:rPr>
      </w:pPr>
      <w:r w:rsidRPr="00005A9D">
        <w:rPr>
          <w:rFonts w:eastAsia="Times New Roman" w:cstheme="minorHAnsi"/>
        </w:rPr>
        <w:t>In 2018, NCD submitted a report to the President, updating its 2012 one examining subminimum wage and supported employment, finding that 321,131 individuals with disabilities who lived in the community still earned subminimum wage in sheltered workshops.  Citing Wage and Hour Division (WHD) data, NCD acknowledges that 14 (c) certificates are down from 2,540 applications in fiscal year 2008 to 1,089 applications in fiscal year 2017.  The same data indicates that 95% of certificate holders are “work centers.”  Because of challenges with the nature of the data, NCD noted being skeptical of WHD data for the number of 14 (c) workers, but recognized that declines have taken place over a seventeen year period since the GAO had previously been presented this information.  Importantly, they point out that these declines are not paralleled by a corresponding and consistent rise in integrated employment, in part due to lack of consistent funding for demonstrably effective practices such as supported employment which were bolstered by federal investments and strong TA supports.  Among the recommendations in the report are a call for enhanced availability of intensive TA resources, expansion of customized employment, and support for business engagement strategies - - all areas of focused work by WINTAC.</w:t>
      </w:r>
    </w:p>
    <w:p w14:paraId="721AD6E7" w14:textId="77777777" w:rsidR="00755285" w:rsidRPr="00005A9D" w:rsidRDefault="00755285" w:rsidP="00755285">
      <w:pPr>
        <w:pStyle w:val="Heading3"/>
        <w:numPr>
          <w:ilvl w:val="0"/>
          <w:numId w:val="0"/>
        </w:numPr>
        <w:ind w:left="1440" w:hanging="1440"/>
      </w:pPr>
      <w:bookmarkStart w:id="28" w:name="_Toc10122203"/>
      <w:r w:rsidRPr="00005A9D">
        <w:t>WINTAC Lens</w:t>
      </w:r>
      <w:bookmarkEnd w:id="28"/>
    </w:p>
    <w:p w14:paraId="0AB35AB3" w14:textId="77777777" w:rsidR="00755285" w:rsidRPr="00005A9D" w:rsidRDefault="00755285" w:rsidP="00755285">
      <w:pPr>
        <w:ind w:firstLine="720"/>
      </w:pPr>
      <w:r>
        <w:rPr>
          <w:b/>
          <w:i/>
        </w:rPr>
        <w:t xml:space="preserve">TA Progress </w:t>
      </w:r>
      <w:r w:rsidRPr="00005A9D">
        <w:t>Section 511 technical assistance was requested by 1</w:t>
      </w:r>
      <w:r>
        <w:t>1</w:t>
      </w:r>
      <w:r w:rsidRPr="00005A9D">
        <w:t xml:space="preserve"> SVRAs. Their ITAAs draw from a menu of activities identified in the logic model, which each have an associated output and contribute to a set of defined short-term outcomes to be achieved within this funding cycle.</w:t>
      </w:r>
    </w:p>
    <w:p w14:paraId="1DAB4565" w14:textId="77777777" w:rsidR="00755285" w:rsidRPr="00005A9D" w:rsidRDefault="00755285" w:rsidP="00755285">
      <w:pPr>
        <w:ind w:firstLine="720"/>
        <w:rPr>
          <w:rFonts w:ascii="Calibri" w:eastAsia="Times New Roman" w:hAnsi="Calibri" w:cs="Calibri"/>
          <w:szCs w:val="24"/>
        </w:rPr>
      </w:pPr>
      <w:r w:rsidRPr="00005A9D">
        <w:rPr>
          <w:rFonts w:ascii="Calibri" w:eastAsia="Times New Roman" w:hAnsi="Calibri" w:cs="Calibri"/>
          <w:szCs w:val="24"/>
        </w:rPr>
        <w:lastRenderedPageBreak/>
        <w:t xml:space="preserve">WINTAC’s Section 511 TA has </w:t>
      </w:r>
      <w:r w:rsidRPr="00005A9D">
        <w:t>moved</w:t>
      </w:r>
      <w:r w:rsidRPr="00005A9D">
        <w:rPr>
          <w:rFonts w:ascii="Calibri" w:eastAsia="Times New Roman" w:hAnsi="Calibri" w:cs="Calibri"/>
          <w:szCs w:val="24"/>
        </w:rPr>
        <w:t xml:space="preserve"> from initial implementation (helping to develop CC&amp;I&amp;R materials and P&amp;P) and compliance (especially for youth), to ongoing tracking and impact measurement. As an outgrowth of the measurement of impact, there has been a heightened focus on the responsibilities of Blind VR programs, where WINTAC has been helping Blind agencies understand their role in </w:t>
      </w:r>
      <w:r>
        <w:rPr>
          <w:rFonts w:ascii="Calibri" w:eastAsia="Times New Roman" w:hAnsi="Calibri" w:cs="Calibri"/>
          <w:szCs w:val="24"/>
        </w:rPr>
        <w:t>ensuring</w:t>
      </w:r>
      <w:r w:rsidRPr="00005A9D">
        <w:rPr>
          <w:rFonts w:ascii="Calibri" w:eastAsia="Times New Roman" w:hAnsi="Calibri" w:cs="Calibri"/>
          <w:szCs w:val="24"/>
        </w:rPr>
        <w:t xml:space="preserve"> that CC&amp;I&amp;R is accessible, even if the vast majority of it is provided by the General agency. VR programs have been examining how CC&amp;I&amp;R is affecting the pursuit of CIE, and this begins with an honest assessment of whether the CC&amp;I&amp;R is delivered in an understandable format to all individuals. It will be increasingly important for Blind and General agencies to work in partnership to ensure that CC&amp;I&amp;R has the maximum impact for all individuals.</w:t>
      </w:r>
    </w:p>
    <w:p w14:paraId="4E91E84A" w14:textId="77777777" w:rsidR="00755285" w:rsidRPr="00005A9D" w:rsidRDefault="00755285" w:rsidP="00755285">
      <w:pPr>
        <w:ind w:firstLine="720"/>
        <w:rPr>
          <w:rFonts w:ascii="Calibri" w:eastAsia="Times New Roman" w:hAnsi="Calibri" w:cs="Calibri"/>
          <w:szCs w:val="24"/>
        </w:rPr>
      </w:pPr>
      <w:r w:rsidRPr="00005A9D">
        <w:rPr>
          <w:rFonts w:ascii="Calibri" w:eastAsia="Times New Roman" w:hAnsi="Calibri" w:cs="Calibri"/>
          <w:szCs w:val="24"/>
        </w:rPr>
        <w:t xml:space="preserve">WINTAC continues to ask RSA questions for VR programs related to 511. Demand for more than </w:t>
      </w:r>
      <w:r w:rsidRPr="00005A9D">
        <w:t>this</w:t>
      </w:r>
      <w:r w:rsidRPr="00005A9D">
        <w:rPr>
          <w:rFonts w:ascii="Calibri" w:eastAsia="Times New Roman" w:hAnsi="Calibri" w:cs="Calibri"/>
          <w:szCs w:val="24"/>
        </w:rPr>
        <w:t xml:space="preserve"> review and ad hoc consultation is quickly diminishing but WINTAC will help SVRAs maximize the impact of their services in response to 511, and provide examples of best practices</w:t>
      </w:r>
      <w:r w:rsidRPr="00773A2D">
        <w:rPr>
          <w:rFonts w:ascii="Calibri" w:eastAsia="Times New Roman" w:hAnsi="Calibri" w:cs="Calibri"/>
          <w:szCs w:val="24"/>
        </w:rPr>
        <w:t xml:space="preserve">. WINTAC also </w:t>
      </w:r>
      <w:r>
        <w:rPr>
          <w:rFonts w:ascii="Calibri" w:eastAsia="Times New Roman" w:hAnsi="Calibri" w:cs="Calibri"/>
          <w:szCs w:val="24"/>
        </w:rPr>
        <w:t>conducted a</w:t>
      </w:r>
      <w:r w:rsidRPr="00773A2D">
        <w:rPr>
          <w:rFonts w:ascii="Calibri" w:eastAsia="Times New Roman" w:hAnsi="Calibri" w:cs="Calibri"/>
          <w:szCs w:val="24"/>
        </w:rPr>
        <w:t xml:space="preserve"> study of 14c holders.</w:t>
      </w:r>
      <w:r w:rsidRPr="00005A9D">
        <w:t xml:space="preserve">  </w:t>
      </w:r>
    </w:p>
    <w:p w14:paraId="4E894C5A" w14:textId="77777777" w:rsidR="00755285" w:rsidRDefault="00755285" w:rsidP="00755285">
      <w:pPr>
        <w:ind w:firstLine="720"/>
      </w:pPr>
      <w:r w:rsidRPr="00005A9D">
        <w:t xml:space="preserve">As of the end of Year </w:t>
      </w:r>
      <w:r>
        <w:t>4</w:t>
      </w:r>
      <w:r w:rsidRPr="00005A9D">
        <w:t xml:space="preserve"> of the WINTAC, there are 2</w:t>
      </w:r>
      <w:r>
        <w:t>2</w:t>
      </w:r>
      <w:r w:rsidRPr="00005A9D">
        <w:t xml:space="preserve"> activities identified across the 1</w:t>
      </w:r>
      <w:r>
        <w:t>1</w:t>
      </w:r>
      <w:r w:rsidRPr="00005A9D">
        <w:t xml:space="preserve"> ITAAs. As documented in terms of metrics in the dashboards presented above, all 2</w:t>
      </w:r>
      <w:r>
        <w:t>2</w:t>
      </w:r>
      <w:r w:rsidRPr="00005A9D">
        <w:t xml:space="preserve"> activities resulted in completed outputs. The majority of these outputs include completion of a strategic plan (7), development of CC&amp;I&amp;R resources (5)</w:t>
      </w:r>
      <w:r>
        <w:t xml:space="preserve"> and</w:t>
      </w:r>
      <w:r w:rsidRPr="00005A9D">
        <w:t xml:space="preserve"> development or improvement of policies and procedures (4).</w:t>
      </w:r>
    </w:p>
    <w:p w14:paraId="04430100" w14:textId="77777777" w:rsidR="00755285" w:rsidRDefault="00755285" w:rsidP="00755285">
      <w:pPr>
        <w:ind w:firstLine="720"/>
      </w:pPr>
      <w:r w:rsidRPr="001B0196">
        <w:rPr>
          <w:b/>
          <w:i/>
        </w:rPr>
        <w:t xml:space="preserve">Challenges Overcome </w:t>
      </w:r>
      <w:r>
        <w:t>WINTAC’s TA focused on helping states respond to the Section 511 requirements, with some SVRAs contending with longstanding traditions and significant investments in subminimum wage employment for individuals with disabilities. Many had little or no infrastructure for coming into compliance, resources to inform current or potential SMW workers and their families about the merits of competitive integrated employment, and/or no service alternatives to assist them in achieving it. WINTAC’s technical assistance provided the supports to turn this around and help states plan and establish infrastructures, develop resources and explore or even adopt new practices giving individuals new avenues to employment.</w:t>
      </w:r>
    </w:p>
    <w:p w14:paraId="198A0A7C" w14:textId="77777777" w:rsidR="00755285" w:rsidRDefault="00755285" w:rsidP="00755285">
      <w:pPr>
        <w:ind w:firstLine="720"/>
      </w:pPr>
      <w:r>
        <w:rPr>
          <w:b/>
          <w:i/>
        </w:rPr>
        <w:t xml:space="preserve">Impact </w:t>
      </w:r>
      <w:r w:rsidRPr="00005A9D">
        <w:t xml:space="preserve">SVRAs have met or are making significant progress in </w:t>
      </w:r>
      <w:r>
        <w:t xml:space="preserve">meeting short term outcomes and </w:t>
      </w:r>
      <w:r w:rsidRPr="00005A9D">
        <w:t xml:space="preserve">implementing Section 511 effectively as a result of the trainings and TA they received from WINTAC. </w:t>
      </w:r>
      <w:r>
        <w:t>Out of a total of 16 short term outcomes,</w:t>
      </w:r>
      <w:r w:rsidRPr="00005A9D">
        <w:t xml:space="preserve"> </w:t>
      </w:r>
      <w:r>
        <w:t>13</w:t>
      </w:r>
      <w:r w:rsidRPr="00005A9D">
        <w:t xml:space="preserve"> have been met or completed, with two nearing completion</w:t>
      </w:r>
      <w:r>
        <w:t xml:space="preserve"> and one underway at 25% complete</w:t>
      </w:r>
      <w:r w:rsidRPr="00005A9D">
        <w:t xml:space="preserve">. </w:t>
      </w:r>
      <w:r>
        <w:t>Six states (with 7</w:t>
      </w:r>
      <w:r w:rsidRPr="00005A9D">
        <w:t xml:space="preserve"> SVRAs</w:t>
      </w:r>
      <w:r>
        <w:t>)</w:t>
      </w:r>
      <w:r w:rsidRPr="00005A9D">
        <w:t xml:space="preserve"> showed a decrease in individuals entering subminimum wage</w:t>
      </w:r>
      <w:r>
        <w:t>, and six</w:t>
      </w:r>
      <w:r w:rsidRPr="00B1411B">
        <w:t xml:space="preserve"> </w:t>
      </w:r>
      <w:r>
        <w:t>now routinely offer CC&amp;I&amp;R services, with the expectation that more individuals will avail themselves of VR services to seek competitive integrated employment (CIE). So far increases in SMW workers opting for VR and CIE have not been appreciable (1-2%) although one state that developed an extremely comprehensive CC&amp;I&amp;R process had a 10-20% jump. Most VR data systems do not have a means of tracking whether potential SMW workers (typically youth) are instead applying for VR services.</w:t>
      </w:r>
    </w:p>
    <w:p w14:paraId="5FC0F456" w14:textId="77777777" w:rsidR="00755285" w:rsidRDefault="00755285" w:rsidP="00755285">
      <w:pPr>
        <w:ind w:firstLine="720"/>
      </w:pPr>
      <w:r>
        <w:t>Many SVRAs that sought TA in this area also requested assistance in adopting Customized Employment as a service alternative for the current and potential SMW population seeking CIE. They have since undertaken CE pilots with WINTAC’s assistance (see Customized Employment chapter), and are developing capacity to provide CE services. Numbers of individuals receiving CE services are as yet small, and SVRA tracking systems do not routinely collect data on subpopulations such as this, so it is unknown how many SMW workers (or potential workers) have found CE to be a satisfactory alternative.</w:t>
      </w:r>
    </w:p>
    <w:p w14:paraId="086A776A" w14:textId="77777777" w:rsidR="00755285" w:rsidRDefault="00755285" w:rsidP="00755285">
      <w:pPr>
        <w:ind w:firstLine="720"/>
      </w:pPr>
      <w:r>
        <w:lastRenderedPageBreak/>
        <w:t>Interestingly, a CRP in one state receiving WINTAC TA in both Section 511 and Customized Employment areas voluntarily shifted its focus from SMW to CIE resulting in a reduction of more than 300 in SMW workers; they also sent staff to CE training to improve their skills in serving workers leaving the sheltered workshops.</w:t>
      </w:r>
    </w:p>
    <w:p w14:paraId="7773CDC2" w14:textId="77777777" w:rsidR="00755285" w:rsidRDefault="00755285" w:rsidP="00755285">
      <w:pPr>
        <w:ind w:firstLine="720"/>
        <w:rPr>
          <w:rFonts w:ascii="Calibri" w:eastAsia="Times New Roman" w:hAnsi="Calibri" w:cs="Calibri"/>
          <w:szCs w:val="24"/>
        </w:rPr>
      </w:pPr>
      <w:r w:rsidRPr="00F04A3C">
        <w:rPr>
          <w:b/>
          <w:i/>
        </w:rPr>
        <w:t xml:space="preserve">Evaluation Recommendations </w:t>
      </w:r>
      <w:r w:rsidRPr="00F44A19">
        <w:t>With the preponderance of act</w:t>
      </w:r>
      <w:r>
        <w:t xml:space="preserve">ivities and outputs completed, and even many outcomes achieved, WINTAC assistance is no longer as intensive as at the outset. Special reports on the area have already captured significant results of this effort. As noted above, there are additional inquiries under way, e.g., at the state level, looking at </w:t>
      </w:r>
      <w:r w:rsidRPr="00005A9D">
        <w:rPr>
          <w:rFonts w:ascii="Calibri" w:eastAsia="Times New Roman" w:hAnsi="Calibri" w:cs="Calibri"/>
          <w:szCs w:val="24"/>
        </w:rPr>
        <w:t>how CC&amp;I&amp;R is affecting the pursuit of CIE</w:t>
      </w:r>
      <w:r>
        <w:rPr>
          <w:rFonts w:ascii="Calibri" w:eastAsia="Times New Roman" w:hAnsi="Calibri" w:cs="Calibri"/>
          <w:szCs w:val="24"/>
        </w:rPr>
        <w:t>,</w:t>
      </w:r>
      <w:r w:rsidRPr="00005A9D">
        <w:rPr>
          <w:rFonts w:ascii="Calibri" w:eastAsia="Times New Roman" w:hAnsi="Calibri" w:cs="Calibri"/>
          <w:szCs w:val="24"/>
        </w:rPr>
        <w:t xml:space="preserve"> </w:t>
      </w:r>
      <w:r>
        <w:rPr>
          <w:rFonts w:ascii="Calibri" w:eastAsia="Times New Roman" w:hAnsi="Calibri" w:cs="Calibri"/>
          <w:szCs w:val="24"/>
        </w:rPr>
        <w:t>and assessing</w:t>
      </w:r>
      <w:r w:rsidRPr="00005A9D">
        <w:rPr>
          <w:rFonts w:ascii="Calibri" w:eastAsia="Times New Roman" w:hAnsi="Calibri" w:cs="Calibri"/>
          <w:szCs w:val="24"/>
        </w:rPr>
        <w:t xml:space="preserve"> whether the CC&amp;I&amp;R is delivered in an understandable format to all individuals</w:t>
      </w:r>
      <w:r>
        <w:rPr>
          <w:rFonts w:ascii="Calibri" w:eastAsia="Times New Roman" w:hAnsi="Calibri" w:cs="Calibri"/>
          <w:szCs w:val="24"/>
        </w:rPr>
        <w:t xml:space="preserve"> and is having</w:t>
      </w:r>
      <w:r w:rsidRPr="00005A9D">
        <w:rPr>
          <w:rFonts w:ascii="Calibri" w:eastAsia="Times New Roman" w:hAnsi="Calibri" w:cs="Calibri"/>
          <w:szCs w:val="24"/>
        </w:rPr>
        <w:t xml:space="preserve"> the maximum impact for all individuals</w:t>
      </w:r>
      <w:r>
        <w:rPr>
          <w:rFonts w:ascii="Calibri" w:eastAsia="Times New Roman" w:hAnsi="Calibri" w:cs="Calibri"/>
          <w:szCs w:val="24"/>
        </w:rPr>
        <w:t>.</w:t>
      </w:r>
    </w:p>
    <w:p w14:paraId="30A98AC8" w14:textId="77777777" w:rsidR="00755285" w:rsidRPr="0054596F" w:rsidRDefault="00755285" w:rsidP="00755285">
      <w:pPr>
        <w:ind w:firstLine="720"/>
      </w:pPr>
      <w:r>
        <w:t xml:space="preserve">If time and resources permit, it would be valuable to create mechanisms to explore other questions in further depth. These include tracking whether Section 511 activities have diverted individuals (youth and those with vision impairments, in particular) from the SMW employment path to seeking VR services and if so, the numbers and outcomes. Also of interest, whether any of them are recipients of Customized Employment services. The singular success of one state in increasing the percentage of CC&amp;I&amp;R recipients applying for VR services might warrant a closer look at cause and effect, costs, etc. By extension, study might be done on other replicable or innovative measures or protocols. In addition to special tracking systems, evaluation mechanisms could include case studies and targeted interviews or surveys, offered in interested states that are willing and able to collaborate with WINTAC. These could be developed and conducted in coordination with the Customized Employment pilot projects, with WINTAC’s Evaluation Team assuming primary responsibility. </w:t>
      </w:r>
    </w:p>
    <w:p w14:paraId="19D017EB" w14:textId="77777777" w:rsidR="00020B8E" w:rsidRDefault="00020B8E" w:rsidP="00574844">
      <w:pPr>
        <w:pStyle w:val="Heading1"/>
        <w:numPr>
          <w:ilvl w:val="0"/>
          <w:numId w:val="59"/>
        </w:numPr>
        <w:pBdr>
          <w:bottom w:val="single" w:sz="18" w:space="1" w:color="auto"/>
        </w:pBdr>
        <w:shd w:val="clear" w:color="auto" w:fill="auto"/>
        <w:rPr>
          <w:caps w:val="0"/>
          <w:szCs w:val="52"/>
        </w:rPr>
        <w:sectPr w:rsidR="00020B8E" w:rsidSect="00D27D05">
          <w:footerReference w:type="default" r:id="rId154"/>
          <w:pgSz w:w="12240" w:h="15840" w:code="1"/>
          <w:pgMar w:top="1440" w:right="1440" w:bottom="1440" w:left="1440" w:header="720" w:footer="720" w:gutter="0"/>
          <w:pgBorders w:offsetFrom="page">
            <w:top w:val="thinThickSmallGap" w:sz="24" w:space="24" w:color="2F5496" w:themeColor="accent1" w:themeShade="BF"/>
            <w:left w:val="thinThickSmallGap" w:sz="24" w:space="24" w:color="2F5496" w:themeColor="accent1" w:themeShade="BF"/>
            <w:bottom w:val="thickThinSmallGap" w:sz="24" w:space="24" w:color="2F5496" w:themeColor="accent1" w:themeShade="BF"/>
            <w:right w:val="thickThinSmallGap" w:sz="24" w:space="24" w:color="2F5496" w:themeColor="accent1" w:themeShade="BF"/>
          </w:pgBorders>
          <w:cols w:space="720"/>
          <w:docGrid w:linePitch="360"/>
        </w:sectPr>
      </w:pPr>
      <w:bookmarkStart w:id="29" w:name="_Toc27904581"/>
    </w:p>
    <w:p w14:paraId="6B13762C" w14:textId="7FE5468A" w:rsidR="00E81F8C" w:rsidRPr="003A4F7B" w:rsidRDefault="003A4F7B" w:rsidP="00574844">
      <w:pPr>
        <w:pStyle w:val="Heading1"/>
        <w:numPr>
          <w:ilvl w:val="0"/>
          <w:numId w:val="59"/>
        </w:numPr>
        <w:pBdr>
          <w:bottom w:val="single" w:sz="18" w:space="1" w:color="auto"/>
        </w:pBdr>
        <w:shd w:val="clear" w:color="auto" w:fill="auto"/>
        <w:rPr>
          <w:caps w:val="0"/>
          <w:szCs w:val="52"/>
        </w:rPr>
      </w:pPr>
      <w:bookmarkStart w:id="30" w:name="_Toc28011420"/>
      <w:r>
        <w:rPr>
          <w:caps w:val="0"/>
          <w:szCs w:val="52"/>
        </w:rPr>
        <w:lastRenderedPageBreak/>
        <w:t>C</w:t>
      </w:r>
      <w:r w:rsidR="00755285">
        <w:rPr>
          <w:caps w:val="0"/>
          <w:szCs w:val="52"/>
        </w:rPr>
        <w:t>ommon Performance Measures</w:t>
      </w:r>
      <w:bookmarkEnd w:id="30"/>
    </w:p>
    <w:bookmarkEnd w:id="29"/>
    <w:p w14:paraId="34B884C5" w14:textId="77777777" w:rsidR="008810D5" w:rsidRDefault="008810D5" w:rsidP="008810D5"/>
    <w:p w14:paraId="25CA5402" w14:textId="77777777" w:rsidR="008810D5" w:rsidRDefault="008810D5" w:rsidP="008810D5">
      <w:pPr>
        <w:ind w:hanging="270"/>
      </w:pPr>
      <w:r>
        <w:rPr>
          <w:noProof/>
          <w:lang w:eastAsia="ko-KR"/>
        </w:rPr>
        <w:drawing>
          <wp:inline distT="0" distB="0" distL="0" distR="0" wp14:anchorId="0573287A" wp14:editId="2DE49614">
            <wp:extent cx="5943600" cy="4320540"/>
            <wp:effectExtent l="323850" t="323850" r="323850" b="327660"/>
            <wp:docPr id="48" name="Picture 48" descr="Map of the United States depicting states with ITAAs covering CPMs, which include: AK, Am.Samoa, AZ, AR, CNMI, CT, DE, DC, FL, GA, HI, ID, IN, IA, KY, LA, ME, MA, MI, MN, MS, MT, NV, NH, NC, PR, RI, UT, Virg. Is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PM ITA Map.png"/>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5943600" cy="432054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p>
    <w:p w14:paraId="5E058D6B" w14:textId="77777777" w:rsidR="008810D5" w:rsidRDefault="008810D5" w:rsidP="008810D5"/>
    <w:p w14:paraId="160F20A9" w14:textId="77777777" w:rsidR="008810D5" w:rsidRDefault="008810D5" w:rsidP="008810D5">
      <w:pPr>
        <w:sectPr w:rsidR="008810D5" w:rsidSect="00D27D05">
          <w:pgSz w:w="12240" w:h="15840" w:code="1"/>
          <w:pgMar w:top="1440" w:right="1440" w:bottom="1440" w:left="1440" w:header="720" w:footer="720" w:gutter="0"/>
          <w:pgBorders w:offsetFrom="page">
            <w:top w:val="thinThickSmallGap" w:sz="24" w:space="24" w:color="2F5496" w:themeColor="accent1" w:themeShade="BF"/>
            <w:left w:val="thinThickSmallGap" w:sz="24" w:space="24" w:color="2F5496" w:themeColor="accent1" w:themeShade="BF"/>
            <w:bottom w:val="thickThinSmallGap" w:sz="24" w:space="24" w:color="2F5496" w:themeColor="accent1" w:themeShade="BF"/>
            <w:right w:val="thickThinSmallGap" w:sz="24" w:space="24" w:color="2F5496" w:themeColor="accent1" w:themeShade="BF"/>
          </w:pgBorders>
          <w:cols w:space="720"/>
          <w:vAlign w:val="center"/>
          <w:docGrid w:linePitch="360"/>
        </w:sectPr>
      </w:pPr>
    </w:p>
    <w:p w14:paraId="5D649E41" w14:textId="77777777" w:rsidR="008810D5" w:rsidRPr="00987BC7" w:rsidRDefault="008810D5" w:rsidP="00BA0D82">
      <w:pPr>
        <w:pStyle w:val="Heading2"/>
        <w:numPr>
          <w:ilvl w:val="0"/>
          <w:numId w:val="0"/>
        </w:numPr>
        <w:pBdr>
          <w:bottom w:val="none" w:sz="0" w:space="0" w:color="auto"/>
        </w:pBdr>
        <w:shd w:val="clear" w:color="auto" w:fill="B4C6E7" w:themeFill="accent1" w:themeFillTint="66"/>
      </w:pPr>
      <w:bookmarkStart w:id="31" w:name="_Toc27904582"/>
      <w:bookmarkStart w:id="32" w:name="_Toc28011421"/>
      <w:r>
        <w:lastRenderedPageBreak/>
        <w:t>CPMs</w:t>
      </w:r>
      <w:r w:rsidRPr="00987BC7">
        <w:t xml:space="preserve"> – </w:t>
      </w:r>
      <w:r>
        <w:t xml:space="preserve">ITA </w:t>
      </w:r>
      <w:r w:rsidRPr="00987BC7">
        <w:t>Logic Model</w:t>
      </w:r>
      <w:bookmarkEnd w:id="31"/>
      <w:bookmarkEnd w:id="32"/>
    </w:p>
    <w:tbl>
      <w:tblPr>
        <w:tblW w:w="5000" w:type="pct"/>
        <w:tblLook w:val="04A0" w:firstRow="1" w:lastRow="0" w:firstColumn="1" w:lastColumn="0" w:noHBand="0" w:noVBand="1"/>
      </w:tblPr>
      <w:tblGrid>
        <w:gridCol w:w="4675"/>
        <w:gridCol w:w="4675"/>
      </w:tblGrid>
      <w:tr w:rsidR="008810D5" w:rsidRPr="00206792" w14:paraId="4E07AEC9" w14:textId="77777777" w:rsidTr="008810D5">
        <w:trPr>
          <w:trHeight w:val="20"/>
        </w:trPr>
        <w:tc>
          <w:tcPr>
            <w:tcW w:w="2500" w:type="pct"/>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hideMark/>
          </w:tcPr>
          <w:p w14:paraId="7817F98E" w14:textId="77777777" w:rsidR="008810D5" w:rsidRPr="00206792" w:rsidRDefault="008810D5" w:rsidP="008810D5">
            <w:pPr>
              <w:spacing w:line="240" w:lineRule="auto"/>
              <w:jc w:val="center"/>
              <w:rPr>
                <w:b/>
                <w:bCs/>
                <w:color w:val="000000"/>
              </w:rPr>
            </w:pPr>
            <w:r w:rsidRPr="00206792">
              <w:rPr>
                <w:b/>
                <w:bCs/>
                <w:color w:val="000000"/>
              </w:rPr>
              <w:t>Activities</w:t>
            </w:r>
          </w:p>
        </w:tc>
        <w:tc>
          <w:tcPr>
            <w:tcW w:w="2500" w:type="pct"/>
            <w:tcBorders>
              <w:top w:val="single" w:sz="4" w:space="0" w:color="auto"/>
              <w:left w:val="nil"/>
              <w:bottom w:val="single" w:sz="4" w:space="0" w:color="auto"/>
              <w:right w:val="single" w:sz="4" w:space="0" w:color="auto"/>
            </w:tcBorders>
            <w:shd w:val="clear" w:color="auto" w:fill="D9E2F3" w:themeFill="accent1" w:themeFillTint="33"/>
            <w:vAlign w:val="center"/>
            <w:hideMark/>
          </w:tcPr>
          <w:p w14:paraId="4ACDA389" w14:textId="77777777" w:rsidR="008810D5" w:rsidRPr="00206792" w:rsidRDefault="008810D5" w:rsidP="008810D5">
            <w:pPr>
              <w:spacing w:line="240" w:lineRule="auto"/>
              <w:jc w:val="center"/>
              <w:rPr>
                <w:b/>
                <w:bCs/>
                <w:color w:val="000000"/>
              </w:rPr>
            </w:pPr>
            <w:r w:rsidRPr="00206792">
              <w:rPr>
                <w:b/>
                <w:bCs/>
                <w:color w:val="000000"/>
              </w:rPr>
              <w:t>Output</w:t>
            </w:r>
          </w:p>
        </w:tc>
      </w:tr>
      <w:tr w:rsidR="008810D5" w:rsidRPr="00206792" w14:paraId="345DD2AB" w14:textId="77777777" w:rsidTr="008810D5">
        <w:trPr>
          <w:trHeight w:val="20"/>
        </w:trPr>
        <w:tc>
          <w:tcPr>
            <w:tcW w:w="2500" w:type="pct"/>
            <w:tcBorders>
              <w:top w:val="nil"/>
              <w:left w:val="single" w:sz="4" w:space="0" w:color="auto"/>
              <w:bottom w:val="single" w:sz="4" w:space="0" w:color="auto"/>
              <w:right w:val="single" w:sz="4" w:space="0" w:color="auto"/>
            </w:tcBorders>
            <w:shd w:val="clear" w:color="auto" w:fill="auto"/>
            <w:vAlign w:val="center"/>
            <w:hideMark/>
          </w:tcPr>
          <w:p w14:paraId="17C94411" w14:textId="77777777" w:rsidR="008810D5" w:rsidRPr="00206792" w:rsidRDefault="008810D5" w:rsidP="00076336">
            <w:pPr>
              <w:pStyle w:val="ListParagraph"/>
              <w:numPr>
                <w:ilvl w:val="0"/>
                <w:numId w:val="3"/>
              </w:numPr>
              <w:spacing w:line="240" w:lineRule="auto"/>
              <w:rPr>
                <w:color w:val="000000"/>
              </w:rPr>
            </w:pPr>
            <w:r w:rsidRPr="00206792">
              <w:rPr>
                <w:color w:val="000000"/>
              </w:rPr>
              <w:t>Analyze VR agency readiness and capacity to collect and report CPMs</w:t>
            </w:r>
          </w:p>
        </w:tc>
        <w:tc>
          <w:tcPr>
            <w:tcW w:w="2500" w:type="pct"/>
            <w:tcBorders>
              <w:top w:val="nil"/>
              <w:left w:val="nil"/>
              <w:bottom w:val="single" w:sz="4" w:space="0" w:color="auto"/>
              <w:right w:val="single" w:sz="4" w:space="0" w:color="auto"/>
            </w:tcBorders>
            <w:shd w:val="clear" w:color="auto" w:fill="auto"/>
            <w:vAlign w:val="center"/>
            <w:hideMark/>
          </w:tcPr>
          <w:p w14:paraId="1F44FAFF" w14:textId="77777777" w:rsidR="008810D5" w:rsidRPr="00206792" w:rsidRDefault="008810D5" w:rsidP="00076336">
            <w:pPr>
              <w:pStyle w:val="ListParagraph"/>
              <w:numPr>
                <w:ilvl w:val="0"/>
                <w:numId w:val="4"/>
              </w:numPr>
              <w:spacing w:line="240" w:lineRule="auto"/>
              <w:ind w:left="340"/>
              <w:rPr>
                <w:color w:val="000000"/>
              </w:rPr>
            </w:pPr>
            <w:r w:rsidRPr="00206792">
              <w:rPr>
                <w:color w:val="000000"/>
              </w:rPr>
              <w:t>Completed assessment with identified implementation strategies and timelines necessary to accurately track and report the RSA-911 data elements and the Common Performance Measures</w:t>
            </w:r>
          </w:p>
        </w:tc>
      </w:tr>
      <w:tr w:rsidR="008810D5" w:rsidRPr="00206792" w14:paraId="5F99DD33" w14:textId="77777777" w:rsidTr="008810D5">
        <w:trPr>
          <w:trHeight w:val="20"/>
        </w:trPr>
        <w:tc>
          <w:tcPr>
            <w:tcW w:w="2500" w:type="pct"/>
            <w:tcBorders>
              <w:top w:val="nil"/>
              <w:left w:val="single" w:sz="4" w:space="0" w:color="auto"/>
              <w:bottom w:val="single" w:sz="4" w:space="0" w:color="auto"/>
              <w:right w:val="single" w:sz="4" w:space="0" w:color="auto"/>
            </w:tcBorders>
            <w:shd w:val="clear" w:color="auto" w:fill="auto"/>
            <w:vAlign w:val="center"/>
            <w:hideMark/>
          </w:tcPr>
          <w:p w14:paraId="0E67AF49" w14:textId="77777777" w:rsidR="008810D5" w:rsidRPr="00206792" w:rsidRDefault="008810D5" w:rsidP="00076336">
            <w:pPr>
              <w:pStyle w:val="ListParagraph"/>
              <w:numPr>
                <w:ilvl w:val="0"/>
                <w:numId w:val="3"/>
              </w:numPr>
              <w:spacing w:line="240" w:lineRule="auto"/>
              <w:rPr>
                <w:color w:val="000000"/>
              </w:rPr>
            </w:pPr>
            <w:r w:rsidRPr="00206792">
              <w:rPr>
                <w:color w:val="000000"/>
              </w:rPr>
              <w:t>Review and/or develop/revise as needed policies and procedures for the tracking and reporting of 911 data elements and CPMs.</w:t>
            </w:r>
          </w:p>
        </w:tc>
        <w:tc>
          <w:tcPr>
            <w:tcW w:w="2500" w:type="pct"/>
            <w:tcBorders>
              <w:top w:val="nil"/>
              <w:left w:val="nil"/>
              <w:bottom w:val="single" w:sz="4" w:space="0" w:color="auto"/>
              <w:right w:val="single" w:sz="4" w:space="0" w:color="auto"/>
            </w:tcBorders>
            <w:shd w:val="clear" w:color="auto" w:fill="auto"/>
            <w:vAlign w:val="center"/>
            <w:hideMark/>
          </w:tcPr>
          <w:p w14:paraId="3ABC29BC" w14:textId="77777777" w:rsidR="008810D5" w:rsidRPr="00206792" w:rsidRDefault="008810D5" w:rsidP="00076336">
            <w:pPr>
              <w:pStyle w:val="ListParagraph"/>
              <w:numPr>
                <w:ilvl w:val="0"/>
                <w:numId w:val="4"/>
              </w:numPr>
              <w:spacing w:line="240" w:lineRule="auto"/>
              <w:ind w:left="340"/>
              <w:rPr>
                <w:color w:val="000000"/>
              </w:rPr>
            </w:pPr>
            <w:r w:rsidRPr="00206792">
              <w:rPr>
                <w:color w:val="000000"/>
              </w:rPr>
              <w:t>Completed draft policies and procedures for tracking and report.</w:t>
            </w:r>
          </w:p>
        </w:tc>
      </w:tr>
      <w:tr w:rsidR="008810D5" w:rsidRPr="00206792" w14:paraId="0048E593" w14:textId="77777777" w:rsidTr="008810D5">
        <w:trPr>
          <w:trHeight w:val="20"/>
        </w:trPr>
        <w:tc>
          <w:tcPr>
            <w:tcW w:w="2500" w:type="pct"/>
            <w:tcBorders>
              <w:top w:val="nil"/>
              <w:left w:val="single" w:sz="4" w:space="0" w:color="auto"/>
              <w:bottom w:val="single" w:sz="4" w:space="0" w:color="auto"/>
              <w:right w:val="single" w:sz="4" w:space="0" w:color="auto"/>
            </w:tcBorders>
            <w:shd w:val="clear" w:color="auto" w:fill="auto"/>
            <w:vAlign w:val="center"/>
            <w:hideMark/>
          </w:tcPr>
          <w:p w14:paraId="2CC7C771" w14:textId="77777777" w:rsidR="008810D5" w:rsidRPr="00206792" w:rsidRDefault="008810D5" w:rsidP="00076336">
            <w:pPr>
              <w:pStyle w:val="ListParagraph"/>
              <w:numPr>
                <w:ilvl w:val="0"/>
                <w:numId w:val="3"/>
              </w:numPr>
              <w:spacing w:line="240" w:lineRule="auto"/>
              <w:rPr>
                <w:color w:val="000000"/>
              </w:rPr>
            </w:pPr>
            <w:r w:rsidRPr="00206792">
              <w:rPr>
                <w:color w:val="000000"/>
              </w:rPr>
              <w:t xml:space="preserve">Review, develop and/or revise, as needed, internal controls necessary for WIOA, RSA-911, and CPMs </w:t>
            </w:r>
          </w:p>
        </w:tc>
        <w:tc>
          <w:tcPr>
            <w:tcW w:w="2500" w:type="pct"/>
            <w:tcBorders>
              <w:top w:val="nil"/>
              <w:left w:val="nil"/>
              <w:bottom w:val="single" w:sz="4" w:space="0" w:color="auto"/>
              <w:right w:val="single" w:sz="4" w:space="0" w:color="auto"/>
            </w:tcBorders>
            <w:shd w:val="clear" w:color="auto" w:fill="auto"/>
            <w:vAlign w:val="center"/>
            <w:hideMark/>
          </w:tcPr>
          <w:p w14:paraId="073B12B2" w14:textId="77777777" w:rsidR="008810D5" w:rsidRPr="00206792" w:rsidRDefault="008810D5" w:rsidP="00076336">
            <w:pPr>
              <w:pStyle w:val="ListParagraph"/>
              <w:numPr>
                <w:ilvl w:val="0"/>
                <w:numId w:val="4"/>
              </w:numPr>
              <w:spacing w:line="240" w:lineRule="auto"/>
              <w:ind w:left="340"/>
              <w:rPr>
                <w:color w:val="000000"/>
              </w:rPr>
            </w:pPr>
            <w:r w:rsidRPr="00206792">
              <w:rPr>
                <w:color w:val="000000"/>
              </w:rPr>
              <w:t>Completed draft internal controls written procedures</w:t>
            </w:r>
          </w:p>
        </w:tc>
      </w:tr>
      <w:tr w:rsidR="008810D5" w:rsidRPr="00206792" w14:paraId="3102E050" w14:textId="77777777" w:rsidTr="008810D5">
        <w:trPr>
          <w:trHeight w:val="20"/>
        </w:trPr>
        <w:tc>
          <w:tcPr>
            <w:tcW w:w="2500" w:type="pct"/>
            <w:tcBorders>
              <w:top w:val="nil"/>
              <w:left w:val="single" w:sz="4" w:space="0" w:color="auto"/>
              <w:bottom w:val="single" w:sz="4" w:space="0" w:color="auto"/>
              <w:right w:val="single" w:sz="4" w:space="0" w:color="auto"/>
            </w:tcBorders>
            <w:shd w:val="clear" w:color="auto" w:fill="auto"/>
            <w:vAlign w:val="center"/>
            <w:hideMark/>
          </w:tcPr>
          <w:p w14:paraId="079BE0A5" w14:textId="77777777" w:rsidR="008810D5" w:rsidRPr="00206792" w:rsidRDefault="008810D5" w:rsidP="00076336">
            <w:pPr>
              <w:pStyle w:val="ListParagraph"/>
              <w:numPr>
                <w:ilvl w:val="0"/>
                <w:numId w:val="3"/>
              </w:numPr>
              <w:spacing w:line="240" w:lineRule="auto"/>
              <w:rPr>
                <w:color w:val="000000"/>
              </w:rPr>
            </w:pPr>
            <w:r w:rsidRPr="00206792">
              <w:rPr>
                <w:color w:val="000000"/>
              </w:rPr>
              <w:t xml:space="preserve">Review and/or develop/revise as needed work performance standards for staff evaluation reflecting CPMs </w:t>
            </w:r>
          </w:p>
        </w:tc>
        <w:tc>
          <w:tcPr>
            <w:tcW w:w="2500" w:type="pct"/>
            <w:tcBorders>
              <w:top w:val="nil"/>
              <w:left w:val="nil"/>
              <w:bottom w:val="single" w:sz="4" w:space="0" w:color="auto"/>
              <w:right w:val="single" w:sz="4" w:space="0" w:color="auto"/>
            </w:tcBorders>
            <w:shd w:val="clear" w:color="auto" w:fill="auto"/>
            <w:vAlign w:val="center"/>
            <w:hideMark/>
          </w:tcPr>
          <w:p w14:paraId="0205BBD1" w14:textId="77777777" w:rsidR="008810D5" w:rsidRPr="00206792" w:rsidRDefault="008810D5" w:rsidP="00076336">
            <w:pPr>
              <w:pStyle w:val="ListParagraph"/>
              <w:numPr>
                <w:ilvl w:val="0"/>
                <w:numId w:val="4"/>
              </w:numPr>
              <w:spacing w:line="240" w:lineRule="auto"/>
              <w:ind w:left="340"/>
              <w:rPr>
                <w:color w:val="000000"/>
              </w:rPr>
            </w:pPr>
            <w:r w:rsidRPr="00206792">
              <w:rPr>
                <w:color w:val="000000"/>
              </w:rPr>
              <w:t>Completed draft policies and procedures for staff evaluations</w:t>
            </w:r>
          </w:p>
        </w:tc>
      </w:tr>
      <w:tr w:rsidR="008810D5" w:rsidRPr="00206792" w14:paraId="1E36CD87" w14:textId="77777777" w:rsidTr="008810D5">
        <w:trPr>
          <w:trHeight w:val="20"/>
        </w:trPr>
        <w:tc>
          <w:tcPr>
            <w:tcW w:w="2500" w:type="pct"/>
            <w:tcBorders>
              <w:top w:val="nil"/>
              <w:left w:val="single" w:sz="4" w:space="0" w:color="auto"/>
              <w:bottom w:val="single" w:sz="4" w:space="0" w:color="auto"/>
              <w:right w:val="single" w:sz="4" w:space="0" w:color="auto"/>
            </w:tcBorders>
            <w:shd w:val="clear" w:color="auto" w:fill="auto"/>
            <w:vAlign w:val="center"/>
            <w:hideMark/>
          </w:tcPr>
          <w:p w14:paraId="56642BC4" w14:textId="77777777" w:rsidR="008810D5" w:rsidRPr="00206792" w:rsidRDefault="008810D5" w:rsidP="00076336">
            <w:pPr>
              <w:pStyle w:val="ListParagraph"/>
              <w:numPr>
                <w:ilvl w:val="0"/>
                <w:numId w:val="3"/>
              </w:numPr>
              <w:spacing w:line="240" w:lineRule="auto"/>
              <w:rPr>
                <w:color w:val="000000"/>
              </w:rPr>
            </w:pPr>
            <w:r w:rsidRPr="00206792">
              <w:rPr>
                <w:color w:val="000000"/>
              </w:rPr>
              <w:t>Assist VR leadership in the development of a program improvement plan in response to the transition to the CPMs</w:t>
            </w:r>
          </w:p>
        </w:tc>
        <w:tc>
          <w:tcPr>
            <w:tcW w:w="2500" w:type="pct"/>
            <w:tcBorders>
              <w:top w:val="nil"/>
              <w:left w:val="nil"/>
              <w:bottom w:val="single" w:sz="4" w:space="0" w:color="auto"/>
              <w:right w:val="single" w:sz="4" w:space="0" w:color="auto"/>
            </w:tcBorders>
            <w:shd w:val="clear" w:color="auto" w:fill="auto"/>
            <w:vAlign w:val="center"/>
            <w:hideMark/>
          </w:tcPr>
          <w:p w14:paraId="5BEFEBD2" w14:textId="77777777" w:rsidR="008810D5" w:rsidRPr="00206792" w:rsidRDefault="008810D5" w:rsidP="00076336">
            <w:pPr>
              <w:pStyle w:val="ListParagraph"/>
              <w:numPr>
                <w:ilvl w:val="0"/>
                <w:numId w:val="4"/>
              </w:numPr>
              <w:spacing w:line="240" w:lineRule="auto"/>
              <w:ind w:left="340"/>
              <w:rPr>
                <w:color w:val="000000"/>
              </w:rPr>
            </w:pPr>
            <w:r w:rsidRPr="00206792">
              <w:rPr>
                <w:color w:val="000000"/>
              </w:rPr>
              <w:t>Completed plan with identified future implementation needs, as they relate to Common Performance Measures</w:t>
            </w:r>
          </w:p>
        </w:tc>
      </w:tr>
      <w:tr w:rsidR="008810D5" w:rsidRPr="00206792" w14:paraId="13CE3619" w14:textId="77777777" w:rsidTr="008810D5">
        <w:trPr>
          <w:trHeight w:val="20"/>
        </w:trPr>
        <w:tc>
          <w:tcPr>
            <w:tcW w:w="250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7777FA5" w14:textId="77777777" w:rsidR="008810D5" w:rsidRPr="00206792" w:rsidRDefault="008810D5" w:rsidP="00076336">
            <w:pPr>
              <w:pStyle w:val="ListParagraph"/>
              <w:numPr>
                <w:ilvl w:val="0"/>
                <w:numId w:val="3"/>
              </w:numPr>
              <w:spacing w:line="240" w:lineRule="auto"/>
              <w:rPr>
                <w:color w:val="000000"/>
              </w:rPr>
            </w:pPr>
            <w:r w:rsidRPr="00206792">
              <w:rPr>
                <w:color w:val="000000"/>
              </w:rPr>
              <w:t>Provide training to agency staff, with regard to CPM and 911 definitions and connections between 911 quarterly reports, CPM requirements, and impacts on the rehabilitation process and systems</w:t>
            </w:r>
          </w:p>
        </w:tc>
        <w:tc>
          <w:tcPr>
            <w:tcW w:w="250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E68C158" w14:textId="77777777" w:rsidR="008810D5" w:rsidRPr="00206792" w:rsidRDefault="008810D5" w:rsidP="00076336">
            <w:pPr>
              <w:pStyle w:val="ListParagraph"/>
              <w:numPr>
                <w:ilvl w:val="0"/>
                <w:numId w:val="4"/>
              </w:numPr>
              <w:spacing w:line="240" w:lineRule="auto"/>
              <w:ind w:left="340"/>
              <w:rPr>
                <w:color w:val="000000"/>
              </w:rPr>
            </w:pPr>
            <w:r w:rsidRPr="00206792">
              <w:rPr>
                <w:color w:val="000000"/>
              </w:rPr>
              <w:t>Number of people trained.</w:t>
            </w:r>
          </w:p>
        </w:tc>
      </w:tr>
      <w:tr w:rsidR="008810D5" w:rsidRPr="00206792" w14:paraId="3F88EECC" w14:textId="77777777" w:rsidTr="008810D5">
        <w:trPr>
          <w:trHeight w:val="20"/>
        </w:trPr>
        <w:tc>
          <w:tcPr>
            <w:tcW w:w="5000" w:type="pct"/>
            <w:gridSpan w:val="2"/>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tcPr>
          <w:p w14:paraId="68FE0A90" w14:textId="77777777" w:rsidR="008810D5" w:rsidRPr="00206792" w:rsidRDefault="008810D5" w:rsidP="008810D5">
            <w:pPr>
              <w:spacing w:line="240" w:lineRule="auto"/>
              <w:jc w:val="center"/>
              <w:rPr>
                <w:b/>
                <w:color w:val="000000"/>
              </w:rPr>
            </w:pPr>
            <w:r w:rsidRPr="00206792">
              <w:rPr>
                <w:b/>
                <w:color w:val="000000"/>
              </w:rPr>
              <w:t>Short-Term Outcomes</w:t>
            </w:r>
          </w:p>
          <w:p w14:paraId="74E819F7" w14:textId="77777777" w:rsidR="008810D5" w:rsidRPr="00206792" w:rsidRDefault="008810D5" w:rsidP="00076336">
            <w:pPr>
              <w:pStyle w:val="ListParagraph"/>
              <w:numPr>
                <w:ilvl w:val="0"/>
                <w:numId w:val="2"/>
              </w:numPr>
              <w:spacing w:after="0" w:line="240" w:lineRule="auto"/>
              <w:rPr>
                <w:color w:val="000000"/>
              </w:rPr>
            </w:pPr>
            <w:r w:rsidRPr="00206792">
              <w:rPr>
                <w:color w:val="000000"/>
              </w:rPr>
              <w:t>SVRA accurately report the RSA 911 data elements necessary for the common performance measures</w:t>
            </w:r>
          </w:p>
          <w:p w14:paraId="073908E7" w14:textId="77777777" w:rsidR="008810D5" w:rsidRPr="00206792" w:rsidRDefault="008810D5" w:rsidP="00076336">
            <w:pPr>
              <w:pStyle w:val="ListParagraph"/>
              <w:numPr>
                <w:ilvl w:val="0"/>
                <w:numId w:val="2"/>
              </w:numPr>
              <w:spacing w:after="0" w:line="240" w:lineRule="auto"/>
              <w:rPr>
                <w:color w:val="000000"/>
              </w:rPr>
            </w:pPr>
            <w:r w:rsidRPr="00206792">
              <w:rPr>
                <w:color w:val="000000"/>
              </w:rPr>
              <w:t>SVRA successfully collects and reports data required for baseline year information and future target negotiations</w:t>
            </w:r>
          </w:p>
          <w:p w14:paraId="3217363F" w14:textId="77777777" w:rsidR="008810D5" w:rsidRPr="00206792" w:rsidRDefault="008810D5" w:rsidP="00076336">
            <w:pPr>
              <w:pStyle w:val="ListParagraph"/>
              <w:numPr>
                <w:ilvl w:val="0"/>
                <w:numId w:val="2"/>
              </w:numPr>
              <w:spacing w:after="0" w:line="240" w:lineRule="auto"/>
              <w:rPr>
                <w:color w:val="000000"/>
              </w:rPr>
            </w:pPr>
            <w:r w:rsidRPr="00206792">
              <w:rPr>
                <w:color w:val="000000"/>
              </w:rPr>
              <w:t>SVRA successfully meet or exceed Common Performance Measure targets</w:t>
            </w:r>
          </w:p>
        </w:tc>
      </w:tr>
    </w:tbl>
    <w:p w14:paraId="033DCEC5" w14:textId="77777777" w:rsidR="008810D5" w:rsidRDefault="008810D5" w:rsidP="008810D5">
      <w:r>
        <w:br w:type="page"/>
      </w:r>
    </w:p>
    <w:p w14:paraId="75321A0E" w14:textId="77777777" w:rsidR="008810D5" w:rsidRDefault="008810D5" w:rsidP="00BA0D82">
      <w:pPr>
        <w:pStyle w:val="Heading2"/>
        <w:numPr>
          <w:ilvl w:val="0"/>
          <w:numId w:val="0"/>
        </w:numPr>
      </w:pPr>
      <w:bookmarkStart w:id="33" w:name="_Toc27904583"/>
      <w:bookmarkStart w:id="34" w:name="_Toc28011422"/>
      <w:r>
        <w:lastRenderedPageBreak/>
        <w:t>CPMs: ACTIVITIES &amp; OUTPUTS PROGRESS DASHBOARDS</w:t>
      </w:r>
      <w:bookmarkEnd w:id="33"/>
      <w:bookmarkEnd w:id="34"/>
    </w:p>
    <w:p w14:paraId="1E1E77A9" w14:textId="77777777" w:rsidR="008810D5" w:rsidRDefault="008810D5" w:rsidP="008810D5">
      <w:pPr>
        <w:spacing w:line="240" w:lineRule="auto"/>
      </w:pPr>
      <w:r>
        <w:rPr>
          <w:noProof/>
          <w:lang w:eastAsia="ko-KR"/>
        </w:rPr>
        <w:drawing>
          <wp:inline distT="0" distB="0" distL="0" distR="0" wp14:anchorId="355E5B3A" wp14:editId="7FDE915D">
            <wp:extent cx="5943600" cy="2878372"/>
            <wp:effectExtent l="0" t="0" r="0" b="17780"/>
            <wp:docPr id="52" name="Chart 52" descr="progress common performance measures activities">
              <a:extLst xmlns:a="http://schemas.openxmlformats.org/drawingml/2006/main">
                <a:ext uri="{FF2B5EF4-FFF2-40B4-BE49-F238E27FC236}">
                  <a16:creationId xmlns:a16="http://schemas.microsoft.com/office/drawing/2014/main" id="{6035C3E8-A38C-4B9C-92D0-A41A6168367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6"/>
              </a:graphicData>
            </a:graphic>
          </wp:inline>
        </w:drawing>
      </w:r>
    </w:p>
    <w:p w14:paraId="11E16072" w14:textId="77777777" w:rsidR="008810D5" w:rsidRDefault="008810D5" w:rsidP="008810D5">
      <w:pPr>
        <w:spacing w:line="240" w:lineRule="auto"/>
        <w:sectPr w:rsidR="008810D5" w:rsidSect="00D27D05">
          <w:headerReference w:type="even" r:id="rId157"/>
          <w:headerReference w:type="default" r:id="rId158"/>
          <w:footerReference w:type="even" r:id="rId159"/>
          <w:footerReference w:type="default" r:id="rId160"/>
          <w:headerReference w:type="first" r:id="rId161"/>
          <w:footerReference w:type="first" r:id="rId162"/>
          <w:pgSz w:w="12240" w:h="15840"/>
          <w:pgMar w:top="1440" w:right="1440" w:bottom="1440" w:left="1440" w:header="720" w:footer="720" w:gutter="0"/>
          <w:pgBorders w:offsetFrom="page">
            <w:top w:val="thinThickSmallGap" w:sz="24" w:space="24" w:color="2F5496" w:themeColor="accent1" w:themeShade="BF"/>
            <w:left w:val="thinThickSmallGap" w:sz="24" w:space="24" w:color="2F5496" w:themeColor="accent1" w:themeShade="BF"/>
            <w:bottom w:val="thickThinSmallGap" w:sz="24" w:space="24" w:color="2F5496" w:themeColor="accent1" w:themeShade="BF"/>
            <w:right w:val="thickThinSmallGap" w:sz="24" w:space="24" w:color="2F5496" w:themeColor="accent1" w:themeShade="BF"/>
          </w:pgBorders>
          <w:cols w:space="720"/>
          <w:docGrid w:linePitch="360"/>
        </w:sectPr>
      </w:pPr>
    </w:p>
    <w:p w14:paraId="0E3DA4EC" w14:textId="2DB42F15" w:rsidR="008810D5" w:rsidRDefault="008F5E6D" w:rsidP="00E15610">
      <w:pPr>
        <w:spacing w:line="240" w:lineRule="auto"/>
        <w:ind w:firstLine="720"/>
      </w:pPr>
      <w:r w:rsidRPr="008F5E6D">
        <w:t>Two-fifths of activities are complete or more than 75% complete; the rest of the activities are split into one-fifths as 50% complete, 10-25% complete, and not yet started.</w:t>
      </w:r>
    </w:p>
    <w:p w14:paraId="6DECAB5A" w14:textId="77777777" w:rsidR="008810D5" w:rsidRDefault="008810D5" w:rsidP="008810D5">
      <w:pPr>
        <w:spacing w:line="240" w:lineRule="auto"/>
        <w:sectPr w:rsidR="008810D5" w:rsidSect="00D27D05">
          <w:type w:val="continuous"/>
          <w:pgSz w:w="12240" w:h="15840"/>
          <w:pgMar w:top="1440" w:right="1440" w:bottom="1440" w:left="1440" w:header="720" w:footer="720" w:gutter="0"/>
          <w:pgBorders w:offsetFrom="page">
            <w:top w:val="thinThickSmallGap" w:sz="24" w:space="24" w:color="2F5496" w:themeColor="accent1" w:themeShade="BF"/>
            <w:left w:val="thinThickSmallGap" w:sz="24" w:space="24" w:color="2F5496" w:themeColor="accent1" w:themeShade="BF"/>
            <w:bottom w:val="thickThinSmallGap" w:sz="24" w:space="24" w:color="2F5496" w:themeColor="accent1" w:themeShade="BF"/>
            <w:right w:val="thickThinSmallGap" w:sz="24" w:space="24" w:color="2F5496" w:themeColor="accent1" w:themeShade="BF"/>
          </w:pgBorders>
          <w:cols w:space="720"/>
          <w:docGrid w:linePitch="360"/>
        </w:sectPr>
      </w:pPr>
    </w:p>
    <w:p w14:paraId="2B768FB0" w14:textId="77777777" w:rsidR="008810D5" w:rsidRDefault="008810D5" w:rsidP="008810D5">
      <w:r>
        <w:rPr>
          <w:noProof/>
          <w:lang w:eastAsia="ko-KR"/>
        </w:rPr>
        <w:lastRenderedPageBreak/>
        <w:drawing>
          <wp:inline distT="0" distB="0" distL="0" distR="0" wp14:anchorId="187BA010" wp14:editId="6CB9B3EA">
            <wp:extent cx="2828926" cy="5064402"/>
            <wp:effectExtent l="0" t="0" r="9525" b="3175"/>
            <wp:docPr id="8" name="Chart 8" descr="Activity one chart for CPM" title="CPM Chart">
              <a:extLst xmlns:a="http://schemas.openxmlformats.org/drawingml/2006/main">
                <a:ext uri="{FF2B5EF4-FFF2-40B4-BE49-F238E27FC236}">
                  <a16:creationId xmlns:a16="http://schemas.microsoft.com/office/drawing/2014/main" id="{8AC026ED-225B-40F2-90F6-286029496C14}"/>
                </a:ex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3"/>
              </a:graphicData>
            </a:graphic>
          </wp:inline>
        </w:drawing>
      </w:r>
    </w:p>
    <w:p w14:paraId="7E730D4E" w14:textId="77777777" w:rsidR="008810D5" w:rsidRPr="00B7111B" w:rsidRDefault="008810D5" w:rsidP="008810D5">
      <w:pPr>
        <w:rPr>
          <w:rFonts w:cstheme="minorHAnsi"/>
        </w:rPr>
      </w:pPr>
      <w:r w:rsidRPr="00B7111B">
        <w:rPr>
          <w:rFonts w:cstheme="minorHAnsi"/>
          <w:b/>
          <w:bCs/>
        </w:rPr>
        <w:t>Activity 1:</w:t>
      </w:r>
      <w:r w:rsidRPr="00B7111B">
        <w:rPr>
          <w:rFonts w:cstheme="minorHAnsi"/>
        </w:rPr>
        <w:t xml:space="preserve"> Analyze VR agency readiness and capacity to collect and report CPMs</w:t>
      </w:r>
      <w:r w:rsidRPr="00B7111B">
        <w:rPr>
          <w:rFonts w:cstheme="minorHAnsi"/>
        </w:rPr>
        <w:tab/>
      </w:r>
    </w:p>
    <w:p w14:paraId="1ED25649" w14:textId="77777777" w:rsidR="008810D5" w:rsidRPr="00B7111B" w:rsidRDefault="008810D5" w:rsidP="008810D5">
      <w:pPr>
        <w:rPr>
          <w:rFonts w:cstheme="minorHAnsi"/>
        </w:rPr>
      </w:pPr>
      <w:r w:rsidRPr="00B7111B">
        <w:rPr>
          <w:rFonts w:cstheme="minorHAnsi"/>
          <w:b/>
          <w:bCs/>
        </w:rPr>
        <w:t>Output A:</w:t>
      </w:r>
      <w:r w:rsidRPr="00B7111B">
        <w:rPr>
          <w:rFonts w:cstheme="minorHAnsi"/>
        </w:rPr>
        <w:t xml:space="preserve"> Completed assessment with identified implementation strategies and timelines necessary to accurately track and report the RSA-911 data elements and the Common Performance Measures</w:t>
      </w:r>
      <w:r>
        <w:rPr>
          <w:rFonts w:cstheme="minorHAnsi"/>
        </w:rPr>
        <w:t>.</w:t>
      </w:r>
    </w:p>
    <w:p w14:paraId="0644E632" w14:textId="77777777" w:rsidR="008810D5" w:rsidRPr="00B7111B" w:rsidRDefault="008810D5" w:rsidP="008810D5">
      <w:pPr>
        <w:rPr>
          <w:rFonts w:cstheme="minorHAnsi"/>
        </w:rPr>
      </w:pPr>
      <w:r w:rsidRPr="00B7111B">
        <w:rPr>
          <w:rFonts w:cstheme="minorHAnsi"/>
          <w:noProof/>
          <w:lang w:eastAsia="ko-KR"/>
        </w:rPr>
        <w:drawing>
          <wp:inline distT="0" distB="0" distL="0" distR="0" wp14:anchorId="0CD38E0A" wp14:editId="082F26F0">
            <wp:extent cx="2828926" cy="5064402"/>
            <wp:effectExtent l="0" t="0" r="9525" b="3175"/>
            <wp:docPr id="53" name="Chart 53" descr="Progress on activity 2 for CPM" title="CPM Chart Activity 2">
              <a:extLst xmlns:a="http://schemas.openxmlformats.org/drawingml/2006/main">
                <a:ext uri="{FF2B5EF4-FFF2-40B4-BE49-F238E27FC236}">
                  <a16:creationId xmlns:a16="http://schemas.microsoft.com/office/drawing/2014/main" id="{138D6B5F-9088-4E36-A7C4-CF93F0E2CA95}"/>
                </a:ex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4"/>
              </a:graphicData>
            </a:graphic>
          </wp:inline>
        </w:drawing>
      </w:r>
    </w:p>
    <w:p w14:paraId="1C3FBE12" w14:textId="77777777" w:rsidR="008810D5" w:rsidRPr="00B7111B" w:rsidRDefault="008810D5" w:rsidP="008810D5">
      <w:pPr>
        <w:rPr>
          <w:rFonts w:cstheme="minorHAnsi"/>
        </w:rPr>
      </w:pPr>
      <w:r w:rsidRPr="00B7111B">
        <w:rPr>
          <w:rFonts w:cstheme="minorHAnsi"/>
          <w:b/>
          <w:bCs/>
        </w:rPr>
        <w:t>Activity 2:</w:t>
      </w:r>
      <w:r w:rsidRPr="00B7111B">
        <w:rPr>
          <w:rFonts w:cstheme="minorHAnsi"/>
        </w:rPr>
        <w:t xml:space="preserve"> Review and/or develop/revise as needed policies and procedures for the tracking and reporting of 911 data elements and CPMs.</w:t>
      </w:r>
      <w:r w:rsidRPr="00B7111B">
        <w:rPr>
          <w:rFonts w:cstheme="minorHAnsi"/>
        </w:rPr>
        <w:tab/>
      </w:r>
    </w:p>
    <w:p w14:paraId="546B6AF7" w14:textId="77777777" w:rsidR="008810D5" w:rsidRPr="00B7111B" w:rsidRDefault="008810D5" w:rsidP="008810D5">
      <w:pPr>
        <w:rPr>
          <w:rFonts w:cstheme="minorHAnsi"/>
        </w:rPr>
      </w:pPr>
      <w:r w:rsidRPr="00B7111B">
        <w:rPr>
          <w:rFonts w:cstheme="minorHAnsi"/>
          <w:b/>
          <w:bCs/>
        </w:rPr>
        <w:t>Output B:</w:t>
      </w:r>
      <w:r w:rsidRPr="00B7111B">
        <w:rPr>
          <w:rFonts w:cstheme="minorHAnsi"/>
        </w:rPr>
        <w:t xml:space="preserve"> Completed draft policies and procedures for tracking and report.</w:t>
      </w:r>
    </w:p>
    <w:p w14:paraId="37F368F0" w14:textId="77777777" w:rsidR="008810D5" w:rsidRPr="00B7111B" w:rsidRDefault="008810D5" w:rsidP="008810D5">
      <w:pPr>
        <w:rPr>
          <w:rFonts w:cstheme="minorHAnsi"/>
        </w:rPr>
      </w:pPr>
      <w:r w:rsidRPr="00B7111B">
        <w:rPr>
          <w:rFonts w:cstheme="minorHAnsi"/>
          <w:noProof/>
          <w:lang w:eastAsia="ko-KR"/>
        </w:rPr>
        <w:lastRenderedPageBreak/>
        <w:drawing>
          <wp:inline distT="0" distB="0" distL="0" distR="0" wp14:anchorId="3F4BC261" wp14:editId="7B7108D7">
            <wp:extent cx="2828926" cy="5064402"/>
            <wp:effectExtent l="0" t="0" r="9525" b="3175"/>
            <wp:docPr id="54" name="Chart 54" descr="CPM Activity 3 progress">
              <a:extLst xmlns:a="http://schemas.openxmlformats.org/drawingml/2006/main">
                <a:ext uri="{FF2B5EF4-FFF2-40B4-BE49-F238E27FC236}">
                  <a16:creationId xmlns:a16="http://schemas.microsoft.com/office/drawing/2014/main" id="{7E8790E9-27DB-4FC6-8C50-E413FF2E4EBF}"/>
                </a:ex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5"/>
              </a:graphicData>
            </a:graphic>
          </wp:inline>
        </w:drawing>
      </w:r>
    </w:p>
    <w:p w14:paraId="100D858C" w14:textId="77777777" w:rsidR="008810D5" w:rsidRPr="00B7111B" w:rsidRDefault="008810D5" w:rsidP="008810D5">
      <w:pPr>
        <w:rPr>
          <w:rFonts w:cstheme="minorHAnsi"/>
        </w:rPr>
      </w:pPr>
      <w:r w:rsidRPr="00B7111B">
        <w:rPr>
          <w:rFonts w:cstheme="minorHAnsi"/>
          <w:b/>
          <w:bCs/>
        </w:rPr>
        <w:t>Activity 3:</w:t>
      </w:r>
      <w:r w:rsidRPr="00B7111B">
        <w:rPr>
          <w:rFonts w:cstheme="minorHAnsi"/>
        </w:rPr>
        <w:t xml:space="preserve"> Review, develop and/or revise, as needed, internal controls necessary for WIOA, RSA-911, and CPMs. </w:t>
      </w:r>
    </w:p>
    <w:p w14:paraId="71C914D6" w14:textId="77777777" w:rsidR="008810D5" w:rsidRPr="00B7111B" w:rsidRDefault="008810D5" w:rsidP="008810D5">
      <w:pPr>
        <w:rPr>
          <w:rFonts w:cstheme="minorHAnsi"/>
        </w:rPr>
      </w:pPr>
      <w:r w:rsidRPr="00B7111B">
        <w:rPr>
          <w:rFonts w:cstheme="minorHAnsi"/>
          <w:b/>
          <w:bCs/>
        </w:rPr>
        <w:t xml:space="preserve">Output C: </w:t>
      </w:r>
      <w:r w:rsidRPr="00B7111B">
        <w:rPr>
          <w:rFonts w:cstheme="minorHAnsi"/>
        </w:rPr>
        <w:t>Completed draft internal controls written procedures.</w:t>
      </w:r>
    </w:p>
    <w:p w14:paraId="4A3152CC" w14:textId="77777777" w:rsidR="008810D5" w:rsidRPr="00B7111B" w:rsidRDefault="008810D5" w:rsidP="008810D5">
      <w:pPr>
        <w:rPr>
          <w:rFonts w:cstheme="minorHAnsi"/>
        </w:rPr>
      </w:pPr>
      <w:r w:rsidRPr="00B7111B">
        <w:rPr>
          <w:rFonts w:cstheme="minorHAnsi"/>
          <w:noProof/>
          <w:lang w:eastAsia="ko-KR"/>
        </w:rPr>
        <w:drawing>
          <wp:inline distT="0" distB="0" distL="0" distR="0" wp14:anchorId="6136B349" wp14:editId="74F46F36">
            <wp:extent cx="2828926" cy="5064402"/>
            <wp:effectExtent l="0" t="0" r="9525" b="3175"/>
            <wp:docPr id="55" name="Chart 55" descr="CPM Activity 4 progress chart">
              <a:extLst xmlns:a="http://schemas.openxmlformats.org/drawingml/2006/main">
                <a:ext uri="{FF2B5EF4-FFF2-40B4-BE49-F238E27FC236}">
                  <a16:creationId xmlns:a16="http://schemas.microsoft.com/office/drawing/2014/main" id="{A95167F2-04B7-426B-9497-B4C54152A2BB}"/>
                </a:ex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6"/>
              </a:graphicData>
            </a:graphic>
          </wp:inline>
        </w:drawing>
      </w:r>
    </w:p>
    <w:p w14:paraId="61423C17" w14:textId="77777777" w:rsidR="008810D5" w:rsidRPr="00B7111B" w:rsidRDefault="008810D5" w:rsidP="008810D5">
      <w:pPr>
        <w:rPr>
          <w:rFonts w:cstheme="minorHAnsi"/>
        </w:rPr>
      </w:pPr>
      <w:r w:rsidRPr="00B7111B">
        <w:rPr>
          <w:rFonts w:cstheme="minorHAnsi"/>
          <w:b/>
          <w:bCs/>
        </w:rPr>
        <w:t>Activity 4:</w:t>
      </w:r>
      <w:r w:rsidRPr="00B7111B">
        <w:rPr>
          <w:rFonts w:cstheme="minorHAnsi"/>
        </w:rPr>
        <w:t xml:space="preserve"> Review and/or develop/revise as needed work performance standards for staff evaluation reflecting CPMs. </w:t>
      </w:r>
      <w:r w:rsidRPr="00B7111B">
        <w:rPr>
          <w:rFonts w:cstheme="minorHAnsi"/>
        </w:rPr>
        <w:tab/>
      </w:r>
    </w:p>
    <w:p w14:paraId="45083258" w14:textId="77777777" w:rsidR="008810D5" w:rsidRPr="00B7111B" w:rsidRDefault="008810D5" w:rsidP="008810D5">
      <w:pPr>
        <w:rPr>
          <w:rFonts w:cstheme="minorHAnsi"/>
        </w:rPr>
      </w:pPr>
      <w:r w:rsidRPr="00B7111B">
        <w:rPr>
          <w:rFonts w:cstheme="minorHAnsi"/>
          <w:b/>
          <w:bCs/>
        </w:rPr>
        <w:t>Output D:</w:t>
      </w:r>
      <w:r w:rsidRPr="00B7111B">
        <w:rPr>
          <w:rFonts w:cstheme="minorHAnsi"/>
        </w:rPr>
        <w:t xml:space="preserve"> Completed draft policies and procedures for staff evaluations.</w:t>
      </w:r>
    </w:p>
    <w:p w14:paraId="66803AB3" w14:textId="77777777" w:rsidR="008810D5" w:rsidRPr="00B7111B" w:rsidRDefault="008810D5" w:rsidP="008810D5">
      <w:pPr>
        <w:rPr>
          <w:rFonts w:cstheme="minorHAnsi"/>
        </w:rPr>
      </w:pPr>
      <w:r w:rsidRPr="00B7111B">
        <w:rPr>
          <w:rFonts w:cstheme="minorHAnsi"/>
          <w:noProof/>
          <w:lang w:eastAsia="ko-KR"/>
        </w:rPr>
        <w:lastRenderedPageBreak/>
        <w:drawing>
          <wp:inline distT="0" distB="0" distL="0" distR="0" wp14:anchorId="3E13C540" wp14:editId="48E774F1">
            <wp:extent cx="2828926" cy="5064402"/>
            <wp:effectExtent l="0" t="0" r="9525" b="3175"/>
            <wp:docPr id="56" name="Chart 56" descr="CPM Activity 5 progress">
              <a:extLst xmlns:a="http://schemas.openxmlformats.org/drawingml/2006/main">
                <a:ext uri="{FF2B5EF4-FFF2-40B4-BE49-F238E27FC236}">
                  <a16:creationId xmlns:a16="http://schemas.microsoft.com/office/drawing/2014/main" id="{9866655D-2A45-45B1-B066-96D28BCCB827}"/>
                </a:ex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7"/>
              </a:graphicData>
            </a:graphic>
          </wp:inline>
        </w:drawing>
      </w:r>
    </w:p>
    <w:p w14:paraId="6058D1F9" w14:textId="77777777" w:rsidR="008810D5" w:rsidRPr="00B7111B" w:rsidRDefault="008810D5" w:rsidP="008810D5">
      <w:pPr>
        <w:rPr>
          <w:rFonts w:cstheme="minorHAnsi"/>
        </w:rPr>
      </w:pPr>
      <w:r w:rsidRPr="00B7111B">
        <w:rPr>
          <w:rFonts w:cstheme="minorHAnsi"/>
          <w:b/>
          <w:bCs/>
        </w:rPr>
        <w:t>Activity 5:</w:t>
      </w:r>
      <w:r w:rsidRPr="00B7111B">
        <w:rPr>
          <w:rFonts w:cstheme="minorHAnsi"/>
        </w:rPr>
        <w:t xml:space="preserve"> Assist VR leadership in the development of a program improvement plan in response to the transition to the CPMs.</w:t>
      </w:r>
      <w:r w:rsidRPr="00B7111B">
        <w:rPr>
          <w:rFonts w:cstheme="minorHAnsi"/>
        </w:rPr>
        <w:tab/>
      </w:r>
    </w:p>
    <w:p w14:paraId="4A7C1B58" w14:textId="77777777" w:rsidR="008810D5" w:rsidRPr="00B7111B" w:rsidRDefault="008810D5" w:rsidP="008810D5">
      <w:pPr>
        <w:rPr>
          <w:rFonts w:cstheme="minorHAnsi"/>
        </w:rPr>
      </w:pPr>
      <w:r w:rsidRPr="00B7111B">
        <w:rPr>
          <w:rFonts w:cstheme="minorHAnsi"/>
          <w:b/>
          <w:bCs/>
        </w:rPr>
        <w:t>Output E:</w:t>
      </w:r>
      <w:r>
        <w:rPr>
          <w:rFonts w:cstheme="minorHAnsi"/>
          <w:b/>
          <w:bCs/>
        </w:rPr>
        <w:t xml:space="preserve"> </w:t>
      </w:r>
      <w:r w:rsidRPr="00B7111B">
        <w:rPr>
          <w:rFonts w:cstheme="minorHAnsi"/>
        </w:rPr>
        <w:t>Completed plan with identified future implementation needs, as they relate to Common Performance Measures.</w:t>
      </w:r>
    </w:p>
    <w:p w14:paraId="1631C94D" w14:textId="77777777" w:rsidR="008810D5" w:rsidRPr="00B7111B" w:rsidRDefault="008810D5" w:rsidP="008810D5">
      <w:pPr>
        <w:rPr>
          <w:rFonts w:cstheme="minorHAnsi"/>
        </w:rPr>
      </w:pPr>
      <w:r w:rsidRPr="00B7111B">
        <w:rPr>
          <w:rFonts w:cstheme="minorHAnsi"/>
          <w:noProof/>
          <w:lang w:eastAsia="ko-KR"/>
        </w:rPr>
        <w:drawing>
          <wp:inline distT="0" distB="0" distL="0" distR="0" wp14:anchorId="15CC16DC" wp14:editId="1FF55FE2">
            <wp:extent cx="2828926" cy="5064402"/>
            <wp:effectExtent l="0" t="0" r="9525" b="3175"/>
            <wp:docPr id="57" name="Chart 57" descr="CPM activity 6 progress">
              <a:extLst xmlns:a="http://schemas.openxmlformats.org/drawingml/2006/main">
                <a:ext uri="{FF2B5EF4-FFF2-40B4-BE49-F238E27FC236}">
                  <a16:creationId xmlns:a16="http://schemas.microsoft.com/office/drawing/2014/main" id="{963C7F03-139D-4AF3-A605-0BE5D4D7630F}"/>
                </a:ex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8"/>
              </a:graphicData>
            </a:graphic>
          </wp:inline>
        </w:drawing>
      </w:r>
    </w:p>
    <w:p w14:paraId="0F0449A5" w14:textId="77777777" w:rsidR="008810D5" w:rsidRPr="00B7111B" w:rsidRDefault="008810D5" w:rsidP="008810D5">
      <w:pPr>
        <w:rPr>
          <w:rFonts w:cstheme="minorHAnsi"/>
        </w:rPr>
      </w:pPr>
      <w:r w:rsidRPr="00B7111B">
        <w:rPr>
          <w:rFonts w:cstheme="minorHAnsi"/>
          <w:b/>
          <w:bCs/>
        </w:rPr>
        <w:t>Activity 6:</w:t>
      </w:r>
      <w:r w:rsidRPr="00B7111B">
        <w:rPr>
          <w:rFonts w:cstheme="minorHAnsi"/>
        </w:rPr>
        <w:t xml:space="preserve"> Provide training to agency staff, with regard to CPM and 911 definitions and connections between 911 quarterly reports, CPM requirements, and impacts on the rehabilitation process and systems.</w:t>
      </w:r>
      <w:r w:rsidRPr="00B7111B">
        <w:rPr>
          <w:rFonts w:cstheme="minorHAnsi"/>
        </w:rPr>
        <w:tab/>
      </w:r>
    </w:p>
    <w:p w14:paraId="3289FB09" w14:textId="77777777" w:rsidR="008810D5" w:rsidRPr="00B7111B" w:rsidRDefault="008810D5" w:rsidP="008810D5">
      <w:pPr>
        <w:rPr>
          <w:rFonts w:cstheme="minorHAnsi"/>
        </w:rPr>
      </w:pPr>
      <w:r w:rsidRPr="00B7111B">
        <w:rPr>
          <w:rFonts w:cstheme="minorHAnsi"/>
          <w:b/>
          <w:bCs/>
        </w:rPr>
        <w:t>Output F:</w:t>
      </w:r>
      <w:r w:rsidRPr="00B7111B">
        <w:rPr>
          <w:rFonts w:cstheme="minorHAnsi"/>
        </w:rPr>
        <w:t xml:space="preserve"> Number of people trained.</w:t>
      </w:r>
    </w:p>
    <w:p w14:paraId="727055AB" w14:textId="77777777" w:rsidR="008810D5" w:rsidRPr="00B7111B" w:rsidRDefault="008810D5" w:rsidP="008810D5">
      <w:pPr>
        <w:rPr>
          <w:rFonts w:cstheme="minorHAnsi"/>
        </w:rPr>
      </w:pPr>
      <w:r w:rsidRPr="00B7111B">
        <w:rPr>
          <w:rFonts w:cstheme="minorHAnsi"/>
          <w:noProof/>
          <w:lang w:eastAsia="ko-KR"/>
        </w:rPr>
        <w:lastRenderedPageBreak/>
        <mc:AlternateContent>
          <mc:Choice Requires="wps">
            <w:drawing>
              <wp:anchor distT="0" distB="0" distL="114300" distR="114300" simplePos="0" relativeHeight="251663360" behindDoc="0" locked="0" layoutInCell="1" allowOverlap="1" wp14:anchorId="7917171D" wp14:editId="7DBBC636">
                <wp:simplePos x="0" y="0"/>
                <wp:positionH relativeFrom="column">
                  <wp:posOffset>633046</wp:posOffset>
                </wp:positionH>
                <wp:positionV relativeFrom="paragraph">
                  <wp:posOffset>4122469</wp:posOffset>
                </wp:positionV>
                <wp:extent cx="638175" cy="646430"/>
                <wp:effectExtent l="0" t="0" r="9525" b="1270"/>
                <wp:wrapNone/>
                <wp:docPr id="33" name="Flowchart: Connector 27" descr="Circle figure at the end of the thermometer picture">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8175" cy="646430"/>
                        </a:xfrm>
                        <a:prstGeom prst="flowChartConnector">
                          <a:avLst/>
                        </a:prstGeom>
                        <a:solidFill>
                          <a:srgbClr val="FCF2F2"/>
                        </a:solidFill>
                        <a:ln>
                          <a:noFill/>
                        </a:ln>
                      </wps:spPr>
                      <wps:style>
                        <a:lnRef idx="2">
                          <a:schemeClr val="accent1">
                            <a:shade val="50000"/>
                          </a:schemeClr>
                        </a:lnRef>
                        <a:fillRef idx="1">
                          <a:schemeClr val="accent1"/>
                        </a:fillRef>
                        <a:effectRef idx="0">
                          <a:schemeClr val="accent1"/>
                        </a:effectRef>
                        <a:fontRef idx="minor">
                          <a:schemeClr val="lt1"/>
                        </a:fontRef>
                      </wps:style>
                      <wps:bodyPr wrap="square" rtlCol="0" anchor="t"/>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6A1A30DF" id="Flowchart: Connector 27" o:spid="_x0000_s1026" type="#_x0000_t120" alt="Circle figure at the end of the thermometer picture" style="position:absolute;margin-left:49.85pt;margin-top:324.6pt;width:50.25pt;height:50.9pt;z-index:251663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" fillcolor="#fcf2f2" stroked="f" strokeweight="1pt">
                <v:stroke joinstyle="miter"/>
              </v:shape>
            </w:pict>
          </mc:Fallback>
        </mc:AlternateContent>
      </w:r>
      <w:r w:rsidRPr="00B7111B">
        <w:rPr>
          <w:rFonts w:cstheme="minorHAnsi"/>
          <w:noProof/>
          <w:lang w:eastAsia="ko-KR"/>
        </w:rPr>
        <mc:AlternateContent>
          <mc:Choice Requires="wps">
            <w:drawing>
              <wp:anchor distT="0" distB="0" distL="114300" distR="114300" simplePos="0" relativeHeight="251664384" behindDoc="0" locked="0" layoutInCell="1" allowOverlap="1" wp14:anchorId="4D1D9A56" wp14:editId="488E5020">
                <wp:simplePos x="0" y="0"/>
                <wp:positionH relativeFrom="column">
                  <wp:posOffset>1738044</wp:posOffset>
                </wp:positionH>
                <wp:positionV relativeFrom="paragraph">
                  <wp:posOffset>4137562</wp:posOffset>
                </wp:positionV>
                <wp:extent cx="638686" cy="646486"/>
                <wp:effectExtent l="0" t="0" r="9525" b="1270"/>
                <wp:wrapNone/>
                <wp:docPr id="38" name="Flowchart: Connector 28" descr="Circle figure at the end of the thermometer picture">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8686" cy="646486"/>
                        </a:xfrm>
                        <a:prstGeom prst="flowChartConnector">
                          <a:avLst/>
                        </a:prstGeom>
                        <a:solidFill>
                          <a:srgbClr val="FCF2F2"/>
                        </a:solidFill>
                        <a:ln>
                          <a:noFill/>
                        </a:ln>
                      </wps:spPr>
                      <wps:style>
                        <a:lnRef idx="2">
                          <a:schemeClr val="accent1">
                            <a:shade val="50000"/>
                          </a:schemeClr>
                        </a:lnRef>
                        <a:fillRef idx="1">
                          <a:schemeClr val="accent1"/>
                        </a:fillRef>
                        <a:effectRef idx="0">
                          <a:schemeClr val="accent1"/>
                        </a:effectRef>
                        <a:fontRef idx="minor">
                          <a:schemeClr val="lt1"/>
                        </a:fontRef>
                      </wps:style>
                      <wps:bodyPr wrap="square" rtlCol="0" anchor="t"/>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2738BCA0" id="Flowchart: Connector 28" o:spid="_x0000_s1026" type="#_x0000_t120" alt="Circle figure at the end of the thermometer picture" style="position:absolute;margin-left:136.85pt;margin-top:325.8pt;width:50.3pt;height:50.9pt;z-index:251664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" fillcolor="#fcf2f2" stroked="f" strokeweight="1pt">
                <v:stroke joinstyle="miter"/>
              </v:shape>
            </w:pict>
          </mc:Fallback>
        </mc:AlternateContent>
      </w:r>
      <w:r w:rsidRPr="00B7111B">
        <w:rPr>
          <w:rFonts w:cstheme="minorHAnsi"/>
          <w:noProof/>
          <w:lang w:eastAsia="ko-KR"/>
        </w:rPr>
        <w:drawing>
          <wp:inline distT="0" distB="0" distL="0" distR="0" wp14:anchorId="12592AF3" wp14:editId="4E4B4B01">
            <wp:extent cx="2828926" cy="5064402"/>
            <wp:effectExtent l="0" t="0" r="9525" b="3175"/>
            <wp:docPr id="58" name="Chart 58" descr="Chart showing unique CPM activity progress">
              <a:extLst xmlns:a="http://schemas.openxmlformats.org/drawingml/2006/main">
                <a:ext uri="{FF2B5EF4-FFF2-40B4-BE49-F238E27FC236}">
                  <a16:creationId xmlns:a16="http://schemas.microsoft.com/office/drawing/2014/main" id="{80E95F2D-CE0C-4128-A67B-74E85A076000}"/>
                </a:ex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9"/>
              </a:graphicData>
            </a:graphic>
          </wp:inline>
        </w:drawing>
      </w:r>
      <w:r>
        <w:rPr>
          <w:rFonts w:cstheme="minorHAnsi"/>
          <w:b/>
          <w:bCs/>
        </w:rPr>
        <w:br/>
      </w:r>
      <w:r w:rsidRPr="00B7111B">
        <w:rPr>
          <w:rFonts w:cstheme="minorHAnsi"/>
          <w:b/>
          <w:bCs/>
        </w:rPr>
        <w:t>Activity Unique:</w:t>
      </w:r>
      <w:r w:rsidRPr="00B7111B">
        <w:rPr>
          <w:rFonts w:cstheme="minorHAnsi"/>
        </w:rPr>
        <w:t xml:space="preserve"> In partnership with </w:t>
      </w:r>
      <w:r>
        <w:rPr>
          <w:rFonts w:cstheme="minorHAnsi"/>
        </w:rPr>
        <w:t>state,</w:t>
      </w:r>
      <w:r w:rsidRPr="00B7111B">
        <w:rPr>
          <w:rFonts w:cstheme="minorHAnsi"/>
        </w:rPr>
        <w:t xml:space="preserve"> develop new service authorization and contract templates which reflect the change in service and reporting expectations from the new CPM and new partnerships with core partners and CRPs</w:t>
      </w:r>
    </w:p>
    <w:p w14:paraId="5A93734F" w14:textId="77777777" w:rsidR="008810D5" w:rsidRDefault="008810D5" w:rsidP="008810D5">
      <w:pPr>
        <w:spacing w:line="240" w:lineRule="auto"/>
      </w:pPr>
      <w:r w:rsidRPr="00B7111B">
        <w:rPr>
          <w:rFonts w:cstheme="minorHAnsi"/>
          <w:b/>
          <w:bCs/>
        </w:rPr>
        <w:t>Output Unique:</w:t>
      </w:r>
      <w:r w:rsidRPr="00B7111B">
        <w:rPr>
          <w:rFonts w:cstheme="minorHAnsi"/>
        </w:rPr>
        <w:t xml:space="preserve"> Service authorization, contract templates</w:t>
      </w:r>
      <w:r>
        <w:rPr>
          <w:rFonts w:cstheme="minorHAnsi"/>
        </w:rPr>
        <w:t>,</w:t>
      </w:r>
      <w:r w:rsidRPr="00B7111B">
        <w:rPr>
          <w:rFonts w:cstheme="minorHAnsi"/>
        </w:rPr>
        <w:t xml:space="preserve"> and data collection agreements</w:t>
      </w:r>
    </w:p>
    <w:p w14:paraId="65BB9702" w14:textId="77777777" w:rsidR="008810D5" w:rsidRDefault="008810D5" w:rsidP="008810D5">
      <w:pPr>
        <w:rPr>
          <w:rFonts w:cstheme="minorHAnsi"/>
          <w:b/>
          <w:bCs/>
        </w:rPr>
      </w:pPr>
    </w:p>
    <w:p w14:paraId="689D047C" w14:textId="77777777" w:rsidR="008810D5" w:rsidRDefault="008810D5" w:rsidP="008810D5">
      <w:pPr>
        <w:spacing w:line="240" w:lineRule="auto"/>
      </w:pPr>
    </w:p>
    <w:p w14:paraId="6AC2044D" w14:textId="77777777" w:rsidR="008810D5" w:rsidRDefault="008810D5" w:rsidP="008810D5">
      <w:pPr>
        <w:spacing w:line="240" w:lineRule="auto"/>
      </w:pPr>
    </w:p>
    <w:p w14:paraId="302BF675" w14:textId="77777777" w:rsidR="008810D5" w:rsidRDefault="008810D5" w:rsidP="008810D5">
      <w:pPr>
        <w:tabs>
          <w:tab w:val="center" w:pos="4680"/>
          <w:tab w:val="right" w:pos="9360"/>
        </w:tabs>
      </w:pPr>
    </w:p>
    <w:p w14:paraId="219AC358" w14:textId="77777777" w:rsidR="008810D5" w:rsidRDefault="008810D5" w:rsidP="008810D5">
      <w:pPr>
        <w:pBdr>
          <w:bottom w:val="single" w:sz="24" w:space="1" w:color="auto"/>
        </w:pBdr>
        <w:tabs>
          <w:tab w:val="center" w:pos="4680"/>
          <w:tab w:val="right" w:pos="9360"/>
        </w:tabs>
        <w:sectPr w:rsidR="008810D5" w:rsidSect="00D27D05">
          <w:type w:val="continuous"/>
          <w:pgSz w:w="12240" w:h="15840"/>
          <w:pgMar w:top="1440" w:right="1440" w:bottom="1440" w:left="1440" w:header="720" w:footer="720" w:gutter="0"/>
          <w:pgBorders w:offsetFrom="page">
            <w:top w:val="thinThickSmallGap" w:sz="24" w:space="24" w:color="2F5496" w:themeColor="accent1" w:themeShade="BF"/>
            <w:left w:val="thinThickSmallGap" w:sz="24" w:space="24" w:color="2F5496" w:themeColor="accent1" w:themeShade="BF"/>
            <w:bottom w:val="thickThinSmallGap" w:sz="24" w:space="24" w:color="2F5496" w:themeColor="accent1" w:themeShade="BF"/>
            <w:right w:val="thickThinSmallGap" w:sz="24" w:space="24" w:color="2F5496" w:themeColor="accent1" w:themeShade="BF"/>
          </w:pgBorders>
          <w:cols w:num="2" w:space="720"/>
          <w:docGrid w:linePitch="360"/>
        </w:sectPr>
      </w:pPr>
    </w:p>
    <w:p w14:paraId="4944BC78" w14:textId="77777777" w:rsidR="008810D5" w:rsidRDefault="008810D5" w:rsidP="00BA0D82">
      <w:pPr>
        <w:pStyle w:val="Heading2"/>
        <w:numPr>
          <w:ilvl w:val="0"/>
          <w:numId w:val="0"/>
        </w:numPr>
      </w:pPr>
      <w:bookmarkStart w:id="35" w:name="_Toc27904584"/>
      <w:bookmarkStart w:id="36" w:name="_Toc28011423"/>
      <w:r>
        <w:lastRenderedPageBreak/>
        <w:t>CPMs: OUTCOMES PROGRESS DASHBOARDS</w:t>
      </w:r>
      <w:bookmarkEnd w:id="35"/>
      <w:bookmarkEnd w:id="36"/>
    </w:p>
    <w:p w14:paraId="6CFF1597" w14:textId="77777777" w:rsidR="008810D5" w:rsidRDefault="008810D5" w:rsidP="008810D5">
      <w:pPr>
        <w:spacing w:line="240" w:lineRule="auto"/>
      </w:pPr>
      <w:r>
        <w:rPr>
          <w:noProof/>
          <w:lang w:eastAsia="ko-KR"/>
        </w:rPr>
        <w:drawing>
          <wp:inline distT="0" distB="0" distL="0" distR="0" wp14:anchorId="5B587DFF" wp14:editId="6CE67CFF">
            <wp:extent cx="5545455" cy="3253740"/>
            <wp:effectExtent l="0" t="0" r="0" b="3810"/>
            <wp:docPr id="35" name="Picture 35" descr="Outcomes progress common performance measure chart showing 77% completion of activities. 12% Not started, 2% 10% completed, 16% 25% completed, 4% 50% completed, 2% 75% completed, 63%  completed"/>
            <wp:cNvGraphicFramePr/>
            <a:graphic xmlns:a="http://schemas.openxmlformats.org/drawingml/2006/main">
              <a:graphicData uri="http://schemas.openxmlformats.org/drawingml/2006/picture">
                <pic:pic xmlns:pic="http://schemas.openxmlformats.org/drawingml/2006/picture">
                  <pic:nvPicPr>
                    <pic:cNvPr id="35" name="Picture 35"/>
                    <pic:cNvPicPr/>
                  </pic:nvPicPr>
                  <pic:blipFill rotWithShape="1">
                    <a:blip r:embed="rId170">
                      <a:extLst>
                        <a:ext uri="{28A0092B-C50C-407E-A947-70E740481C1C}">
                          <a14:useLocalDpi xmlns:a14="http://schemas.microsoft.com/office/drawing/2010/main" val="0"/>
                        </a:ext>
                      </a:extLst>
                    </a:blip>
                    <a:srcRect l="16903" t="1354" r="20439" b="36799"/>
                    <a:stretch/>
                  </pic:blipFill>
                  <pic:spPr bwMode="auto">
                    <a:xfrm>
                      <a:off x="0" y="0"/>
                      <a:ext cx="5545455" cy="3253740"/>
                    </a:xfrm>
                    <a:prstGeom prst="rect">
                      <a:avLst/>
                    </a:prstGeom>
                    <a:noFill/>
                    <a:ln>
                      <a:noFill/>
                    </a:ln>
                    <a:extLst>
                      <a:ext uri="{53640926-AAD7-44D8-BBD7-CCE9431645EC}">
                        <a14:shadowObscured xmlns:a14="http://schemas.microsoft.com/office/drawing/2010/main"/>
                      </a:ext>
                    </a:extLst>
                  </pic:spPr>
                </pic:pic>
              </a:graphicData>
            </a:graphic>
          </wp:inline>
        </w:drawing>
      </w:r>
    </w:p>
    <w:p w14:paraId="10EC456F" w14:textId="2FE0AF36" w:rsidR="008810D5" w:rsidRDefault="008F5E6D" w:rsidP="00E15610">
      <w:pPr>
        <w:ind w:firstLine="720"/>
      </w:pPr>
      <w:r w:rsidRPr="008F5E6D">
        <w:t>A majority of activities are complete or 75% or more complete (69%), 16% of activities are mid-way there (50% complete), and 14% of activities are beginning or not yet started.</w:t>
      </w:r>
      <w:r w:rsidR="00E15610">
        <w:t xml:space="preserve">  The overall level of completion is 77 percent.</w:t>
      </w:r>
      <w:r w:rsidR="008810D5">
        <w:br w:type="page"/>
      </w:r>
    </w:p>
    <w:p w14:paraId="5330654D" w14:textId="77777777" w:rsidR="008810D5" w:rsidRDefault="008810D5" w:rsidP="00BA0D82">
      <w:pPr>
        <w:pStyle w:val="Heading2"/>
        <w:numPr>
          <w:ilvl w:val="0"/>
          <w:numId w:val="0"/>
        </w:numPr>
      </w:pPr>
      <w:bookmarkStart w:id="37" w:name="_Toc27904585"/>
      <w:bookmarkStart w:id="38" w:name="_Toc28011424"/>
      <w:r>
        <w:lastRenderedPageBreak/>
        <w:t>CPMs ITAs: RESOURCES</w:t>
      </w:r>
      <w:bookmarkEnd w:id="37"/>
      <w:bookmarkEnd w:id="38"/>
    </w:p>
    <w:p w14:paraId="02AB1ABC" w14:textId="77777777" w:rsidR="008810D5" w:rsidRPr="005C4152" w:rsidRDefault="008810D5" w:rsidP="008810D5">
      <w:pPr>
        <w:spacing w:after="0" w:line="240" w:lineRule="auto"/>
        <w:rPr>
          <w:rFonts w:eastAsia="Times New Roman" w:cstheme="minorHAnsi"/>
        </w:rPr>
      </w:pPr>
      <w:r>
        <w:rPr>
          <w:rFonts w:eastAsia="Times New Roman" w:cstheme="minorHAnsi"/>
          <w:sz w:val="24"/>
          <w:szCs w:val="24"/>
        </w:rPr>
        <w:t xml:space="preserve">Available on the WINTAC website, the CPMs team has developed a number of resources to support TA and training and provide guidance to SVRAs as they meet their requirements for </w:t>
      </w:r>
      <w:r>
        <w:rPr>
          <w:rFonts w:eastAsia="Times New Roman" w:cstheme="minorHAnsi"/>
        </w:rPr>
        <w:t>CPMs</w:t>
      </w:r>
      <w:r w:rsidRPr="005C4152">
        <w:rPr>
          <w:rFonts w:eastAsia="Times New Roman" w:cstheme="minorHAnsi"/>
        </w:rPr>
        <w:t xml:space="preserve"> under WIOA:</w:t>
      </w:r>
    </w:p>
    <w:p w14:paraId="792D5704" w14:textId="77777777" w:rsidR="008810D5" w:rsidRPr="00562FE9" w:rsidRDefault="008810D5" w:rsidP="00076336">
      <w:pPr>
        <w:pStyle w:val="NormalWeb"/>
        <w:numPr>
          <w:ilvl w:val="1"/>
          <w:numId w:val="5"/>
        </w:numPr>
        <w:spacing w:before="0" w:beforeAutospacing="0" w:after="80" w:afterAutospacing="0"/>
        <w:ind w:left="360"/>
        <w:rPr>
          <w:rFonts w:asciiTheme="minorHAnsi" w:hAnsiTheme="minorHAnsi" w:cstheme="minorHAnsi"/>
          <w:b/>
          <w:bCs/>
          <w:sz w:val="22"/>
          <w:szCs w:val="22"/>
        </w:rPr>
      </w:pPr>
      <w:r w:rsidRPr="00562FE9">
        <w:rPr>
          <w:rFonts w:asciiTheme="minorHAnsi" w:hAnsiTheme="minorHAnsi" w:cstheme="minorHAnsi"/>
          <w:b/>
          <w:bCs/>
          <w:sz w:val="22"/>
          <w:szCs w:val="22"/>
        </w:rPr>
        <w:t>CPM Checklist for State VR Agencies</w:t>
      </w:r>
    </w:p>
    <w:p w14:paraId="5B70218D" w14:textId="77777777" w:rsidR="008810D5" w:rsidRPr="00893463" w:rsidRDefault="008810D5" w:rsidP="00076336">
      <w:pPr>
        <w:pStyle w:val="NormalWeb"/>
        <w:numPr>
          <w:ilvl w:val="2"/>
          <w:numId w:val="5"/>
        </w:numPr>
        <w:spacing w:before="0" w:beforeAutospacing="0" w:after="80" w:afterAutospacing="0"/>
        <w:ind w:left="720"/>
        <w:rPr>
          <w:rFonts w:asciiTheme="minorHAnsi" w:hAnsiTheme="minorHAnsi" w:cstheme="minorHAnsi"/>
          <w:sz w:val="22"/>
          <w:szCs w:val="22"/>
        </w:rPr>
      </w:pPr>
      <w:r w:rsidRPr="00893463">
        <w:rPr>
          <w:rFonts w:asciiTheme="minorHAnsi" w:hAnsiTheme="minorHAnsi" w:cstheme="minorHAnsi"/>
          <w:sz w:val="22"/>
          <w:szCs w:val="22"/>
        </w:rPr>
        <w:t xml:space="preserve">The WINTAC has developed a checklist for SVRA administrators to assess their progress on CPM implementation. The checklist, </w:t>
      </w:r>
      <w:hyperlink r:id="rId171" w:tgtFrame="_blank" w:history="1">
        <w:r w:rsidRPr="00893463">
          <w:rPr>
            <w:rStyle w:val="Hyperlink"/>
            <w:rFonts w:asciiTheme="minorHAnsi" w:hAnsiTheme="minorHAnsi" w:cstheme="minorHAnsi"/>
            <w:i/>
            <w:iCs/>
            <w:sz w:val="22"/>
            <w:szCs w:val="22"/>
          </w:rPr>
          <w:t>Are you ready for CPM implementation</w:t>
        </w:r>
      </w:hyperlink>
      <w:r w:rsidRPr="00893463">
        <w:rPr>
          <w:rFonts w:asciiTheme="minorHAnsi" w:hAnsiTheme="minorHAnsi" w:cstheme="minorHAnsi"/>
          <w:i/>
          <w:iCs/>
          <w:sz w:val="22"/>
          <w:szCs w:val="22"/>
        </w:rPr>
        <w:t>,</w:t>
      </w:r>
      <w:r w:rsidRPr="00893463">
        <w:rPr>
          <w:rFonts w:asciiTheme="minorHAnsi" w:hAnsiTheme="minorHAnsi" w:cstheme="minorHAnsi"/>
          <w:sz w:val="22"/>
          <w:szCs w:val="22"/>
        </w:rPr>
        <w:t xml:space="preserve"> is a guide outlining steps agencies may need to take for full implementation of the Common Performance Measures. Also available as a </w:t>
      </w:r>
      <w:hyperlink r:id="rId172" w:tgtFrame="_blank" w:history="1">
        <w:r w:rsidRPr="00893463">
          <w:rPr>
            <w:rStyle w:val="Hyperlink"/>
            <w:rFonts w:asciiTheme="minorHAnsi" w:hAnsiTheme="minorHAnsi" w:cstheme="minorHAnsi"/>
            <w:sz w:val="22"/>
            <w:szCs w:val="22"/>
          </w:rPr>
          <w:t>Word document</w:t>
        </w:r>
      </w:hyperlink>
      <w:r w:rsidRPr="00893463">
        <w:rPr>
          <w:rFonts w:asciiTheme="minorHAnsi" w:hAnsiTheme="minorHAnsi" w:cstheme="minorHAnsi"/>
          <w:sz w:val="22"/>
          <w:szCs w:val="22"/>
        </w:rPr>
        <w:t>.</w:t>
      </w:r>
    </w:p>
    <w:p w14:paraId="77C3FAC2" w14:textId="77777777" w:rsidR="008810D5" w:rsidRPr="00844AC8" w:rsidRDefault="008810D5" w:rsidP="00076336">
      <w:pPr>
        <w:pStyle w:val="NormalWeb"/>
        <w:numPr>
          <w:ilvl w:val="1"/>
          <w:numId w:val="5"/>
        </w:numPr>
        <w:spacing w:before="0" w:beforeAutospacing="0" w:after="80" w:afterAutospacing="0"/>
        <w:ind w:left="360"/>
        <w:rPr>
          <w:rFonts w:asciiTheme="minorHAnsi" w:hAnsiTheme="minorHAnsi" w:cstheme="minorHAnsi"/>
          <w:b/>
          <w:bCs/>
          <w:sz w:val="22"/>
          <w:szCs w:val="22"/>
        </w:rPr>
      </w:pPr>
      <w:r w:rsidRPr="00844AC8">
        <w:rPr>
          <w:rFonts w:asciiTheme="minorHAnsi" w:hAnsiTheme="minorHAnsi" w:cstheme="minorHAnsi"/>
          <w:b/>
          <w:bCs/>
          <w:sz w:val="22"/>
          <w:szCs w:val="22"/>
        </w:rPr>
        <w:t>SVRA Reporting Deadlines</w:t>
      </w:r>
    </w:p>
    <w:p w14:paraId="3477CAD4" w14:textId="77777777" w:rsidR="008810D5" w:rsidRPr="00893463" w:rsidRDefault="008810D5" w:rsidP="00076336">
      <w:pPr>
        <w:pStyle w:val="NormalWeb"/>
        <w:numPr>
          <w:ilvl w:val="2"/>
          <w:numId w:val="5"/>
        </w:numPr>
        <w:spacing w:before="0" w:beforeAutospacing="0" w:after="80" w:afterAutospacing="0"/>
        <w:ind w:left="720"/>
        <w:rPr>
          <w:rFonts w:asciiTheme="minorHAnsi" w:hAnsiTheme="minorHAnsi" w:cstheme="minorHAnsi"/>
          <w:sz w:val="22"/>
          <w:szCs w:val="22"/>
        </w:rPr>
      </w:pPr>
      <w:r w:rsidRPr="00893463">
        <w:rPr>
          <w:rFonts w:asciiTheme="minorHAnsi" w:hAnsiTheme="minorHAnsi" w:cstheme="minorHAnsi"/>
          <w:sz w:val="22"/>
          <w:szCs w:val="22"/>
        </w:rPr>
        <w:t xml:space="preserve">The WINTAC has developed a resource table, </w:t>
      </w:r>
      <w:hyperlink r:id="rId173" w:tgtFrame="_blank" w:history="1">
        <w:r w:rsidRPr="00893463">
          <w:rPr>
            <w:rStyle w:val="Hyperlink"/>
            <w:rFonts w:asciiTheme="minorHAnsi" w:hAnsiTheme="minorHAnsi" w:cstheme="minorHAnsi"/>
            <w:sz w:val="22"/>
            <w:szCs w:val="22"/>
          </w:rPr>
          <w:t>SVRA Reporting Deadlines</w:t>
        </w:r>
      </w:hyperlink>
      <w:r w:rsidRPr="00893463">
        <w:rPr>
          <w:rFonts w:asciiTheme="minorHAnsi" w:hAnsiTheme="minorHAnsi" w:cstheme="minorHAnsi"/>
          <w:sz w:val="22"/>
          <w:szCs w:val="22"/>
        </w:rPr>
        <w:t xml:space="preserve">, listing the required reports for State VR Agencies. This table includes the report name, reporting frequency, and detailed description of the report. </w:t>
      </w:r>
      <w:hyperlink r:id="rId174" w:tgtFrame="_blank" w:history="1">
        <w:r w:rsidRPr="00893463">
          <w:rPr>
            <w:rStyle w:val="Hyperlink"/>
            <w:rFonts w:asciiTheme="minorHAnsi" w:hAnsiTheme="minorHAnsi" w:cstheme="minorHAnsi"/>
            <w:sz w:val="22"/>
            <w:szCs w:val="22"/>
          </w:rPr>
          <w:t>SVRA Reporting Deadlines is also available as a Word document</w:t>
        </w:r>
      </w:hyperlink>
      <w:r w:rsidRPr="00893463">
        <w:rPr>
          <w:rFonts w:asciiTheme="minorHAnsi" w:hAnsiTheme="minorHAnsi" w:cstheme="minorHAnsi"/>
          <w:sz w:val="22"/>
          <w:szCs w:val="22"/>
        </w:rPr>
        <w:t>.</w:t>
      </w:r>
    </w:p>
    <w:p w14:paraId="72AD05A6" w14:textId="77777777" w:rsidR="008810D5" w:rsidRPr="00844AC8" w:rsidRDefault="008810D5" w:rsidP="00076336">
      <w:pPr>
        <w:pStyle w:val="NormalWeb"/>
        <w:numPr>
          <w:ilvl w:val="1"/>
          <w:numId w:val="5"/>
        </w:numPr>
        <w:spacing w:before="0" w:beforeAutospacing="0" w:after="80" w:afterAutospacing="0"/>
        <w:ind w:left="360"/>
        <w:rPr>
          <w:rFonts w:asciiTheme="minorHAnsi" w:hAnsiTheme="minorHAnsi" w:cstheme="minorHAnsi"/>
          <w:b/>
          <w:bCs/>
          <w:sz w:val="22"/>
          <w:szCs w:val="22"/>
        </w:rPr>
      </w:pPr>
      <w:r w:rsidRPr="00844AC8">
        <w:rPr>
          <w:rFonts w:asciiTheme="minorHAnsi" w:hAnsiTheme="minorHAnsi" w:cstheme="minorHAnsi"/>
          <w:b/>
          <w:bCs/>
          <w:sz w:val="22"/>
          <w:szCs w:val="22"/>
        </w:rPr>
        <w:t xml:space="preserve">WIOA Performance Indicators - IDEA Part B Transition Performance Indicator Crosswalk </w:t>
      </w:r>
    </w:p>
    <w:p w14:paraId="72BE9AF3" w14:textId="77777777" w:rsidR="008810D5" w:rsidRPr="00893463" w:rsidRDefault="008810D5" w:rsidP="00076336">
      <w:pPr>
        <w:pStyle w:val="NormalWeb"/>
        <w:numPr>
          <w:ilvl w:val="2"/>
          <w:numId w:val="5"/>
        </w:numPr>
        <w:spacing w:before="0" w:beforeAutospacing="0" w:after="80" w:afterAutospacing="0"/>
        <w:ind w:left="720"/>
        <w:rPr>
          <w:rFonts w:asciiTheme="minorHAnsi" w:hAnsiTheme="minorHAnsi" w:cstheme="minorHAnsi"/>
          <w:sz w:val="22"/>
          <w:szCs w:val="22"/>
        </w:rPr>
      </w:pPr>
      <w:r w:rsidRPr="00893463">
        <w:rPr>
          <w:rFonts w:asciiTheme="minorHAnsi" w:hAnsiTheme="minorHAnsi" w:cstheme="minorHAnsi"/>
          <w:sz w:val="22"/>
          <w:szCs w:val="22"/>
        </w:rPr>
        <w:t xml:space="preserve">The WINTAC has developed a resource for VR and Education, </w:t>
      </w:r>
      <w:hyperlink r:id="rId175" w:tgtFrame="_blank" w:history="1">
        <w:r w:rsidRPr="00893463">
          <w:rPr>
            <w:rStyle w:val="Hyperlink"/>
            <w:rFonts w:asciiTheme="minorHAnsi" w:hAnsiTheme="minorHAnsi" w:cstheme="minorHAnsi"/>
            <w:i/>
            <w:iCs/>
            <w:sz w:val="22"/>
            <w:szCs w:val="22"/>
          </w:rPr>
          <w:t>WIOA Performance Indicators – IDEA Part B Transition Performance Indicator Crosswalk</w:t>
        </w:r>
      </w:hyperlink>
      <w:r w:rsidRPr="00893463">
        <w:rPr>
          <w:rFonts w:asciiTheme="minorHAnsi" w:hAnsiTheme="minorHAnsi" w:cstheme="minorHAnsi"/>
          <w:sz w:val="22"/>
          <w:szCs w:val="22"/>
        </w:rPr>
        <w:t xml:space="preserve">. </w:t>
      </w:r>
    </w:p>
    <w:p w14:paraId="154B60FA" w14:textId="77777777" w:rsidR="008810D5" w:rsidRPr="00230250" w:rsidRDefault="008810D5" w:rsidP="00076336">
      <w:pPr>
        <w:pStyle w:val="NormalWeb"/>
        <w:numPr>
          <w:ilvl w:val="1"/>
          <w:numId w:val="5"/>
        </w:numPr>
        <w:spacing w:before="0" w:beforeAutospacing="0" w:after="80" w:afterAutospacing="0"/>
        <w:ind w:left="360"/>
        <w:rPr>
          <w:rFonts w:asciiTheme="minorHAnsi" w:hAnsiTheme="minorHAnsi" w:cstheme="minorHAnsi"/>
          <w:b/>
          <w:bCs/>
          <w:sz w:val="22"/>
          <w:szCs w:val="22"/>
        </w:rPr>
      </w:pPr>
      <w:r w:rsidRPr="00230250">
        <w:rPr>
          <w:rFonts w:asciiTheme="minorHAnsi" w:hAnsiTheme="minorHAnsi" w:cstheme="minorHAnsi"/>
          <w:b/>
          <w:bCs/>
          <w:sz w:val="22"/>
          <w:szCs w:val="22"/>
        </w:rPr>
        <w:t>Credential Attainment and Measurable Skill Gains Indicator Guides</w:t>
      </w:r>
    </w:p>
    <w:p w14:paraId="07D424AD" w14:textId="77777777" w:rsidR="008810D5" w:rsidRPr="00893463" w:rsidRDefault="008810D5" w:rsidP="00076336">
      <w:pPr>
        <w:pStyle w:val="NormalWeb"/>
        <w:numPr>
          <w:ilvl w:val="2"/>
          <w:numId w:val="5"/>
        </w:numPr>
        <w:spacing w:before="0" w:beforeAutospacing="0" w:after="80" w:afterAutospacing="0"/>
        <w:ind w:left="720"/>
        <w:rPr>
          <w:rFonts w:asciiTheme="minorHAnsi" w:hAnsiTheme="minorHAnsi" w:cstheme="minorHAnsi"/>
          <w:sz w:val="22"/>
          <w:szCs w:val="22"/>
        </w:rPr>
      </w:pPr>
      <w:r w:rsidRPr="00893463">
        <w:rPr>
          <w:rFonts w:asciiTheme="minorHAnsi" w:hAnsiTheme="minorHAnsi" w:cstheme="minorHAnsi"/>
          <w:sz w:val="22"/>
          <w:szCs w:val="22"/>
        </w:rPr>
        <w:t xml:space="preserve">The WINTAC, in partnership with RSA, has developed a </w:t>
      </w:r>
      <w:hyperlink r:id="rId176" w:tgtFrame="_blank" w:history="1">
        <w:r w:rsidRPr="00893463">
          <w:rPr>
            <w:rStyle w:val="Hyperlink"/>
            <w:rFonts w:asciiTheme="minorHAnsi" w:hAnsiTheme="minorHAnsi" w:cstheme="minorHAnsi"/>
            <w:sz w:val="22"/>
            <w:szCs w:val="22"/>
          </w:rPr>
          <w:t>Credential Attainment Guide</w:t>
        </w:r>
      </w:hyperlink>
      <w:r w:rsidRPr="00893463">
        <w:rPr>
          <w:rFonts w:asciiTheme="minorHAnsi" w:hAnsiTheme="minorHAnsi" w:cstheme="minorHAnsi"/>
          <w:sz w:val="22"/>
          <w:szCs w:val="22"/>
        </w:rPr>
        <w:t xml:space="preserve"> and a </w:t>
      </w:r>
      <w:hyperlink r:id="rId177" w:tgtFrame="_blank" w:history="1">
        <w:r w:rsidRPr="00893463">
          <w:rPr>
            <w:rStyle w:val="Hyperlink"/>
            <w:rFonts w:asciiTheme="minorHAnsi" w:hAnsiTheme="minorHAnsi" w:cstheme="minorHAnsi"/>
            <w:sz w:val="22"/>
            <w:szCs w:val="22"/>
          </w:rPr>
          <w:t>Measurable Skill Gains (MSG) Guide</w:t>
        </w:r>
      </w:hyperlink>
      <w:r w:rsidRPr="00893463">
        <w:rPr>
          <w:rFonts w:asciiTheme="minorHAnsi" w:hAnsiTheme="minorHAnsi" w:cstheme="minorHAnsi"/>
          <w:sz w:val="22"/>
          <w:szCs w:val="22"/>
        </w:rPr>
        <w:t xml:space="preserve">. </w:t>
      </w:r>
    </w:p>
    <w:p w14:paraId="708FA9C2" w14:textId="77777777" w:rsidR="008810D5" w:rsidRPr="00230250" w:rsidRDefault="008810D5" w:rsidP="00076336">
      <w:pPr>
        <w:pStyle w:val="NormalWeb"/>
        <w:numPr>
          <w:ilvl w:val="1"/>
          <w:numId w:val="5"/>
        </w:numPr>
        <w:spacing w:before="0" w:beforeAutospacing="0" w:after="80" w:afterAutospacing="0"/>
        <w:ind w:left="360"/>
        <w:rPr>
          <w:rFonts w:asciiTheme="minorHAnsi" w:hAnsiTheme="minorHAnsi" w:cstheme="minorHAnsi"/>
          <w:b/>
          <w:bCs/>
          <w:sz w:val="22"/>
          <w:szCs w:val="22"/>
        </w:rPr>
      </w:pPr>
      <w:r w:rsidRPr="00230250">
        <w:rPr>
          <w:rFonts w:asciiTheme="minorHAnsi" w:hAnsiTheme="minorHAnsi" w:cstheme="minorHAnsi"/>
          <w:b/>
          <w:bCs/>
          <w:sz w:val="22"/>
          <w:szCs w:val="22"/>
        </w:rPr>
        <w:t>Effectiveness in Serving Employers: A Crosswalk for WIOA Title IV Employer Services</w:t>
      </w:r>
    </w:p>
    <w:p w14:paraId="5270580F" w14:textId="77777777" w:rsidR="008810D5" w:rsidRPr="00893463" w:rsidRDefault="008810D5" w:rsidP="00076336">
      <w:pPr>
        <w:pStyle w:val="NormalWeb"/>
        <w:numPr>
          <w:ilvl w:val="2"/>
          <w:numId w:val="5"/>
        </w:numPr>
        <w:spacing w:before="0" w:beforeAutospacing="0" w:after="80" w:afterAutospacing="0"/>
        <w:ind w:left="720"/>
        <w:rPr>
          <w:rFonts w:asciiTheme="minorHAnsi" w:hAnsiTheme="minorHAnsi" w:cstheme="minorHAnsi"/>
          <w:sz w:val="22"/>
          <w:szCs w:val="22"/>
        </w:rPr>
      </w:pPr>
      <w:r w:rsidRPr="00893463">
        <w:rPr>
          <w:rFonts w:asciiTheme="minorHAnsi" w:hAnsiTheme="minorHAnsi" w:cstheme="minorHAnsi"/>
          <w:sz w:val="22"/>
          <w:szCs w:val="22"/>
        </w:rPr>
        <w:t xml:space="preserve">The WINTAC, in partnership with The U.S. Department of Education’s Rehabilitation Services Administration (RSA), has developed an </w:t>
      </w:r>
      <w:hyperlink r:id="rId178" w:tgtFrame="_blank" w:history="1">
        <w:r w:rsidRPr="00893463">
          <w:rPr>
            <w:rStyle w:val="Hyperlink"/>
            <w:rFonts w:asciiTheme="minorHAnsi" w:hAnsiTheme="minorHAnsi" w:cstheme="minorHAnsi"/>
            <w:sz w:val="22"/>
            <w:szCs w:val="22"/>
          </w:rPr>
          <w:t>Effectiveness in Serving Employers for WIOA Title IV Employer Services</w:t>
        </w:r>
      </w:hyperlink>
      <w:r w:rsidRPr="00893463">
        <w:rPr>
          <w:rFonts w:asciiTheme="minorHAnsi" w:hAnsiTheme="minorHAnsi" w:cstheme="minorHAnsi"/>
          <w:sz w:val="22"/>
          <w:szCs w:val="22"/>
        </w:rPr>
        <w:t xml:space="preserve"> crosswalk. </w:t>
      </w:r>
    </w:p>
    <w:p w14:paraId="3AEF1689" w14:textId="77777777" w:rsidR="008810D5" w:rsidRPr="00230250" w:rsidRDefault="008810D5" w:rsidP="00076336">
      <w:pPr>
        <w:pStyle w:val="NormalWeb"/>
        <w:numPr>
          <w:ilvl w:val="1"/>
          <w:numId w:val="5"/>
        </w:numPr>
        <w:spacing w:before="0" w:beforeAutospacing="0" w:after="80" w:afterAutospacing="0"/>
        <w:ind w:left="360"/>
        <w:rPr>
          <w:rFonts w:asciiTheme="minorHAnsi" w:hAnsiTheme="minorHAnsi" w:cstheme="minorHAnsi"/>
          <w:b/>
          <w:bCs/>
          <w:sz w:val="22"/>
          <w:szCs w:val="22"/>
        </w:rPr>
      </w:pPr>
      <w:r w:rsidRPr="00230250">
        <w:rPr>
          <w:rFonts w:asciiTheme="minorHAnsi" w:hAnsiTheme="minorHAnsi" w:cstheme="minorHAnsi"/>
          <w:b/>
          <w:bCs/>
          <w:sz w:val="22"/>
          <w:szCs w:val="22"/>
        </w:rPr>
        <w:t>Registered Apprenticeship Training RSA-911 Reporting </w:t>
      </w:r>
    </w:p>
    <w:p w14:paraId="01404C82" w14:textId="77777777" w:rsidR="008810D5" w:rsidRPr="00893463" w:rsidRDefault="008810D5" w:rsidP="00076336">
      <w:pPr>
        <w:pStyle w:val="NormalWeb"/>
        <w:numPr>
          <w:ilvl w:val="2"/>
          <w:numId w:val="5"/>
        </w:numPr>
        <w:spacing w:before="0" w:beforeAutospacing="0" w:after="80" w:afterAutospacing="0"/>
        <w:ind w:left="810"/>
        <w:rPr>
          <w:rFonts w:asciiTheme="minorHAnsi" w:hAnsiTheme="minorHAnsi" w:cstheme="minorHAnsi"/>
          <w:sz w:val="22"/>
          <w:szCs w:val="22"/>
        </w:rPr>
      </w:pPr>
      <w:r w:rsidRPr="00893463">
        <w:rPr>
          <w:rFonts w:asciiTheme="minorHAnsi" w:hAnsiTheme="minorHAnsi" w:cstheme="minorHAnsi"/>
          <w:sz w:val="22"/>
          <w:szCs w:val="22"/>
        </w:rPr>
        <w:t xml:space="preserve">The WINTAC has developed a resource, </w:t>
      </w:r>
      <w:hyperlink r:id="rId179" w:tgtFrame="_blank" w:history="1">
        <w:r w:rsidRPr="00893463">
          <w:rPr>
            <w:rStyle w:val="Hyperlink"/>
            <w:rFonts w:asciiTheme="minorHAnsi" w:hAnsiTheme="minorHAnsi" w:cstheme="minorHAnsi"/>
            <w:sz w:val="22"/>
            <w:szCs w:val="22"/>
          </w:rPr>
          <w:t>Registered Apprenticeship Training</w:t>
        </w:r>
      </w:hyperlink>
      <w:r w:rsidRPr="00893463">
        <w:rPr>
          <w:rFonts w:asciiTheme="minorHAnsi" w:hAnsiTheme="minorHAnsi" w:cstheme="minorHAnsi"/>
          <w:sz w:val="22"/>
          <w:szCs w:val="22"/>
        </w:rPr>
        <w:t xml:space="preserve">, to assist State VR Agencies in accurately reporting Registered Apprenticeship Trainings in the RSA-911. </w:t>
      </w:r>
    </w:p>
    <w:p w14:paraId="1AC3B653" w14:textId="77777777" w:rsidR="008810D5" w:rsidRPr="008A1560" w:rsidRDefault="008810D5" w:rsidP="00076336">
      <w:pPr>
        <w:pStyle w:val="NormalWeb"/>
        <w:numPr>
          <w:ilvl w:val="0"/>
          <w:numId w:val="5"/>
        </w:numPr>
        <w:spacing w:before="0" w:beforeAutospacing="0" w:after="80" w:afterAutospacing="0"/>
        <w:ind w:left="360"/>
        <w:rPr>
          <w:rFonts w:asciiTheme="minorHAnsi" w:hAnsiTheme="minorHAnsi" w:cstheme="minorHAnsi"/>
          <w:b/>
          <w:bCs/>
          <w:sz w:val="22"/>
          <w:szCs w:val="22"/>
        </w:rPr>
      </w:pPr>
      <w:bookmarkStart w:id="39" w:name="rsa911"/>
      <w:bookmarkEnd w:id="39"/>
      <w:r w:rsidRPr="008A1560">
        <w:rPr>
          <w:rFonts w:asciiTheme="minorHAnsi" w:hAnsiTheme="minorHAnsi" w:cstheme="minorHAnsi"/>
          <w:b/>
          <w:bCs/>
          <w:sz w:val="22"/>
          <w:szCs w:val="22"/>
        </w:rPr>
        <w:t>RSA-911 Reporting and CPM Resources</w:t>
      </w:r>
    </w:p>
    <w:p w14:paraId="6136503D" w14:textId="77777777" w:rsidR="008810D5" w:rsidRPr="008A1560" w:rsidRDefault="008810D5" w:rsidP="00076336">
      <w:pPr>
        <w:pStyle w:val="NormalWeb"/>
        <w:numPr>
          <w:ilvl w:val="1"/>
          <w:numId w:val="5"/>
        </w:numPr>
        <w:spacing w:before="0" w:beforeAutospacing="0" w:after="80" w:afterAutospacing="0"/>
        <w:ind w:left="360"/>
        <w:rPr>
          <w:rFonts w:asciiTheme="minorHAnsi" w:hAnsiTheme="minorHAnsi" w:cstheme="minorHAnsi"/>
          <w:b/>
          <w:bCs/>
          <w:sz w:val="22"/>
          <w:szCs w:val="22"/>
        </w:rPr>
      </w:pPr>
      <w:r w:rsidRPr="008A1560">
        <w:rPr>
          <w:rFonts w:asciiTheme="minorHAnsi" w:hAnsiTheme="minorHAnsi" w:cstheme="minorHAnsi"/>
          <w:b/>
          <w:bCs/>
          <w:sz w:val="22"/>
          <w:szCs w:val="22"/>
        </w:rPr>
        <w:t>PD 19-03 Case Service Report (RSA-911)</w:t>
      </w:r>
    </w:p>
    <w:p w14:paraId="7BB12171" w14:textId="77777777" w:rsidR="008810D5" w:rsidRPr="00893463" w:rsidRDefault="008810D5" w:rsidP="00076336">
      <w:pPr>
        <w:pStyle w:val="NormalWeb"/>
        <w:numPr>
          <w:ilvl w:val="2"/>
          <w:numId w:val="5"/>
        </w:numPr>
        <w:spacing w:before="0" w:beforeAutospacing="0" w:after="80" w:afterAutospacing="0"/>
        <w:ind w:left="810"/>
        <w:rPr>
          <w:rFonts w:asciiTheme="minorHAnsi" w:hAnsiTheme="minorHAnsi" w:cstheme="minorHAnsi"/>
          <w:sz w:val="22"/>
          <w:szCs w:val="22"/>
        </w:rPr>
      </w:pPr>
      <w:r w:rsidRPr="00893463">
        <w:rPr>
          <w:rFonts w:asciiTheme="minorHAnsi" w:hAnsiTheme="minorHAnsi" w:cstheme="minorHAnsi"/>
          <w:sz w:val="22"/>
          <w:szCs w:val="22"/>
        </w:rPr>
        <w:t xml:space="preserve">The Rehabilitation Services Administration (RSA) issued </w:t>
      </w:r>
      <w:hyperlink r:id="rId180" w:tgtFrame="_blank" w:history="1">
        <w:r w:rsidRPr="00893463">
          <w:rPr>
            <w:rStyle w:val="Hyperlink"/>
            <w:rFonts w:asciiTheme="minorHAnsi" w:hAnsiTheme="minorHAnsi" w:cstheme="minorHAnsi"/>
            <w:sz w:val="22"/>
            <w:szCs w:val="22"/>
          </w:rPr>
          <w:t>PD-19-03</w:t>
        </w:r>
      </w:hyperlink>
      <w:r w:rsidRPr="00893463">
        <w:rPr>
          <w:rFonts w:asciiTheme="minorHAnsi" w:hAnsiTheme="minorHAnsi" w:cstheme="minorHAnsi"/>
          <w:sz w:val="22"/>
          <w:szCs w:val="22"/>
        </w:rPr>
        <w:t xml:space="preserve"> including the revised Case Service Report (RSA-911) for implementation beginning in Program Year (PY) 2020, beginning July 1, 2020. The </w:t>
      </w:r>
      <w:hyperlink r:id="rId181" w:tgtFrame="_blank" w:history="1">
        <w:r w:rsidRPr="00893463">
          <w:rPr>
            <w:rStyle w:val="Hyperlink"/>
            <w:rFonts w:asciiTheme="minorHAnsi" w:hAnsiTheme="minorHAnsi" w:cstheme="minorHAnsi"/>
            <w:sz w:val="22"/>
            <w:szCs w:val="22"/>
          </w:rPr>
          <w:t>PD-19-03</w:t>
        </w:r>
      </w:hyperlink>
      <w:r w:rsidRPr="00893463">
        <w:rPr>
          <w:rFonts w:asciiTheme="minorHAnsi" w:hAnsiTheme="minorHAnsi" w:cstheme="minorHAnsi"/>
          <w:sz w:val="22"/>
          <w:szCs w:val="22"/>
        </w:rPr>
        <w:t xml:space="preserve"> is posted on the </w:t>
      </w:r>
      <w:hyperlink r:id="rId182" w:tgtFrame="_blank" w:history="1">
        <w:r w:rsidRPr="00893463">
          <w:rPr>
            <w:rStyle w:val="Hyperlink"/>
            <w:rFonts w:asciiTheme="minorHAnsi" w:hAnsiTheme="minorHAnsi" w:cstheme="minorHAnsi"/>
            <w:sz w:val="22"/>
            <w:szCs w:val="22"/>
          </w:rPr>
          <w:t>RSA-911 Webpage</w:t>
        </w:r>
      </w:hyperlink>
      <w:r w:rsidRPr="00893463">
        <w:rPr>
          <w:rFonts w:asciiTheme="minorHAnsi" w:hAnsiTheme="minorHAnsi" w:cstheme="minorHAnsi"/>
          <w:sz w:val="22"/>
          <w:szCs w:val="22"/>
        </w:rPr>
        <w:t xml:space="preserve"> along with </w:t>
      </w:r>
      <w:hyperlink r:id="rId183" w:tgtFrame="_blank" w:history="1">
        <w:r w:rsidRPr="00893463">
          <w:rPr>
            <w:rStyle w:val="Hyperlink"/>
            <w:rFonts w:asciiTheme="minorHAnsi" w:hAnsiTheme="minorHAnsi" w:cstheme="minorHAnsi"/>
            <w:sz w:val="22"/>
            <w:szCs w:val="22"/>
          </w:rPr>
          <w:t>PD-16-04</w:t>
        </w:r>
      </w:hyperlink>
      <w:r w:rsidRPr="00893463">
        <w:rPr>
          <w:rFonts w:asciiTheme="minorHAnsi" w:hAnsiTheme="minorHAnsi" w:cstheme="minorHAnsi"/>
          <w:sz w:val="22"/>
          <w:szCs w:val="22"/>
        </w:rPr>
        <w:t xml:space="preserve"> that remains in effect for PY 2018 and PY 2019. In addition, RSA has released the Case Service Report (RSA-911) in </w:t>
      </w:r>
      <w:hyperlink r:id="rId184" w:tgtFrame="_blank" w:history="1">
        <w:r w:rsidRPr="00893463">
          <w:rPr>
            <w:rStyle w:val="Hyperlink"/>
            <w:rFonts w:asciiTheme="minorHAnsi" w:hAnsiTheme="minorHAnsi" w:cstheme="minorHAnsi"/>
            <w:sz w:val="22"/>
            <w:szCs w:val="22"/>
          </w:rPr>
          <w:t>Excel file format</w:t>
        </w:r>
      </w:hyperlink>
      <w:r w:rsidRPr="00893463">
        <w:rPr>
          <w:rFonts w:asciiTheme="minorHAnsi" w:hAnsiTheme="minorHAnsi" w:cstheme="minorHAnsi"/>
          <w:sz w:val="22"/>
          <w:szCs w:val="22"/>
        </w:rPr>
        <w:t xml:space="preserve">. Please note that this file corrects some typographical errors in the RSA-911 issued in </w:t>
      </w:r>
      <w:hyperlink r:id="rId185" w:tgtFrame="_blank" w:history="1">
        <w:r w:rsidRPr="00893463">
          <w:rPr>
            <w:rStyle w:val="Hyperlink"/>
            <w:rFonts w:asciiTheme="minorHAnsi" w:hAnsiTheme="minorHAnsi" w:cstheme="minorHAnsi"/>
            <w:sz w:val="22"/>
            <w:szCs w:val="22"/>
          </w:rPr>
          <w:t>PD 19-03</w:t>
        </w:r>
      </w:hyperlink>
      <w:r w:rsidRPr="00893463">
        <w:rPr>
          <w:rFonts w:asciiTheme="minorHAnsi" w:hAnsiTheme="minorHAnsi" w:cstheme="minorHAnsi"/>
          <w:sz w:val="22"/>
          <w:szCs w:val="22"/>
        </w:rPr>
        <w:t xml:space="preserve"> (May 6, 2019); these errors are outlined in the final tab of the Excel file.</w:t>
      </w:r>
    </w:p>
    <w:p w14:paraId="555CD626" w14:textId="77777777" w:rsidR="008810D5" w:rsidRPr="00893463" w:rsidRDefault="008810D5" w:rsidP="00076336">
      <w:pPr>
        <w:pStyle w:val="NormalWeb"/>
        <w:numPr>
          <w:ilvl w:val="2"/>
          <w:numId w:val="5"/>
        </w:numPr>
        <w:spacing w:before="0" w:beforeAutospacing="0" w:after="80" w:afterAutospacing="0"/>
        <w:ind w:left="810"/>
        <w:rPr>
          <w:rFonts w:asciiTheme="minorHAnsi" w:hAnsiTheme="minorHAnsi" w:cstheme="minorHAnsi"/>
          <w:sz w:val="22"/>
          <w:szCs w:val="22"/>
        </w:rPr>
      </w:pPr>
      <w:r w:rsidRPr="00893463">
        <w:rPr>
          <w:rFonts w:asciiTheme="minorHAnsi" w:hAnsiTheme="minorHAnsi" w:cstheme="minorHAnsi"/>
          <w:sz w:val="22"/>
          <w:szCs w:val="22"/>
        </w:rPr>
        <w:t xml:space="preserve">RSA also published the </w:t>
      </w:r>
      <w:hyperlink r:id="rId186" w:tgtFrame="_blank" w:history="1">
        <w:r w:rsidRPr="00893463">
          <w:rPr>
            <w:rStyle w:val="Hyperlink"/>
            <w:rFonts w:asciiTheme="minorHAnsi" w:hAnsiTheme="minorHAnsi" w:cstheme="minorHAnsi"/>
            <w:sz w:val="22"/>
            <w:szCs w:val="22"/>
          </w:rPr>
          <w:t>Case Service Report (RSA-911) Correction Procedures.</w:t>
        </w:r>
      </w:hyperlink>
      <w:r w:rsidRPr="00893463">
        <w:rPr>
          <w:rFonts w:asciiTheme="minorHAnsi" w:hAnsiTheme="minorHAnsi" w:cstheme="minorHAnsi"/>
          <w:sz w:val="22"/>
          <w:szCs w:val="22"/>
        </w:rPr>
        <w:t xml:space="preserve"> This technical assistance resource outlines the options available to State Vocational Rehabilitation agencies to correct information reported on the RSA-911 when errors in data collection or reporting are identified. Please email </w:t>
      </w:r>
      <w:hyperlink r:id="rId187" w:history="1">
        <w:r w:rsidRPr="00893463">
          <w:rPr>
            <w:rStyle w:val="Hyperlink"/>
            <w:rFonts w:asciiTheme="minorHAnsi" w:hAnsiTheme="minorHAnsi" w:cstheme="minorHAnsi"/>
            <w:sz w:val="22"/>
            <w:szCs w:val="22"/>
          </w:rPr>
          <w:t>RSAData@ed.gov</w:t>
        </w:r>
      </w:hyperlink>
      <w:r w:rsidRPr="00893463">
        <w:rPr>
          <w:rFonts w:asciiTheme="minorHAnsi" w:hAnsiTheme="minorHAnsi" w:cstheme="minorHAnsi"/>
          <w:sz w:val="22"/>
          <w:szCs w:val="22"/>
        </w:rPr>
        <w:t xml:space="preserve"> or contact your </w:t>
      </w:r>
      <w:hyperlink r:id="rId188" w:tgtFrame="_blank" w:history="1">
        <w:r w:rsidRPr="00893463">
          <w:rPr>
            <w:rStyle w:val="Hyperlink"/>
            <w:rFonts w:asciiTheme="minorHAnsi" w:hAnsiTheme="minorHAnsi" w:cstheme="minorHAnsi"/>
            <w:sz w:val="22"/>
            <w:szCs w:val="22"/>
          </w:rPr>
          <w:t>RSA State Liaison</w:t>
        </w:r>
      </w:hyperlink>
      <w:r w:rsidRPr="00893463">
        <w:rPr>
          <w:rFonts w:asciiTheme="minorHAnsi" w:hAnsiTheme="minorHAnsi" w:cstheme="minorHAnsi"/>
          <w:sz w:val="22"/>
          <w:szCs w:val="22"/>
        </w:rPr>
        <w:t xml:space="preserve"> with any questions.</w:t>
      </w:r>
    </w:p>
    <w:p w14:paraId="6590516F" w14:textId="77777777" w:rsidR="008810D5" w:rsidRPr="00DE175B" w:rsidRDefault="008810D5" w:rsidP="00076336">
      <w:pPr>
        <w:pStyle w:val="NormalWeb"/>
        <w:numPr>
          <w:ilvl w:val="1"/>
          <w:numId w:val="5"/>
        </w:numPr>
        <w:spacing w:before="0" w:beforeAutospacing="0" w:after="80" w:afterAutospacing="0"/>
        <w:ind w:left="360"/>
        <w:rPr>
          <w:rFonts w:asciiTheme="minorHAnsi" w:hAnsiTheme="minorHAnsi" w:cstheme="minorHAnsi"/>
          <w:b/>
          <w:bCs/>
          <w:sz w:val="22"/>
          <w:szCs w:val="22"/>
        </w:rPr>
      </w:pPr>
      <w:r w:rsidRPr="00DE175B">
        <w:rPr>
          <w:rFonts w:asciiTheme="minorHAnsi" w:hAnsiTheme="minorHAnsi" w:cstheme="minorHAnsi"/>
          <w:b/>
          <w:bCs/>
          <w:sz w:val="22"/>
          <w:szCs w:val="22"/>
        </w:rPr>
        <w:t>Guidance for Validating Jointly Required Performance Data </w:t>
      </w:r>
    </w:p>
    <w:p w14:paraId="6C910329" w14:textId="77777777" w:rsidR="008810D5" w:rsidRPr="00893463" w:rsidRDefault="008810D5" w:rsidP="00076336">
      <w:pPr>
        <w:pStyle w:val="NormalWeb"/>
        <w:numPr>
          <w:ilvl w:val="2"/>
          <w:numId w:val="5"/>
        </w:numPr>
        <w:spacing w:before="0" w:beforeAutospacing="0" w:after="80" w:afterAutospacing="0"/>
        <w:ind w:left="810"/>
        <w:rPr>
          <w:rFonts w:asciiTheme="minorHAnsi" w:hAnsiTheme="minorHAnsi" w:cstheme="minorHAnsi"/>
          <w:sz w:val="22"/>
          <w:szCs w:val="22"/>
        </w:rPr>
      </w:pPr>
      <w:r w:rsidRPr="00893463">
        <w:rPr>
          <w:rFonts w:asciiTheme="minorHAnsi" w:hAnsiTheme="minorHAnsi" w:cstheme="minorHAnsi"/>
          <w:sz w:val="22"/>
          <w:szCs w:val="22"/>
        </w:rPr>
        <w:lastRenderedPageBreak/>
        <w:t xml:space="preserve">The Rehabilitation Services Administration (RSA) released the </w:t>
      </w:r>
      <w:hyperlink r:id="rId189" w:tgtFrame="_blank" w:history="1">
        <w:r w:rsidRPr="00893463">
          <w:rPr>
            <w:rStyle w:val="Hyperlink"/>
            <w:rFonts w:asciiTheme="minorHAnsi" w:hAnsiTheme="minorHAnsi" w:cstheme="minorHAnsi"/>
            <w:sz w:val="22"/>
            <w:szCs w:val="22"/>
          </w:rPr>
          <w:t>Technical Assistance Circular 19-01: Guidance for Validating Jointly Required Performance Data Submitted under the Workforce Innovation and Opportunity Act.</w:t>
        </w:r>
      </w:hyperlink>
      <w:r w:rsidRPr="00893463">
        <w:rPr>
          <w:rFonts w:asciiTheme="minorHAnsi" w:hAnsiTheme="minorHAnsi" w:cstheme="minorHAnsi"/>
          <w:sz w:val="22"/>
          <w:szCs w:val="22"/>
        </w:rPr>
        <w:t xml:space="preserve"> </w:t>
      </w:r>
    </w:p>
    <w:p w14:paraId="1233350F" w14:textId="77777777" w:rsidR="008810D5" w:rsidRPr="00DE175B" w:rsidRDefault="008810D5" w:rsidP="00076336">
      <w:pPr>
        <w:pStyle w:val="NormalWeb"/>
        <w:numPr>
          <w:ilvl w:val="1"/>
          <w:numId w:val="5"/>
        </w:numPr>
        <w:spacing w:before="0" w:beforeAutospacing="0" w:after="80" w:afterAutospacing="0"/>
        <w:ind w:left="360"/>
        <w:rPr>
          <w:rFonts w:asciiTheme="minorHAnsi" w:hAnsiTheme="minorHAnsi" w:cstheme="minorHAnsi"/>
          <w:b/>
          <w:bCs/>
          <w:sz w:val="22"/>
          <w:szCs w:val="22"/>
        </w:rPr>
      </w:pPr>
      <w:r w:rsidRPr="00DE175B">
        <w:rPr>
          <w:rFonts w:asciiTheme="minorHAnsi" w:hAnsiTheme="minorHAnsi" w:cstheme="minorHAnsi"/>
          <w:b/>
          <w:bCs/>
          <w:sz w:val="22"/>
          <w:szCs w:val="22"/>
        </w:rPr>
        <w:t>RSA - WIOA Annual Report Demo - 7/25/2018</w:t>
      </w:r>
    </w:p>
    <w:p w14:paraId="518728FC" w14:textId="77777777" w:rsidR="008810D5" w:rsidRPr="00893463" w:rsidRDefault="008810D5" w:rsidP="00076336">
      <w:pPr>
        <w:pStyle w:val="NormalWeb"/>
        <w:numPr>
          <w:ilvl w:val="2"/>
          <w:numId w:val="5"/>
        </w:numPr>
        <w:spacing w:before="0" w:beforeAutospacing="0" w:after="80" w:afterAutospacing="0"/>
        <w:ind w:left="900"/>
        <w:rPr>
          <w:rFonts w:asciiTheme="minorHAnsi" w:hAnsiTheme="minorHAnsi" w:cstheme="minorHAnsi"/>
          <w:sz w:val="22"/>
          <w:szCs w:val="22"/>
        </w:rPr>
      </w:pPr>
      <w:r w:rsidRPr="00893463">
        <w:rPr>
          <w:rFonts w:asciiTheme="minorHAnsi" w:hAnsiTheme="minorHAnsi" w:cstheme="minorHAnsi"/>
          <w:sz w:val="22"/>
          <w:szCs w:val="22"/>
        </w:rPr>
        <w:t>This Rehabilitation Services Administration technical assistance program will provide an overview of the Workforce Innovation and Opportunity Act (WIOA) annual report submission timeline, state requirements and a demonstration of the submission portal located at </w:t>
      </w:r>
      <w:hyperlink r:id="rId190" w:tgtFrame="_blank" w:history="1">
        <w:r w:rsidRPr="00893463">
          <w:rPr>
            <w:rStyle w:val="Hyperlink"/>
            <w:rFonts w:asciiTheme="minorHAnsi" w:hAnsiTheme="minorHAnsi" w:cstheme="minorHAnsi"/>
            <w:sz w:val="22"/>
            <w:szCs w:val="22"/>
          </w:rPr>
          <w:t>WIOA Statewide and local performance refport template (June 2016)</w:t>
        </w:r>
      </w:hyperlink>
      <w:r w:rsidRPr="00893463">
        <w:rPr>
          <w:rFonts w:asciiTheme="minorHAnsi" w:hAnsiTheme="minorHAnsi" w:cstheme="minorHAnsi"/>
          <w:sz w:val="22"/>
          <w:szCs w:val="22"/>
        </w:rPr>
        <w:t>. The transcript and accessible presentation slides can be accessed in the </w:t>
      </w:r>
      <w:hyperlink r:id="rId191" w:tgtFrame="_blank" w:history="1">
        <w:r w:rsidRPr="00893463">
          <w:rPr>
            <w:rStyle w:val="Hyperlink"/>
            <w:rFonts w:asciiTheme="minorHAnsi" w:hAnsiTheme="minorHAnsi" w:cstheme="minorHAnsi"/>
            <w:sz w:val="22"/>
            <w:szCs w:val="22"/>
          </w:rPr>
          <w:t>NCRTM library</w:t>
        </w:r>
      </w:hyperlink>
      <w:r w:rsidRPr="00893463">
        <w:rPr>
          <w:rFonts w:asciiTheme="minorHAnsi" w:hAnsiTheme="minorHAnsi" w:cstheme="minorHAnsi"/>
          <w:sz w:val="22"/>
          <w:szCs w:val="22"/>
        </w:rPr>
        <w:t xml:space="preserve">. You can view the presentation on YouTube by visiting </w:t>
      </w:r>
      <w:hyperlink r:id="rId192" w:tgtFrame="_blank" w:history="1">
        <w:r w:rsidRPr="00893463">
          <w:rPr>
            <w:rStyle w:val="Hyperlink"/>
            <w:rFonts w:asciiTheme="minorHAnsi" w:hAnsiTheme="minorHAnsi" w:cstheme="minorHAnsi"/>
            <w:sz w:val="22"/>
            <w:szCs w:val="22"/>
          </w:rPr>
          <w:t>https://youtu.be/mzvXTsSKhL4</w:t>
        </w:r>
      </w:hyperlink>
      <w:r w:rsidRPr="00893463">
        <w:rPr>
          <w:rFonts w:asciiTheme="minorHAnsi" w:hAnsiTheme="minorHAnsi" w:cstheme="minorHAnsi"/>
          <w:sz w:val="22"/>
          <w:szCs w:val="22"/>
        </w:rPr>
        <w:t>.</w:t>
      </w:r>
    </w:p>
    <w:p w14:paraId="493C2FA7" w14:textId="77777777" w:rsidR="008810D5" w:rsidRPr="00893463" w:rsidRDefault="008810D5" w:rsidP="00076336">
      <w:pPr>
        <w:pStyle w:val="NormalWeb"/>
        <w:numPr>
          <w:ilvl w:val="1"/>
          <w:numId w:val="5"/>
        </w:numPr>
        <w:spacing w:before="0" w:beforeAutospacing="0" w:after="80" w:afterAutospacing="0"/>
        <w:ind w:left="360"/>
        <w:rPr>
          <w:rFonts w:asciiTheme="minorHAnsi" w:hAnsiTheme="minorHAnsi" w:cstheme="minorHAnsi"/>
          <w:sz w:val="22"/>
          <w:szCs w:val="22"/>
        </w:rPr>
      </w:pPr>
      <w:r w:rsidRPr="00BE4AEA">
        <w:rPr>
          <w:rFonts w:asciiTheme="minorHAnsi" w:hAnsiTheme="minorHAnsi" w:cstheme="minorHAnsi"/>
          <w:b/>
          <w:bCs/>
          <w:sz w:val="22"/>
          <w:szCs w:val="22"/>
        </w:rPr>
        <w:t>TAC 17-01: Performance Accountability Guidance for Workforce Innovation and Opportunity Act Title I, Title II, Title III and Title IV Core Programs</w:t>
      </w:r>
    </w:p>
    <w:p w14:paraId="24FCE6EC" w14:textId="77777777" w:rsidR="008810D5" w:rsidRPr="00893463" w:rsidRDefault="008810D5" w:rsidP="00076336">
      <w:pPr>
        <w:pStyle w:val="NormalWeb"/>
        <w:numPr>
          <w:ilvl w:val="2"/>
          <w:numId w:val="5"/>
        </w:numPr>
        <w:spacing w:before="0" w:beforeAutospacing="0" w:after="80" w:afterAutospacing="0"/>
        <w:ind w:left="900"/>
        <w:rPr>
          <w:rFonts w:asciiTheme="minorHAnsi" w:hAnsiTheme="minorHAnsi" w:cstheme="minorHAnsi"/>
          <w:sz w:val="22"/>
          <w:szCs w:val="22"/>
        </w:rPr>
      </w:pPr>
      <w:r w:rsidRPr="00893463">
        <w:rPr>
          <w:rFonts w:asciiTheme="minorHAnsi" w:hAnsiTheme="minorHAnsi" w:cstheme="minorHAnsi"/>
          <w:sz w:val="22"/>
          <w:szCs w:val="22"/>
        </w:rPr>
        <w:t xml:space="preserve">The Rehabilitation Services Administration (RSA) published updated revisions dated August 17, 2017 to the </w:t>
      </w:r>
      <w:hyperlink r:id="rId193" w:tgtFrame="_blank" w:history="1">
        <w:r w:rsidRPr="00893463">
          <w:rPr>
            <w:rStyle w:val="Hyperlink"/>
            <w:rFonts w:asciiTheme="minorHAnsi" w:hAnsiTheme="minorHAnsi" w:cstheme="minorHAnsi"/>
            <w:sz w:val="22"/>
            <w:szCs w:val="22"/>
          </w:rPr>
          <w:t>Technical Assistance Circular (TAC) 17-01: Performance Accountability Guidance for Workforce Innovation and Opportunity Act (WIOA) Title I, Title II, Title III and Title IV Core Programs</w:t>
        </w:r>
      </w:hyperlink>
      <w:r w:rsidRPr="00893463">
        <w:rPr>
          <w:rFonts w:asciiTheme="minorHAnsi" w:hAnsiTheme="minorHAnsi" w:cstheme="minorHAnsi"/>
          <w:sz w:val="22"/>
          <w:szCs w:val="22"/>
        </w:rPr>
        <w:t xml:space="preserve"> that was originally published on December 19, 2016. </w:t>
      </w:r>
    </w:p>
    <w:p w14:paraId="1533A9A1" w14:textId="77777777" w:rsidR="008810D5" w:rsidRPr="00546A4E" w:rsidRDefault="008810D5" w:rsidP="00076336">
      <w:pPr>
        <w:pStyle w:val="NormalWeb"/>
        <w:numPr>
          <w:ilvl w:val="1"/>
          <w:numId w:val="5"/>
        </w:numPr>
        <w:spacing w:before="0" w:beforeAutospacing="0" w:after="80" w:afterAutospacing="0"/>
        <w:ind w:left="360"/>
        <w:rPr>
          <w:rFonts w:asciiTheme="minorHAnsi" w:hAnsiTheme="minorHAnsi" w:cstheme="minorHAnsi"/>
          <w:b/>
          <w:bCs/>
          <w:sz w:val="22"/>
          <w:szCs w:val="22"/>
        </w:rPr>
      </w:pPr>
      <w:r w:rsidRPr="00546A4E">
        <w:rPr>
          <w:rFonts w:asciiTheme="minorHAnsi" w:hAnsiTheme="minorHAnsi" w:cstheme="minorHAnsi"/>
          <w:b/>
          <w:bCs/>
          <w:sz w:val="22"/>
          <w:szCs w:val="22"/>
        </w:rPr>
        <w:t>TAC 17-04 Joint Guidance on the Use of Supplemental Wage Information to Implement the Performance Accountability Requirements under the Workforce Innovation and Opportunity Act</w:t>
      </w:r>
    </w:p>
    <w:p w14:paraId="79FF3A4F" w14:textId="77777777" w:rsidR="008810D5" w:rsidRPr="00893463" w:rsidRDefault="008810D5" w:rsidP="00076336">
      <w:pPr>
        <w:pStyle w:val="NormalWeb"/>
        <w:numPr>
          <w:ilvl w:val="2"/>
          <w:numId w:val="5"/>
        </w:numPr>
        <w:spacing w:before="0" w:beforeAutospacing="0" w:after="80" w:afterAutospacing="0"/>
        <w:ind w:left="900"/>
        <w:rPr>
          <w:rFonts w:asciiTheme="minorHAnsi" w:hAnsiTheme="minorHAnsi" w:cstheme="minorHAnsi"/>
          <w:sz w:val="22"/>
          <w:szCs w:val="22"/>
        </w:rPr>
      </w:pPr>
      <w:r w:rsidRPr="00893463">
        <w:rPr>
          <w:rFonts w:asciiTheme="minorHAnsi" w:hAnsiTheme="minorHAnsi" w:cstheme="minorHAnsi"/>
          <w:sz w:val="22"/>
          <w:szCs w:val="22"/>
        </w:rPr>
        <w:t xml:space="preserve">The U.S Departments of Labor and Education have issued joint guidance on the </w:t>
      </w:r>
      <w:hyperlink r:id="rId194" w:tgtFrame="_blank" w:history="1">
        <w:r w:rsidRPr="00893463">
          <w:rPr>
            <w:rStyle w:val="Hyperlink"/>
            <w:rFonts w:asciiTheme="minorHAnsi" w:hAnsiTheme="minorHAnsi" w:cstheme="minorHAnsi"/>
            <w:sz w:val="22"/>
            <w:szCs w:val="22"/>
          </w:rPr>
          <w:t>Use of Supplemental Wage Information to Implement the Performance Accountability Requirements under the Workforce Innovation and Opportunity Act.</w:t>
        </w:r>
      </w:hyperlink>
      <w:r w:rsidRPr="00893463">
        <w:rPr>
          <w:rFonts w:asciiTheme="minorHAnsi" w:hAnsiTheme="minorHAnsi" w:cstheme="minorHAnsi"/>
          <w:sz w:val="22"/>
          <w:szCs w:val="22"/>
        </w:rPr>
        <w:t xml:space="preserve"> </w:t>
      </w:r>
    </w:p>
    <w:p w14:paraId="4F6CEB13" w14:textId="77777777" w:rsidR="008810D5" w:rsidRPr="00546A4E" w:rsidRDefault="008810D5" w:rsidP="00076336">
      <w:pPr>
        <w:pStyle w:val="NormalWeb"/>
        <w:numPr>
          <w:ilvl w:val="1"/>
          <w:numId w:val="5"/>
        </w:numPr>
        <w:spacing w:before="0" w:beforeAutospacing="0" w:after="80" w:afterAutospacing="0"/>
        <w:ind w:left="360"/>
        <w:rPr>
          <w:rFonts w:asciiTheme="minorHAnsi" w:hAnsiTheme="minorHAnsi" w:cstheme="minorHAnsi"/>
          <w:b/>
          <w:bCs/>
          <w:sz w:val="22"/>
          <w:szCs w:val="22"/>
        </w:rPr>
      </w:pPr>
      <w:r w:rsidRPr="00546A4E">
        <w:rPr>
          <w:rFonts w:asciiTheme="minorHAnsi" w:hAnsiTheme="minorHAnsi" w:cstheme="minorHAnsi"/>
          <w:b/>
          <w:bCs/>
          <w:sz w:val="22"/>
          <w:szCs w:val="22"/>
        </w:rPr>
        <w:t>911 - Introduction to Data Collection and Reporting Requirements</w:t>
      </w:r>
    </w:p>
    <w:p w14:paraId="208313D7" w14:textId="77777777" w:rsidR="008810D5" w:rsidRPr="00FC5616" w:rsidRDefault="008810D5" w:rsidP="00076336">
      <w:pPr>
        <w:pStyle w:val="NormalWeb"/>
        <w:numPr>
          <w:ilvl w:val="1"/>
          <w:numId w:val="5"/>
        </w:numPr>
        <w:spacing w:before="0" w:beforeAutospacing="0" w:after="80" w:afterAutospacing="0"/>
        <w:ind w:left="360"/>
        <w:rPr>
          <w:rFonts w:asciiTheme="minorHAnsi" w:hAnsiTheme="minorHAnsi" w:cstheme="minorHAnsi"/>
          <w:sz w:val="22"/>
          <w:szCs w:val="22"/>
        </w:rPr>
      </w:pPr>
      <w:r w:rsidRPr="00FC5616">
        <w:rPr>
          <w:rFonts w:asciiTheme="minorHAnsi" w:hAnsiTheme="minorHAnsi" w:cstheme="minorHAnsi"/>
          <w:sz w:val="22"/>
          <w:szCs w:val="22"/>
        </w:rPr>
        <w:t xml:space="preserve">The training curriculum provides an overview of the joint guidance issued in Technical Assistance Circulars (TAC) </w:t>
      </w:r>
      <w:hyperlink r:id="rId195" w:tgtFrame="_blank" w:history="1">
        <w:r w:rsidRPr="00FC5616">
          <w:rPr>
            <w:rStyle w:val="Hyperlink"/>
            <w:rFonts w:asciiTheme="minorHAnsi" w:hAnsiTheme="minorHAnsi" w:cstheme="minorHAnsi"/>
            <w:sz w:val="22"/>
            <w:szCs w:val="22"/>
          </w:rPr>
          <w:t>17-01</w:t>
        </w:r>
      </w:hyperlink>
      <w:r w:rsidRPr="00FC5616">
        <w:rPr>
          <w:rFonts w:asciiTheme="minorHAnsi" w:hAnsiTheme="minorHAnsi" w:cstheme="minorHAnsi"/>
          <w:sz w:val="22"/>
          <w:szCs w:val="22"/>
        </w:rPr>
        <w:t xml:space="preserve"> and </w:t>
      </w:r>
      <w:hyperlink r:id="rId196" w:tgtFrame="_blank" w:history="1">
        <w:r w:rsidRPr="00FC5616">
          <w:rPr>
            <w:rStyle w:val="Hyperlink"/>
            <w:rFonts w:asciiTheme="minorHAnsi" w:hAnsiTheme="minorHAnsi" w:cstheme="minorHAnsi"/>
            <w:sz w:val="22"/>
            <w:szCs w:val="22"/>
          </w:rPr>
          <w:t>17-04.</w:t>
        </w:r>
      </w:hyperlink>
      <w:r w:rsidRPr="00FC5616">
        <w:rPr>
          <w:rFonts w:asciiTheme="minorHAnsi" w:hAnsiTheme="minorHAnsi" w:cstheme="minorHAnsi"/>
          <w:sz w:val="22"/>
          <w:szCs w:val="22"/>
        </w:rPr>
        <w:t xml:space="preserve"> The TA materials, including the self-guided seven-module training, are posted and archived on the National Clearinghouse of Rehabilitation Training Materials (NCRTM) website: </w:t>
      </w:r>
      <w:hyperlink r:id="rId197" w:tgtFrame="_blank" w:history="1">
        <w:r w:rsidRPr="00FC5616">
          <w:rPr>
            <w:rStyle w:val="Hyperlink"/>
            <w:rFonts w:asciiTheme="minorHAnsi" w:hAnsiTheme="minorHAnsi" w:cstheme="minorHAnsi"/>
            <w:sz w:val="22"/>
            <w:szCs w:val="22"/>
          </w:rPr>
          <w:t>www.ncrtm.ed.gov</w:t>
        </w:r>
      </w:hyperlink>
      <w:r w:rsidRPr="00FC5616">
        <w:rPr>
          <w:rFonts w:asciiTheme="minorHAnsi" w:hAnsiTheme="minorHAnsi" w:cstheme="minorHAnsi"/>
          <w:sz w:val="22"/>
          <w:szCs w:val="22"/>
        </w:rPr>
        <w:t>.</w:t>
      </w:r>
    </w:p>
    <w:p w14:paraId="5F9CF413" w14:textId="77777777" w:rsidR="008810D5" w:rsidRPr="00FC5616" w:rsidRDefault="008810D5" w:rsidP="00076336">
      <w:pPr>
        <w:pStyle w:val="NormalWeb"/>
        <w:numPr>
          <w:ilvl w:val="1"/>
          <w:numId w:val="5"/>
        </w:numPr>
        <w:spacing w:before="0" w:beforeAutospacing="0" w:after="80" w:afterAutospacing="0"/>
        <w:ind w:left="360"/>
        <w:rPr>
          <w:rFonts w:asciiTheme="minorHAnsi" w:hAnsiTheme="minorHAnsi" w:cstheme="minorHAnsi"/>
          <w:b/>
          <w:bCs/>
          <w:sz w:val="22"/>
          <w:szCs w:val="22"/>
        </w:rPr>
      </w:pPr>
      <w:r w:rsidRPr="00FC5616">
        <w:rPr>
          <w:rFonts w:asciiTheme="minorHAnsi" w:hAnsiTheme="minorHAnsi" w:cstheme="minorHAnsi"/>
          <w:b/>
          <w:bCs/>
          <w:sz w:val="22"/>
          <w:szCs w:val="22"/>
        </w:rPr>
        <w:t>911 - Reporting FAQ</w:t>
      </w:r>
    </w:p>
    <w:p w14:paraId="234C55FF" w14:textId="77777777" w:rsidR="008810D5" w:rsidRPr="00893463" w:rsidRDefault="008810D5" w:rsidP="00076336">
      <w:pPr>
        <w:pStyle w:val="NormalWeb"/>
        <w:numPr>
          <w:ilvl w:val="2"/>
          <w:numId w:val="5"/>
        </w:numPr>
        <w:spacing w:before="0" w:beforeAutospacing="0" w:after="80" w:afterAutospacing="0"/>
        <w:ind w:left="900"/>
        <w:rPr>
          <w:rFonts w:asciiTheme="minorHAnsi" w:hAnsiTheme="minorHAnsi" w:cstheme="minorHAnsi"/>
          <w:sz w:val="22"/>
          <w:szCs w:val="22"/>
        </w:rPr>
      </w:pPr>
      <w:r w:rsidRPr="00893463">
        <w:rPr>
          <w:rFonts w:asciiTheme="minorHAnsi" w:hAnsiTheme="minorHAnsi" w:cstheme="minorHAnsi"/>
          <w:sz w:val="22"/>
          <w:szCs w:val="22"/>
        </w:rPr>
        <w:t>The Rehabilitation Services Administration (RSA) issued a reporting manual for the Case Service Report RSA-911 in June 2016. This manual provides guidance for State Vocational Rehabilitation Agencies (SVRA) in collecting and reporting additional required data elements needed to be consistent with the performance accountability measures for the core programs of the workforce development system. As of June 14, 2017, a revised version of the </w:t>
      </w:r>
      <w:hyperlink r:id="rId198" w:tgtFrame="_blank" w:history="1">
        <w:r w:rsidRPr="00893463">
          <w:rPr>
            <w:rStyle w:val="Hyperlink"/>
            <w:rFonts w:asciiTheme="minorHAnsi" w:hAnsiTheme="minorHAnsi" w:cstheme="minorHAnsi"/>
            <w:sz w:val="22"/>
            <w:szCs w:val="22"/>
          </w:rPr>
          <w:t>Case Service Report RSA-911 manual and Policy Directive (RSA-PD-16-04) </w:t>
        </w:r>
      </w:hyperlink>
      <w:r w:rsidRPr="00893463">
        <w:rPr>
          <w:rFonts w:asciiTheme="minorHAnsi" w:hAnsiTheme="minorHAnsi" w:cstheme="minorHAnsi"/>
          <w:sz w:val="22"/>
          <w:szCs w:val="22"/>
        </w:rPr>
        <w:t>was published.</w:t>
      </w:r>
    </w:p>
    <w:p w14:paraId="428BC9FD" w14:textId="77777777" w:rsidR="008810D5" w:rsidRPr="00FC5616" w:rsidRDefault="008810D5" w:rsidP="00076336">
      <w:pPr>
        <w:pStyle w:val="NormalWeb"/>
        <w:numPr>
          <w:ilvl w:val="1"/>
          <w:numId w:val="5"/>
        </w:numPr>
        <w:spacing w:before="0" w:beforeAutospacing="0" w:after="80" w:afterAutospacing="0"/>
        <w:ind w:left="360"/>
        <w:rPr>
          <w:rFonts w:asciiTheme="minorHAnsi" w:hAnsiTheme="minorHAnsi" w:cstheme="minorHAnsi"/>
          <w:b/>
          <w:bCs/>
          <w:sz w:val="22"/>
          <w:szCs w:val="22"/>
        </w:rPr>
      </w:pPr>
      <w:r w:rsidRPr="00FC5616">
        <w:rPr>
          <w:rFonts w:asciiTheme="minorHAnsi" w:hAnsiTheme="minorHAnsi" w:cstheme="minorHAnsi"/>
          <w:b/>
          <w:bCs/>
          <w:sz w:val="22"/>
          <w:szCs w:val="22"/>
        </w:rPr>
        <w:t>RSA 2017 Monitoring and Technical Assistance Visits: Supporting Documentation Guidance</w:t>
      </w:r>
    </w:p>
    <w:p w14:paraId="07D0CB27" w14:textId="77777777" w:rsidR="008810D5" w:rsidRPr="00893463" w:rsidRDefault="008810D5" w:rsidP="00076336">
      <w:pPr>
        <w:pStyle w:val="NormalWeb"/>
        <w:numPr>
          <w:ilvl w:val="2"/>
          <w:numId w:val="5"/>
        </w:numPr>
        <w:spacing w:before="0" w:beforeAutospacing="0" w:after="80" w:afterAutospacing="0"/>
        <w:ind w:left="900"/>
        <w:rPr>
          <w:rFonts w:asciiTheme="minorHAnsi" w:hAnsiTheme="minorHAnsi" w:cstheme="minorHAnsi"/>
          <w:sz w:val="22"/>
          <w:szCs w:val="22"/>
        </w:rPr>
      </w:pPr>
      <w:r w:rsidRPr="00893463">
        <w:rPr>
          <w:rFonts w:asciiTheme="minorHAnsi" w:hAnsiTheme="minorHAnsi" w:cstheme="minorHAnsi"/>
          <w:sz w:val="22"/>
          <w:szCs w:val="22"/>
        </w:rPr>
        <w:t xml:space="preserve">The supporting documentation described in </w:t>
      </w:r>
      <w:hyperlink r:id="rId199" w:tgtFrame="_blank" w:history="1">
        <w:r w:rsidRPr="00893463">
          <w:rPr>
            <w:rStyle w:val="Hyperlink"/>
            <w:rFonts w:asciiTheme="minorHAnsi" w:hAnsiTheme="minorHAnsi" w:cstheme="minorHAnsi"/>
            <w:sz w:val="22"/>
            <w:szCs w:val="22"/>
          </w:rPr>
          <w:t>this guidance</w:t>
        </w:r>
      </w:hyperlink>
      <w:r w:rsidRPr="00893463">
        <w:rPr>
          <w:rFonts w:asciiTheme="minorHAnsi" w:hAnsiTheme="minorHAnsi" w:cstheme="minorHAnsi"/>
          <w:sz w:val="22"/>
          <w:szCs w:val="22"/>
        </w:rPr>
        <w:t xml:space="preserve"> pertains to certain key data elements in the Case Service Report (RSA-911) that Rehabilitation Services Administration (RSA) staff will review during Federal fiscal year (FFY) 2017 monitoring and technical assistance visits. </w:t>
      </w:r>
    </w:p>
    <w:p w14:paraId="700E3B48" w14:textId="77777777" w:rsidR="008810D5" w:rsidRPr="008A1B81" w:rsidRDefault="008810D5" w:rsidP="00076336">
      <w:pPr>
        <w:pStyle w:val="NormalWeb"/>
        <w:numPr>
          <w:ilvl w:val="1"/>
          <w:numId w:val="5"/>
        </w:numPr>
        <w:spacing w:before="0" w:beforeAutospacing="0" w:after="80" w:afterAutospacing="0"/>
        <w:ind w:left="360"/>
        <w:rPr>
          <w:rFonts w:asciiTheme="minorHAnsi" w:hAnsiTheme="minorHAnsi" w:cstheme="minorHAnsi"/>
          <w:b/>
          <w:bCs/>
          <w:sz w:val="22"/>
          <w:szCs w:val="22"/>
        </w:rPr>
      </w:pPr>
      <w:bookmarkStart w:id="40" w:name="guidance"/>
      <w:bookmarkEnd w:id="40"/>
      <w:r w:rsidRPr="008A1B81">
        <w:rPr>
          <w:rFonts w:asciiTheme="minorHAnsi" w:hAnsiTheme="minorHAnsi" w:cstheme="minorHAnsi"/>
          <w:b/>
          <w:bCs/>
          <w:sz w:val="22"/>
          <w:szCs w:val="22"/>
        </w:rPr>
        <w:t>State Wage Interchange System (SWIS)</w:t>
      </w:r>
    </w:p>
    <w:p w14:paraId="6D05281F" w14:textId="77777777" w:rsidR="008810D5" w:rsidRPr="00F470C6" w:rsidRDefault="008810D5" w:rsidP="00076336">
      <w:pPr>
        <w:pStyle w:val="NormalWeb"/>
        <w:numPr>
          <w:ilvl w:val="2"/>
          <w:numId w:val="5"/>
        </w:numPr>
        <w:spacing w:before="0" w:beforeAutospacing="0" w:after="80" w:afterAutospacing="0"/>
        <w:ind w:left="900"/>
        <w:rPr>
          <w:rFonts w:asciiTheme="minorHAnsi" w:hAnsiTheme="minorHAnsi" w:cstheme="minorHAnsi"/>
          <w:sz w:val="22"/>
          <w:szCs w:val="22"/>
        </w:rPr>
      </w:pPr>
      <w:r w:rsidRPr="00F470C6">
        <w:rPr>
          <w:rFonts w:asciiTheme="minorHAnsi" w:hAnsiTheme="minorHAnsi" w:cstheme="minorHAnsi"/>
          <w:sz w:val="22"/>
          <w:szCs w:val="22"/>
        </w:rPr>
        <w:t xml:space="preserve">The U.S. Departments of Labor and Education, has developed for your review and execution, the new State Wage Interchange System (SWIS) Data Sharing Agreement (Agreement). To aid your review of the SWIS Agreement, please listen to the SWIS Agreement webcast published on the WorkforceGPS website. </w:t>
      </w:r>
      <w:hyperlink r:id="rId200" w:tgtFrame="_blank" w:history="1">
        <w:r w:rsidRPr="00F470C6">
          <w:rPr>
            <w:rStyle w:val="Hyperlink"/>
            <w:rFonts w:asciiTheme="minorHAnsi" w:hAnsiTheme="minorHAnsi" w:cstheme="minorHAnsi"/>
            <w:sz w:val="22"/>
            <w:szCs w:val="22"/>
          </w:rPr>
          <w:t>Click to access the SWIS Agreement webcast.</w:t>
        </w:r>
      </w:hyperlink>
    </w:p>
    <w:p w14:paraId="79E12DE9" w14:textId="77777777" w:rsidR="008810D5" w:rsidRPr="00893463" w:rsidRDefault="008810D5" w:rsidP="00076336">
      <w:pPr>
        <w:pStyle w:val="NormalWeb"/>
        <w:numPr>
          <w:ilvl w:val="2"/>
          <w:numId w:val="5"/>
        </w:numPr>
        <w:spacing w:before="0" w:beforeAutospacing="0" w:after="80" w:afterAutospacing="0"/>
        <w:ind w:left="900"/>
        <w:rPr>
          <w:rFonts w:asciiTheme="minorHAnsi" w:hAnsiTheme="minorHAnsi" w:cstheme="minorHAnsi"/>
          <w:sz w:val="22"/>
          <w:szCs w:val="22"/>
        </w:rPr>
      </w:pPr>
      <w:r w:rsidRPr="00893463">
        <w:rPr>
          <w:rFonts w:asciiTheme="minorHAnsi" w:hAnsiTheme="minorHAnsi" w:cstheme="minorHAnsi"/>
          <w:sz w:val="22"/>
          <w:szCs w:val="22"/>
        </w:rPr>
        <w:lastRenderedPageBreak/>
        <w:t>The U.S. Departments of Labor and Education (DOL and ED, or, collectively, Departments) provided this </w:t>
      </w:r>
      <w:hyperlink r:id="rId201" w:tgtFrame="_blank" w:history="1">
        <w:r w:rsidRPr="00893463">
          <w:rPr>
            <w:rStyle w:val="Hyperlink"/>
            <w:rFonts w:asciiTheme="minorHAnsi" w:hAnsiTheme="minorHAnsi" w:cstheme="minorHAnsi"/>
            <w:sz w:val="22"/>
            <w:szCs w:val="22"/>
          </w:rPr>
          <w:t>Joint Guidance on Data Matching to Facilitate WIOA Performance Reporting and Evaluation</w:t>
        </w:r>
      </w:hyperlink>
      <w:r w:rsidRPr="00893463">
        <w:rPr>
          <w:rFonts w:asciiTheme="minorHAnsi" w:hAnsiTheme="minorHAnsi" w:cstheme="minorHAnsi"/>
          <w:sz w:val="22"/>
          <w:szCs w:val="22"/>
        </w:rPr>
        <w:t> as a resource to provide information to assist State agencies (including Vocational Rehabilitation (VR) agencies and workforce development agencies), educational agencies and institutions, and service providers in performance reporting and evaluation requirements under the Workforce Innovation and Opportunity Act (WIOA) (Pub. L. 113-128).</w:t>
      </w:r>
    </w:p>
    <w:p w14:paraId="4EAB3F33" w14:textId="77777777" w:rsidR="008810D5" w:rsidRPr="00893463" w:rsidRDefault="00366D34" w:rsidP="00076336">
      <w:pPr>
        <w:pStyle w:val="NormalWeb"/>
        <w:numPr>
          <w:ilvl w:val="0"/>
          <w:numId w:val="5"/>
        </w:numPr>
        <w:spacing w:before="0" w:beforeAutospacing="0" w:after="80" w:afterAutospacing="0"/>
        <w:ind w:left="900"/>
        <w:rPr>
          <w:rFonts w:asciiTheme="minorHAnsi" w:hAnsiTheme="minorHAnsi" w:cstheme="minorHAnsi"/>
          <w:sz w:val="22"/>
          <w:szCs w:val="22"/>
        </w:rPr>
      </w:pPr>
      <w:hyperlink r:id="rId202" w:tgtFrame="_blank" w:history="1">
        <w:r w:rsidR="008810D5" w:rsidRPr="00893463">
          <w:rPr>
            <w:rStyle w:val="Hyperlink"/>
            <w:rFonts w:asciiTheme="minorHAnsi" w:hAnsiTheme="minorHAnsi" w:cstheme="minorHAnsi"/>
            <w:sz w:val="22"/>
            <w:szCs w:val="22"/>
          </w:rPr>
          <w:t>WIOA Wednesday: Data Matching for WIOA Reporting/ the Family Educational Right to Privacy Act</w:t>
        </w:r>
      </w:hyperlink>
    </w:p>
    <w:p w14:paraId="1AA47599" w14:textId="77777777" w:rsidR="008810D5" w:rsidRPr="00893463" w:rsidRDefault="00366D34" w:rsidP="00076336">
      <w:pPr>
        <w:pStyle w:val="NormalWeb"/>
        <w:numPr>
          <w:ilvl w:val="0"/>
          <w:numId w:val="5"/>
        </w:numPr>
        <w:spacing w:before="0" w:beforeAutospacing="0" w:after="80" w:afterAutospacing="0"/>
        <w:ind w:left="900"/>
        <w:rPr>
          <w:rFonts w:asciiTheme="minorHAnsi" w:hAnsiTheme="minorHAnsi" w:cstheme="minorHAnsi"/>
          <w:sz w:val="22"/>
          <w:szCs w:val="22"/>
        </w:rPr>
      </w:pPr>
      <w:hyperlink r:id="rId203" w:tgtFrame="_blank" w:history="1">
        <w:r w:rsidR="008810D5" w:rsidRPr="00893463">
          <w:rPr>
            <w:rStyle w:val="Hyperlink"/>
            <w:rFonts w:asciiTheme="minorHAnsi" w:hAnsiTheme="minorHAnsi" w:cstheme="minorHAnsi"/>
            <w:sz w:val="22"/>
            <w:szCs w:val="22"/>
          </w:rPr>
          <w:t>WIOA Wednesday: Performance Accountability, Part 1</w:t>
        </w:r>
      </w:hyperlink>
    </w:p>
    <w:p w14:paraId="324041E7" w14:textId="77777777" w:rsidR="008810D5" w:rsidRPr="00893463" w:rsidRDefault="00366D34" w:rsidP="00076336">
      <w:pPr>
        <w:pStyle w:val="NormalWeb"/>
        <w:numPr>
          <w:ilvl w:val="0"/>
          <w:numId w:val="5"/>
        </w:numPr>
        <w:spacing w:before="0" w:beforeAutospacing="0" w:after="80" w:afterAutospacing="0"/>
        <w:ind w:left="900"/>
        <w:rPr>
          <w:rFonts w:asciiTheme="minorHAnsi" w:hAnsiTheme="minorHAnsi" w:cstheme="minorHAnsi"/>
          <w:sz w:val="22"/>
          <w:szCs w:val="22"/>
        </w:rPr>
      </w:pPr>
      <w:hyperlink r:id="rId204" w:tgtFrame="_blank" w:history="1">
        <w:r w:rsidR="008810D5" w:rsidRPr="00893463">
          <w:rPr>
            <w:rStyle w:val="Hyperlink"/>
            <w:rFonts w:asciiTheme="minorHAnsi" w:hAnsiTheme="minorHAnsi" w:cstheme="minorHAnsi"/>
            <w:sz w:val="22"/>
            <w:szCs w:val="22"/>
          </w:rPr>
          <w:t>WIOA Wednesday: Performance Accountability, Part 2</w:t>
        </w:r>
      </w:hyperlink>
    </w:p>
    <w:p w14:paraId="662D1428" w14:textId="77777777" w:rsidR="008810D5" w:rsidRPr="00893463" w:rsidRDefault="008810D5" w:rsidP="00076336">
      <w:pPr>
        <w:pStyle w:val="NormalWeb"/>
        <w:numPr>
          <w:ilvl w:val="0"/>
          <w:numId w:val="5"/>
        </w:numPr>
        <w:spacing w:before="0" w:beforeAutospacing="0" w:after="80" w:afterAutospacing="0"/>
        <w:ind w:left="900"/>
        <w:rPr>
          <w:rFonts w:asciiTheme="minorHAnsi" w:hAnsiTheme="minorHAnsi" w:cstheme="minorHAnsi"/>
          <w:sz w:val="22"/>
          <w:szCs w:val="22"/>
        </w:rPr>
      </w:pPr>
      <w:bookmarkStart w:id="41" w:name="csavr"/>
      <w:bookmarkEnd w:id="41"/>
      <w:r w:rsidRPr="00893463">
        <w:rPr>
          <w:rFonts w:asciiTheme="minorHAnsi" w:hAnsiTheme="minorHAnsi" w:cstheme="minorHAnsi"/>
          <w:sz w:val="22"/>
          <w:szCs w:val="22"/>
        </w:rPr>
        <w:t>CSAVR &amp; NCSAB Presentations Related to CPM</w:t>
      </w:r>
    </w:p>
    <w:p w14:paraId="6A6B292E" w14:textId="77777777" w:rsidR="008810D5" w:rsidRPr="00893463" w:rsidRDefault="00366D34" w:rsidP="00076336">
      <w:pPr>
        <w:pStyle w:val="NormalWeb"/>
        <w:numPr>
          <w:ilvl w:val="2"/>
          <w:numId w:val="6"/>
        </w:numPr>
        <w:spacing w:before="0" w:beforeAutospacing="0" w:after="80" w:afterAutospacing="0"/>
        <w:ind w:left="1440"/>
        <w:rPr>
          <w:rFonts w:asciiTheme="minorHAnsi" w:hAnsiTheme="minorHAnsi" w:cstheme="minorHAnsi"/>
          <w:sz w:val="22"/>
          <w:szCs w:val="22"/>
        </w:rPr>
      </w:pPr>
      <w:hyperlink r:id="rId205" w:tgtFrame="_blank" w:history="1">
        <w:r w:rsidR="008810D5" w:rsidRPr="00893463">
          <w:rPr>
            <w:rStyle w:val="Hyperlink"/>
            <w:rFonts w:asciiTheme="minorHAnsi" w:hAnsiTheme="minorHAnsi" w:cstheme="minorHAnsi"/>
            <w:sz w:val="22"/>
            <w:szCs w:val="22"/>
          </w:rPr>
          <w:t>Data Validation Presentation (NCSAB 4-11-2019)</w:t>
        </w:r>
      </w:hyperlink>
    </w:p>
    <w:p w14:paraId="2C17C412" w14:textId="77777777" w:rsidR="008810D5" w:rsidRPr="00893463" w:rsidRDefault="00366D34" w:rsidP="00076336">
      <w:pPr>
        <w:pStyle w:val="NormalWeb"/>
        <w:numPr>
          <w:ilvl w:val="2"/>
          <w:numId w:val="6"/>
        </w:numPr>
        <w:spacing w:before="0" w:beforeAutospacing="0" w:after="80" w:afterAutospacing="0"/>
        <w:ind w:left="1440"/>
        <w:rPr>
          <w:rFonts w:asciiTheme="minorHAnsi" w:hAnsiTheme="minorHAnsi" w:cstheme="minorHAnsi"/>
          <w:sz w:val="22"/>
          <w:szCs w:val="22"/>
        </w:rPr>
      </w:pPr>
      <w:hyperlink r:id="rId206" w:tgtFrame="_blank" w:history="1">
        <w:r w:rsidR="008810D5" w:rsidRPr="00893463">
          <w:rPr>
            <w:rStyle w:val="Hyperlink"/>
            <w:rFonts w:asciiTheme="minorHAnsi" w:hAnsiTheme="minorHAnsi" w:cstheme="minorHAnsi"/>
            <w:sz w:val="22"/>
            <w:szCs w:val="22"/>
          </w:rPr>
          <w:t>Internal Control Presentation (NCSAB 4-11-2019)</w:t>
        </w:r>
      </w:hyperlink>
    </w:p>
    <w:p w14:paraId="26C9B1C5" w14:textId="77777777" w:rsidR="008810D5" w:rsidRPr="00893463" w:rsidRDefault="00366D34" w:rsidP="00076336">
      <w:pPr>
        <w:pStyle w:val="NormalWeb"/>
        <w:numPr>
          <w:ilvl w:val="2"/>
          <w:numId w:val="6"/>
        </w:numPr>
        <w:spacing w:before="0" w:beforeAutospacing="0" w:after="80" w:afterAutospacing="0"/>
        <w:ind w:left="1440"/>
        <w:rPr>
          <w:rFonts w:asciiTheme="minorHAnsi" w:hAnsiTheme="minorHAnsi" w:cstheme="minorHAnsi"/>
          <w:sz w:val="22"/>
          <w:szCs w:val="22"/>
        </w:rPr>
      </w:pPr>
      <w:hyperlink r:id="rId207" w:tgtFrame="_blank" w:history="1">
        <w:r w:rsidR="008810D5" w:rsidRPr="00893463">
          <w:rPr>
            <w:rStyle w:val="Hyperlink"/>
            <w:rFonts w:asciiTheme="minorHAnsi" w:hAnsiTheme="minorHAnsi" w:cstheme="minorHAnsi"/>
            <w:sz w:val="22"/>
            <w:szCs w:val="22"/>
          </w:rPr>
          <w:t>Trends in the VR Program, Post-WIOA (CSAVR 4-10-2019)</w:t>
        </w:r>
      </w:hyperlink>
      <w:r w:rsidR="008810D5" w:rsidRPr="00893463">
        <w:rPr>
          <w:rFonts w:asciiTheme="minorHAnsi" w:hAnsiTheme="minorHAnsi" w:cstheme="minorHAnsi"/>
          <w:sz w:val="22"/>
          <w:szCs w:val="22"/>
        </w:rPr>
        <w:t> - (Please contact RSA for any questions or accessible version.)</w:t>
      </w:r>
    </w:p>
    <w:p w14:paraId="22B59421" w14:textId="77777777" w:rsidR="008810D5" w:rsidRPr="00893463" w:rsidRDefault="008810D5" w:rsidP="00076336">
      <w:pPr>
        <w:pStyle w:val="NormalWeb"/>
        <w:numPr>
          <w:ilvl w:val="0"/>
          <w:numId w:val="5"/>
        </w:numPr>
        <w:spacing w:before="0" w:beforeAutospacing="0" w:after="80" w:afterAutospacing="0"/>
        <w:ind w:left="990"/>
        <w:rPr>
          <w:rFonts w:asciiTheme="minorHAnsi" w:hAnsiTheme="minorHAnsi" w:cstheme="minorHAnsi"/>
          <w:sz w:val="22"/>
          <w:szCs w:val="22"/>
        </w:rPr>
      </w:pPr>
      <w:r w:rsidRPr="00893463">
        <w:rPr>
          <w:rFonts w:asciiTheme="minorHAnsi" w:hAnsiTheme="minorHAnsi" w:cstheme="minorHAnsi"/>
          <w:sz w:val="22"/>
          <w:szCs w:val="22"/>
        </w:rPr>
        <w:t>Fall 2018 CSAVR &amp; NCSAB Conference</w:t>
      </w:r>
    </w:p>
    <w:p w14:paraId="2B008D5B" w14:textId="77777777" w:rsidR="008810D5" w:rsidRPr="00893463" w:rsidRDefault="00366D34" w:rsidP="00076336">
      <w:pPr>
        <w:pStyle w:val="NormalWeb"/>
        <w:numPr>
          <w:ilvl w:val="1"/>
          <w:numId w:val="7"/>
        </w:numPr>
        <w:spacing w:before="0" w:beforeAutospacing="0" w:after="80" w:afterAutospacing="0"/>
        <w:rPr>
          <w:rFonts w:asciiTheme="minorHAnsi" w:hAnsiTheme="minorHAnsi" w:cstheme="minorHAnsi"/>
          <w:sz w:val="22"/>
          <w:szCs w:val="22"/>
        </w:rPr>
      </w:pPr>
      <w:hyperlink r:id="rId208" w:tgtFrame="_blank" w:history="1">
        <w:r w:rsidR="008810D5" w:rsidRPr="00893463">
          <w:rPr>
            <w:rStyle w:val="Hyperlink"/>
            <w:rFonts w:asciiTheme="minorHAnsi" w:hAnsiTheme="minorHAnsi" w:cstheme="minorHAnsi"/>
            <w:sz w:val="22"/>
            <w:szCs w:val="22"/>
          </w:rPr>
          <w:t>Proactive Methods for Using Data (NCSAB 10-31-2018) </w:t>
        </w:r>
      </w:hyperlink>
      <w:r w:rsidR="008810D5" w:rsidRPr="00893463">
        <w:rPr>
          <w:rFonts w:asciiTheme="minorHAnsi" w:hAnsiTheme="minorHAnsi" w:cstheme="minorHAnsi"/>
          <w:sz w:val="22"/>
          <w:szCs w:val="22"/>
        </w:rPr>
        <w:t>- (Please contact RSA for any questions or accessible version.)</w:t>
      </w:r>
    </w:p>
    <w:p w14:paraId="4F3BADF4" w14:textId="77777777" w:rsidR="008810D5" w:rsidRPr="00893463" w:rsidRDefault="00366D34" w:rsidP="00076336">
      <w:pPr>
        <w:pStyle w:val="NormalWeb"/>
        <w:numPr>
          <w:ilvl w:val="1"/>
          <w:numId w:val="7"/>
        </w:numPr>
        <w:spacing w:before="0" w:beforeAutospacing="0" w:after="80" w:afterAutospacing="0"/>
        <w:rPr>
          <w:rFonts w:asciiTheme="minorHAnsi" w:hAnsiTheme="minorHAnsi" w:cstheme="minorHAnsi"/>
          <w:sz w:val="22"/>
          <w:szCs w:val="22"/>
        </w:rPr>
      </w:pPr>
      <w:hyperlink r:id="rId209" w:tgtFrame="_blank" w:history="1">
        <w:r w:rsidR="008810D5" w:rsidRPr="00893463">
          <w:rPr>
            <w:rStyle w:val="Hyperlink"/>
            <w:rFonts w:asciiTheme="minorHAnsi" w:hAnsiTheme="minorHAnsi" w:cstheme="minorHAnsi"/>
            <w:sz w:val="22"/>
            <w:szCs w:val="22"/>
          </w:rPr>
          <w:t>RSA-911 Data Program Year 2017 (CSAVR 10-31-2018)</w:t>
        </w:r>
      </w:hyperlink>
      <w:r w:rsidR="008810D5" w:rsidRPr="00893463">
        <w:rPr>
          <w:rFonts w:asciiTheme="minorHAnsi" w:hAnsiTheme="minorHAnsi" w:cstheme="minorHAnsi"/>
          <w:sz w:val="22"/>
          <w:szCs w:val="22"/>
        </w:rPr>
        <w:t> - (Please contact RSA for any questions or accessible version.)</w:t>
      </w:r>
    </w:p>
    <w:p w14:paraId="3F8D57EF" w14:textId="77777777" w:rsidR="008810D5" w:rsidRPr="00893463" w:rsidRDefault="008810D5" w:rsidP="00076336">
      <w:pPr>
        <w:pStyle w:val="NormalWeb"/>
        <w:numPr>
          <w:ilvl w:val="0"/>
          <w:numId w:val="5"/>
        </w:numPr>
        <w:spacing w:before="0" w:beforeAutospacing="0" w:after="80" w:afterAutospacing="0"/>
        <w:ind w:left="990"/>
        <w:rPr>
          <w:rFonts w:asciiTheme="minorHAnsi" w:hAnsiTheme="minorHAnsi" w:cstheme="minorHAnsi"/>
          <w:sz w:val="22"/>
          <w:szCs w:val="22"/>
        </w:rPr>
      </w:pPr>
      <w:r w:rsidRPr="00893463">
        <w:rPr>
          <w:rFonts w:asciiTheme="minorHAnsi" w:hAnsiTheme="minorHAnsi" w:cstheme="minorHAnsi"/>
          <w:sz w:val="22"/>
          <w:szCs w:val="22"/>
        </w:rPr>
        <w:t>Fall 2018 Fiscal Conference</w:t>
      </w:r>
    </w:p>
    <w:p w14:paraId="2C73540D" w14:textId="77777777" w:rsidR="008810D5" w:rsidRPr="00893463" w:rsidRDefault="00366D34" w:rsidP="00076336">
      <w:pPr>
        <w:pStyle w:val="NormalWeb"/>
        <w:numPr>
          <w:ilvl w:val="0"/>
          <w:numId w:val="5"/>
        </w:numPr>
        <w:spacing w:before="0" w:beforeAutospacing="0" w:after="80" w:afterAutospacing="0"/>
        <w:ind w:left="1440"/>
        <w:rPr>
          <w:rFonts w:asciiTheme="minorHAnsi" w:hAnsiTheme="minorHAnsi" w:cstheme="minorHAnsi"/>
          <w:sz w:val="22"/>
          <w:szCs w:val="22"/>
        </w:rPr>
      </w:pPr>
      <w:hyperlink r:id="rId210" w:tgtFrame="_blank" w:history="1">
        <w:r w:rsidR="008810D5" w:rsidRPr="00893463">
          <w:rPr>
            <w:rStyle w:val="Hyperlink"/>
            <w:rFonts w:asciiTheme="minorHAnsi" w:hAnsiTheme="minorHAnsi" w:cstheme="minorHAnsi"/>
            <w:sz w:val="22"/>
            <w:szCs w:val="22"/>
          </w:rPr>
          <w:t>Uniformed Guidance and Internal Controls (August 2018)</w:t>
        </w:r>
      </w:hyperlink>
      <w:r w:rsidR="008810D5" w:rsidRPr="00893463">
        <w:rPr>
          <w:rFonts w:asciiTheme="minorHAnsi" w:hAnsiTheme="minorHAnsi" w:cstheme="minorHAnsi"/>
          <w:sz w:val="22"/>
          <w:szCs w:val="22"/>
        </w:rPr>
        <w:t> - (Please contact RSA for any questions or accessible version.)</w:t>
      </w:r>
    </w:p>
    <w:p w14:paraId="5F6C4399" w14:textId="77777777" w:rsidR="008810D5" w:rsidRPr="00031AC7" w:rsidRDefault="008810D5" w:rsidP="00076336">
      <w:pPr>
        <w:pStyle w:val="NormalWeb"/>
        <w:numPr>
          <w:ilvl w:val="0"/>
          <w:numId w:val="8"/>
        </w:numPr>
        <w:spacing w:before="0" w:beforeAutospacing="0" w:after="80" w:afterAutospacing="0"/>
        <w:rPr>
          <w:rFonts w:asciiTheme="minorHAnsi" w:hAnsiTheme="minorHAnsi" w:cstheme="minorHAnsi"/>
          <w:b/>
          <w:bCs/>
          <w:sz w:val="22"/>
          <w:szCs w:val="22"/>
        </w:rPr>
      </w:pPr>
      <w:bookmarkStart w:id="42" w:name="labor"/>
      <w:bookmarkEnd w:id="42"/>
      <w:r w:rsidRPr="00031AC7">
        <w:rPr>
          <w:rFonts w:asciiTheme="minorHAnsi" w:hAnsiTheme="minorHAnsi" w:cstheme="minorHAnsi"/>
          <w:b/>
          <w:bCs/>
          <w:sz w:val="22"/>
          <w:szCs w:val="22"/>
        </w:rPr>
        <w:t>Department of Labor CPM Resources</w:t>
      </w:r>
    </w:p>
    <w:p w14:paraId="576A2C5B" w14:textId="77777777" w:rsidR="008810D5" w:rsidRPr="00AC6E19" w:rsidRDefault="008810D5" w:rsidP="00076336">
      <w:pPr>
        <w:pStyle w:val="NormalWeb"/>
        <w:numPr>
          <w:ilvl w:val="1"/>
          <w:numId w:val="8"/>
        </w:numPr>
        <w:spacing w:before="0" w:beforeAutospacing="0" w:after="80" w:afterAutospacing="0"/>
        <w:rPr>
          <w:rFonts w:asciiTheme="minorHAnsi" w:hAnsiTheme="minorHAnsi" w:cstheme="minorHAnsi"/>
          <w:sz w:val="22"/>
          <w:szCs w:val="22"/>
        </w:rPr>
      </w:pPr>
      <w:r w:rsidRPr="00AC6E19">
        <w:rPr>
          <w:rFonts w:asciiTheme="minorHAnsi" w:hAnsiTheme="minorHAnsi" w:cstheme="minorHAnsi"/>
          <w:sz w:val="22"/>
          <w:szCs w:val="22"/>
        </w:rPr>
        <w:t>Performance Accountability System - The U.S. Departments of Labor and Education have collaboratively issued Workforce Innovation and Opportunity Act (WIOA) provisions related to performance accountability. Through the Employment and Training Administration (ETA), </w:t>
      </w:r>
      <w:hyperlink r:id="rId211" w:tgtFrame="_blank" w:history="1">
        <w:r w:rsidRPr="00AC6E19">
          <w:rPr>
            <w:rStyle w:val="Hyperlink"/>
            <w:rFonts w:asciiTheme="minorHAnsi" w:hAnsiTheme="minorHAnsi" w:cstheme="minorHAnsi"/>
            <w:sz w:val="22"/>
            <w:szCs w:val="22"/>
          </w:rPr>
          <w:t>Common Performance Reporting</w:t>
        </w:r>
      </w:hyperlink>
      <w:r w:rsidRPr="00AC6E19">
        <w:rPr>
          <w:rFonts w:asciiTheme="minorHAnsi" w:hAnsiTheme="minorHAnsi" w:cstheme="minorHAnsi"/>
          <w:sz w:val="22"/>
          <w:szCs w:val="22"/>
        </w:rPr>
        <w:t xml:space="preserve"> guidance has been posted. </w:t>
      </w:r>
    </w:p>
    <w:p w14:paraId="1F348EDB" w14:textId="77777777" w:rsidR="008810D5" w:rsidRPr="00893463" w:rsidRDefault="008810D5" w:rsidP="00076336">
      <w:pPr>
        <w:pStyle w:val="NormalWeb"/>
        <w:numPr>
          <w:ilvl w:val="1"/>
          <w:numId w:val="8"/>
        </w:numPr>
        <w:spacing w:before="0" w:beforeAutospacing="0" w:after="80" w:afterAutospacing="0"/>
        <w:rPr>
          <w:rFonts w:asciiTheme="minorHAnsi" w:hAnsiTheme="minorHAnsi" w:cstheme="minorHAnsi"/>
          <w:sz w:val="22"/>
          <w:szCs w:val="22"/>
        </w:rPr>
      </w:pPr>
      <w:r w:rsidRPr="00893463">
        <w:rPr>
          <w:rFonts w:asciiTheme="minorHAnsi" w:hAnsiTheme="minorHAnsi" w:cstheme="minorHAnsi"/>
          <w:sz w:val="22"/>
          <w:szCs w:val="22"/>
        </w:rPr>
        <w:t>Additional resources to assist in the understanding of how performance is measured, reported, and evaluated may be found at </w:t>
      </w:r>
      <w:hyperlink r:id="rId212" w:tgtFrame="_blank" w:history="1">
        <w:r w:rsidRPr="00893463">
          <w:rPr>
            <w:rStyle w:val="Hyperlink"/>
            <w:rFonts w:asciiTheme="minorHAnsi" w:hAnsiTheme="minorHAnsi" w:cstheme="minorHAnsi"/>
            <w:sz w:val="22"/>
            <w:szCs w:val="22"/>
          </w:rPr>
          <w:t>ETA's Performance and Results Website</w:t>
        </w:r>
      </w:hyperlink>
      <w:r w:rsidRPr="00893463">
        <w:rPr>
          <w:rFonts w:asciiTheme="minorHAnsi" w:hAnsiTheme="minorHAnsi" w:cstheme="minorHAnsi"/>
          <w:sz w:val="22"/>
          <w:szCs w:val="22"/>
        </w:rPr>
        <w:t>.</w:t>
      </w:r>
    </w:p>
    <w:p w14:paraId="3E591B56" w14:textId="77777777" w:rsidR="008810D5" w:rsidRPr="00893463" w:rsidRDefault="008810D5" w:rsidP="00076336">
      <w:pPr>
        <w:pStyle w:val="NormalWeb"/>
        <w:numPr>
          <w:ilvl w:val="1"/>
          <w:numId w:val="8"/>
        </w:numPr>
        <w:spacing w:before="0" w:beforeAutospacing="0" w:after="80" w:afterAutospacing="0"/>
        <w:rPr>
          <w:rFonts w:asciiTheme="minorHAnsi" w:hAnsiTheme="minorHAnsi" w:cstheme="minorHAnsi"/>
          <w:sz w:val="22"/>
          <w:szCs w:val="22"/>
        </w:rPr>
      </w:pPr>
      <w:r w:rsidRPr="00893463">
        <w:rPr>
          <w:rFonts w:asciiTheme="minorHAnsi" w:hAnsiTheme="minorHAnsi" w:cstheme="minorHAnsi"/>
          <w:sz w:val="22"/>
          <w:szCs w:val="22"/>
        </w:rPr>
        <w:t xml:space="preserve">Workforce GPS has posted the presentations from the 2017 WIOA National Convenings. One of the tracks for the three convening meetings is Performance Accountability. RSA participated jointly in many presentations during the convenings. The </w:t>
      </w:r>
      <w:hyperlink r:id="rId213" w:tgtFrame="_blank" w:history="1">
        <w:r w:rsidRPr="00893463">
          <w:rPr>
            <w:rStyle w:val="Hyperlink"/>
            <w:rFonts w:asciiTheme="minorHAnsi" w:hAnsiTheme="minorHAnsi" w:cstheme="minorHAnsi"/>
            <w:sz w:val="22"/>
            <w:szCs w:val="22"/>
          </w:rPr>
          <w:t>Performance Accountability Track Presentations</w:t>
        </w:r>
      </w:hyperlink>
      <w:r w:rsidRPr="00893463">
        <w:rPr>
          <w:rFonts w:asciiTheme="minorHAnsi" w:hAnsiTheme="minorHAnsi" w:cstheme="minorHAnsi"/>
          <w:sz w:val="22"/>
          <w:szCs w:val="22"/>
        </w:rPr>
        <w:t xml:space="preserve"> include six sessions that may be of interest to State VR Agencies:</w:t>
      </w:r>
    </w:p>
    <w:p w14:paraId="7B7A796C" w14:textId="77777777" w:rsidR="008810D5" w:rsidRPr="00AC6E19" w:rsidRDefault="008810D5" w:rsidP="00076336">
      <w:pPr>
        <w:pStyle w:val="NormalWeb"/>
        <w:numPr>
          <w:ilvl w:val="1"/>
          <w:numId w:val="8"/>
        </w:numPr>
        <w:spacing w:before="0" w:beforeAutospacing="0" w:after="80" w:afterAutospacing="0"/>
        <w:rPr>
          <w:rFonts w:asciiTheme="minorHAnsi" w:hAnsiTheme="minorHAnsi" w:cstheme="minorHAnsi"/>
          <w:sz w:val="22"/>
          <w:szCs w:val="22"/>
        </w:rPr>
      </w:pPr>
      <w:r w:rsidRPr="00AC6E19">
        <w:rPr>
          <w:rFonts w:asciiTheme="minorHAnsi" w:hAnsiTheme="minorHAnsi" w:cstheme="minorHAnsi"/>
          <w:sz w:val="22"/>
          <w:szCs w:val="22"/>
        </w:rPr>
        <w:t xml:space="preserve">Statistical Adjustment Model - During the baseline reporting years for State Vocational Rehabilitation Agencies, guidance regarding the Statistical Adjustment Model will be published by RSA. Until that time, SAM information is located at </w:t>
      </w:r>
      <w:hyperlink r:id="rId214" w:tgtFrame="_blank" w:history="1">
        <w:r w:rsidRPr="00AC6E19">
          <w:rPr>
            <w:rStyle w:val="Hyperlink"/>
            <w:rFonts w:asciiTheme="minorHAnsi" w:hAnsiTheme="minorHAnsi" w:cstheme="minorHAnsi"/>
            <w:sz w:val="22"/>
            <w:szCs w:val="22"/>
          </w:rPr>
          <w:t>Department of Labor’s Employment and Training &amp; Administration website</w:t>
        </w:r>
      </w:hyperlink>
      <w:r w:rsidRPr="00AC6E19">
        <w:rPr>
          <w:rFonts w:asciiTheme="minorHAnsi" w:hAnsiTheme="minorHAnsi" w:cstheme="minorHAnsi"/>
          <w:sz w:val="22"/>
          <w:szCs w:val="22"/>
        </w:rPr>
        <w:t xml:space="preserve">. </w:t>
      </w:r>
    </w:p>
    <w:p w14:paraId="24911381" w14:textId="77777777" w:rsidR="008810D5" w:rsidRDefault="008810D5" w:rsidP="008810D5">
      <w:pPr>
        <w:pStyle w:val="NormalWeb"/>
        <w:spacing w:before="0" w:beforeAutospacing="0" w:after="80" w:afterAutospacing="0"/>
        <w:ind w:left="720"/>
        <w:rPr>
          <w:b/>
          <w:sz w:val="36"/>
        </w:rPr>
      </w:pPr>
      <w:r w:rsidRPr="00893463">
        <w:rPr>
          <w:rFonts w:asciiTheme="minorHAnsi" w:hAnsiTheme="minorHAnsi" w:cstheme="minorHAnsi"/>
          <w:b/>
          <w:bCs/>
          <w:sz w:val="22"/>
          <w:szCs w:val="22"/>
        </w:rPr>
        <w:t xml:space="preserve"> </w:t>
      </w:r>
      <w:r>
        <w:rPr>
          <w:b/>
          <w:sz w:val="36"/>
        </w:rPr>
        <w:br w:type="page"/>
      </w:r>
    </w:p>
    <w:p w14:paraId="6CA60BA9" w14:textId="77777777" w:rsidR="008810D5" w:rsidRDefault="008810D5" w:rsidP="00BA0D82">
      <w:pPr>
        <w:pStyle w:val="Heading2"/>
        <w:numPr>
          <w:ilvl w:val="0"/>
          <w:numId w:val="0"/>
        </w:numPr>
      </w:pPr>
      <w:bookmarkStart w:id="43" w:name="_Toc27904586"/>
      <w:bookmarkStart w:id="44" w:name="_Toc28011425"/>
      <w:r>
        <w:lastRenderedPageBreak/>
        <w:t>CPMs ITAs: PROGRESS NARRATIVE</w:t>
      </w:r>
      <w:bookmarkEnd w:id="43"/>
      <w:bookmarkEnd w:id="44"/>
    </w:p>
    <w:p w14:paraId="391A3D65" w14:textId="77777777" w:rsidR="008810D5" w:rsidRDefault="008810D5" w:rsidP="00C22384">
      <w:pPr>
        <w:pStyle w:val="Heading3"/>
        <w:numPr>
          <w:ilvl w:val="0"/>
          <w:numId w:val="0"/>
        </w:numPr>
        <w:ind w:left="810" w:hanging="810"/>
      </w:pPr>
      <w:bookmarkStart w:id="45" w:name="_Toc27904587"/>
      <w:r>
        <w:t>National Lens</w:t>
      </w:r>
      <w:bookmarkEnd w:id="45"/>
    </w:p>
    <w:p w14:paraId="3EB20DDA" w14:textId="77777777" w:rsidR="008810D5" w:rsidRPr="00E362BC" w:rsidRDefault="008810D5" w:rsidP="008810D5">
      <w:pPr>
        <w:ind w:firstLine="360"/>
      </w:pPr>
      <w:r>
        <w:t>Effective data reporting is key to determining program outcomes and impacts, as has been recognized and noted by federal agencies when discussing examination of new federal programs and mandates (USDOL OIG, 2017), allowing for more specific analyses of program elements’ efficacy and concomitantly improving how performance incentive systems are designed and implemented (Heinrich, 2018</w:t>
      </w:r>
      <w:r w:rsidRPr="00EA515A">
        <w:t>).  Reviews of performance reporting provide insight into the state of data exchange, the early experiences of SVRAs and partners and how they shaped WINTAC’s TA approach.  Shortly after the passage of WIOA, the GAO submitted</w:t>
      </w:r>
      <w:r>
        <w:t xml:space="preserve"> a report to Congress examining then current levels of performance reporting for core programs, data systems in place, and the status of federal interagency agreements for data exchange (GAO, 2015).  This “audit” covered February 2015 to September 2015 and involved interviews with federal staff in the Departments of Labor, Education, Inspector General, and state agencies, as well as document and data reviews.  They reviewed the federal data exchange systems that are available, and in which some states participate to facilitate data gathering, but note that staff turnover and resource constraints still serve as barriers to full or consistent participation (GAO).  In addition, previously reported challenges to performance reporting leading to inconsistent or invalid data were expected to continue as long as federal agency guidance for definitions of data elements maintained flexibility.  </w:t>
      </w:r>
      <w:r w:rsidRPr="00E362BC">
        <w:t xml:space="preserve">Resource intensity was also noted as a challenge to collecting credential attainment data </w:t>
      </w:r>
      <w:r w:rsidRPr="00E362BC">
        <w:rPr>
          <w:i/>
        </w:rPr>
        <w:t>(WINTAC’s SARA pilots are examining an innovative and effective solution to this challenge.  See Chapter G).</w:t>
      </w:r>
      <w:r w:rsidRPr="00E362BC">
        <w:t xml:space="preserve">  </w:t>
      </w:r>
    </w:p>
    <w:p w14:paraId="4FCA4CF2" w14:textId="77777777" w:rsidR="008810D5" w:rsidRDefault="008810D5" w:rsidP="008810D5">
      <w:pPr>
        <w:ind w:firstLine="360"/>
      </w:pPr>
      <w:r w:rsidRPr="00E362BC">
        <w:t>Also noted were challenges related</w:t>
      </w:r>
      <w:r>
        <w:t xml:space="preserve"> to data sharing agreements and matching processes between agencies due to WIOA’s new requirements for all core </w:t>
      </w:r>
      <w:r w:rsidRPr="00EA515A">
        <w:t>programs to report post</w:t>
      </w:r>
      <w:r w:rsidRPr="000A1D46">
        <w:t xml:space="preserve">-exit employment and earnings.  The report points out that WINTAC VR clients did not previously have as many challenges due to ongoing contact with clients and employers until employment outcomes were reached, thus new post-exit data requirements would be a new challenge for them. </w:t>
      </w:r>
      <w:r>
        <w:rPr>
          <w:i/>
        </w:rPr>
        <w:t>(S</w:t>
      </w:r>
      <w:r w:rsidRPr="00A75344">
        <w:rPr>
          <w:i/>
        </w:rPr>
        <w:t xml:space="preserve">ee </w:t>
      </w:r>
      <w:r>
        <w:rPr>
          <w:i/>
        </w:rPr>
        <w:t xml:space="preserve">below </w:t>
      </w:r>
      <w:r w:rsidRPr="00A75344">
        <w:rPr>
          <w:i/>
        </w:rPr>
        <w:t>for discussion of WINTAC TA meeting VR needs in this area.)</w:t>
      </w:r>
      <w:r>
        <w:t xml:space="preserve">  A lack of relationships between core programs at the state level, as well as legacy privacy laws and aging data systems, were also reported and anticipated to provide challenges with data sharing – particularly given the resource constraints agencies have </w:t>
      </w:r>
      <w:r w:rsidRPr="00BF7CD9">
        <w:t xml:space="preserve">and the short time between issuance of final regulations and mandates going into effect.  </w:t>
      </w:r>
      <w:r w:rsidRPr="00BF7CD9">
        <w:rPr>
          <w:i/>
        </w:rPr>
        <w:t>(Again, see Chapter D on Integration-related TA from WINTAC that discusses WINTAC work addressing these issues</w:t>
      </w:r>
      <w:r w:rsidRPr="00A11B9D">
        <w:rPr>
          <w:i/>
        </w:rPr>
        <w:t xml:space="preserve"> faced by SVRAs as they work to comply with WIOA mandates.)</w:t>
      </w:r>
      <w:r>
        <w:t xml:space="preserve">  </w:t>
      </w:r>
    </w:p>
    <w:p w14:paraId="1EF6B735" w14:textId="77777777" w:rsidR="008810D5" w:rsidRDefault="008810D5" w:rsidP="00C22384">
      <w:pPr>
        <w:pStyle w:val="Heading3"/>
        <w:numPr>
          <w:ilvl w:val="0"/>
          <w:numId w:val="0"/>
        </w:numPr>
      </w:pPr>
      <w:bookmarkStart w:id="46" w:name="_Toc27904588"/>
      <w:r>
        <w:t>WINTAC Lens</w:t>
      </w:r>
      <w:bookmarkEnd w:id="46"/>
    </w:p>
    <w:p w14:paraId="79DF372E" w14:textId="77777777" w:rsidR="008810D5" w:rsidRDefault="008810D5" w:rsidP="008810D5">
      <w:pPr>
        <w:ind w:firstLine="720"/>
      </w:pPr>
      <w:r>
        <w:t xml:space="preserve">CPMs is WINTAC’s second most in-demand subject area in terms of ITAAs, as demonstrated by the high number (32) of formal intensive technical assistance agreements (ITAAs) in place.  These ITAAs draw from a menu of activities identified in the logic model, which each have an associated output and contribute to a set of defined short-term outcomes expected to be achieved within this funding cycle.  </w:t>
      </w:r>
    </w:p>
    <w:p w14:paraId="0354D221" w14:textId="77777777" w:rsidR="008810D5" w:rsidRDefault="008810D5" w:rsidP="008810D5">
      <w:pPr>
        <w:tabs>
          <w:tab w:val="left" w:pos="360"/>
        </w:tabs>
        <w:rPr>
          <w:szCs w:val="14"/>
        </w:rPr>
      </w:pPr>
      <w:r w:rsidRPr="00533653">
        <w:rPr>
          <w:b/>
          <w:bCs/>
          <w:i/>
          <w:iCs/>
          <w:szCs w:val="14"/>
          <w:u w:val="single"/>
        </w:rPr>
        <w:t>TA Progress.</w:t>
      </w:r>
      <w:r>
        <w:rPr>
          <w:szCs w:val="14"/>
        </w:rPr>
        <w:t xml:space="preserve">  Looking at the first dashboard (the rainbow activities progress chart) for the topic area of CPMs (first dashboard), we see that a third (33%) of activities are complete with two-fifths (42%) nearing or having reached completion (representing a completion rate of 75% or  more).  Below that activity progress bar, using “thermometer charts,” the progress rate is broken out by specific activity with the linked outputs’ progress rates provided side-by-side.  For the most part, we see a correspondence between the rate of completion for an activity and its associated output, but in the case of activity one </w:t>
      </w:r>
      <w:r>
        <w:rPr>
          <w:szCs w:val="14"/>
        </w:rPr>
        <w:lastRenderedPageBreak/>
        <w:t xml:space="preserve">we see a 79% completed rate for the activity (analyzing VR agency readiness and capacity to collect and report CPMs), but ony a 63% completion rate for the corresponding output (a completed assessment). </w:t>
      </w:r>
    </w:p>
    <w:p w14:paraId="680DFD8C" w14:textId="28586B36" w:rsidR="008810D5" w:rsidRDefault="008810D5" w:rsidP="008810D5">
      <w:pPr>
        <w:tabs>
          <w:tab w:val="left" w:pos="360"/>
        </w:tabs>
        <w:rPr>
          <w:szCs w:val="14"/>
        </w:rPr>
      </w:pPr>
      <w:r>
        <w:rPr>
          <w:szCs w:val="14"/>
        </w:rPr>
        <w:tab/>
        <w:t xml:space="preserve">Although understanding the agencies capacity (or incapacity – see notes below on challenges and recommendations) is an important first step and training the agency on CPM and 911 definitions and requirements (activity six – also largely complet) is critical , the remaining activities regarding policies, procedures, internal controls, and staff training </w:t>
      </w:r>
      <w:r w:rsidR="00C91240">
        <w:rPr>
          <w:szCs w:val="14"/>
        </w:rPr>
        <w:t>are still</w:t>
      </w:r>
      <w:r>
        <w:rPr>
          <w:szCs w:val="14"/>
        </w:rPr>
        <w:t xml:space="preserve"> mostly incomplete.  This does not reflect a lack of need for TA from the states, nor a low degree of engagement by the CPM team as is demonstrated in the state narratives (see program report and impact section below).  A future report can demonstrate the volume of work quantitatively as was done in the Pre-ETS team to demonstrate state engagement by type of activity and over time.</w:t>
      </w:r>
    </w:p>
    <w:p w14:paraId="7BC4E197" w14:textId="77777777" w:rsidR="008810D5" w:rsidRPr="00D43F44" w:rsidRDefault="008810D5" w:rsidP="008810D5">
      <w:pPr>
        <w:tabs>
          <w:tab w:val="left" w:pos="360"/>
        </w:tabs>
        <w:rPr>
          <w:rFonts w:cstheme="minorHAnsi"/>
        </w:rPr>
      </w:pPr>
      <w:r>
        <w:rPr>
          <w:szCs w:val="14"/>
        </w:rPr>
        <w:tab/>
      </w:r>
      <w:r w:rsidRPr="00662F12">
        <w:rPr>
          <w:b/>
          <w:bCs/>
          <w:i/>
          <w:iCs/>
          <w:szCs w:val="14"/>
          <w:u w:val="single"/>
        </w:rPr>
        <w:t>Challenges Overcome.</w:t>
      </w:r>
      <w:r>
        <w:rPr>
          <w:i/>
          <w:iCs/>
          <w:szCs w:val="14"/>
        </w:rPr>
        <w:t xml:space="preserve"> </w:t>
      </w:r>
      <w:r w:rsidRPr="00662F12">
        <w:rPr>
          <w:szCs w:val="14"/>
        </w:rPr>
        <w:t xml:space="preserve"> </w:t>
      </w:r>
      <w:r>
        <w:rPr>
          <w:szCs w:val="14"/>
        </w:rPr>
        <w:t>Similar to the Pre-ETS area, the CPMs sections of WIOA require SVRAs to implement new internal systems for tracking and reporting data related to performance and to provide new types of services.  These requirements meant SVRAs had to implement all new processes, train  staff, establish targets, and originate or renegotiate partnerships with other state actors to support their activites.  The CPM team has been working with states on all of these activities and states are beginning to report performance measures more completely and accurately.  Many of the states report significant challenges in this effort stemming from a non-existent, antiquated, or difficult data and case management system not built for these purposes.</w:t>
      </w:r>
      <w:r w:rsidRPr="00D43F44">
        <w:rPr>
          <w:rFonts w:cstheme="minorHAnsi"/>
        </w:rPr>
        <w:t xml:space="preserve">  </w:t>
      </w:r>
      <w:r>
        <w:rPr>
          <w:rFonts w:cstheme="minorHAnsi"/>
        </w:rPr>
        <w:t>The CPM team has worked with states using paper-and-pencil systems, to contemporary computerized systems, to implement customized solutions that help them transition to meet reporting requirements.  Though these challenges have been dealt with to ensure reporting can take place, they remain an area that merits ongoing attention and long-term solutions.  Similarly, states have consistently been challenged by significant turnover at leadership and staff levels, impacting the CPM team’s work and requiring them to re-engage on the same issues repeatedly.  This requires a significantly high volume of work for the CPM team conducting question-and-answer style, virtual TA.  The team has noted a need for additional resources to support further work with the states.</w:t>
      </w:r>
    </w:p>
    <w:p w14:paraId="4B0F46C1" w14:textId="77777777" w:rsidR="008810D5" w:rsidRDefault="008810D5" w:rsidP="008810D5">
      <w:pPr>
        <w:tabs>
          <w:tab w:val="left" w:pos="360"/>
        </w:tabs>
        <w:rPr>
          <w:rFonts w:cstheme="minorHAnsi"/>
        </w:rPr>
      </w:pPr>
      <w:r w:rsidRPr="00D43F44">
        <w:rPr>
          <w:rFonts w:cstheme="minorHAnsi"/>
          <w:i/>
          <w:iCs/>
        </w:rPr>
        <w:tab/>
      </w:r>
      <w:r w:rsidRPr="00AD7B12">
        <w:rPr>
          <w:rFonts w:cstheme="minorHAnsi"/>
          <w:b/>
          <w:bCs/>
          <w:i/>
          <w:iCs/>
          <w:u w:val="single"/>
        </w:rPr>
        <w:t>Impact</w:t>
      </w:r>
      <w:r w:rsidRPr="00D43F44">
        <w:rPr>
          <w:rFonts w:cstheme="minorHAnsi"/>
          <w:i/>
          <w:iCs/>
        </w:rPr>
        <w:t>.</w:t>
      </w:r>
      <w:r w:rsidRPr="00AD7B12">
        <w:rPr>
          <w:rFonts w:cstheme="minorHAnsi"/>
        </w:rPr>
        <w:t xml:space="preserve">  </w:t>
      </w:r>
      <w:r>
        <w:rPr>
          <w:rFonts w:cstheme="minorHAnsi"/>
        </w:rPr>
        <w:t xml:space="preserve">Outcomes as defined reflect completing quarterly and annual reporting and doing so accurately, collecting baselines, and comparing performance to targets that were set.  Though these are reported according to their relative state of completion (depending on the state and timeframe), actual performance measure data and numbers are lacking.  As states move towards reporting, capturing this data as part of the ITAA tracking will allow for an analysis of change over time successfully improving accuracy, meeting goals, and provide a snapshot of a considerable portion of the nation’s performance as reflected in the CPMs.  (See for example Pre-ETS quarter 4 snapshot infographic presenting national numbers on outcomes).  </w:t>
      </w:r>
    </w:p>
    <w:p w14:paraId="241A3F58" w14:textId="77777777" w:rsidR="008810D5" w:rsidRDefault="008810D5" w:rsidP="008810D5">
      <w:pPr>
        <w:tabs>
          <w:tab w:val="left" w:pos="360"/>
        </w:tabs>
        <w:rPr>
          <w:rFonts w:cstheme="minorHAnsi"/>
        </w:rPr>
      </w:pPr>
      <w:r>
        <w:rPr>
          <w:rFonts w:cstheme="minorHAnsi"/>
        </w:rPr>
        <w:tab/>
        <w:t xml:space="preserve">As detailed in the state narratives, the transition to systematically gathering and reporting data according to the CPMs has allowed the states to examine the impacts of their services and use that information as they set policies, plan services, and manage their infrastructure and resources.  The CPM team has supported several agencies in analyzing their own data and understanding how to use the information.  Though the narratives describe this engagement with states, information about what that has looked like in each state is lacking, limiting the understanding of the impact and changes that have resulted in these agencies.  </w:t>
      </w:r>
    </w:p>
    <w:p w14:paraId="1DFCD5A8" w14:textId="77777777" w:rsidR="008810D5" w:rsidRDefault="008810D5" w:rsidP="008810D5">
      <w:pPr>
        <w:tabs>
          <w:tab w:val="left" w:pos="360"/>
        </w:tabs>
        <w:rPr>
          <w:rFonts w:cstheme="minorHAnsi"/>
        </w:rPr>
      </w:pPr>
      <w:r>
        <w:rPr>
          <w:rFonts w:cstheme="minorHAnsi"/>
        </w:rPr>
        <w:lastRenderedPageBreak/>
        <w:tab/>
        <w:t xml:space="preserve">In other notable impacts, it is important to connect the work of this team to the successes of agencies in the area of Pre-ETS.  With teamwork involving agencies, the Pre-ETS TA Team, the CPM TA Team (and RSA), agencies have been able to access data regarding performance and understand their work better in multiple areas.  As noted in the Pre-ETS chapter, the </w:t>
      </w:r>
      <w:r w:rsidRPr="00D43F44">
        <w:rPr>
          <w:rFonts w:cstheme="minorHAnsi"/>
        </w:rPr>
        <w:t>requirements</w:t>
      </w:r>
      <w:r>
        <w:rPr>
          <w:rFonts w:cstheme="minorHAnsi"/>
        </w:rPr>
        <w:t xml:space="preserve"> to</w:t>
      </w:r>
      <w:r w:rsidRPr="00D43F44">
        <w:rPr>
          <w:rFonts w:cstheme="minorHAnsi"/>
        </w:rPr>
        <w:t xml:space="preserve"> track spending on new Pre-ETS services and</w:t>
      </w:r>
      <w:r>
        <w:rPr>
          <w:rFonts w:cstheme="minorHAnsi"/>
        </w:rPr>
        <w:t xml:space="preserve"> the numbers of</w:t>
      </w:r>
      <w:r w:rsidRPr="00D43F44">
        <w:rPr>
          <w:rFonts w:cstheme="minorHAnsi"/>
        </w:rPr>
        <w:t xml:space="preserve"> students served and potentially eligible for services</w:t>
      </w:r>
      <w:r>
        <w:rPr>
          <w:rFonts w:cstheme="minorHAnsi"/>
        </w:rPr>
        <w:t xml:space="preserve"> – as well as the requirements to track performance according to CPMs – will allow for a deeper look at effectiveness of services and </w:t>
      </w:r>
      <w:r w:rsidRPr="00D43F44">
        <w:rPr>
          <w:rFonts w:cstheme="minorHAnsi"/>
        </w:rPr>
        <w:t xml:space="preserve">fiscal analyses of cost for services or per student, and return-on-investment/cost-benefit analyses.  </w:t>
      </w:r>
    </w:p>
    <w:p w14:paraId="079D5AD6" w14:textId="77777777" w:rsidR="008810D5" w:rsidRDefault="008810D5" w:rsidP="008810D5">
      <w:pPr>
        <w:tabs>
          <w:tab w:val="left" w:pos="360"/>
        </w:tabs>
        <w:rPr>
          <w:rFonts w:cstheme="minorHAnsi"/>
        </w:rPr>
      </w:pPr>
    </w:p>
    <w:p w14:paraId="3AB27E30" w14:textId="77777777" w:rsidR="008810D5" w:rsidRDefault="008810D5" w:rsidP="008810D5">
      <w:pPr>
        <w:tabs>
          <w:tab w:val="left" w:pos="360"/>
        </w:tabs>
        <w:rPr>
          <w:rFonts w:cstheme="minorHAnsi"/>
        </w:rPr>
      </w:pPr>
      <w:r w:rsidRPr="00C947E0">
        <w:rPr>
          <w:rFonts w:ascii="Times New Roman" w:hAnsi="Times New Roman" w:cs="Times New Roman"/>
          <w:noProof/>
          <w:sz w:val="24"/>
          <w:szCs w:val="24"/>
          <w:lang w:eastAsia="ko-KR"/>
        </w:rPr>
        <mc:AlternateContent>
          <mc:Choice Requires="wps">
            <w:drawing>
              <wp:inline distT="0" distB="0" distL="0" distR="0" wp14:anchorId="61563FEA" wp14:editId="44DEE8D2">
                <wp:extent cx="3416300" cy="1478943"/>
                <wp:effectExtent l="0" t="0" r="0" b="6985"/>
                <wp:docPr id="39" name="Snip Single Corner Rectangle 117"/>
                <wp:cNvGraphicFramePr/>
                <a:graphic xmlns:a="http://schemas.openxmlformats.org/drawingml/2006/main">
                  <a:graphicData uri="http://schemas.microsoft.com/office/word/2010/wordprocessingShape">
                    <wps:wsp>
                      <wps:cNvSpPr/>
                      <wps:spPr>
                        <a:xfrm>
                          <a:off x="0" y="0"/>
                          <a:ext cx="3416300" cy="1478943"/>
                        </a:xfrm>
                        <a:prstGeom prst="snip1Rect">
                          <a:avLst/>
                        </a:prstGeom>
                        <a:ln>
                          <a:noFill/>
                        </a:ln>
                      </wps:spPr>
                      <wps:style>
                        <a:lnRef idx="2">
                          <a:schemeClr val="accent1">
                            <a:shade val="50000"/>
                          </a:schemeClr>
                        </a:lnRef>
                        <a:fillRef idx="1003">
                          <a:schemeClr val="dk2"/>
                        </a:fillRef>
                        <a:effectRef idx="0">
                          <a:schemeClr val="accent1"/>
                        </a:effectRef>
                        <a:fontRef idx="minor">
                          <a:schemeClr val="lt1"/>
                        </a:fontRef>
                      </wps:style>
                      <wps:txbx>
                        <w:txbxContent>
                          <w:p w14:paraId="4261FE2C" w14:textId="77777777" w:rsidR="00366D34" w:rsidRPr="00C54296" w:rsidRDefault="00366D34" w:rsidP="008810D5">
                            <w:pPr>
                              <w:spacing w:after="0" w:line="276" w:lineRule="auto"/>
                              <w:ind w:left="1080"/>
                              <w:rPr>
                                <w:rFonts w:ascii="Times New Roman" w:hAnsi="Times New Roman" w:cs="Times New Roman"/>
                                <w:b/>
                                <w:bCs/>
                                <w:i/>
                                <w:iCs/>
                                <w:sz w:val="28"/>
                                <w:szCs w:val="28"/>
                              </w:rPr>
                            </w:pPr>
                            <w:r w:rsidRPr="00C54296">
                              <w:rPr>
                                <w:rFonts w:ascii="Times New Roman" w:hAnsi="Times New Roman" w:cs="Times New Roman"/>
                                <w:b/>
                                <w:bCs/>
                                <w:i/>
                                <w:iCs/>
                                <w:sz w:val="28"/>
                                <w:szCs w:val="28"/>
                              </w:rPr>
                              <w:t>The WINTAC team has been sharing this information [data dashboards from RSA] with them quarterly.</w:t>
                            </w:r>
                          </w:p>
                        </w:txbxContent>
                      </wps:txbx>
                      <wps:bodyPr rot="0" spcFirstLastPara="0" vertOverflow="overflow" horzOverflow="overflow" vert="horz" wrap="square" lIns="137160" tIns="91440" rIns="91440" bIns="91440" numCol="1" spcCol="0" rtlCol="0" fromWordArt="0" anchor="t" anchorCtr="0" forceAA="0" compatLnSpc="1">
                        <a:prstTxWarp prst="textNoShape">
                          <a:avLst/>
                        </a:prstTxWarp>
                        <a:noAutofit/>
                      </wps:bodyPr>
                    </wps:wsp>
                  </a:graphicData>
                </a:graphic>
              </wp:inline>
            </w:drawing>
          </mc:Choice>
          <mc:Fallback>
            <w:pict>
              <v:shape w14:anchorId="61563FEA" id="_x0000_s1036" style="width:269pt;height:116.45pt;visibility:visible;mso-wrap-style:square;mso-left-percent:-10001;mso-top-percent:-10001;mso-position-horizontal:absolute;mso-position-horizontal-relative:char;mso-position-vertical:absolute;mso-position-vertical-relative:line;mso-left-percent:-10001;mso-top-percent:-10001;v-text-anchor:top" coordsize="3416300,1478943"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" adj="-11796480,,5400" path="m,l3169805,r246495,246495l3416300,1478943,,1478943,,xe" fillcolor="#4d5f78 [2994]" stroked="f" strokeweight="1pt">
                <v:fill color2="#2a3442 [2018]" rotate="t" colors="0 #5d6d85;.5 #485972;1 #334258" focus="100%" type="gradient">
                  <o:fill v:ext="view" type="gradientUnscaled"/>
                </v:fill>
                <v:stroke joinstyle="miter"/>
                <v:formulas/>
                <v:path arrowok="t" o:connecttype="custom" o:connectlocs="0,0;3169805,0;3416300,246495;3416300,1478943;0,1478943;0,0" o:connectangles="0,0,0,0,0,0" textboxrect="0,0,3416300,1478943"/>
                <v:textbox inset="10.8pt,7.2pt,,7.2pt">
                  <w:txbxContent>
                    <w:p w14:paraId="4261FE2C" w14:textId="77777777" w:rsidR="00366D34" w:rsidRPr="00C54296" w:rsidRDefault="00366D34" w:rsidP="008810D5">
                      <w:pPr>
                        <w:spacing w:after="0" w:line="276" w:lineRule="auto"/>
                        <w:ind w:left="1080"/>
                        <w:rPr>
                          <w:rFonts w:ascii="Times New Roman" w:hAnsi="Times New Roman" w:cs="Times New Roman"/>
                          <w:b/>
                          <w:bCs/>
                          <w:i/>
                          <w:iCs/>
                          <w:sz w:val="28"/>
                          <w:szCs w:val="28"/>
                        </w:rPr>
                      </w:pPr>
                      <w:r w:rsidRPr="00C54296">
                        <w:rPr>
                          <w:rFonts w:ascii="Times New Roman" w:hAnsi="Times New Roman" w:cs="Times New Roman"/>
                          <w:b/>
                          <w:bCs/>
                          <w:i/>
                          <w:iCs/>
                          <w:sz w:val="28"/>
                          <w:szCs w:val="28"/>
                        </w:rPr>
                        <w:t>The WINTAC team has been sharing this information [data dashboards from RSA] with them quarterly.</w:t>
                      </w:r>
                    </w:p>
                  </w:txbxContent>
                </v:textbox>
                <w10:anchorlock/>
              </v:shape>
            </w:pict>
          </mc:Fallback>
        </mc:AlternateContent>
      </w:r>
    </w:p>
    <w:p w14:paraId="6C9FC4FC" w14:textId="77777777" w:rsidR="008810D5" w:rsidRDefault="008810D5" w:rsidP="008810D5">
      <w:pPr>
        <w:tabs>
          <w:tab w:val="left" w:pos="360"/>
        </w:tabs>
        <w:jc w:val="right"/>
        <w:rPr>
          <w:rFonts w:cstheme="minorHAnsi"/>
        </w:rPr>
      </w:pPr>
      <w:r w:rsidRPr="00C947E0">
        <w:rPr>
          <w:rFonts w:ascii="Times New Roman" w:hAnsi="Times New Roman" w:cs="Times New Roman"/>
          <w:noProof/>
          <w:sz w:val="24"/>
          <w:szCs w:val="24"/>
          <w:lang w:eastAsia="ko-KR"/>
        </w:rPr>
        <mc:AlternateContent>
          <mc:Choice Requires="wps">
            <w:drawing>
              <wp:anchor distT="0" distB="0" distL="114300" distR="114300" simplePos="0" relativeHeight="251666432" behindDoc="1" locked="0" layoutInCell="1" allowOverlap="1" wp14:anchorId="3696A0F3" wp14:editId="4BA949E4">
                <wp:simplePos x="0" y="0"/>
                <wp:positionH relativeFrom="column">
                  <wp:posOffset>0</wp:posOffset>
                </wp:positionH>
                <wp:positionV relativeFrom="paragraph">
                  <wp:posOffset>1997075</wp:posOffset>
                </wp:positionV>
                <wp:extent cx="3419856" cy="1801368"/>
                <wp:effectExtent l="0" t="0" r="9525" b="8890"/>
                <wp:wrapSquare wrapText="right"/>
                <wp:docPr id="23" name="Snip Single Corner Rectangle 117"/>
                <wp:cNvGraphicFramePr/>
                <a:graphic xmlns:a="http://schemas.openxmlformats.org/drawingml/2006/main">
                  <a:graphicData uri="http://schemas.microsoft.com/office/word/2010/wordprocessingShape">
                    <wps:wsp>
                      <wps:cNvSpPr/>
                      <wps:spPr>
                        <a:xfrm>
                          <a:off x="0" y="0"/>
                          <a:ext cx="3419856" cy="1801368"/>
                        </a:xfrm>
                        <a:prstGeom prst="snip1Rect">
                          <a:avLst/>
                        </a:prstGeom>
                        <a:ln>
                          <a:noFill/>
                        </a:ln>
                      </wps:spPr>
                      <wps:style>
                        <a:lnRef idx="2">
                          <a:schemeClr val="accent1">
                            <a:shade val="50000"/>
                          </a:schemeClr>
                        </a:lnRef>
                        <a:fillRef idx="1003">
                          <a:schemeClr val="dk2"/>
                        </a:fillRef>
                        <a:effectRef idx="0">
                          <a:schemeClr val="accent1"/>
                        </a:effectRef>
                        <a:fontRef idx="minor">
                          <a:schemeClr val="lt1"/>
                        </a:fontRef>
                      </wps:style>
                      <wps:txbx>
                        <w:txbxContent>
                          <w:p w14:paraId="4460C83C" w14:textId="77777777" w:rsidR="00366D34" w:rsidRPr="006D3683" w:rsidRDefault="00366D34" w:rsidP="008810D5">
                            <w:pPr>
                              <w:spacing w:after="0" w:line="276" w:lineRule="auto"/>
                              <w:ind w:left="1080"/>
                              <w:rPr>
                                <w:rFonts w:ascii="Times New Roman" w:hAnsi="Times New Roman" w:cs="Times New Roman"/>
                                <w:b/>
                                <w:bCs/>
                                <w:i/>
                                <w:iCs/>
                                <w:sz w:val="28"/>
                                <w:szCs w:val="28"/>
                              </w:rPr>
                            </w:pPr>
                            <w:r>
                              <w:rPr>
                                <w:rFonts w:ascii="Times New Roman" w:hAnsi="Times New Roman" w:cs="Times New Roman"/>
                                <w:b/>
                                <w:bCs/>
                                <w:i/>
                                <w:iCs/>
                                <w:sz w:val="28"/>
                                <w:szCs w:val="28"/>
                              </w:rPr>
                              <w:t>[State]</w:t>
                            </w:r>
                            <w:r w:rsidRPr="006D3683">
                              <w:rPr>
                                <w:rFonts w:ascii="Times New Roman" w:hAnsi="Times New Roman" w:cs="Times New Roman"/>
                                <w:b/>
                                <w:bCs/>
                                <w:i/>
                                <w:iCs/>
                                <w:sz w:val="28"/>
                                <w:szCs w:val="28"/>
                              </w:rPr>
                              <w:t xml:space="preserve"> calls WINTAC frequently for assistance in performance and reporting related questions and information on what is going on at the national level.</w:t>
                            </w:r>
                          </w:p>
                        </w:txbxContent>
                      </wps:txbx>
                      <wps:bodyPr rot="0" spcFirstLastPara="0" vertOverflow="overflow" horzOverflow="overflow" vert="horz" wrap="square" lIns="137160" tIns="91440" rIns="91440" bIns="9144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96A0F3" id="_x0000_s1037" style="position:absolute;left:0;text-align:left;margin-left:0;margin-top:157.25pt;width:269.3pt;height:141.85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3419856,1801368"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" adj="-11796480,,5400" path="m,l3119622,r300234,300234l3419856,1801368,,1801368,,xe" fillcolor="#4d5f78 [2994]" stroked="f" strokeweight="1pt">
                <v:fill color2="#2a3442 [2018]" rotate="t" colors="0 #5d6d85;.5 #485972;1 #334258" focus="100%" type="gradient">
                  <o:fill v:ext="view" type="gradientUnscaled"/>
                </v:fill>
                <v:stroke joinstyle="miter"/>
                <v:formulas/>
                <v:path arrowok="t" o:connecttype="custom" o:connectlocs="0,0;3119622,0;3419856,300234;3419856,1801368;0,1801368;0,0" o:connectangles="0,0,0,0,0,0" textboxrect="0,0,3419856,1801368"/>
                <v:textbox inset="10.8pt,7.2pt,,7.2pt">
                  <w:txbxContent>
                    <w:p w14:paraId="4460C83C" w14:textId="77777777" w:rsidR="00366D34" w:rsidRPr="006D3683" w:rsidRDefault="00366D34" w:rsidP="008810D5">
                      <w:pPr>
                        <w:spacing w:after="0" w:line="276" w:lineRule="auto"/>
                        <w:ind w:left="1080"/>
                        <w:rPr>
                          <w:rFonts w:ascii="Times New Roman" w:hAnsi="Times New Roman" w:cs="Times New Roman"/>
                          <w:b/>
                          <w:bCs/>
                          <w:i/>
                          <w:iCs/>
                          <w:sz w:val="28"/>
                          <w:szCs w:val="28"/>
                        </w:rPr>
                      </w:pPr>
                      <w:r>
                        <w:rPr>
                          <w:rFonts w:ascii="Times New Roman" w:hAnsi="Times New Roman" w:cs="Times New Roman"/>
                          <w:b/>
                          <w:bCs/>
                          <w:i/>
                          <w:iCs/>
                          <w:sz w:val="28"/>
                          <w:szCs w:val="28"/>
                        </w:rPr>
                        <w:t>[State]</w:t>
                      </w:r>
                      <w:r w:rsidRPr="006D3683">
                        <w:rPr>
                          <w:rFonts w:ascii="Times New Roman" w:hAnsi="Times New Roman" w:cs="Times New Roman"/>
                          <w:b/>
                          <w:bCs/>
                          <w:i/>
                          <w:iCs/>
                          <w:sz w:val="28"/>
                          <w:szCs w:val="28"/>
                        </w:rPr>
                        <w:t xml:space="preserve"> calls WINTAC frequently for assistance in performance and reporting related questions and information on what is going on at the national level.</w:t>
                      </w:r>
                    </w:p>
                  </w:txbxContent>
                </v:textbox>
                <w10:wrap type="square" side="right"/>
              </v:shape>
            </w:pict>
          </mc:Fallback>
        </mc:AlternateContent>
      </w:r>
      <w:r w:rsidRPr="00C947E0">
        <w:rPr>
          <w:rFonts w:ascii="Times New Roman" w:hAnsi="Times New Roman" w:cs="Times New Roman"/>
          <w:noProof/>
          <w:sz w:val="24"/>
          <w:szCs w:val="24"/>
          <w:lang w:eastAsia="ko-KR"/>
        </w:rPr>
        <mc:AlternateContent>
          <mc:Choice Requires="wps">
            <w:drawing>
              <wp:inline distT="0" distB="0" distL="0" distR="0" wp14:anchorId="388491D6" wp14:editId="50DB88B2">
                <wp:extent cx="3416300" cy="1796995"/>
                <wp:effectExtent l="0" t="0" r="0" b="0"/>
                <wp:docPr id="24" name="Snip Single Corner Rectangle 117"/>
                <wp:cNvGraphicFramePr/>
                <a:graphic xmlns:a="http://schemas.openxmlformats.org/drawingml/2006/main">
                  <a:graphicData uri="http://schemas.microsoft.com/office/word/2010/wordprocessingShape">
                    <wps:wsp>
                      <wps:cNvSpPr/>
                      <wps:spPr>
                        <a:xfrm>
                          <a:off x="0" y="0"/>
                          <a:ext cx="3416300" cy="1796995"/>
                        </a:xfrm>
                        <a:prstGeom prst="snip1Rect">
                          <a:avLst/>
                        </a:prstGeom>
                        <a:ln>
                          <a:noFill/>
                        </a:ln>
                      </wps:spPr>
                      <wps:style>
                        <a:lnRef idx="2">
                          <a:schemeClr val="accent1">
                            <a:shade val="50000"/>
                          </a:schemeClr>
                        </a:lnRef>
                        <a:fillRef idx="1003">
                          <a:schemeClr val="dk2"/>
                        </a:fillRef>
                        <a:effectRef idx="0">
                          <a:schemeClr val="accent1"/>
                        </a:effectRef>
                        <a:fontRef idx="minor">
                          <a:schemeClr val="lt1"/>
                        </a:fontRef>
                      </wps:style>
                      <wps:txbx>
                        <w:txbxContent>
                          <w:p w14:paraId="4FEE6F00" w14:textId="77777777" w:rsidR="00366D34" w:rsidRPr="006D3683" w:rsidRDefault="00366D34" w:rsidP="008810D5">
                            <w:pPr>
                              <w:spacing w:after="0" w:line="276" w:lineRule="auto"/>
                              <w:ind w:left="1080"/>
                              <w:rPr>
                                <w:rFonts w:ascii="Times New Roman" w:hAnsi="Times New Roman" w:cs="Times New Roman"/>
                                <w:b/>
                                <w:bCs/>
                                <w:i/>
                                <w:iCs/>
                                <w:sz w:val="28"/>
                                <w:szCs w:val="28"/>
                              </w:rPr>
                            </w:pPr>
                            <w:r w:rsidRPr="00DF6BDB">
                              <w:rPr>
                                <w:rFonts w:ascii="Times New Roman" w:hAnsi="Times New Roman" w:cs="Times New Roman"/>
                                <w:b/>
                                <w:bCs/>
                                <w:i/>
                                <w:iCs/>
                                <w:sz w:val="28"/>
                                <w:szCs w:val="28"/>
                              </w:rPr>
                              <w:t>The agency now has a support team to help them fix old errors, and implement the necessary changes to meet the implementation needs of WIOA.</w:t>
                            </w:r>
                          </w:p>
                        </w:txbxContent>
                      </wps:txbx>
                      <wps:bodyPr rot="0" spcFirstLastPara="0" vertOverflow="overflow" horzOverflow="overflow" vert="horz" wrap="square" lIns="137160" tIns="91440" rIns="91440" bIns="91440" numCol="1" spcCol="0" rtlCol="0" fromWordArt="0" anchor="t" anchorCtr="0" forceAA="0" compatLnSpc="1">
                        <a:prstTxWarp prst="textNoShape">
                          <a:avLst/>
                        </a:prstTxWarp>
                        <a:noAutofit/>
                      </wps:bodyPr>
                    </wps:wsp>
                  </a:graphicData>
                </a:graphic>
              </wp:inline>
            </w:drawing>
          </mc:Choice>
          <mc:Fallback>
            <w:pict>
              <v:shape w14:anchorId="388491D6" id="_x0000_s1038" style="width:269pt;height:141.5pt;visibility:visible;mso-wrap-style:square;mso-left-percent:-10001;mso-top-percent:-10001;mso-position-horizontal:absolute;mso-position-horizontal-relative:char;mso-position-vertical:absolute;mso-position-vertical-relative:line;mso-left-percent:-10001;mso-top-percent:-10001;v-text-anchor:top" coordsize="3416300,17969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" adj="-11796480,,5400" path="m,l3116795,r299505,299505l3416300,1796995,,1796995,,xe" fillcolor="#4d5f78 [2994]" stroked="f" strokeweight="1pt">
                <v:fill color2="#2a3442 [2018]" rotate="t" colors="0 #5d6d85;.5 #485972;1 #334258" focus="100%" type="gradient">
                  <o:fill v:ext="view" type="gradientUnscaled"/>
                </v:fill>
                <v:stroke joinstyle="miter"/>
                <v:formulas/>
                <v:path arrowok="t" o:connecttype="custom" o:connectlocs="0,0;3116795,0;3416300,299505;3416300,1796995;0,1796995;0,0" o:connectangles="0,0,0,0,0,0" textboxrect="0,0,3416300,1796995"/>
                <v:textbox inset="10.8pt,7.2pt,,7.2pt">
                  <w:txbxContent>
                    <w:p w14:paraId="4FEE6F00" w14:textId="77777777" w:rsidR="00366D34" w:rsidRPr="006D3683" w:rsidRDefault="00366D34" w:rsidP="008810D5">
                      <w:pPr>
                        <w:spacing w:after="0" w:line="276" w:lineRule="auto"/>
                        <w:ind w:left="1080"/>
                        <w:rPr>
                          <w:rFonts w:ascii="Times New Roman" w:hAnsi="Times New Roman" w:cs="Times New Roman"/>
                          <w:b/>
                          <w:bCs/>
                          <w:i/>
                          <w:iCs/>
                          <w:sz w:val="28"/>
                          <w:szCs w:val="28"/>
                        </w:rPr>
                      </w:pPr>
                      <w:r w:rsidRPr="00DF6BDB">
                        <w:rPr>
                          <w:rFonts w:ascii="Times New Roman" w:hAnsi="Times New Roman" w:cs="Times New Roman"/>
                          <w:b/>
                          <w:bCs/>
                          <w:i/>
                          <w:iCs/>
                          <w:sz w:val="28"/>
                          <w:szCs w:val="28"/>
                        </w:rPr>
                        <w:t>The agency now has a support team to help them fix old errors, and implement the necessary changes to meet the implementation needs of WIOA.</w:t>
                      </w:r>
                    </w:p>
                  </w:txbxContent>
                </v:textbox>
                <w10:anchorlock/>
              </v:shape>
            </w:pict>
          </mc:Fallback>
        </mc:AlternateContent>
      </w:r>
    </w:p>
    <w:p w14:paraId="4854F7AD" w14:textId="77777777" w:rsidR="008810D5" w:rsidRDefault="008810D5" w:rsidP="000D5798">
      <w:pPr>
        <w:tabs>
          <w:tab w:val="left" w:pos="360"/>
        </w:tabs>
        <w:ind w:firstLine="360"/>
        <w:rPr>
          <w:rFonts w:cstheme="minorHAnsi"/>
        </w:rPr>
      </w:pPr>
      <w:r w:rsidRPr="001C2401">
        <w:rPr>
          <w:rFonts w:cstheme="minorHAnsi"/>
          <w:noProof/>
          <w:lang w:eastAsia="ko-KR"/>
        </w:rPr>
        <w:lastRenderedPageBreak/>
        <mc:AlternateContent>
          <mc:Choice Requires="wps">
            <w:drawing>
              <wp:anchor distT="182880" distB="182880" distL="182880" distR="182880" simplePos="0" relativeHeight="251665408" behindDoc="0" locked="0" layoutInCell="1" allowOverlap="1" wp14:anchorId="1117F939" wp14:editId="5FC0AA0A">
                <wp:simplePos x="0" y="0"/>
                <wp:positionH relativeFrom="margin">
                  <wp:posOffset>-180340</wp:posOffset>
                </wp:positionH>
                <wp:positionV relativeFrom="margin">
                  <wp:posOffset>142240</wp:posOffset>
                </wp:positionV>
                <wp:extent cx="6334125" cy="1400810"/>
                <wp:effectExtent l="0" t="0" r="9525" b="8890"/>
                <wp:wrapSquare wrapText="bothSides"/>
                <wp:docPr id="47" name="Snip Single Corner Rectangle 117"/>
                <wp:cNvGraphicFramePr/>
                <a:graphic xmlns:a="http://schemas.openxmlformats.org/drawingml/2006/main">
                  <a:graphicData uri="http://schemas.microsoft.com/office/word/2010/wordprocessingShape">
                    <wps:wsp>
                      <wps:cNvSpPr/>
                      <wps:spPr>
                        <a:xfrm>
                          <a:off x="0" y="0"/>
                          <a:ext cx="6334125" cy="1400810"/>
                        </a:xfrm>
                        <a:prstGeom prst="snip1Rect">
                          <a:avLst/>
                        </a:prstGeom>
                        <a:ln>
                          <a:noFill/>
                        </a:ln>
                      </wps:spPr>
                      <wps:style>
                        <a:lnRef idx="2">
                          <a:schemeClr val="accent1">
                            <a:shade val="50000"/>
                          </a:schemeClr>
                        </a:lnRef>
                        <a:fillRef idx="1003">
                          <a:schemeClr val="dk2"/>
                        </a:fillRef>
                        <a:effectRef idx="0">
                          <a:schemeClr val="accent1"/>
                        </a:effectRef>
                        <a:fontRef idx="minor">
                          <a:schemeClr val="lt1"/>
                        </a:fontRef>
                      </wps:style>
                      <wps:txbx>
                        <w:txbxContent>
                          <w:p w14:paraId="09253E9A" w14:textId="77777777" w:rsidR="00366D34" w:rsidRPr="00503596" w:rsidRDefault="00366D34" w:rsidP="008810D5">
                            <w:pPr>
                              <w:rPr>
                                <w:rFonts w:ascii="Times New Roman" w:hAnsi="Times New Roman" w:cs="Times New Roman"/>
                                <w:b/>
                                <w:bCs/>
                                <w:i/>
                                <w:iCs/>
                                <w:caps/>
                                <w:sz w:val="28"/>
                                <w:szCs w:val="28"/>
                              </w:rPr>
                            </w:pPr>
                            <w:r w:rsidRPr="00503596">
                              <w:rPr>
                                <w:rFonts w:ascii="Times New Roman" w:hAnsi="Times New Roman" w:cs="Times New Roman"/>
                                <w:b/>
                                <w:bCs/>
                                <w:i/>
                                <w:iCs/>
                                <w:sz w:val="28"/>
                                <w:szCs w:val="28"/>
                              </w:rPr>
                              <w:t>Analyzing the agency’s data and ability to meet the requirements of wioa was an impactful activity that lead to further training and engagement with the agency. Ta assisted in policy revisions which made an increased ability of the agency to collect accurate data from wioa performance</w:t>
                            </w:r>
                          </w:p>
                        </w:txbxContent>
                      </wps:txbx>
                      <wps:bodyPr rot="0" spcFirstLastPara="0" vertOverflow="overflow" horzOverflow="overflow" vert="horz" wrap="square" lIns="137160" tIns="91440" rIns="91440" bIns="9144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17F939" id="_x0000_s1039" style="position:absolute;left:0;text-align:left;margin-left:-14.2pt;margin-top:11.2pt;width:498.75pt;height:110.3pt;z-index:251665408;visibility:visible;mso-wrap-style:square;mso-width-percent:0;mso-height-percent:0;mso-wrap-distance-left:14.4pt;mso-wrap-distance-top:14.4pt;mso-wrap-distance-right:14.4pt;mso-wrap-distance-bottom:14.4pt;mso-position-horizontal:absolute;mso-position-horizontal-relative:margin;mso-position-vertical:absolute;mso-position-vertical-relative:margin;mso-width-percent:0;mso-height-percent:0;mso-width-relative:margin;mso-height-relative:margin;v-text-anchor:top" coordsize="6334125,140081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" adj="-11796480,,5400" path="m,l6100652,r233473,233473l6334125,1400810,,1400810,,xe" fillcolor="#4d5f78 [2994]" stroked="f" strokeweight="1pt">
                <v:fill color2="#2a3442 [2018]" rotate="t" colors="0 #5d6d85;.5 #485972;1 #334258" focus="100%" type="gradient">
                  <o:fill v:ext="view" type="gradientUnscaled"/>
                </v:fill>
                <v:stroke joinstyle="miter"/>
                <v:formulas/>
                <v:path arrowok="t" o:connecttype="custom" o:connectlocs="0,0;6100652,0;6334125,233473;6334125,1400810;0,1400810;0,0" o:connectangles="0,0,0,0,0,0" textboxrect="0,0,6334125,1400810"/>
                <v:textbox inset="10.8pt,7.2pt,,7.2pt">
                  <w:txbxContent>
                    <w:p w14:paraId="09253E9A" w14:textId="77777777" w:rsidR="00366D34" w:rsidRPr="00503596" w:rsidRDefault="00366D34" w:rsidP="008810D5">
                      <w:pPr>
                        <w:rPr>
                          <w:rFonts w:ascii="Times New Roman" w:hAnsi="Times New Roman" w:cs="Times New Roman"/>
                          <w:b/>
                          <w:bCs/>
                          <w:i/>
                          <w:iCs/>
                          <w:caps/>
                          <w:sz w:val="28"/>
                          <w:szCs w:val="28"/>
                        </w:rPr>
                      </w:pPr>
                      <w:r w:rsidRPr="00503596">
                        <w:rPr>
                          <w:rFonts w:ascii="Times New Roman" w:hAnsi="Times New Roman" w:cs="Times New Roman"/>
                          <w:b/>
                          <w:bCs/>
                          <w:i/>
                          <w:iCs/>
                          <w:sz w:val="28"/>
                          <w:szCs w:val="28"/>
                        </w:rPr>
                        <w:t>Analyzing the agency’s data and ability to meet the requirements of wioa was an impactful activity that lead to further training and engagement with the agency. Ta assisted in policy revisions which made an increased ability of the agency to collect accurate data from wioa performance</w:t>
                      </w:r>
                    </w:p>
                  </w:txbxContent>
                </v:textbox>
                <w10:wrap type="square" anchorx="margin" anchory="margin"/>
              </v:shape>
            </w:pict>
          </mc:Fallback>
        </mc:AlternateContent>
      </w:r>
      <w:r>
        <w:rPr>
          <w:rFonts w:cstheme="minorHAnsi"/>
          <w:b/>
          <w:bCs/>
          <w:i/>
          <w:iCs/>
          <w:u w:val="single"/>
        </w:rPr>
        <w:t>Ev</w:t>
      </w:r>
      <w:r w:rsidRPr="00AD2F4E">
        <w:rPr>
          <w:rFonts w:cstheme="minorHAnsi"/>
          <w:b/>
          <w:bCs/>
          <w:i/>
          <w:iCs/>
          <w:u w:val="single"/>
        </w:rPr>
        <w:t>aluation Recommendations.</w:t>
      </w:r>
      <w:r w:rsidRPr="00AD2F4E">
        <w:rPr>
          <w:rFonts w:cstheme="minorHAnsi"/>
        </w:rPr>
        <w:t xml:space="preserve">  </w:t>
      </w:r>
      <w:r>
        <w:rPr>
          <w:rFonts w:cstheme="minorHAnsi"/>
        </w:rPr>
        <w:t>As seen in the dashboards, the CPM team has made considerable progress in initiating and completing two activities that (1) examine agencies’ capacity to meet CPM reporting as required and (2) train them on definitions and responsibilities related to the reporting.  Less advanced are the remaining activities to establish policies, procedures, controls, and staff training.  With one year remaining, the CPM team notes that it will be important to establish priority items for the agency to complete in the limited time.  From an evaluation perspective, this is critical.  Though the entirety of the ITAA can remain in place, a realistic plan and commitment to key activities can ensure key items will be completed to the benefit of the agencies and their clients.  An important challenge that was noted in the narratives for most of the states involved staff turnover and the need to re-review CPM requirements and definitions.  Therefore one possible set of priorities for the next year would be for states to establish the documented guidance through policies, procedures, and on-demand training (recorded webinars, written guides, PowerPoint presentations, etc.) captured by some of the activities in the ITAAs and begun but not yet complete.  As new staff get onboarded, these resources will be in place and available to build their capacity immediately.</w:t>
      </w:r>
    </w:p>
    <w:p w14:paraId="7EAE72B3" w14:textId="01342325" w:rsidR="008810D5" w:rsidRDefault="008810D5" w:rsidP="008810D5">
      <w:pPr>
        <w:tabs>
          <w:tab w:val="left" w:pos="360"/>
        </w:tabs>
        <w:rPr>
          <w:rFonts w:cstheme="minorHAnsi"/>
        </w:rPr>
      </w:pPr>
      <w:r>
        <w:rPr>
          <w:rFonts w:cstheme="minorHAnsi"/>
        </w:rPr>
        <w:tab/>
        <w:t xml:space="preserve">In addition, as we move into Year 5, the outcomes being reported as complete will benefit from elaboration and context.  How complete and accurate is CPM reporting?  Are the targets being set conservative or ambitious?  How do the actual numbers on performance measures relate to the context of the agency (size of state, population served, budget) and compare to peers?  In what way are states using data to shift their infrastructure, resource allotment, or service provision?  </w:t>
      </w:r>
    </w:p>
    <w:p w14:paraId="4834E4D5" w14:textId="303BA788" w:rsidR="007272B9" w:rsidRDefault="007272B9" w:rsidP="008810D5">
      <w:pPr>
        <w:tabs>
          <w:tab w:val="left" w:pos="360"/>
        </w:tabs>
        <w:rPr>
          <w:rFonts w:cstheme="minorHAnsi"/>
        </w:rPr>
      </w:pPr>
    </w:p>
    <w:p w14:paraId="1E3819C5" w14:textId="77777777" w:rsidR="007272B9" w:rsidRDefault="007272B9" w:rsidP="008810D5">
      <w:pPr>
        <w:tabs>
          <w:tab w:val="left" w:pos="360"/>
        </w:tabs>
        <w:rPr>
          <w:rFonts w:cstheme="minorHAnsi"/>
        </w:rPr>
        <w:sectPr w:rsidR="007272B9" w:rsidSect="00D27D05">
          <w:pgSz w:w="12240" w:h="15840"/>
          <w:pgMar w:top="1440" w:right="1440" w:bottom="1440" w:left="1440" w:header="720" w:footer="720" w:gutter="0"/>
          <w:pgBorders w:offsetFrom="page">
            <w:top w:val="thinThickSmallGap" w:sz="24" w:space="24" w:color="2F5496" w:themeColor="accent1" w:themeShade="BF"/>
            <w:left w:val="thinThickSmallGap" w:sz="24" w:space="24" w:color="2F5496" w:themeColor="accent1" w:themeShade="BF"/>
            <w:bottom w:val="thickThinSmallGap" w:sz="24" w:space="24" w:color="2F5496" w:themeColor="accent1" w:themeShade="BF"/>
            <w:right w:val="thickThinSmallGap" w:sz="24" w:space="24" w:color="2F5496" w:themeColor="accent1" w:themeShade="BF"/>
          </w:pgBorders>
          <w:cols w:space="720"/>
          <w:docGrid w:linePitch="360"/>
        </w:sectPr>
      </w:pPr>
    </w:p>
    <w:p w14:paraId="26B09FC0" w14:textId="77D519DD" w:rsidR="007272B9" w:rsidRPr="00084AA1" w:rsidRDefault="007272B9" w:rsidP="00076336">
      <w:pPr>
        <w:pStyle w:val="Heading1"/>
        <w:numPr>
          <w:ilvl w:val="0"/>
          <w:numId w:val="59"/>
        </w:numPr>
        <w:pBdr>
          <w:bottom w:val="single" w:sz="18" w:space="1" w:color="auto"/>
        </w:pBdr>
        <w:shd w:val="clear" w:color="auto" w:fill="auto"/>
        <w:rPr>
          <w:caps w:val="0"/>
          <w:szCs w:val="52"/>
        </w:rPr>
      </w:pPr>
      <w:bookmarkStart w:id="47" w:name="_Toc27904589"/>
      <w:bookmarkStart w:id="48" w:name="_Toc28011426"/>
      <w:r w:rsidRPr="00084AA1">
        <w:rPr>
          <w:caps w:val="0"/>
          <w:szCs w:val="52"/>
        </w:rPr>
        <w:lastRenderedPageBreak/>
        <w:t>Workforce Integration</w:t>
      </w:r>
      <w:bookmarkEnd w:id="47"/>
      <w:bookmarkEnd w:id="48"/>
    </w:p>
    <w:p w14:paraId="60ED3FF8" w14:textId="77777777" w:rsidR="007272B9" w:rsidRDefault="007272B9" w:rsidP="007272B9"/>
    <w:p w14:paraId="08BC0848" w14:textId="77777777" w:rsidR="007272B9" w:rsidRDefault="007272B9" w:rsidP="007272B9">
      <w:pPr>
        <w:rPr>
          <w:noProof/>
        </w:rPr>
      </w:pPr>
      <w:r>
        <w:rPr>
          <w:noProof/>
          <w:lang w:eastAsia="ko-KR"/>
        </w:rPr>
        <w:drawing>
          <wp:inline distT="0" distB="0" distL="0" distR="0" wp14:anchorId="5BECD73F" wp14:editId="280A620E">
            <wp:extent cx="5943600" cy="4320540"/>
            <wp:effectExtent l="323850" t="323850" r="323850" b="327660"/>
            <wp:docPr id="60" name="Picture 60" descr="Map of the United States depicting states with ITAAs covering workforce integrations, which include: AK, AR, CT, DE, FL, HI, IL,  IA,  LA, ME, MA, MI,  MS, NE,  NH, NC, RI, Virg. Is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ntegration ITA Map.png"/>
                    <pic:cNvPicPr/>
                  </pic:nvPicPr>
                  <pic:blipFill>
                    <a:blip r:embed="rId215" cstate="print">
                      <a:extLst>
                        <a:ext uri="{28A0092B-C50C-407E-A947-70E740481C1C}">
                          <a14:useLocalDpi xmlns:a14="http://schemas.microsoft.com/office/drawing/2010/main" val="0"/>
                        </a:ext>
                      </a:extLst>
                    </a:blip>
                    <a:stretch>
                      <a:fillRect/>
                    </a:stretch>
                  </pic:blipFill>
                  <pic:spPr>
                    <a:xfrm>
                      <a:off x="0" y="0"/>
                      <a:ext cx="5943600" cy="432054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p>
    <w:p w14:paraId="309656F3" w14:textId="77777777" w:rsidR="007272B9" w:rsidRDefault="007272B9" w:rsidP="007272B9"/>
    <w:p w14:paraId="129262E0" w14:textId="77777777" w:rsidR="007272B9" w:rsidRDefault="007272B9" w:rsidP="007272B9"/>
    <w:p w14:paraId="14E7E081" w14:textId="77777777" w:rsidR="007272B9" w:rsidRDefault="007272B9" w:rsidP="007272B9">
      <w:pPr>
        <w:sectPr w:rsidR="007272B9" w:rsidSect="00D27D05">
          <w:footerReference w:type="default" r:id="rId216"/>
          <w:pgSz w:w="12240" w:h="15840" w:code="1"/>
          <w:pgMar w:top="1440" w:right="1440" w:bottom="1440" w:left="1440" w:header="720" w:footer="720" w:gutter="0"/>
          <w:pgBorders w:offsetFrom="page">
            <w:top w:val="thinThickSmallGap" w:sz="24" w:space="24" w:color="2F5496" w:themeColor="accent1" w:themeShade="BF"/>
            <w:left w:val="thinThickSmallGap" w:sz="24" w:space="24" w:color="2F5496" w:themeColor="accent1" w:themeShade="BF"/>
            <w:bottom w:val="thickThinSmallGap" w:sz="24" w:space="24" w:color="2F5496" w:themeColor="accent1" w:themeShade="BF"/>
            <w:right w:val="thickThinSmallGap" w:sz="24" w:space="24" w:color="2F5496" w:themeColor="accent1" w:themeShade="BF"/>
          </w:pgBorders>
          <w:cols w:space="720"/>
          <w:vAlign w:val="center"/>
          <w:docGrid w:linePitch="360"/>
        </w:sectPr>
      </w:pPr>
    </w:p>
    <w:p w14:paraId="1E9C6006" w14:textId="77777777" w:rsidR="007272B9" w:rsidRPr="00987BC7" w:rsidRDefault="007272B9" w:rsidP="00BA0D82">
      <w:pPr>
        <w:pStyle w:val="Heading2"/>
        <w:numPr>
          <w:ilvl w:val="0"/>
          <w:numId w:val="0"/>
        </w:numPr>
        <w:pBdr>
          <w:bottom w:val="none" w:sz="0" w:space="0" w:color="auto"/>
        </w:pBdr>
        <w:shd w:val="clear" w:color="auto" w:fill="B4C6E7" w:themeFill="accent1" w:themeFillTint="66"/>
        <w:ind w:left="720" w:right="720"/>
      </w:pPr>
      <w:bookmarkStart w:id="49" w:name="_Toc27904590"/>
      <w:bookmarkStart w:id="50" w:name="_Toc28011427"/>
      <w:r>
        <w:lastRenderedPageBreak/>
        <w:t>Workforce Integration</w:t>
      </w:r>
      <w:r w:rsidRPr="00987BC7">
        <w:t xml:space="preserve"> – </w:t>
      </w:r>
      <w:r>
        <w:t xml:space="preserve">ITA </w:t>
      </w:r>
      <w:r w:rsidRPr="00987BC7">
        <w:t>Logic Model</w:t>
      </w:r>
      <w:bookmarkEnd w:id="49"/>
      <w:bookmarkEnd w:id="50"/>
    </w:p>
    <w:tbl>
      <w:tblPr>
        <w:tblW w:w="9355" w:type="dxa"/>
        <w:tblInd w:w="715" w:type="dxa"/>
        <w:tblLook w:val="04A0" w:firstRow="1" w:lastRow="0" w:firstColumn="1" w:lastColumn="0" w:noHBand="0" w:noVBand="1"/>
      </w:tblPr>
      <w:tblGrid>
        <w:gridCol w:w="4677"/>
        <w:gridCol w:w="4678"/>
      </w:tblGrid>
      <w:tr w:rsidR="007272B9" w:rsidRPr="00206792" w14:paraId="465D76F1" w14:textId="77777777" w:rsidTr="003B6148">
        <w:trPr>
          <w:trHeight w:val="20"/>
          <w:tblHeader/>
        </w:trPr>
        <w:tc>
          <w:tcPr>
            <w:tcW w:w="4677"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hideMark/>
          </w:tcPr>
          <w:p w14:paraId="701C91A1" w14:textId="77777777" w:rsidR="007272B9" w:rsidRPr="00206792" w:rsidRDefault="007272B9" w:rsidP="003B6148">
            <w:pPr>
              <w:spacing w:after="0" w:line="240" w:lineRule="auto"/>
              <w:jc w:val="center"/>
              <w:rPr>
                <w:b/>
                <w:bCs/>
                <w:color w:val="000000"/>
              </w:rPr>
            </w:pPr>
            <w:r w:rsidRPr="00206792">
              <w:rPr>
                <w:b/>
                <w:bCs/>
                <w:color w:val="000000"/>
              </w:rPr>
              <w:t>Activity</w:t>
            </w:r>
          </w:p>
        </w:tc>
        <w:tc>
          <w:tcPr>
            <w:tcW w:w="4678" w:type="dxa"/>
            <w:tcBorders>
              <w:top w:val="single" w:sz="4" w:space="0" w:color="auto"/>
              <w:left w:val="nil"/>
              <w:bottom w:val="single" w:sz="4" w:space="0" w:color="auto"/>
              <w:right w:val="single" w:sz="4" w:space="0" w:color="auto"/>
            </w:tcBorders>
            <w:shd w:val="clear" w:color="auto" w:fill="D9E2F3" w:themeFill="accent1" w:themeFillTint="33"/>
            <w:vAlign w:val="center"/>
            <w:hideMark/>
          </w:tcPr>
          <w:p w14:paraId="130BCA52" w14:textId="77777777" w:rsidR="007272B9" w:rsidRPr="00206792" w:rsidRDefault="007272B9" w:rsidP="003B6148">
            <w:pPr>
              <w:spacing w:after="0" w:line="240" w:lineRule="auto"/>
              <w:ind w:hanging="104"/>
              <w:jc w:val="center"/>
              <w:rPr>
                <w:b/>
                <w:bCs/>
                <w:color w:val="000000"/>
              </w:rPr>
            </w:pPr>
            <w:r w:rsidRPr="00206792">
              <w:rPr>
                <w:b/>
                <w:bCs/>
                <w:color w:val="000000"/>
              </w:rPr>
              <w:t>Output</w:t>
            </w:r>
          </w:p>
        </w:tc>
      </w:tr>
      <w:tr w:rsidR="007272B9" w:rsidRPr="00206792" w14:paraId="6FAC3800" w14:textId="77777777" w:rsidTr="003B6148">
        <w:trPr>
          <w:trHeight w:val="20"/>
        </w:trPr>
        <w:tc>
          <w:tcPr>
            <w:tcW w:w="4677" w:type="dxa"/>
            <w:tcBorders>
              <w:top w:val="nil"/>
              <w:left w:val="single" w:sz="4" w:space="0" w:color="auto"/>
              <w:bottom w:val="single" w:sz="4" w:space="0" w:color="auto"/>
              <w:right w:val="single" w:sz="4" w:space="0" w:color="auto"/>
            </w:tcBorders>
            <w:shd w:val="clear" w:color="auto" w:fill="auto"/>
            <w:vAlign w:val="center"/>
            <w:hideMark/>
          </w:tcPr>
          <w:p w14:paraId="0AA8DC83" w14:textId="77777777" w:rsidR="007272B9" w:rsidRPr="00206792" w:rsidRDefault="007272B9" w:rsidP="00076336">
            <w:pPr>
              <w:pStyle w:val="ListParagraph"/>
              <w:numPr>
                <w:ilvl w:val="0"/>
                <w:numId w:val="12"/>
              </w:numPr>
              <w:spacing w:after="0" w:line="240" w:lineRule="auto"/>
              <w:ind w:left="360"/>
              <w:rPr>
                <w:color w:val="000000"/>
              </w:rPr>
            </w:pPr>
            <w:r w:rsidRPr="00206792">
              <w:rPr>
                <w:color w:val="000000"/>
              </w:rPr>
              <w:t>Assist agency to analyze readiness and capacity to increase integration with the workforce development system</w:t>
            </w:r>
          </w:p>
        </w:tc>
        <w:tc>
          <w:tcPr>
            <w:tcW w:w="4678" w:type="dxa"/>
            <w:tcBorders>
              <w:top w:val="nil"/>
              <w:left w:val="nil"/>
              <w:bottom w:val="single" w:sz="4" w:space="0" w:color="auto"/>
              <w:right w:val="single" w:sz="4" w:space="0" w:color="auto"/>
            </w:tcBorders>
            <w:shd w:val="clear" w:color="auto" w:fill="auto"/>
            <w:vAlign w:val="center"/>
            <w:hideMark/>
          </w:tcPr>
          <w:p w14:paraId="0B2042B8" w14:textId="77777777" w:rsidR="007272B9" w:rsidRPr="00206792" w:rsidRDefault="007272B9" w:rsidP="00076336">
            <w:pPr>
              <w:pStyle w:val="ListParagraph"/>
              <w:numPr>
                <w:ilvl w:val="0"/>
                <w:numId w:val="13"/>
              </w:numPr>
              <w:spacing w:after="0" w:line="240" w:lineRule="auto"/>
              <w:ind w:left="309"/>
              <w:rPr>
                <w:color w:val="000000"/>
              </w:rPr>
            </w:pPr>
            <w:r w:rsidRPr="00206792">
              <w:rPr>
                <w:color w:val="000000"/>
              </w:rPr>
              <w:t>A completed readiness and capacity assessment documenting implementation and role challenges and opportunities</w:t>
            </w:r>
          </w:p>
        </w:tc>
      </w:tr>
      <w:tr w:rsidR="007272B9" w:rsidRPr="00206792" w14:paraId="044CA692" w14:textId="77777777" w:rsidTr="003B6148">
        <w:trPr>
          <w:trHeight w:val="20"/>
        </w:trPr>
        <w:tc>
          <w:tcPr>
            <w:tcW w:w="4677" w:type="dxa"/>
            <w:tcBorders>
              <w:top w:val="nil"/>
              <w:left w:val="single" w:sz="4" w:space="0" w:color="auto"/>
              <w:bottom w:val="single" w:sz="4" w:space="0" w:color="auto"/>
              <w:right w:val="single" w:sz="4" w:space="0" w:color="auto"/>
            </w:tcBorders>
            <w:shd w:val="clear" w:color="auto" w:fill="auto"/>
            <w:vAlign w:val="center"/>
            <w:hideMark/>
          </w:tcPr>
          <w:p w14:paraId="3CED49D1" w14:textId="77777777" w:rsidR="007272B9" w:rsidRPr="00206792" w:rsidRDefault="007272B9" w:rsidP="00076336">
            <w:pPr>
              <w:pStyle w:val="ListParagraph"/>
              <w:numPr>
                <w:ilvl w:val="0"/>
                <w:numId w:val="12"/>
              </w:numPr>
              <w:spacing w:after="0" w:line="240" w:lineRule="auto"/>
              <w:ind w:left="360"/>
              <w:rPr>
                <w:color w:val="000000"/>
              </w:rPr>
            </w:pPr>
            <w:r w:rsidRPr="00206792">
              <w:rPr>
                <w:color w:val="000000"/>
              </w:rPr>
              <w:t>Assist agency in completing WIOA “Are You Ready for Integration?” checklist</w:t>
            </w:r>
          </w:p>
        </w:tc>
        <w:tc>
          <w:tcPr>
            <w:tcW w:w="4678" w:type="dxa"/>
            <w:tcBorders>
              <w:top w:val="nil"/>
              <w:left w:val="nil"/>
              <w:bottom w:val="single" w:sz="4" w:space="0" w:color="auto"/>
              <w:right w:val="single" w:sz="4" w:space="0" w:color="auto"/>
            </w:tcBorders>
            <w:shd w:val="clear" w:color="auto" w:fill="auto"/>
            <w:vAlign w:val="center"/>
            <w:hideMark/>
          </w:tcPr>
          <w:p w14:paraId="7635AD77" w14:textId="77777777" w:rsidR="007272B9" w:rsidRPr="00206792" w:rsidRDefault="007272B9" w:rsidP="00076336">
            <w:pPr>
              <w:pStyle w:val="ListParagraph"/>
              <w:numPr>
                <w:ilvl w:val="0"/>
                <w:numId w:val="13"/>
              </w:numPr>
              <w:spacing w:after="0" w:line="240" w:lineRule="auto"/>
              <w:ind w:left="309"/>
              <w:rPr>
                <w:color w:val="000000"/>
              </w:rPr>
            </w:pPr>
            <w:r w:rsidRPr="00206792">
              <w:rPr>
                <w:color w:val="000000"/>
              </w:rPr>
              <w:t>Completed Checklist</w:t>
            </w:r>
          </w:p>
        </w:tc>
      </w:tr>
      <w:tr w:rsidR="007272B9" w:rsidRPr="00206792" w14:paraId="4FB04A42" w14:textId="77777777" w:rsidTr="003B6148">
        <w:trPr>
          <w:trHeight w:val="20"/>
        </w:trPr>
        <w:tc>
          <w:tcPr>
            <w:tcW w:w="4677" w:type="dxa"/>
            <w:tcBorders>
              <w:top w:val="nil"/>
              <w:left w:val="single" w:sz="4" w:space="0" w:color="auto"/>
              <w:bottom w:val="single" w:sz="4" w:space="0" w:color="auto"/>
              <w:right w:val="single" w:sz="4" w:space="0" w:color="auto"/>
            </w:tcBorders>
            <w:shd w:val="clear" w:color="auto" w:fill="auto"/>
            <w:vAlign w:val="center"/>
            <w:hideMark/>
          </w:tcPr>
          <w:p w14:paraId="0B9ED7BB" w14:textId="77777777" w:rsidR="007272B9" w:rsidRPr="00206792" w:rsidRDefault="007272B9" w:rsidP="00076336">
            <w:pPr>
              <w:pStyle w:val="ListParagraph"/>
              <w:numPr>
                <w:ilvl w:val="0"/>
                <w:numId w:val="12"/>
              </w:numPr>
              <w:spacing w:after="0" w:line="240" w:lineRule="auto"/>
              <w:ind w:left="360"/>
              <w:rPr>
                <w:color w:val="000000"/>
              </w:rPr>
            </w:pPr>
            <w:r w:rsidRPr="00206792">
              <w:rPr>
                <w:color w:val="000000"/>
              </w:rPr>
              <w:t>Assist agency in individual agency self-assessments regarding level of workforce system integration</w:t>
            </w:r>
          </w:p>
        </w:tc>
        <w:tc>
          <w:tcPr>
            <w:tcW w:w="4678" w:type="dxa"/>
            <w:tcBorders>
              <w:top w:val="nil"/>
              <w:left w:val="nil"/>
              <w:bottom w:val="single" w:sz="4" w:space="0" w:color="auto"/>
              <w:right w:val="single" w:sz="4" w:space="0" w:color="auto"/>
            </w:tcBorders>
            <w:shd w:val="clear" w:color="auto" w:fill="auto"/>
            <w:vAlign w:val="center"/>
            <w:hideMark/>
          </w:tcPr>
          <w:p w14:paraId="67C6C63F" w14:textId="77777777" w:rsidR="007272B9" w:rsidRPr="00206792" w:rsidRDefault="007272B9" w:rsidP="00076336">
            <w:pPr>
              <w:pStyle w:val="ListParagraph"/>
              <w:numPr>
                <w:ilvl w:val="0"/>
                <w:numId w:val="13"/>
              </w:numPr>
              <w:spacing w:after="0" w:line="240" w:lineRule="auto"/>
              <w:ind w:left="309"/>
              <w:rPr>
                <w:color w:val="000000"/>
              </w:rPr>
            </w:pPr>
            <w:r w:rsidRPr="00206792">
              <w:rPr>
                <w:color w:val="000000"/>
              </w:rPr>
              <w:t>Self-assessments conducted, baseline level of integration determined. Integration Continuum Report Provided</w:t>
            </w:r>
          </w:p>
        </w:tc>
      </w:tr>
      <w:tr w:rsidR="007272B9" w:rsidRPr="00206792" w14:paraId="0DFEF6AF" w14:textId="77777777" w:rsidTr="003B6148">
        <w:trPr>
          <w:trHeight w:val="20"/>
        </w:trPr>
        <w:tc>
          <w:tcPr>
            <w:tcW w:w="4677" w:type="dxa"/>
            <w:tcBorders>
              <w:top w:val="nil"/>
              <w:left w:val="single" w:sz="4" w:space="0" w:color="auto"/>
              <w:bottom w:val="single" w:sz="4" w:space="0" w:color="auto"/>
              <w:right w:val="single" w:sz="4" w:space="0" w:color="auto"/>
            </w:tcBorders>
            <w:shd w:val="clear" w:color="auto" w:fill="auto"/>
            <w:vAlign w:val="center"/>
            <w:hideMark/>
          </w:tcPr>
          <w:p w14:paraId="391DAAFB" w14:textId="77777777" w:rsidR="007272B9" w:rsidRPr="00206792" w:rsidRDefault="007272B9" w:rsidP="00076336">
            <w:pPr>
              <w:pStyle w:val="ListParagraph"/>
              <w:numPr>
                <w:ilvl w:val="0"/>
                <w:numId w:val="12"/>
              </w:numPr>
              <w:spacing w:after="0" w:line="240" w:lineRule="auto"/>
              <w:ind w:left="360"/>
              <w:rPr>
                <w:color w:val="000000"/>
              </w:rPr>
            </w:pPr>
            <w:r w:rsidRPr="00206792">
              <w:rPr>
                <w:color w:val="000000"/>
              </w:rPr>
              <w:t>Assist agency and partner programs with a system-wide self-assessment regarding level of workforce system integration</w:t>
            </w:r>
          </w:p>
        </w:tc>
        <w:tc>
          <w:tcPr>
            <w:tcW w:w="4678" w:type="dxa"/>
            <w:tcBorders>
              <w:top w:val="nil"/>
              <w:left w:val="nil"/>
              <w:bottom w:val="single" w:sz="4" w:space="0" w:color="auto"/>
              <w:right w:val="single" w:sz="4" w:space="0" w:color="auto"/>
            </w:tcBorders>
            <w:shd w:val="clear" w:color="auto" w:fill="auto"/>
            <w:vAlign w:val="center"/>
            <w:hideMark/>
          </w:tcPr>
          <w:p w14:paraId="42353354" w14:textId="77777777" w:rsidR="007272B9" w:rsidRPr="00206792" w:rsidRDefault="007272B9" w:rsidP="00076336">
            <w:pPr>
              <w:pStyle w:val="ListParagraph"/>
              <w:numPr>
                <w:ilvl w:val="0"/>
                <w:numId w:val="13"/>
              </w:numPr>
              <w:spacing w:after="0" w:line="240" w:lineRule="auto"/>
              <w:ind w:left="309"/>
              <w:rPr>
                <w:color w:val="000000"/>
              </w:rPr>
            </w:pPr>
            <w:r w:rsidRPr="00206792">
              <w:rPr>
                <w:color w:val="000000"/>
              </w:rPr>
              <w:t>Report on Assessment and Priorities. Initial Action Plan with collaborative process developed</w:t>
            </w:r>
          </w:p>
        </w:tc>
      </w:tr>
      <w:tr w:rsidR="007272B9" w:rsidRPr="00206792" w14:paraId="53B9568D" w14:textId="77777777" w:rsidTr="003B6148">
        <w:trPr>
          <w:trHeight w:val="20"/>
        </w:trPr>
        <w:tc>
          <w:tcPr>
            <w:tcW w:w="4677" w:type="dxa"/>
            <w:tcBorders>
              <w:top w:val="nil"/>
              <w:left w:val="single" w:sz="4" w:space="0" w:color="auto"/>
              <w:bottom w:val="single" w:sz="4" w:space="0" w:color="auto"/>
              <w:right w:val="single" w:sz="4" w:space="0" w:color="auto"/>
            </w:tcBorders>
            <w:shd w:val="clear" w:color="auto" w:fill="auto"/>
            <w:vAlign w:val="center"/>
            <w:hideMark/>
          </w:tcPr>
          <w:p w14:paraId="094A50E6" w14:textId="77777777" w:rsidR="007272B9" w:rsidRPr="00206792" w:rsidRDefault="007272B9" w:rsidP="00076336">
            <w:pPr>
              <w:pStyle w:val="ListParagraph"/>
              <w:numPr>
                <w:ilvl w:val="0"/>
                <w:numId w:val="12"/>
              </w:numPr>
              <w:spacing w:after="0" w:line="240" w:lineRule="auto"/>
              <w:ind w:left="360"/>
              <w:rPr>
                <w:color w:val="000000"/>
              </w:rPr>
            </w:pPr>
            <w:r w:rsidRPr="00206792">
              <w:rPr>
                <w:color w:val="000000"/>
              </w:rPr>
              <w:t>Assist the agency in assessing its current utilization of career pathways in the IPE development process and the resources needed to increase the use of career pathways in future planning with consumers</w:t>
            </w:r>
          </w:p>
        </w:tc>
        <w:tc>
          <w:tcPr>
            <w:tcW w:w="4678" w:type="dxa"/>
            <w:tcBorders>
              <w:top w:val="nil"/>
              <w:left w:val="nil"/>
              <w:bottom w:val="single" w:sz="4" w:space="0" w:color="auto"/>
              <w:right w:val="single" w:sz="4" w:space="0" w:color="auto"/>
            </w:tcBorders>
            <w:shd w:val="clear" w:color="auto" w:fill="auto"/>
            <w:vAlign w:val="center"/>
            <w:hideMark/>
          </w:tcPr>
          <w:p w14:paraId="030E3950" w14:textId="77777777" w:rsidR="007272B9" w:rsidRPr="00206792" w:rsidRDefault="007272B9" w:rsidP="00076336">
            <w:pPr>
              <w:pStyle w:val="ListParagraph"/>
              <w:numPr>
                <w:ilvl w:val="0"/>
                <w:numId w:val="13"/>
              </w:numPr>
              <w:spacing w:after="0" w:line="240" w:lineRule="auto"/>
              <w:ind w:left="309"/>
              <w:rPr>
                <w:color w:val="000000"/>
              </w:rPr>
            </w:pPr>
            <w:r w:rsidRPr="00206792">
              <w:rPr>
                <w:color w:val="000000"/>
              </w:rPr>
              <w:t>A completed assessment with tools and resources provided to agency staff</w:t>
            </w:r>
          </w:p>
        </w:tc>
      </w:tr>
      <w:tr w:rsidR="007272B9" w:rsidRPr="00206792" w14:paraId="68B1D709" w14:textId="77777777" w:rsidTr="003B6148">
        <w:trPr>
          <w:trHeight w:val="20"/>
        </w:trPr>
        <w:tc>
          <w:tcPr>
            <w:tcW w:w="4677" w:type="dxa"/>
            <w:tcBorders>
              <w:top w:val="nil"/>
              <w:left w:val="single" w:sz="4" w:space="0" w:color="auto"/>
              <w:bottom w:val="single" w:sz="4" w:space="0" w:color="auto"/>
              <w:right w:val="single" w:sz="4" w:space="0" w:color="auto"/>
            </w:tcBorders>
            <w:shd w:val="clear" w:color="auto" w:fill="auto"/>
            <w:vAlign w:val="center"/>
            <w:hideMark/>
          </w:tcPr>
          <w:p w14:paraId="083A4AAD" w14:textId="77777777" w:rsidR="007272B9" w:rsidRPr="00206792" w:rsidRDefault="007272B9" w:rsidP="00076336">
            <w:pPr>
              <w:pStyle w:val="ListParagraph"/>
              <w:numPr>
                <w:ilvl w:val="0"/>
                <w:numId w:val="12"/>
              </w:numPr>
              <w:spacing w:after="0" w:line="240" w:lineRule="auto"/>
              <w:ind w:left="360"/>
              <w:rPr>
                <w:color w:val="000000"/>
              </w:rPr>
            </w:pPr>
            <w:r w:rsidRPr="00206792">
              <w:rPr>
                <w:color w:val="000000"/>
              </w:rPr>
              <w:t>Assist in the development of new or revised policies and procedures that will increase the use of career pathways in the vocational planning and service delivery process for VR consumers</w:t>
            </w:r>
          </w:p>
        </w:tc>
        <w:tc>
          <w:tcPr>
            <w:tcW w:w="4678" w:type="dxa"/>
            <w:tcBorders>
              <w:top w:val="nil"/>
              <w:left w:val="nil"/>
              <w:bottom w:val="single" w:sz="4" w:space="0" w:color="auto"/>
              <w:right w:val="single" w:sz="4" w:space="0" w:color="auto"/>
            </w:tcBorders>
            <w:shd w:val="clear" w:color="auto" w:fill="auto"/>
            <w:vAlign w:val="center"/>
            <w:hideMark/>
          </w:tcPr>
          <w:p w14:paraId="3F4F8519" w14:textId="77777777" w:rsidR="007272B9" w:rsidRPr="00206792" w:rsidRDefault="007272B9" w:rsidP="00076336">
            <w:pPr>
              <w:pStyle w:val="ListParagraph"/>
              <w:numPr>
                <w:ilvl w:val="0"/>
                <w:numId w:val="13"/>
              </w:numPr>
              <w:spacing w:after="0" w:line="240" w:lineRule="auto"/>
              <w:ind w:left="309"/>
              <w:rPr>
                <w:color w:val="000000"/>
              </w:rPr>
            </w:pPr>
            <w:r w:rsidRPr="00206792">
              <w:rPr>
                <w:color w:val="000000"/>
              </w:rPr>
              <w:t>Draft of new and/or revised policies and procedures related to career pathways</w:t>
            </w:r>
          </w:p>
        </w:tc>
      </w:tr>
      <w:tr w:rsidR="007272B9" w:rsidRPr="00206792" w14:paraId="7ECC3A1C" w14:textId="77777777" w:rsidTr="003B6148">
        <w:trPr>
          <w:trHeight w:val="20"/>
        </w:trPr>
        <w:tc>
          <w:tcPr>
            <w:tcW w:w="4677" w:type="dxa"/>
            <w:tcBorders>
              <w:top w:val="nil"/>
              <w:left w:val="single" w:sz="4" w:space="0" w:color="auto"/>
              <w:bottom w:val="single" w:sz="4" w:space="0" w:color="auto"/>
              <w:right w:val="single" w:sz="4" w:space="0" w:color="auto"/>
            </w:tcBorders>
            <w:shd w:val="clear" w:color="auto" w:fill="auto"/>
            <w:vAlign w:val="center"/>
            <w:hideMark/>
          </w:tcPr>
          <w:p w14:paraId="09937500" w14:textId="77777777" w:rsidR="007272B9" w:rsidRPr="00C46BD4" w:rsidRDefault="007272B9" w:rsidP="00076336">
            <w:pPr>
              <w:pStyle w:val="ListParagraph"/>
              <w:numPr>
                <w:ilvl w:val="0"/>
                <w:numId w:val="12"/>
              </w:numPr>
              <w:spacing w:after="0" w:line="240" w:lineRule="auto"/>
              <w:ind w:left="360"/>
              <w:rPr>
                <w:i/>
                <w:iCs/>
                <w:color w:val="000000"/>
              </w:rPr>
            </w:pPr>
            <w:r w:rsidRPr="00C46BD4">
              <w:rPr>
                <w:i/>
                <w:iCs/>
                <w:color w:val="000000"/>
              </w:rPr>
              <w:t xml:space="preserve">Assist agency to identify resources that will promote and increase the use of apprenticeships in the VR service delivery system </w:t>
            </w:r>
            <w:r>
              <w:rPr>
                <w:i/>
                <w:iCs/>
                <w:color w:val="000000"/>
              </w:rPr>
              <w:t>*</w:t>
            </w:r>
          </w:p>
        </w:tc>
        <w:tc>
          <w:tcPr>
            <w:tcW w:w="4678" w:type="dxa"/>
            <w:tcBorders>
              <w:top w:val="nil"/>
              <w:left w:val="nil"/>
              <w:bottom w:val="single" w:sz="4" w:space="0" w:color="auto"/>
              <w:right w:val="single" w:sz="4" w:space="0" w:color="auto"/>
            </w:tcBorders>
            <w:shd w:val="clear" w:color="auto" w:fill="auto"/>
            <w:vAlign w:val="center"/>
            <w:hideMark/>
          </w:tcPr>
          <w:p w14:paraId="78FC36B8" w14:textId="77777777" w:rsidR="007272B9" w:rsidRPr="00C46BD4" w:rsidRDefault="007272B9" w:rsidP="00076336">
            <w:pPr>
              <w:pStyle w:val="ListParagraph"/>
              <w:numPr>
                <w:ilvl w:val="0"/>
                <w:numId w:val="13"/>
              </w:numPr>
              <w:spacing w:after="0" w:line="240" w:lineRule="auto"/>
              <w:ind w:left="309"/>
              <w:rPr>
                <w:i/>
                <w:iCs/>
                <w:color w:val="000000"/>
              </w:rPr>
            </w:pPr>
            <w:r w:rsidRPr="00C46BD4">
              <w:rPr>
                <w:i/>
                <w:iCs/>
                <w:color w:val="000000"/>
              </w:rPr>
              <w:t>The information and resources provided to the agency</w:t>
            </w:r>
          </w:p>
        </w:tc>
      </w:tr>
      <w:tr w:rsidR="007272B9" w:rsidRPr="00206792" w14:paraId="62745950" w14:textId="77777777" w:rsidTr="003B6148">
        <w:trPr>
          <w:trHeight w:val="20"/>
        </w:trPr>
        <w:tc>
          <w:tcPr>
            <w:tcW w:w="4677" w:type="dxa"/>
            <w:tcBorders>
              <w:top w:val="nil"/>
              <w:left w:val="single" w:sz="4" w:space="0" w:color="auto"/>
              <w:bottom w:val="single" w:sz="4" w:space="0" w:color="auto"/>
              <w:right w:val="single" w:sz="4" w:space="0" w:color="auto"/>
            </w:tcBorders>
            <w:shd w:val="clear" w:color="auto" w:fill="auto"/>
            <w:vAlign w:val="center"/>
            <w:hideMark/>
          </w:tcPr>
          <w:p w14:paraId="7BDE3B61" w14:textId="77777777" w:rsidR="007272B9" w:rsidRPr="00C46BD4" w:rsidRDefault="007272B9" w:rsidP="00076336">
            <w:pPr>
              <w:pStyle w:val="ListParagraph"/>
              <w:numPr>
                <w:ilvl w:val="0"/>
                <w:numId w:val="12"/>
              </w:numPr>
              <w:spacing w:after="0" w:line="240" w:lineRule="auto"/>
              <w:ind w:left="360"/>
              <w:rPr>
                <w:i/>
                <w:iCs/>
                <w:color w:val="000000"/>
              </w:rPr>
            </w:pPr>
            <w:r w:rsidRPr="00C46BD4">
              <w:rPr>
                <w:i/>
                <w:iCs/>
                <w:color w:val="000000"/>
              </w:rPr>
              <w:t>Assist in the development of new or revised policies and procedures to implement apprenticeship opportunities*</w:t>
            </w:r>
          </w:p>
        </w:tc>
        <w:tc>
          <w:tcPr>
            <w:tcW w:w="4678" w:type="dxa"/>
            <w:tcBorders>
              <w:top w:val="nil"/>
              <w:left w:val="nil"/>
              <w:bottom w:val="single" w:sz="4" w:space="0" w:color="auto"/>
              <w:right w:val="single" w:sz="4" w:space="0" w:color="auto"/>
            </w:tcBorders>
            <w:shd w:val="clear" w:color="auto" w:fill="auto"/>
            <w:vAlign w:val="center"/>
            <w:hideMark/>
          </w:tcPr>
          <w:p w14:paraId="1798F825" w14:textId="77777777" w:rsidR="007272B9" w:rsidRPr="00C46BD4" w:rsidRDefault="007272B9" w:rsidP="00076336">
            <w:pPr>
              <w:pStyle w:val="ListParagraph"/>
              <w:numPr>
                <w:ilvl w:val="0"/>
                <w:numId w:val="13"/>
              </w:numPr>
              <w:spacing w:after="0" w:line="240" w:lineRule="auto"/>
              <w:ind w:left="309"/>
              <w:rPr>
                <w:i/>
                <w:iCs/>
                <w:color w:val="000000"/>
              </w:rPr>
            </w:pPr>
            <w:r w:rsidRPr="00C46BD4">
              <w:rPr>
                <w:i/>
                <w:iCs/>
                <w:color w:val="000000"/>
              </w:rPr>
              <w:t>Draft of new and/or revised policies and procedures related to apprenticeships**</w:t>
            </w:r>
          </w:p>
        </w:tc>
      </w:tr>
      <w:tr w:rsidR="007272B9" w:rsidRPr="00206792" w14:paraId="37958CAE" w14:textId="77777777" w:rsidTr="003B6148">
        <w:trPr>
          <w:trHeight w:val="20"/>
        </w:trPr>
        <w:tc>
          <w:tcPr>
            <w:tcW w:w="4677" w:type="dxa"/>
            <w:tcBorders>
              <w:top w:val="nil"/>
              <w:left w:val="single" w:sz="4" w:space="0" w:color="auto"/>
              <w:bottom w:val="single" w:sz="4" w:space="0" w:color="auto"/>
              <w:right w:val="single" w:sz="4" w:space="0" w:color="auto"/>
            </w:tcBorders>
            <w:shd w:val="clear" w:color="auto" w:fill="auto"/>
            <w:vAlign w:val="center"/>
            <w:hideMark/>
          </w:tcPr>
          <w:p w14:paraId="249342E8" w14:textId="77777777" w:rsidR="007272B9" w:rsidRPr="00206792" w:rsidRDefault="007272B9" w:rsidP="00076336">
            <w:pPr>
              <w:pStyle w:val="ListParagraph"/>
              <w:numPr>
                <w:ilvl w:val="0"/>
                <w:numId w:val="12"/>
              </w:numPr>
              <w:spacing w:after="0" w:line="240" w:lineRule="auto"/>
              <w:ind w:left="360"/>
              <w:rPr>
                <w:color w:val="000000"/>
              </w:rPr>
            </w:pPr>
            <w:r w:rsidRPr="00206792">
              <w:rPr>
                <w:color w:val="000000"/>
              </w:rPr>
              <w:t>Assess the capacity of the VR agency and core partners to utilize Integrated Resource Teams to serve individuals with disabilities in the AJCs</w:t>
            </w:r>
          </w:p>
        </w:tc>
        <w:tc>
          <w:tcPr>
            <w:tcW w:w="4678" w:type="dxa"/>
            <w:tcBorders>
              <w:top w:val="nil"/>
              <w:left w:val="nil"/>
              <w:bottom w:val="single" w:sz="4" w:space="0" w:color="auto"/>
              <w:right w:val="single" w:sz="4" w:space="0" w:color="auto"/>
            </w:tcBorders>
            <w:shd w:val="clear" w:color="auto" w:fill="auto"/>
            <w:vAlign w:val="center"/>
            <w:hideMark/>
          </w:tcPr>
          <w:p w14:paraId="407A86E3" w14:textId="77777777" w:rsidR="007272B9" w:rsidRPr="00206792" w:rsidRDefault="007272B9" w:rsidP="00076336">
            <w:pPr>
              <w:pStyle w:val="ListParagraph"/>
              <w:numPr>
                <w:ilvl w:val="0"/>
                <w:numId w:val="13"/>
              </w:numPr>
              <w:spacing w:after="0" w:line="240" w:lineRule="auto"/>
              <w:ind w:left="309"/>
              <w:rPr>
                <w:color w:val="000000"/>
              </w:rPr>
            </w:pPr>
            <w:r w:rsidRPr="00206792">
              <w:rPr>
                <w:color w:val="000000"/>
              </w:rPr>
              <w:t>A completed assessment identifying challenges to utilizing IRTs and recommendations on how to implement IRTs</w:t>
            </w:r>
          </w:p>
        </w:tc>
      </w:tr>
      <w:tr w:rsidR="007272B9" w:rsidRPr="00206792" w14:paraId="4EC930F7" w14:textId="77777777" w:rsidTr="003B6148">
        <w:trPr>
          <w:trHeight w:val="20"/>
        </w:trPr>
        <w:tc>
          <w:tcPr>
            <w:tcW w:w="4677" w:type="dxa"/>
            <w:tcBorders>
              <w:top w:val="nil"/>
              <w:left w:val="single" w:sz="4" w:space="0" w:color="auto"/>
              <w:bottom w:val="single" w:sz="4" w:space="0" w:color="auto"/>
              <w:right w:val="single" w:sz="4" w:space="0" w:color="auto"/>
            </w:tcBorders>
            <w:shd w:val="clear" w:color="auto" w:fill="auto"/>
            <w:vAlign w:val="center"/>
            <w:hideMark/>
          </w:tcPr>
          <w:p w14:paraId="7F42BD5C" w14:textId="77777777" w:rsidR="007272B9" w:rsidRPr="00206792" w:rsidRDefault="007272B9" w:rsidP="00076336">
            <w:pPr>
              <w:pStyle w:val="ListParagraph"/>
              <w:numPr>
                <w:ilvl w:val="0"/>
                <w:numId w:val="12"/>
              </w:numPr>
              <w:spacing w:after="0" w:line="240" w:lineRule="auto"/>
              <w:ind w:left="360"/>
              <w:rPr>
                <w:color w:val="000000"/>
              </w:rPr>
            </w:pPr>
            <w:r w:rsidRPr="00206792">
              <w:rPr>
                <w:color w:val="000000"/>
              </w:rPr>
              <w:t>Assist the VR program and core WDS partners to develop a pilot site that will utilize IRTs to serve individuals with disabilities in the AJC</w:t>
            </w:r>
          </w:p>
          <w:p w14:paraId="3E675D92" w14:textId="77777777" w:rsidR="007272B9" w:rsidRPr="00206792" w:rsidRDefault="007272B9" w:rsidP="003B6148">
            <w:pPr>
              <w:spacing w:after="0" w:line="240" w:lineRule="auto"/>
              <w:ind w:left="360"/>
            </w:pPr>
          </w:p>
        </w:tc>
        <w:tc>
          <w:tcPr>
            <w:tcW w:w="4678" w:type="dxa"/>
            <w:tcBorders>
              <w:top w:val="nil"/>
              <w:left w:val="nil"/>
              <w:bottom w:val="single" w:sz="4" w:space="0" w:color="auto"/>
              <w:right w:val="single" w:sz="4" w:space="0" w:color="auto"/>
            </w:tcBorders>
            <w:shd w:val="clear" w:color="auto" w:fill="auto"/>
            <w:vAlign w:val="center"/>
            <w:hideMark/>
          </w:tcPr>
          <w:p w14:paraId="1E7D7A4A" w14:textId="77777777" w:rsidR="007272B9" w:rsidRPr="00206792" w:rsidRDefault="007272B9" w:rsidP="00076336">
            <w:pPr>
              <w:pStyle w:val="ListParagraph"/>
              <w:numPr>
                <w:ilvl w:val="0"/>
                <w:numId w:val="13"/>
              </w:numPr>
              <w:spacing w:after="0" w:line="240" w:lineRule="auto"/>
              <w:ind w:left="309"/>
              <w:rPr>
                <w:color w:val="000000"/>
              </w:rPr>
            </w:pPr>
            <w:r w:rsidRPr="00206792">
              <w:rPr>
                <w:color w:val="000000"/>
              </w:rPr>
              <w:t>The establishment of a pilot site for IRT implementation</w:t>
            </w:r>
          </w:p>
        </w:tc>
      </w:tr>
      <w:tr w:rsidR="007272B9" w:rsidRPr="00206792" w14:paraId="3910D129" w14:textId="77777777" w:rsidTr="003B6148">
        <w:trPr>
          <w:trHeight w:val="20"/>
        </w:trPr>
        <w:tc>
          <w:tcPr>
            <w:tcW w:w="4677" w:type="dxa"/>
            <w:tcBorders>
              <w:top w:val="nil"/>
              <w:left w:val="single" w:sz="4" w:space="0" w:color="auto"/>
              <w:bottom w:val="single" w:sz="4" w:space="0" w:color="auto"/>
              <w:right w:val="single" w:sz="4" w:space="0" w:color="auto"/>
            </w:tcBorders>
            <w:shd w:val="clear" w:color="auto" w:fill="auto"/>
            <w:vAlign w:val="center"/>
            <w:hideMark/>
          </w:tcPr>
          <w:p w14:paraId="17684388" w14:textId="77777777" w:rsidR="007272B9" w:rsidRPr="00206792" w:rsidRDefault="007272B9" w:rsidP="00076336">
            <w:pPr>
              <w:pStyle w:val="ListParagraph"/>
              <w:numPr>
                <w:ilvl w:val="0"/>
                <w:numId w:val="12"/>
              </w:numPr>
              <w:spacing w:after="0" w:line="240" w:lineRule="auto"/>
              <w:ind w:left="360"/>
              <w:rPr>
                <w:color w:val="000000"/>
              </w:rPr>
            </w:pPr>
            <w:r w:rsidRPr="00206792">
              <w:rPr>
                <w:color w:val="000000"/>
              </w:rPr>
              <w:t xml:space="preserve">Provide training to VR (and any other partners) on (name activity focus like career pathways, </w:t>
            </w:r>
            <w:r w:rsidRPr="00C46BD4">
              <w:rPr>
                <w:i/>
                <w:iCs/>
                <w:color w:val="000000"/>
              </w:rPr>
              <w:t>apprenticeships</w:t>
            </w:r>
            <w:r w:rsidRPr="00206792">
              <w:rPr>
                <w:color w:val="000000"/>
              </w:rPr>
              <w:t>, IRTs, etc.)</w:t>
            </w:r>
            <w:r>
              <w:rPr>
                <w:color w:val="000000"/>
              </w:rPr>
              <w:t>*</w:t>
            </w:r>
          </w:p>
        </w:tc>
        <w:tc>
          <w:tcPr>
            <w:tcW w:w="4678" w:type="dxa"/>
            <w:tcBorders>
              <w:top w:val="nil"/>
              <w:left w:val="nil"/>
              <w:bottom w:val="single" w:sz="4" w:space="0" w:color="auto"/>
              <w:right w:val="single" w:sz="4" w:space="0" w:color="auto"/>
            </w:tcBorders>
            <w:shd w:val="clear" w:color="auto" w:fill="auto"/>
            <w:vAlign w:val="center"/>
            <w:hideMark/>
          </w:tcPr>
          <w:p w14:paraId="15F37D0B" w14:textId="77777777" w:rsidR="007272B9" w:rsidRPr="00206792" w:rsidRDefault="007272B9" w:rsidP="00076336">
            <w:pPr>
              <w:pStyle w:val="ListParagraph"/>
              <w:numPr>
                <w:ilvl w:val="0"/>
                <w:numId w:val="13"/>
              </w:numPr>
              <w:spacing w:after="0" w:line="240" w:lineRule="auto"/>
              <w:ind w:left="309"/>
              <w:rPr>
                <w:color w:val="000000"/>
              </w:rPr>
            </w:pPr>
            <w:r w:rsidRPr="00206792">
              <w:rPr>
                <w:color w:val="000000"/>
              </w:rPr>
              <w:t>The number of individuals that complete the training by agency and the content delivered</w:t>
            </w:r>
          </w:p>
        </w:tc>
      </w:tr>
      <w:tr w:rsidR="007272B9" w:rsidRPr="00206792" w14:paraId="0797F7B6" w14:textId="77777777" w:rsidTr="003B6148">
        <w:trPr>
          <w:trHeight w:val="20"/>
        </w:trPr>
        <w:tc>
          <w:tcPr>
            <w:tcW w:w="4677" w:type="dxa"/>
            <w:tcBorders>
              <w:top w:val="nil"/>
              <w:left w:val="single" w:sz="4" w:space="0" w:color="auto"/>
              <w:bottom w:val="single" w:sz="4" w:space="0" w:color="auto"/>
              <w:right w:val="single" w:sz="4" w:space="0" w:color="auto"/>
            </w:tcBorders>
            <w:shd w:val="clear" w:color="auto" w:fill="auto"/>
            <w:vAlign w:val="center"/>
            <w:hideMark/>
          </w:tcPr>
          <w:p w14:paraId="5534D448" w14:textId="77777777" w:rsidR="007272B9" w:rsidRPr="00206792" w:rsidRDefault="007272B9" w:rsidP="00076336">
            <w:pPr>
              <w:pStyle w:val="ListParagraph"/>
              <w:numPr>
                <w:ilvl w:val="0"/>
                <w:numId w:val="12"/>
              </w:numPr>
              <w:spacing w:after="0" w:line="240" w:lineRule="auto"/>
              <w:ind w:left="360"/>
              <w:rPr>
                <w:color w:val="000000"/>
              </w:rPr>
            </w:pPr>
            <w:r w:rsidRPr="00206792">
              <w:rPr>
                <w:color w:val="000000"/>
              </w:rPr>
              <w:t xml:space="preserve">Assist VR and other core and required partners to develop MOUs, Cost-sharing agreements, data sharing agreements, IFAs and local MOUs with Boards as needed. </w:t>
            </w:r>
          </w:p>
        </w:tc>
        <w:tc>
          <w:tcPr>
            <w:tcW w:w="4678" w:type="dxa"/>
            <w:tcBorders>
              <w:top w:val="nil"/>
              <w:left w:val="nil"/>
              <w:bottom w:val="single" w:sz="4" w:space="0" w:color="auto"/>
              <w:right w:val="single" w:sz="4" w:space="0" w:color="auto"/>
            </w:tcBorders>
            <w:shd w:val="clear" w:color="auto" w:fill="auto"/>
            <w:vAlign w:val="center"/>
            <w:hideMark/>
          </w:tcPr>
          <w:p w14:paraId="66C0A572" w14:textId="77777777" w:rsidR="007272B9" w:rsidRPr="00206792" w:rsidRDefault="007272B9" w:rsidP="00076336">
            <w:pPr>
              <w:pStyle w:val="ListParagraph"/>
              <w:numPr>
                <w:ilvl w:val="0"/>
                <w:numId w:val="13"/>
              </w:numPr>
              <w:spacing w:after="0" w:line="240" w:lineRule="auto"/>
              <w:ind w:left="309"/>
              <w:rPr>
                <w:color w:val="000000"/>
              </w:rPr>
            </w:pPr>
            <w:r w:rsidRPr="00206792">
              <w:rPr>
                <w:color w:val="000000"/>
              </w:rPr>
              <w:t>A draft agreement or MOU</w:t>
            </w:r>
          </w:p>
        </w:tc>
      </w:tr>
      <w:tr w:rsidR="007272B9" w:rsidRPr="00206792" w14:paraId="3485BD69" w14:textId="77777777" w:rsidTr="003B6148">
        <w:trPr>
          <w:trHeight w:val="20"/>
        </w:trPr>
        <w:tc>
          <w:tcPr>
            <w:tcW w:w="9355" w:type="dxa"/>
            <w:gridSpan w:val="2"/>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tcPr>
          <w:p w14:paraId="6C06A6CE" w14:textId="77777777" w:rsidR="007272B9" w:rsidRPr="00206792" w:rsidRDefault="007272B9" w:rsidP="003B6148">
            <w:pPr>
              <w:spacing w:after="0" w:line="240" w:lineRule="auto"/>
              <w:jc w:val="center"/>
              <w:rPr>
                <w:b/>
                <w:color w:val="000000"/>
              </w:rPr>
            </w:pPr>
            <w:r w:rsidRPr="00206792">
              <w:rPr>
                <w:b/>
                <w:color w:val="000000"/>
              </w:rPr>
              <w:t>Short-Term Outcomes</w:t>
            </w:r>
          </w:p>
          <w:p w14:paraId="563A14AF" w14:textId="77777777" w:rsidR="007272B9" w:rsidRPr="00206792" w:rsidRDefault="007272B9" w:rsidP="00076336">
            <w:pPr>
              <w:pStyle w:val="ListParagraph"/>
              <w:numPr>
                <w:ilvl w:val="0"/>
                <w:numId w:val="9"/>
              </w:numPr>
              <w:spacing w:after="0" w:line="240" w:lineRule="auto"/>
              <w:rPr>
                <w:color w:val="000000"/>
              </w:rPr>
            </w:pPr>
            <w:r w:rsidRPr="00206792">
              <w:rPr>
                <w:color w:val="000000"/>
              </w:rPr>
              <w:lastRenderedPageBreak/>
              <w:t>There will be an increase of at least one level on the Integration Continuum Scale for VR in relation to at least one of the core partners per year until the integration level is achieved, at which point it will remain in subsequent years.</w:t>
            </w:r>
          </w:p>
          <w:p w14:paraId="0D38747D" w14:textId="77777777" w:rsidR="007272B9" w:rsidRPr="00206792" w:rsidRDefault="007272B9" w:rsidP="00076336">
            <w:pPr>
              <w:pStyle w:val="ListParagraph"/>
              <w:numPr>
                <w:ilvl w:val="0"/>
                <w:numId w:val="9"/>
              </w:numPr>
              <w:spacing w:after="0" w:line="240" w:lineRule="auto"/>
              <w:rPr>
                <w:color w:val="000000"/>
              </w:rPr>
            </w:pPr>
            <w:r w:rsidRPr="00206792">
              <w:rPr>
                <w:color w:val="000000"/>
              </w:rPr>
              <w:t>An increase of at least (x number) of events or other demonstrations of collaborative partnerships between VR and the core partners per year.</w:t>
            </w:r>
          </w:p>
          <w:p w14:paraId="49D99D00" w14:textId="77777777" w:rsidR="007272B9" w:rsidRPr="00206792" w:rsidRDefault="007272B9" w:rsidP="00076336">
            <w:pPr>
              <w:pStyle w:val="ListParagraph"/>
              <w:numPr>
                <w:ilvl w:val="0"/>
                <w:numId w:val="9"/>
              </w:numPr>
              <w:spacing w:after="0" w:line="240" w:lineRule="auto"/>
              <w:rPr>
                <w:color w:val="000000"/>
              </w:rPr>
            </w:pPr>
            <w:r w:rsidRPr="00206792">
              <w:rPr>
                <w:color w:val="000000"/>
              </w:rPr>
              <w:t>There will be an increase of at least (x percent) in co-enrollment of VR consumers with at least one core partner program per year.</w:t>
            </w:r>
          </w:p>
          <w:p w14:paraId="3C68EEAE" w14:textId="77777777" w:rsidR="007272B9" w:rsidRPr="00206792" w:rsidRDefault="007272B9" w:rsidP="00076336">
            <w:pPr>
              <w:pStyle w:val="ListParagraph"/>
              <w:numPr>
                <w:ilvl w:val="0"/>
                <w:numId w:val="9"/>
              </w:numPr>
              <w:spacing w:after="0" w:line="240" w:lineRule="auto"/>
              <w:rPr>
                <w:color w:val="000000"/>
              </w:rPr>
            </w:pPr>
            <w:r w:rsidRPr="00206792">
              <w:rPr>
                <w:color w:val="000000"/>
              </w:rPr>
              <w:t>There will be an increase of (x percent or number) in the number of VR consumers that obtain employment through accessing the services of the AJC per year</w:t>
            </w:r>
          </w:p>
          <w:p w14:paraId="20994F59" w14:textId="77777777" w:rsidR="007272B9" w:rsidRPr="00206792" w:rsidRDefault="007272B9" w:rsidP="00076336">
            <w:pPr>
              <w:pStyle w:val="ListParagraph"/>
              <w:numPr>
                <w:ilvl w:val="0"/>
                <w:numId w:val="9"/>
              </w:numPr>
              <w:spacing w:after="0" w:line="240" w:lineRule="auto"/>
              <w:rPr>
                <w:color w:val="000000"/>
              </w:rPr>
            </w:pPr>
            <w:r w:rsidRPr="00206792">
              <w:rPr>
                <w:color w:val="000000"/>
              </w:rPr>
              <w:t>The number of consumers that utilize the career pathway model in pursuit of their education and employment goals will increase by at least (x percent) per year</w:t>
            </w:r>
          </w:p>
        </w:tc>
      </w:tr>
    </w:tbl>
    <w:p w14:paraId="09C021D7" w14:textId="77777777" w:rsidR="007272B9" w:rsidRDefault="007272B9" w:rsidP="007272B9"/>
    <w:p w14:paraId="2ADEED87" w14:textId="77777777" w:rsidR="007272B9" w:rsidRPr="00483E39" w:rsidRDefault="007272B9" w:rsidP="007272B9">
      <w:pPr>
        <w:rPr>
          <w:i/>
          <w:iCs/>
        </w:rPr>
      </w:pPr>
      <w:r w:rsidRPr="00483E39">
        <w:rPr>
          <w:i/>
          <w:iCs/>
        </w:rPr>
        <w:t>*Items in italics referencing apprenticeships were initiated under this topic area, but are now being reported separately and are presented in their own chapter.</w:t>
      </w:r>
    </w:p>
    <w:p w14:paraId="454B2544" w14:textId="77777777" w:rsidR="007272B9" w:rsidRDefault="007272B9" w:rsidP="007272B9"/>
    <w:p w14:paraId="6EE177A5" w14:textId="77777777" w:rsidR="007272B9" w:rsidRDefault="007272B9" w:rsidP="007272B9">
      <w:r>
        <w:br w:type="page"/>
      </w:r>
    </w:p>
    <w:p w14:paraId="5AB7DBE4" w14:textId="77777777" w:rsidR="007272B9" w:rsidRDefault="007272B9" w:rsidP="00BA0D82">
      <w:pPr>
        <w:pStyle w:val="Heading2"/>
        <w:numPr>
          <w:ilvl w:val="0"/>
          <w:numId w:val="0"/>
        </w:numPr>
      </w:pPr>
      <w:bookmarkStart w:id="51" w:name="_Toc27904591"/>
      <w:bookmarkStart w:id="52" w:name="_Toc28011428"/>
      <w:r>
        <w:lastRenderedPageBreak/>
        <w:t>INTEGRATION: ACTIVITIES &amp; OUTPUTS</w:t>
      </w:r>
      <w:bookmarkEnd w:id="51"/>
      <w:bookmarkEnd w:id="52"/>
    </w:p>
    <w:p w14:paraId="5A7BA9D8" w14:textId="77777777" w:rsidR="007272B9" w:rsidRDefault="007272B9" w:rsidP="00BA0D82">
      <w:pPr>
        <w:pStyle w:val="Heading2"/>
        <w:numPr>
          <w:ilvl w:val="0"/>
          <w:numId w:val="0"/>
        </w:numPr>
      </w:pPr>
      <w:bookmarkStart w:id="53" w:name="_Toc27904592"/>
      <w:bookmarkStart w:id="54" w:name="_Toc28011429"/>
      <w:r>
        <w:t>PROGRESS DASHBOARDS</w:t>
      </w:r>
      <w:bookmarkEnd w:id="53"/>
      <w:bookmarkEnd w:id="54"/>
    </w:p>
    <w:p w14:paraId="552FB283" w14:textId="77777777" w:rsidR="007272B9" w:rsidRDefault="007272B9" w:rsidP="007272B9">
      <w:pPr>
        <w:spacing w:line="240" w:lineRule="auto"/>
      </w:pPr>
    </w:p>
    <w:p w14:paraId="21E02CC6" w14:textId="77777777" w:rsidR="007272B9" w:rsidRDefault="007272B9" w:rsidP="007272B9">
      <w:r>
        <w:rPr>
          <w:noProof/>
          <w:lang w:eastAsia="ko-KR"/>
        </w:rPr>
        <w:drawing>
          <wp:inline distT="0" distB="0" distL="0" distR="0" wp14:anchorId="31608895" wp14:editId="5F647945">
            <wp:extent cx="6858000" cy="2583815"/>
            <wp:effectExtent l="0" t="0" r="0" b="6985"/>
            <wp:docPr id="61" name="Chart 61" descr="progress  workforce integration activities.&#10;39% completed, 5% 75% completed, 6% 50% completed, 26% 25% completed, and 24% not started">
              <a:extLst xmlns:a="http://schemas.openxmlformats.org/drawingml/2006/main">
                <a:ext uri="{FF2B5EF4-FFF2-40B4-BE49-F238E27FC236}">
                  <a16:creationId xmlns:a16="http://schemas.microsoft.com/office/drawing/2014/main" id="{2C23F966-962B-472C-8385-C5A596D42E4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7"/>
              </a:graphicData>
            </a:graphic>
          </wp:inline>
        </w:drawing>
      </w:r>
    </w:p>
    <w:p w14:paraId="1DD89AED" w14:textId="77777777" w:rsidR="00A637E1" w:rsidRDefault="00A637E1" w:rsidP="00A637E1">
      <w:pPr>
        <w:ind w:firstLine="720"/>
      </w:pPr>
      <w:r>
        <w:t>This progress chart shows nearly half of activities complete or more than 75% complete (44%), a quarter of activities 25% complete, and another quarter not yet started.  Below “temperature” charts show progress by activity, with output completion rates shown side-by-side.  Two thermometers appear missing – #7 and #8 – but these have been removed as they covered activities related to apprenticeship, which is covered by the final chapter as it has now been elevated to its own topic area.</w:t>
      </w:r>
    </w:p>
    <w:p w14:paraId="302271F6" w14:textId="77777777" w:rsidR="007272B9" w:rsidRDefault="007272B9" w:rsidP="007272B9"/>
    <w:p w14:paraId="347AAF87" w14:textId="77777777" w:rsidR="007272B9" w:rsidRDefault="007272B9" w:rsidP="007272B9">
      <w:pPr>
        <w:sectPr w:rsidR="007272B9" w:rsidSect="00D27D05">
          <w:pgSz w:w="12240" w:h="15840"/>
          <w:pgMar w:top="720" w:right="720" w:bottom="720" w:left="720" w:header="720" w:footer="720" w:gutter="0"/>
          <w:pgBorders w:offsetFrom="page">
            <w:top w:val="thinThickSmallGap" w:sz="24" w:space="24" w:color="2F5496" w:themeColor="accent1" w:themeShade="BF"/>
            <w:left w:val="thinThickSmallGap" w:sz="24" w:space="24" w:color="2F5496" w:themeColor="accent1" w:themeShade="BF"/>
            <w:bottom w:val="thickThinSmallGap" w:sz="24" w:space="24" w:color="2F5496" w:themeColor="accent1" w:themeShade="BF"/>
            <w:right w:val="thickThinSmallGap" w:sz="24" w:space="24" w:color="2F5496" w:themeColor="accent1" w:themeShade="BF"/>
          </w:pgBorders>
          <w:cols w:space="720"/>
          <w:docGrid w:linePitch="381"/>
        </w:sectPr>
      </w:pPr>
    </w:p>
    <w:p w14:paraId="61AC9A9E" w14:textId="77777777" w:rsidR="007272B9" w:rsidRDefault="007272B9" w:rsidP="007272B9">
      <w:r>
        <w:rPr>
          <w:noProof/>
          <w:lang w:eastAsia="ko-KR"/>
        </w:rPr>
        <w:lastRenderedPageBreak/>
        <w:drawing>
          <wp:inline distT="0" distB="0" distL="0" distR="0" wp14:anchorId="2C8D2E4D" wp14:editId="1DB568E7">
            <wp:extent cx="2791842" cy="5145242"/>
            <wp:effectExtent l="0" t="0" r="8890" b="17780"/>
            <wp:docPr id="62" name="Chart 62" descr="Worforce integration chart showinh 50% completed activities,25% completed 50%, 25% not started">
              <a:extLst xmlns:a="http://schemas.openxmlformats.org/drawingml/2006/main">
                <a:ext uri="{FF2B5EF4-FFF2-40B4-BE49-F238E27FC236}">
                  <a16:creationId xmlns:a16="http://schemas.microsoft.com/office/drawing/2014/main" id="{B8F303A0-719F-4C33-BE4B-2127C93B1B19}"/>
                </a:ex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8"/>
              </a:graphicData>
            </a:graphic>
          </wp:inline>
        </w:drawing>
      </w:r>
    </w:p>
    <w:p w14:paraId="35B491AA" w14:textId="77777777" w:rsidR="007272B9" w:rsidRPr="00F23CBD" w:rsidRDefault="007272B9" w:rsidP="007272B9">
      <w:pPr>
        <w:rPr>
          <w:rFonts w:cstheme="minorHAnsi"/>
        </w:rPr>
      </w:pPr>
      <w:r w:rsidRPr="00F23CBD">
        <w:rPr>
          <w:rFonts w:cstheme="minorHAnsi"/>
          <w:b/>
          <w:bCs/>
        </w:rPr>
        <w:t>Activity 1:</w:t>
      </w:r>
      <w:r w:rsidRPr="00F23CBD">
        <w:rPr>
          <w:rFonts w:cstheme="minorHAnsi"/>
        </w:rPr>
        <w:t xml:space="preserve"> Assist agency to analyze readiness and capacity to increase integration with the workforce development system.</w:t>
      </w:r>
      <w:r w:rsidRPr="00F23CBD">
        <w:rPr>
          <w:rFonts w:cstheme="minorHAnsi"/>
        </w:rPr>
        <w:tab/>
      </w:r>
    </w:p>
    <w:p w14:paraId="6B4500AB" w14:textId="77777777" w:rsidR="007272B9" w:rsidRPr="00F23CBD" w:rsidRDefault="007272B9" w:rsidP="007272B9">
      <w:pPr>
        <w:rPr>
          <w:rFonts w:cstheme="minorHAnsi"/>
        </w:rPr>
      </w:pPr>
      <w:r w:rsidRPr="00F23CBD">
        <w:rPr>
          <w:rFonts w:cstheme="minorHAnsi"/>
          <w:b/>
          <w:bCs/>
        </w:rPr>
        <w:t>Output A:</w:t>
      </w:r>
      <w:r w:rsidRPr="00F23CBD">
        <w:rPr>
          <w:rFonts w:cstheme="minorHAnsi"/>
        </w:rPr>
        <w:t xml:space="preserve"> A completed readiness and capacity assessment documenting implementation and role challenges and opportunities.</w:t>
      </w:r>
    </w:p>
    <w:p w14:paraId="51379F20" w14:textId="77777777" w:rsidR="007272B9" w:rsidRPr="00F23CBD" w:rsidRDefault="007272B9" w:rsidP="007272B9">
      <w:pPr>
        <w:rPr>
          <w:rFonts w:cstheme="minorHAnsi"/>
        </w:rPr>
      </w:pPr>
      <w:r w:rsidRPr="00F23CBD">
        <w:rPr>
          <w:rFonts w:cstheme="minorHAnsi"/>
          <w:noProof/>
          <w:lang w:eastAsia="ko-KR"/>
        </w:rPr>
        <w:drawing>
          <wp:inline distT="0" distB="0" distL="0" distR="0" wp14:anchorId="1489EBCA" wp14:editId="7EA466F2">
            <wp:extent cx="2791842" cy="5145242"/>
            <wp:effectExtent l="0" t="0" r="8890" b="17780"/>
            <wp:docPr id="63" name="Chart 63" descr="Integration activity 2 chart">
              <a:extLst xmlns:a="http://schemas.openxmlformats.org/drawingml/2006/main">
                <a:ext uri="{FF2B5EF4-FFF2-40B4-BE49-F238E27FC236}">
                  <a16:creationId xmlns:a16="http://schemas.microsoft.com/office/drawing/2014/main" id="{17CD983D-2A16-4EA2-9A54-802E4F967373}"/>
                </a:ex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9"/>
              </a:graphicData>
            </a:graphic>
          </wp:inline>
        </w:drawing>
      </w:r>
    </w:p>
    <w:p w14:paraId="5DE063F8" w14:textId="77777777" w:rsidR="007272B9" w:rsidRPr="00F23CBD" w:rsidRDefault="007272B9" w:rsidP="007272B9">
      <w:pPr>
        <w:rPr>
          <w:rFonts w:cstheme="minorHAnsi"/>
        </w:rPr>
      </w:pPr>
      <w:r w:rsidRPr="00F23CBD">
        <w:rPr>
          <w:rFonts w:cstheme="minorHAnsi"/>
          <w:b/>
          <w:bCs/>
        </w:rPr>
        <w:t>Activity 2:</w:t>
      </w:r>
      <w:r w:rsidRPr="00F23CBD">
        <w:rPr>
          <w:rFonts w:cstheme="minorHAnsi"/>
        </w:rPr>
        <w:t xml:space="preserve"> Assist agency in completing WIOA “Are You Ready for Integration?” checklist.</w:t>
      </w:r>
      <w:r w:rsidRPr="00F23CBD">
        <w:rPr>
          <w:rFonts w:cstheme="minorHAnsi"/>
        </w:rPr>
        <w:tab/>
      </w:r>
    </w:p>
    <w:p w14:paraId="0467F6AA" w14:textId="77777777" w:rsidR="007272B9" w:rsidRPr="00F23CBD" w:rsidRDefault="007272B9" w:rsidP="007272B9">
      <w:pPr>
        <w:rPr>
          <w:rFonts w:cstheme="minorHAnsi"/>
        </w:rPr>
      </w:pPr>
      <w:r w:rsidRPr="00F23CBD">
        <w:rPr>
          <w:rFonts w:cstheme="minorHAnsi"/>
          <w:b/>
          <w:bCs/>
        </w:rPr>
        <w:t>Output B:</w:t>
      </w:r>
      <w:r w:rsidRPr="00F23CBD">
        <w:rPr>
          <w:rFonts w:cstheme="minorHAnsi"/>
        </w:rPr>
        <w:t xml:space="preserve"> Completed Checklist.</w:t>
      </w:r>
    </w:p>
    <w:p w14:paraId="236E9BDF" w14:textId="77777777" w:rsidR="007272B9" w:rsidRPr="00F23CBD" w:rsidRDefault="007272B9" w:rsidP="007272B9">
      <w:pPr>
        <w:rPr>
          <w:rFonts w:cstheme="minorHAnsi"/>
        </w:rPr>
      </w:pPr>
      <w:r w:rsidRPr="00F23CBD">
        <w:rPr>
          <w:rFonts w:cstheme="minorHAnsi"/>
          <w:noProof/>
          <w:lang w:eastAsia="ko-KR"/>
        </w:rPr>
        <w:lastRenderedPageBreak/>
        <w:drawing>
          <wp:inline distT="0" distB="0" distL="0" distR="0" wp14:anchorId="212ED26F" wp14:editId="61245418">
            <wp:extent cx="2791842" cy="5145242"/>
            <wp:effectExtent l="0" t="0" r="8890" b="17780"/>
            <wp:docPr id="96" name="Chart 96" descr="Integration activity 3 chart">
              <a:extLst xmlns:a="http://schemas.openxmlformats.org/drawingml/2006/main">
                <a:ext uri="{FF2B5EF4-FFF2-40B4-BE49-F238E27FC236}">
                  <a16:creationId xmlns:a16="http://schemas.microsoft.com/office/drawing/2014/main" id="{DEEE76CE-DDBD-4CDC-A4FE-AB8DB1954F59}"/>
                </a:ex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0"/>
              </a:graphicData>
            </a:graphic>
          </wp:inline>
        </w:drawing>
      </w:r>
    </w:p>
    <w:p w14:paraId="655E71C2" w14:textId="77777777" w:rsidR="007272B9" w:rsidRPr="00F23CBD" w:rsidRDefault="007272B9" w:rsidP="007272B9">
      <w:pPr>
        <w:rPr>
          <w:rFonts w:cstheme="minorHAnsi"/>
        </w:rPr>
      </w:pPr>
      <w:r w:rsidRPr="00F23CBD">
        <w:rPr>
          <w:rFonts w:cstheme="minorHAnsi"/>
          <w:b/>
          <w:bCs/>
        </w:rPr>
        <w:t>Activity 3:</w:t>
      </w:r>
      <w:r w:rsidRPr="00F23CBD">
        <w:rPr>
          <w:rFonts w:cstheme="minorHAnsi"/>
        </w:rPr>
        <w:t xml:space="preserve"> Assist agency in individual agency self-assessments regarding level of workforce system integration.</w:t>
      </w:r>
      <w:r w:rsidRPr="00F23CBD">
        <w:rPr>
          <w:rFonts w:cstheme="minorHAnsi"/>
        </w:rPr>
        <w:tab/>
      </w:r>
    </w:p>
    <w:p w14:paraId="733EFEB5" w14:textId="77777777" w:rsidR="007272B9" w:rsidRPr="00F23CBD" w:rsidRDefault="007272B9" w:rsidP="007272B9">
      <w:pPr>
        <w:rPr>
          <w:rFonts w:cstheme="minorHAnsi"/>
        </w:rPr>
      </w:pPr>
      <w:r w:rsidRPr="00F23CBD">
        <w:rPr>
          <w:rFonts w:cstheme="minorHAnsi"/>
          <w:b/>
          <w:bCs/>
        </w:rPr>
        <w:t>Output C:</w:t>
      </w:r>
      <w:r w:rsidRPr="00F23CBD">
        <w:rPr>
          <w:rFonts w:cstheme="minorHAnsi"/>
        </w:rPr>
        <w:t xml:space="preserve"> Self-assessments conducted, baseline level of integration determined. Integration Continuum Report Provided.</w:t>
      </w:r>
    </w:p>
    <w:p w14:paraId="52BE60C9" w14:textId="77777777" w:rsidR="007272B9" w:rsidRPr="00F23CBD" w:rsidRDefault="007272B9" w:rsidP="007272B9">
      <w:pPr>
        <w:rPr>
          <w:rFonts w:cstheme="minorHAnsi"/>
        </w:rPr>
      </w:pPr>
      <w:r w:rsidRPr="00F23CBD">
        <w:rPr>
          <w:rFonts w:cstheme="minorHAnsi"/>
          <w:noProof/>
          <w:lang w:eastAsia="ko-KR"/>
        </w:rPr>
        <w:drawing>
          <wp:inline distT="0" distB="0" distL="0" distR="0" wp14:anchorId="1F044D34" wp14:editId="7EA36BAE">
            <wp:extent cx="2791842" cy="5145242"/>
            <wp:effectExtent l="0" t="0" r="8890" b="17780"/>
            <wp:docPr id="97" name="Chart 97" descr="Integration activity 4 chart">
              <a:extLst xmlns:a="http://schemas.openxmlformats.org/drawingml/2006/main">
                <a:ext uri="{FF2B5EF4-FFF2-40B4-BE49-F238E27FC236}">
                  <a16:creationId xmlns:a16="http://schemas.microsoft.com/office/drawing/2014/main" id="{ACCFB688-7EFB-44B4-B995-8960C39318DD}"/>
                </a:ex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1"/>
              </a:graphicData>
            </a:graphic>
          </wp:inline>
        </w:drawing>
      </w:r>
    </w:p>
    <w:p w14:paraId="6C93E2BF" w14:textId="77777777" w:rsidR="007272B9" w:rsidRPr="00F23CBD" w:rsidRDefault="007272B9" w:rsidP="007272B9">
      <w:pPr>
        <w:rPr>
          <w:rFonts w:cstheme="minorHAnsi"/>
        </w:rPr>
      </w:pPr>
      <w:r w:rsidRPr="00F23CBD">
        <w:rPr>
          <w:rFonts w:cstheme="minorHAnsi"/>
          <w:b/>
          <w:bCs/>
        </w:rPr>
        <w:t>Activity 4:</w:t>
      </w:r>
      <w:r w:rsidRPr="00F23CBD">
        <w:rPr>
          <w:rFonts w:cstheme="minorHAnsi"/>
        </w:rPr>
        <w:t xml:space="preserve"> Assist agency and partner programs with a system-wide self-assessment regarding level of workforce system integration.</w:t>
      </w:r>
    </w:p>
    <w:p w14:paraId="006EB087" w14:textId="77777777" w:rsidR="007272B9" w:rsidRPr="00F23CBD" w:rsidRDefault="007272B9" w:rsidP="007272B9">
      <w:pPr>
        <w:rPr>
          <w:rFonts w:cstheme="minorHAnsi"/>
        </w:rPr>
      </w:pPr>
      <w:r w:rsidRPr="00F23CBD">
        <w:rPr>
          <w:rFonts w:cstheme="minorHAnsi"/>
          <w:b/>
          <w:bCs/>
        </w:rPr>
        <w:t>Output D:</w:t>
      </w:r>
      <w:r w:rsidRPr="00F23CBD">
        <w:rPr>
          <w:rFonts w:cstheme="minorHAnsi"/>
        </w:rPr>
        <w:t xml:space="preserve"> Report on Assessment and Priorities. Initial Action Plan with collaborative process developed.</w:t>
      </w:r>
    </w:p>
    <w:p w14:paraId="3176D754" w14:textId="77777777" w:rsidR="007272B9" w:rsidRPr="00F23CBD" w:rsidRDefault="007272B9" w:rsidP="007272B9">
      <w:pPr>
        <w:rPr>
          <w:rFonts w:cstheme="minorHAnsi"/>
        </w:rPr>
      </w:pPr>
      <w:r w:rsidRPr="00F23CBD">
        <w:rPr>
          <w:rFonts w:cstheme="minorHAnsi"/>
          <w:noProof/>
          <w:lang w:eastAsia="ko-KR"/>
        </w:rPr>
        <w:lastRenderedPageBreak/>
        <w:drawing>
          <wp:inline distT="0" distB="0" distL="0" distR="0" wp14:anchorId="7917E4AF" wp14:editId="5FE4D6D5">
            <wp:extent cx="2791842" cy="5145242"/>
            <wp:effectExtent l="0" t="0" r="8890" b="17780"/>
            <wp:docPr id="98" name="Chart 98" descr="Integration activity 5 chart">
              <a:extLst xmlns:a="http://schemas.openxmlformats.org/drawingml/2006/main">
                <a:ext uri="{FF2B5EF4-FFF2-40B4-BE49-F238E27FC236}">
                  <a16:creationId xmlns:a16="http://schemas.microsoft.com/office/drawing/2014/main" id="{2D351BFA-E539-4470-A75B-D0102C36B64C}"/>
                </a:ex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2"/>
              </a:graphicData>
            </a:graphic>
          </wp:inline>
        </w:drawing>
      </w:r>
    </w:p>
    <w:p w14:paraId="372F7268" w14:textId="77777777" w:rsidR="007272B9" w:rsidRPr="00F23CBD" w:rsidRDefault="007272B9" w:rsidP="007272B9">
      <w:pPr>
        <w:rPr>
          <w:rFonts w:cstheme="minorHAnsi"/>
        </w:rPr>
      </w:pPr>
      <w:r w:rsidRPr="003039F3">
        <w:rPr>
          <w:rFonts w:cstheme="minorHAnsi"/>
          <w:b/>
          <w:bCs/>
        </w:rPr>
        <w:t>Activity 5:</w:t>
      </w:r>
      <w:r w:rsidRPr="00F23CBD">
        <w:rPr>
          <w:rFonts w:cstheme="minorHAnsi"/>
        </w:rPr>
        <w:t xml:space="preserve"> Assist the agency in assessing its current utilization of career pathways in the IPE development process and the resources needed to increase the use of career pathways in future planning with consumers.</w:t>
      </w:r>
    </w:p>
    <w:p w14:paraId="3244CA4C" w14:textId="77777777" w:rsidR="007272B9" w:rsidRPr="00F23CBD" w:rsidRDefault="007272B9" w:rsidP="007272B9">
      <w:pPr>
        <w:rPr>
          <w:rFonts w:cstheme="minorHAnsi"/>
        </w:rPr>
      </w:pPr>
      <w:r w:rsidRPr="003039F3">
        <w:rPr>
          <w:rFonts w:cstheme="minorHAnsi"/>
          <w:b/>
          <w:bCs/>
        </w:rPr>
        <w:t>Output E:</w:t>
      </w:r>
      <w:r w:rsidRPr="00F23CBD">
        <w:rPr>
          <w:rFonts w:cstheme="minorHAnsi"/>
        </w:rPr>
        <w:t xml:space="preserve"> A completed assessment with tools and resources provided to agency staff.</w:t>
      </w:r>
    </w:p>
    <w:p w14:paraId="1411A4EC" w14:textId="77777777" w:rsidR="007272B9" w:rsidRPr="00F23CBD" w:rsidRDefault="007272B9" w:rsidP="007272B9">
      <w:pPr>
        <w:rPr>
          <w:rFonts w:cstheme="minorHAnsi"/>
        </w:rPr>
      </w:pPr>
      <w:r w:rsidRPr="00F23CBD">
        <w:rPr>
          <w:rFonts w:cstheme="minorHAnsi"/>
          <w:noProof/>
          <w:lang w:eastAsia="ko-KR"/>
        </w:rPr>
        <w:drawing>
          <wp:inline distT="0" distB="0" distL="0" distR="0" wp14:anchorId="1DBA16C3" wp14:editId="7BDB7840">
            <wp:extent cx="2791842" cy="5145242"/>
            <wp:effectExtent l="0" t="0" r="8890" b="17780"/>
            <wp:docPr id="99" name="Chart 99" descr="Integration activity 6 chart">
              <a:extLst xmlns:a="http://schemas.openxmlformats.org/drawingml/2006/main">
                <a:ext uri="{FF2B5EF4-FFF2-40B4-BE49-F238E27FC236}">
                  <a16:creationId xmlns:a16="http://schemas.microsoft.com/office/drawing/2014/main" id="{7502192E-19D9-4924-8835-2B999DB0D86E}"/>
                </a:ex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3"/>
              </a:graphicData>
            </a:graphic>
          </wp:inline>
        </w:drawing>
      </w:r>
    </w:p>
    <w:p w14:paraId="03F0A703" w14:textId="77777777" w:rsidR="007272B9" w:rsidRPr="00F23CBD" w:rsidRDefault="007272B9" w:rsidP="007272B9">
      <w:pPr>
        <w:rPr>
          <w:rFonts w:cstheme="minorHAnsi"/>
        </w:rPr>
      </w:pPr>
      <w:r w:rsidRPr="003039F3">
        <w:rPr>
          <w:rFonts w:cstheme="minorHAnsi"/>
          <w:b/>
          <w:bCs/>
        </w:rPr>
        <w:t>Activity 6:</w:t>
      </w:r>
      <w:r w:rsidRPr="00F23CBD">
        <w:rPr>
          <w:rFonts w:cstheme="minorHAnsi"/>
        </w:rPr>
        <w:t xml:space="preserve"> Assist in the development of new or revised policies and procedures that will increase the use of career pathways in the vocational planning and service delivery process for VR consumers.</w:t>
      </w:r>
    </w:p>
    <w:p w14:paraId="4243D72F" w14:textId="77777777" w:rsidR="007272B9" w:rsidRPr="00F23CBD" w:rsidRDefault="007272B9" w:rsidP="007272B9">
      <w:pPr>
        <w:rPr>
          <w:rFonts w:cstheme="minorHAnsi"/>
        </w:rPr>
      </w:pPr>
      <w:r w:rsidRPr="003039F3">
        <w:rPr>
          <w:rFonts w:cstheme="minorHAnsi"/>
          <w:b/>
          <w:bCs/>
        </w:rPr>
        <w:t>Output F:</w:t>
      </w:r>
      <w:r w:rsidRPr="00F23CBD">
        <w:rPr>
          <w:rFonts w:cstheme="minorHAnsi"/>
        </w:rPr>
        <w:t xml:space="preserve"> Draft of new and/or revised policies and procedures related to career pathways.</w:t>
      </w:r>
    </w:p>
    <w:p w14:paraId="3FA30FA6" w14:textId="77777777" w:rsidR="007272B9" w:rsidRPr="00F23CBD" w:rsidRDefault="007272B9" w:rsidP="007272B9">
      <w:pPr>
        <w:rPr>
          <w:rFonts w:cstheme="minorHAnsi"/>
        </w:rPr>
      </w:pPr>
      <w:r w:rsidRPr="00F23CBD">
        <w:rPr>
          <w:rFonts w:cstheme="minorHAnsi"/>
          <w:noProof/>
          <w:lang w:eastAsia="ko-KR"/>
        </w:rPr>
        <w:lastRenderedPageBreak/>
        <w:drawing>
          <wp:inline distT="0" distB="0" distL="0" distR="0" wp14:anchorId="56CBCA8D" wp14:editId="04A9F0D1">
            <wp:extent cx="2791842" cy="5145242"/>
            <wp:effectExtent l="0" t="0" r="8890" b="17780"/>
            <wp:docPr id="100" name="Chart 100" descr="Integration activity 9 chart">
              <a:extLst xmlns:a="http://schemas.openxmlformats.org/drawingml/2006/main">
                <a:ext uri="{FF2B5EF4-FFF2-40B4-BE49-F238E27FC236}">
                  <a16:creationId xmlns:a16="http://schemas.microsoft.com/office/drawing/2014/main" id="{CF14A21E-A5EF-4794-B9B7-FB5856433160}"/>
                </a:ex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4"/>
              </a:graphicData>
            </a:graphic>
          </wp:inline>
        </w:drawing>
      </w:r>
    </w:p>
    <w:p w14:paraId="6D9C2A85" w14:textId="77777777" w:rsidR="007272B9" w:rsidRPr="00F23CBD" w:rsidRDefault="007272B9" w:rsidP="007272B9">
      <w:pPr>
        <w:rPr>
          <w:rFonts w:cstheme="minorHAnsi"/>
        </w:rPr>
      </w:pPr>
      <w:r w:rsidRPr="003039F3">
        <w:rPr>
          <w:rFonts w:cstheme="minorHAnsi"/>
          <w:b/>
          <w:bCs/>
        </w:rPr>
        <w:t>Activity 9:</w:t>
      </w:r>
      <w:r w:rsidRPr="00F23CBD">
        <w:rPr>
          <w:rFonts w:cstheme="minorHAnsi"/>
        </w:rPr>
        <w:t xml:space="preserve"> Assess the capacity of the VR agency and core partners to utilize Integrated Resource Teams to serve individuals with disabilities in the AJCs.</w:t>
      </w:r>
    </w:p>
    <w:p w14:paraId="1B181AA4" w14:textId="77777777" w:rsidR="007272B9" w:rsidRPr="00F23CBD" w:rsidRDefault="007272B9" w:rsidP="007272B9">
      <w:pPr>
        <w:rPr>
          <w:rFonts w:cstheme="minorHAnsi"/>
        </w:rPr>
      </w:pPr>
      <w:r w:rsidRPr="003039F3">
        <w:rPr>
          <w:rFonts w:cstheme="minorHAnsi"/>
          <w:b/>
          <w:bCs/>
        </w:rPr>
        <w:t>Output I:</w:t>
      </w:r>
      <w:r w:rsidRPr="00F23CBD">
        <w:rPr>
          <w:rFonts w:cstheme="minorHAnsi"/>
        </w:rPr>
        <w:t xml:space="preserve"> A completed assessment identifying challenges to utilizing IRTs and recommendations on how to implement IRTs.</w:t>
      </w:r>
    </w:p>
    <w:p w14:paraId="06C2D5D5" w14:textId="77777777" w:rsidR="007272B9" w:rsidRPr="00F23CBD" w:rsidRDefault="007272B9" w:rsidP="007272B9">
      <w:pPr>
        <w:rPr>
          <w:rFonts w:cstheme="minorHAnsi"/>
        </w:rPr>
      </w:pPr>
      <w:r w:rsidRPr="00F23CBD">
        <w:rPr>
          <w:rFonts w:cstheme="minorHAnsi"/>
          <w:noProof/>
          <w:lang w:eastAsia="ko-KR"/>
        </w:rPr>
        <w:drawing>
          <wp:inline distT="0" distB="0" distL="0" distR="0" wp14:anchorId="55117AD9" wp14:editId="703F199A">
            <wp:extent cx="2791842" cy="5145242"/>
            <wp:effectExtent l="0" t="0" r="8890" b="17780"/>
            <wp:docPr id="101" name="Chart 101" descr="Integration activity 10 chart">
              <a:extLst xmlns:a="http://schemas.openxmlformats.org/drawingml/2006/main">
                <a:ext uri="{FF2B5EF4-FFF2-40B4-BE49-F238E27FC236}">
                  <a16:creationId xmlns:a16="http://schemas.microsoft.com/office/drawing/2014/main" id="{19CAD8E1-1B9C-4D2E-9C06-643FA9B64F28}"/>
                </a:ex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5"/>
              </a:graphicData>
            </a:graphic>
          </wp:inline>
        </w:drawing>
      </w:r>
    </w:p>
    <w:p w14:paraId="7B91EE18" w14:textId="77777777" w:rsidR="007272B9" w:rsidRPr="00F23CBD" w:rsidRDefault="007272B9" w:rsidP="007272B9">
      <w:pPr>
        <w:rPr>
          <w:rFonts w:cstheme="minorHAnsi"/>
        </w:rPr>
      </w:pPr>
      <w:r w:rsidRPr="003039F3">
        <w:rPr>
          <w:rFonts w:cstheme="minorHAnsi"/>
          <w:b/>
          <w:bCs/>
        </w:rPr>
        <w:t>Activity 10:</w:t>
      </w:r>
      <w:r w:rsidRPr="00F23CBD">
        <w:rPr>
          <w:rFonts w:cstheme="minorHAnsi"/>
        </w:rPr>
        <w:t xml:space="preserve"> Assist the VR program and core WDS partners to develop a pilot site that will utilize IRTs to serve individuals with disabilities in the AJC.</w:t>
      </w:r>
    </w:p>
    <w:p w14:paraId="286804E2" w14:textId="77777777" w:rsidR="007272B9" w:rsidRPr="00F23CBD" w:rsidRDefault="007272B9" w:rsidP="007272B9">
      <w:pPr>
        <w:rPr>
          <w:rFonts w:cstheme="minorHAnsi"/>
        </w:rPr>
      </w:pPr>
      <w:r w:rsidRPr="003039F3">
        <w:rPr>
          <w:rFonts w:cstheme="minorHAnsi"/>
          <w:b/>
          <w:bCs/>
        </w:rPr>
        <w:t>Output J:</w:t>
      </w:r>
      <w:r w:rsidRPr="00F23CBD">
        <w:rPr>
          <w:rFonts w:cstheme="minorHAnsi"/>
        </w:rPr>
        <w:t xml:space="preserve"> The establishment of a pilot site for IRT implementation.</w:t>
      </w:r>
    </w:p>
    <w:p w14:paraId="399016D0" w14:textId="77777777" w:rsidR="007272B9" w:rsidRPr="00F23CBD" w:rsidRDefault="007272B9" w:rsidP="007272B9">
      <w:pPr>
        <w:rPr>
          <w:rFonts w:cstheme="minorHAnsi"/>
        </w:rPr>
      </w:pPr>
      <w:r w:rsidRPr="00F23CBD">
        <w:rPr>
          <w:rFonts w:cstheme="minorHAnsi"/>
          <w:noProof/>
          <w:lang w:eastAsia="ko-KR"/>
        </w:rPr>
        <w:lastRenderedPageBreak/>
        <w:drawing>
          <wp:inline distT="0" distB="0" distL="0" distR="0" wp14:anchorId="7290B7EA" wp14:editId="1F6B0684">
            <wp:extent cx="2791842" cy="5145242"/>
            <wp:effectExtent l="0" t="0" r="8890" b="17780"/>
            <wp:docPr id="102" name="Chart 102" descr="Integration activity 11 chart">
              <a:extLst xmlns:a="http://schemas.openxmlformats.org/drawingml/2006/main">
                <a:ext uri="{FF2B5EF4-FFF2-40B4-BE49-F238E27FC236}">
                  <a16:creationId xmlns:a16="http://schemas.microsoft.com/office/drawing/2014/main" id="{301E06A2-34E0-4515-B50D-E02203FA6238}"/>
                </a:ex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6"/>
              </a:graphicData>
            </a:graphic>
          </wp:inline>
        </w:drawing>
      </w:r>
    </w:p>
    <w:p w14:paraId="67C7F2B1" w14:textId="77777777" w:rsidR="007272B9" w:rsidRPr="00F23CBD" w:rsidRDefault="007272B9" w:rsidP="007272B9">
      <w:pPr>
        <w:rPr>
          <w:rFonts w:cstheme="minorHAnsi"/>
        </w:rPr>
      </w:pPr>
      <w:r w:rsidRPr="003039F3">
        <w:rPr>
          <w:rFonts w:cstheme="minorHAnsi"/>
          <w:b/>
          <w:bCs/>
        </w:rPr>
        <w:t>Activity 11:</w:t>
      </w:r>
      <w:r w:rsidRPr="00F23CBD">
        <w:rPr>
          <w:rFonts w:cstheme="minorHAnsi"/>
        </w:rPr>
        <w:t xml:space="preserve"> Provide training to VR (and any other partners) on (name activity focus like career pathways, apprenticeships, IRTs, etc.).</w:t>
      </w:r>
    </w:p>
    <w:p w14:paraId="7CB654ED" w14:textId="77777777" w:rsidR="007272B9" w:rsidRPr="00F23CBD" w:rsidRDefault="007272B9" w:rsidP="007272B9">
      <w:pPr>
        <w:rPr>
          <w:rFonts w:cstheme="minorHAnsi"/>
        </w:rPr>
      </w:pPr>
      <w:r w:rsidRPr="003039F3">
        <w:rPr>
          <w:rFonts w:cstheme="minorHAnsi"/>
          <w:b/>
          <w:bCs/>
        </w:rPr>
        <w:t>Output K:</w:t>
      </w:r>
      <w:r w:rsidRPr="00F23CBD">
        <w:rPr>
          <w:rFonts w:cstheme="minorHAnsi"/>
        </w:rPr>
        <w:t xml:space="preserve"> The number of individuals that complete the training by agency and the content delivered.</w:t>
      </w:r>
    </w:p>
    <w:p w14:paraId="79E50620" w14:textId="77777777" w:rsidR="007272B9" w:rsidRPr="00F23CBD" w:rsidRDefault="007272B9" w:rsidP="007272B9">
      <w:pPr>
        <w:rPr>
          <w:rFonts w:cstheme="minorHAnsi"/>
        </w:rPr>
      </w:pPr>
      <w:r w:rsidRPr="00F23CBD">
        <w:rPr>
          <w:rFonts w:cstheme="minorHAnsi"/>
          <w:noProof/>
          <w:lang w:eastAsia="ko-KR"/>
        </w:rPr>
        <w:drawing>
          <wp:inline distT="0" distB="0" distL="0" distR="0" wp14:anchorId="7155EABD" wp14:editId="5B61E246">
            <wp:extent cx="2791842" cy="5145242"/>
            <wp:effectExtent l="0" t="0" r="8890" b="17780"/>
            <wp:docPr id="103" name="Chart 103" descr="Integration activity 12 chart">
              <a:extLst xmlns:a="http://schemas.openxmlformats.org/drawingml/2006/main">
                <a:ext uri="{FF2B5EF4-FFF2-40B4-BE49-F238E27FC236}">
                  <a16:creationId xmlns:a16="http://schemas.microsoft.com/office/drawing/2014/main" id="{928AF2C0-0401-4BC2-AD67-26054CD05923}"/>
                </a:ex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7"/>
              </a:graphicData>
            </a:graphic>
          </wp:inline>
        </w:drawing>
      </w:r>
    </w:p>
    <w:p w14:paraId="6228E78B" w14:textId="77777777" w:rsidR="007272B9" w:rsidRPr="00F23CBD" w:rsidRDefault="007272B9" w:rsidP="007272B9">
      <w:pPr>
        <w:rPr>
          <w:rFonts w:cstheme="minorHAnsi"/>
        </w:rPr>
      </w:pPr>
      <w:r w:rsidRPr="003039F3">
        <w:rPr>
          <w:rFonts w:cstheme="minorHAnsi"/>
          <w:b/>
          <w:bCs/>
        </w:rPr>
        <w:t>Activity 12:</w:t>
      </w:r>
      <w:r w:rsidRPr="00F23CBD">
        <w:rPr>
          <w:rFonts w:cstheme="minorHAnsi"/>
        </w:rPr>
        <w:t xml:space="preserve"> Assist VR and other core and required partners to develop MOUs, Cost-sharing agreements, data sharing agreements, IFAs and local MOUs with Boards as needed. </w:t>
      </w:r>
      <w:r w:rsidRPr="00F23CBD">
        <w:rPr>
          <w:rFonts w:cstheme="minorHAnsi"/>
        </w:rPr>
        <w:tab/>
      </w:r>
    </w:p>
    <w:p w14:paraId="5647AB51" w14:textId="77777777" w:rsidR="007272B9" w:rsidRPr="00D436A2" w:rsidRDefault="007272B9" w:rsidP="007272B9">
      <w:pPr>
        <w:rPr>
          <w:rFonts w:cstheme="minorHAnsi"/>
        </w:rPr>
      </w:pPr>
      <w:r w:rsidRPr="003039F3">
        <w:rPr>
          <w:rFonts w:cstheme="minorHAnsi"/>
          <w:b/>
          <w:bCs/>
        </w:rPr>
        <w:t>Output L:</w:t>
      </w:r>
      <w:r w:rsidRPr="00F23CBD">
        <w:rPr>
          <w:rFonts w:cstheme="minorHAnsi"/>
        </w:rPr>
        <w:t xml:space="preserve"> A draft agreement or MOU.</w:t>
      </w:r>
    </w:p>
    <w:p w14:paraId="16842AE1" w14:textId="77777777" w:rsidR="007272B9" w:rsidRDefault="007272B9" w:rsidP="007272B9">
      <w:r>
        <w:rPr>
          <w:noProof/>
          <w:lang w:eastAsia="ko-KR"/>
        </w:rPr>
        <w:lastRenderedPageBreak/>
        <w:drawing>
          <wp:inline distT="0" distB="0" distL="0" distR="0" wp14:anchorId="1A2C2446" wp14:editId="064A6719">
            <wp:extent cx="2791842" cy="5145242"/>
            <wp:effectExtent l="0" t="0" r="8890" b="17780"/>
            <wp:docPr id="104" name="Chart 104" descr="Integration activity unique chart">
              <a:extLst xmlns:a="http://schemas.openxmlformats.org/drawingml/2006/main">
                <a:ext uri="{FF2B5EF4-FFF2-40B4-BE49-F238E27FC236}">
                  <a16:creationId xmlns:a16="http://schemas.microsoft.com/office/drawing/2014/main" id="{2D857B1D-37D8-476B-99C2-437B69FAC600}"/>
                </a:ex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8"/>
              </a:graphicData>
            </a:graphic>
          </wp:inline>
        </w:drawing>
      </w:r>
    </w:p>
    <w:p w14:paraId="676DB528" w14:textId="77777777" w:rsidR="007272B9" w:rsidRPr="003039F3" w:rsidRDefault="007272B9" w:rsidP="007272B9">
      <w:pPr>
        <w:rPr>
          <w:rFonts w:cstheme="minorHAnsi"/>
        </w:rPr>
      </w:pPr>
      <w:r w:rsidRPr="003039F3">
        <w:rPr>
          <w:rFonts w:cstheme="minorHAnsi"/>
          <w:b/>
          <w:bCs/>
        </w:rPr>
        <w:t>Activity Unique:</w:t>
      </w:r>
      <w:r w:rsidRPr="003039F3">
        <w:rPr>
          <w:rFonts w:cstheme="minorHAnsi"/>
        </w:rPr>
        <w:t xml:space="preserve"> Assist </w:t>
      </w:r>
      <w:r>
        <w:rPr>
          <w:rFonts w:cstheme="minorHAnsi"/>
        </w:rPr>
        <w:t>states with</w:t>
      </w:r>
      <w:r w:rsidRPr="003039F3">
        <w:rPr>
          <w:rFonts w:cstheme="minorHAnsi"/>
        </w:rPr>
        <w:t xml:space="preserve"> collaborative business services</w:t>
      </w:r>
      <w:r>
        <w:rPr>
          <w:rFonts w:cstheme="minorHAnsi"/>
        </w:rPr>
        <w:t xml:space="preserve">, implement </w:t>
      </w:r>
      <w:r w:rsidRPr="003039F3">
        <w:rPr>
          <w:rFonts w:cstheme="minorHAnsi"/>
        </w:rPr>
        <w:t>Order of Selection</w:t>
      </w:r>
      <w:r>
        <w:rPr>
          <w:rFonts w:cstheme="minorHAnsi"/>
        </w:rPr>
        <w:t xml:space="preserve"> (OOS)</w:t>
      </w:r>
      <w:r w:rsidRPr="003039F3">
        <w:rPr>
          <w:rFonts w:cstheme="minorHAnsi"/>
        </w:rPr>
        <w:t>, develop MOUs and revis</w:t>
      </w:r>
      <w:r>
        <w:rPr>
          <w:rFonts w:cstheme="minorHAnsi"/>
        </w:rPr>
        <w:t>e</w:t>
      </w:r>
      <w:r w:rsidRPr="003039F3">
        <w:rPr>
          <w:rFonts w:cstheme="minorHAnsi"/>
        </w:rPr>
        <w:t xml:space="preserve"> policies and procedures as needed</w:t>
      </w:r>
      <w:r>
        <w:rPr>
          <w:rFonts w:cstheme="minorHAnsi"/>
        </w:rPr>
        <w:t xml:space="preserve"> related to OOS.</w:t>
      </w:r>
    </w:p>
    <w:p w14:paraId="76CB9AF1" w14:textId="77777777" w:rsidR="007272B9" w:rsidRDefault="007272B9" w:rsidP="007272B9">
      <w:pPr>
        <w:rPr>
          <w:rFonts w:cstheme="minorHAnsi"/>
        </w:rPr>
      </w:pPr>
      <w:r w:rsidRPr="003039F3">
        <w:rPr>
          <w:rFonts w:cstheme="minorHAnsi"/>
          <w:b/>
          <w:bCs/>
        </w:rPr>
        <w:t>Output</w:t>
      </w:r>
      <w:r>
        <w:rPr>
          <w:rFonts w:cstheme="minorHAnsi"/>
          <w:b/>
          <w:bCs/>
        </w:rPr>
        <w:t>s</w:t>
      </w:r>
      <w:r w:rsidRPr="003039F3">
        <w:rPr>
          <w:rFonts w:cstheme="minorHAnsi"/>
          <w:b/>
          <w:bCs/>
        </w:rPr>
        <w:t xml:space="preserve"> Unique:</w:t>
      </w:r>
      <w:r>
        <w:rPr>
          <w:rFonts w:cstheme="minorHAnsi"/>
        </w:rPr>
        <w:t xml:space="preserve"> </w:t>
      </w:r>
      <w:r w:rsidRPr="003039F3">
        <w:rPr>
          <w:rFonts w:cstheme="minorHAnsi"/>
        </w:rPr>
        <w:t>Strateg</w:t>
      </w:r>
      <w:r>
        <w:rPr>
          <w:rFonts w:cstheme="minorHAnsi"/>
        </w:rPr>
        <w:t>ies</w:t>
      </w:r>
      <w:r w:rsidRPr="003039F3">
        <w:rPr>
          <w:rFonts w:cstheme="minorHAnsi"/>
        </w:rPr>
        <w:t xml:space="preserve"> for collaboration</w:t>
      </w:r>
      <w:r>
        <w:rPr>
          <w:rFonts w:cstheme="minorHAnsi"/>
        </w:rPr>
        <w:t xml:space="preserve">, </w:t>
      </w:r>
      <w:r w:rsidRPr="003039F3">
        <w:rPr>
          <w:rFonts w:cstheme="minorHAnsi"/>
        </w:rPr>
        <w:t>Completed plan for OOS implementation.</w:t>
      </w:r>
    </w:p>
    <w:p w14:paraId="7C040077" w14:textId="77777777" w:rsidR="007272B9" w:rsidRDefault="007272B9" w:rsidP="007272B9">
      <w:pPr>
        <w:rPr>
          <w:rFonts w:cstheme="minorHAnsi"/>
        </w:rPr>
      </w:pPr>
    </w:p>
    <w:p w14:paraId="4092CB3E" w14:textId="77777777" w:rsidR="007272B9" w:rsidRDefault="007272B9" w:rsidP="007272B9">
      <w:pPr>
        <w:rPr>
          <w:rFonts w:cstheme="minorHAnsi"/>
        </w:rPr>
      </w:pPr>
    </w:p>
    <w:p w14:paraId="5A8BE6A8" w14:textId="77777777" w:rsidR="007272B9" w:rsidRDefault="007272B9" w:rsidP="007272B9">
      <w:pPr>
        <w:rPr>
          <w:rFonts w:cstheme="minorHAnsi"/>
        </w:rPr>
      </w:pPr>
    </w:p>
    <w:p w14:paraId="441CB2C4" w14:textId="77777777" w:rsidR="007272B9" w:rsidRDefault="007272B9" w:rsidP="007272B9">
      <w:pPr>
        <w:rPr>
          <w:rFonts w:cstheme="minorHAnsi"/>
        </w:rPr>
      </w:pPr>
    </w:p>
    <w:p w14:paraId="1C02ED16" w14:textId="77777777" w:rsidR="007272B9" w:rsidRDefault="007272B9" w:rsidP="007272B9">
      <w:pPr>
        <w:rPr>
          <w:rFonts w:cstheme="minorHAnsi"/>
        </w:rPr>
      </w:pPr>
    </w:p>
    <w:p w14:paraId="374E1D57" w14:textId="77777777" w:rsidR="007272B9" w:rsidRDefault="007272B9" w:rsidP="007272B9">
      <w:pPr>
        <w:rPr>
          <w:rFonts w:cstheme="minorHAnsi"/>
        </w:rPr>
      </w:pPr>
    </w:p>
    <w:p w14:paraId="4AC85CDC" w14:textId="77777777" w:rsidR="007272B9" w:rsidRDefault="007272B9" w:rsidP="007272B9">
      <w:pPr>
        <w:rPr>
          <w:rFonts w:cstheme="minorHAnsi"/>
        </w:rPr>
      </w:pPr>
    </w:p>
    <w:p w14:paraId="039F3DFD" w14:textId="77777777" w:rsidR="007272B9" w:rsidRDefault="007272B9" w:rsidP="007272B9">
      <w:pPr>
        <w:rPr>
          <w:rFonts w:cstheme="minorHAnsi"/>
        </w:rPr>
      </w:pPr>
    </w:p>
    <w:p w14:paraId="0F19D321" w14:textId="77777777" w:rsidR="007272B9" w:rsidRDefault="007272B9" w:rsidP="007272B9">
      <w:pPr>
        <w:rPr>
          <w:rFonts w:cstheme="minorHAnsi"/>
        </w:rPr>
        <w:sectPr w:rsidR="007272B9" w:rsidSect="00D27D05">
          <w:pgSz w:w="12240" w:h="15840"/>
          <w:pgMar w:top="720" w:right="720" w:bottom="720" w:left="720" w:header="720" w:footer="720" w:gutter="0"/>
          <w:pgBorders w:offsetFrom="page">
            <w:top w:val="thinThickSmallGap" w:sz="24" w:space="24" w:color="2F5496" w:themeColor="accent1" w:themeShade="BF"/>
            <w:left w:val="thinThickSmallGap" w:sz="24" w:space="24" w:color="2F5496" w:themeColor="accent1" w:themeShade="BF"/>
            <w:bottom w:val="thickThinSmallGap" w:sz="24" w:space="24" w:color="2F5496" w:themeColor="accent1" w:themeShade="BF"/>
            <w:right w:val="thickThinSmallGap" w:sz="24" w:space="24" w:color="2F5496" w:themeColor="accent1" w:themeShade="BF"/>
          </w:pgBorders>
          <w:cols w:num="2" w:space="720"/>
          <w:docGrid w:linePitch="381"/>
        </w:sectPr>
      </w:pPr>
    </w:p>
    <w:p w14:paraId="6CC53FA6" w14:textId="77777777" w:rsidR="007272B9" w:rsidRDefault="007272B9" w:rsidP="00BA0D82">
      <w:pPr>
        <w:pStyle w:val="Heading2"/>
        <w:numPr>
          <w:ilvl w:val="0"/>
          <w:numId w:val="0"/>
        </w:numPr>
      </w:pPr>
      <w:bookmarkStart w:id="55" w:name="_Toc27904593"/>
      <w:bookmarkStart w:id="56" w:name="_Toc28011430"/>
      <w:r>
        <w:lastRenderedPageBreak/>
        <w:t>WORKFORCE INTEGRATION: OUTCOMES</w:t>
      </w:r>
      <w:bookmarkEnd w:id="55"/>
      <w:bookmarkEnd w:id="56"/>
    </w:p>
    <w:p w14:paraId="6627B904" w14:textId="77777777" w:rsidR="007272B9" w:rsidRDefault="007272B9" w:rsidP="00BA0D82">
      <w:pPr>
        <w:pStyle w:val="Heading2"/>
        <w:numPr>
          <w:ilvl w:val="0"/>
          <w:numId w:val="0"/>
        </w:numPr>
      </w:pPr>
      <w:bookmarkStart w:id="57" w:name="_Toc27904594"/>
      <w:bookmarkStart w:id="58" w:name="_Toc28011431"/>
      <w:r>
        <w:t>PROGRESS DASHBOARDS</w:t>
      </w:r>
      <w:bookmarkEnd w:id="57"/>
      <w:bookmarkEnd w:id="58"/>
    </w:p>
    <w:p w14:paraId="1CF1B615" w14:textId="08225FB6" w:rsidR="007272B9" w:rsidRDefault="007272B9" w:rsidP="007272B9">
      <w:pPr>
        <w:spacing w:line="240" w:lineRule="auto"/>
        <w:jc w:val="center"/>
      </w:pPr>
      <w:r>
        <w:rPr>
          <w:noProof/>
          <w:lang w:eastAsia="ko-KR"/>
        </w:rPr>
        <w:drawing>
          <wp:inline distT="0" distB="0" distL="0" distR="0" wp14:anchorId="6773365A" wp14:editId="49F8F968">
            <wp:extent cx="5021151" cy="2910177"/>
            <wp:effectExtent l="0" t="0" r="8255" b="5080"/>
            <wp:docPr id="34" name="Picture 34" descr="Speedometer Graphic (Excel Pie Chart) showing completion rate of outcomes for Workforce Integration Area:&#10;&#10;Ninety percent of activities have not begun; &#10;Three percent of activities are 25% complete;&#10;Three percent of activities are complete.&#10;Average overall outcomes progress is 4%"/>
            <wp:cNvGraphicFramePr/>
            <a:graphic xmlns:a="http://schemas.openxmlformats.org/drawingml/2006/main">
              <a:graphicData uri="http://schemas.openxmlformats.org/drawingml/2006/picture">
                <pic:pic xmlns:pic="http://schemas.openxmlformats.org/drawingml/2006/picture">
                  <pic:nvPicPr>
                    <pic:cNvPr id="34" name="Picture 34"/>
                    <pic:cNvPicPr/>
                  </pic:nvPicPr>
                  <pic:blipFill rotWithShape="1">
                    <a:blip r:embed="rId229">
                      <a:extLst>
                        <a:ext uri="{28A0092B-C50C-407E-A947-70E740481C1C}">
                          <a14:useLocalDpi xmlns:a14="http://schemas.microsoft.com/office/drawing/2010/main" val="0"/>
                        </a:ext>
                      </a:extLst>
                    </a:blip>
                    <a:srcRect l="22003" t="1580" r="21251" b="39728"/>
                    <a:stretch/>
                  </pic:blipFill>
                  <pic:spPr bwMode="auto">
                    <a:xfrm>
                      <a:off x="0" y="0"/>
                      <a:ext cx="5047115" cy="2925225"/>
                    </a:xfrm>
                    <a:prstGeom prst="rect">
                      <a:avLst/>
                    </a:prstGeom>
                    <a:noFill/>
                    <a:ln>
                      <a:noFill/>
                    </a:ln>
                    <a:extLst>
                      <a:ext uri="{53640926-AAD7-44D8-BBD7-CCE9431645EC}">
                        <a14:shadowObscured xmlns:a14="http://schemas.microsoft.com/office/drawing/2010/main"/>
                      </a:ext>
                    </a:extLst>
                  </pic:spPr>
                </pic:pic>
              </a:graphicData>
            </a:graphic>
          </wp:inline>
        </w:drawing>
      </w:r>
    </w:p>
    <w:p w14:paraId="29BE8D4E" w14:textId="0E3FA80E" w:rsidR="00A637E1" w:rsidRDefault="00A637E1" w:rsidP="00A637E1">
      <w:pPr>
        <w:spacing w:line="240" w:lineRule="auto"/>
        <w:ind w:firstLine="720"/>
      </w:pPr>
      <w:r>
        <w:t>Outcomes for Workforce Integration are largely reported as not started (90%), with only three percent of activities showing complete.  Nevertheless, clear tracking of concrete outcome measures has begun and below represents a current “snapshot” of those outcomes.</w:t>
      </w:r>
    </w:p>
    <w:p w14:paraId="7FE2FF1E" w14:textId="77777777" w:rsidR="007272B9" w:rsidRPr="00A0082A" w:rsidRDefault="007272B9" w:rsidP="007272B9">
      <w:pPr>
        <w:spacing w:after="0" w:line="240" w:lineRule="auto"/>
        <w:jc w:val="center"/>
        <w:rPr>
          <w:b/>
          <w:bCs/>
          <w:sz w:val="28"/>
          <w:szCs w:val="28"/>
        </w:rPr>
      </w:pPr>
      <w:r w:rsidRPr="00A0082A">
        <w:rPr>
          <w:b/>
          <w:bCs/>
          <w:sz w:val="28"/>
          <w:szCs w:val="28"/>
        </w:rPr>
        <w:t>YEAR 4 OUTCOMES SNAPSHOT</w:t>
      </w:r>
    </w:p>
    <w:tbl>
      <w:tblPr>
        <w:tblStyle w:val="TableGrid"/>
        <w:tblW w:w="0" w:type="auto"/>
        <w:tblBorders>
          <w:top w:val="single" w:sz="18" w:space="0" w:color="auto"/>
          <w:left w:val="single" w:sz="18" w:space="0" w:color="auto"/>
          <w:bottom w:val="single" w:sz="18" w:space="0" w:color="auto"/>
          <w:right w:val="single" w:sz="18" w:space="0" w:color="auto"/>
          <w:insideH w:val="single" w:sz="2" w:space="0" w:color="auto"/>
          <w:insideV w:val="single" w:sz="2" w:space="0" w:color="auto"/>
        </w:tblBorders>
        <w:tblLook w:val="04A0" w:firstRow="1" w:lastRow="0" w:firstColumn="1" w:lastColumn="0" w:noHBand="0" w:noVBand="1"/>
        <w:tblCaption w:val="Year 4 outcomes snapshot"/>
        <w:tblDescription w:val="Year 4 outcomes snapshot"/>
      </w:tblPr>
      <w:tblGrid>
        <w:gridCol w:w="4657"/>
        <w:gridCol w:w="4657"/>
      </w:tblGrid>
      <w:tr w:rsidR="00366D34" w:rsidRPr="00A94AA7" w14:paraId="6F31A09A" w14:textId="77777777" w:rsidTr="00A94AA7">
        <w:trPr>
          <w:tblHeader/>
        </w:trPr>
        <w:tc>
          <w:tcPr>
            <w:tcW w:w="4657" w:type="dxa"/>
            <w:vAlign w:val="bottom"/>
          </w:tcPr>
          <w:p w14:paraId="0581B60B" w14:textId="4D3063E4" w:rsidR="00366D34" w:rsidRPr="00A94AA7" w:rsidRDefault="00366D34" w:rsidP="00A94AA7">
            <w:pPr>
              <w:ind w:firstLine="720"/>
              <w:jc w:val="center"/>
              <w:rPr>
                <w:b/>
                <w:sz w:val="24"/>
                <w:szCs w:val="24"/>
              </w:rPr>
            </w:pPr>
            <w:r w:rsidRPr="00A94AA7">
              <w:rPr>
                <w:b/>
                <w:sz w:val="24"/>
                <w:szCs w:val="24"/>
              </w:rPr>
              <w:t>Outcome Type</w:t>
            </w:r>
          </w:p>
        </w:tc>
        <w:tc>
          <w:tcPr>
            <w:tcW w:w="4657" w:type="dxa"/>
          </w:tcPr>
          <w:p w14:paraId="5C316D0E" w14:textId="75AFF565" w:rsidR="00366D34" w:rsidRPr="00A94AA7" w:rsidRDefault="00366D34" w:rsidP="003B6148">
            <w:pPr>
              <w:jc w:val="center"/>
              <w:rPr>
                <w:b/>
                <w:bCs/>
                <w:iCs/>
                <w:sz w:val="24"/>
                <w:szCs w:val="24"/>
              </w:rPr>
            </w:pPr>
            <w:r w:rsidRPr="00A94AA7">
              <w:rPr>
                <w:b/>
                <w:bCs/>
                <w:iCs/>
                <w:sz w:val="24"/>
                <w:szCs w:val="24"/>
              </w:rPr>
              <w:t>Outcomes</w:t>
            </w:r>
          </w:p>
        </w:tc>
        <w:bookmarkStart w:id="59" w:name="_GoBack"/>
        <w:bookmarkEnd w:id="59"/>
      </w:tr>
      <w:tr w:rsidR="007272B9" w:rsidRPr="00A75C98" w14:paraId="5889BB30" w14:textId="77777777" w:rsidTr="00366D34">
        <w:tc>
          <w:tcPr>
            <w:tcW w:w="4657" w:type="dxa"/>
            <w:vAlign w:val="center"/>
          </w:tcPr>
          <w:p w14:paraId="42622AA5" w14:textId="77777777" w:rsidR="007272B9" w:rsidRPr="00A75C98" w:rsidRDefault="007272B9" w:rsidP="003B6148">
            <w:pPr>
              <w:jc w:val="right"/>
              <w:rPr>
                <w:i/>
                <w:iCs/>
              </w:rPr>
            </w:pPr>
            <w:bookmarkStart w:id="60" w:name="_Hlk27636839"/>
            <w:r w:rsidRPr="00A75C98">
              <w:rPr>
                <w:noProof/>
                <w:lang w:eastAsia="ko-KR"/>
              </w:rPr>
              <w:drawing>
                <wp:inline distT="0" distB="0" distL="0" distR="0" wp14:anchorId="6F84D508" wp14:editId="55ED9455">
                  <wp:extent cx="552261" cy="552261"/>
                  <wp:effectExtent l="0" t="0" r="0" b="635"/>
                  <wp:docPr id="105" name="Graphic 105" descr="Closed bo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closedbook.svg"/>
                          <pic:cNvPicPr/>
                        </pic:nvPicPr>
                        <pic:blipFill>
                          <a:blip r:embed="rId230" cstate="print">
                            <a:extLst>
                              <a:ext uri="{28A0092B-C50C-407E-A947-70E740481C1C}">
                                <a14:useLocalDpi xmlns:a14="http://schemas.microsoft.com/office/drawing/2010/main" val="0"/>
                              </a:ext>
                              <a:ext uri="{96DAC541-7B7A-43D3-8B79-37D633B846F1}">
                                <asvg:svgBlip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svg="http://schemas.microsoft.com/office/drawing/2016/SVG/main" r:embed="rId231"/>
                              </a:ext>
                            </a:extLst>
                          </a:blip>
                          <a:stretch>
                            <a:fillRect/>
                          </a:stretch>
                        </pic:blipFill>
                        <pic:spPr>
                          <a:xfrm>
                            <a:off x="0" y="0"/>
                            <a:ext cx="563214" cy="563214"/>
                          </a:xfrm>
                          <a:prstGeom prst="rect">
                            <a:avLst/>
                          </a:prstGeom>
                        </pic:spPr>
                      </pic:pic>
                    </a:graphicData>
                  </a:graphic>
                </wp:inline>
              </w:drawing>
            </w:r>
            <w:r w:rsidRPr="00A75C98">
              <w:rPr>
                <w:noProof/>
                <w:lang w:eastAsia="ko-KR"/>
              </w:rPr>
              <w:drawing>
                <wp:inline distT="0" distB="0" distL="0" distR="0" wp14:anchorId="1660679C" wp14:editId="0B738046">
                  <wp:extent cx="597529" cy="597529"/>
                  <wp:effectExtent l="0" t="0" r="0" b="0"/>
                  <wp:docPr id="17" name="Graphic 17" descr="Boo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books.svg"/>
                          <pic:cNvPicPr/>
                        </pic:nvPicPr>
                        <pic:blipFill>
                          <a:blip r:embed="rId232" cstate="print">
                            <a:extLst>
                              <a:ext uri="{28A0092B-C50C-407E-A947-70E740481C1C}">
                                <a14:useLocalDpi xmlns:a14="http://schemas.microsoft.com/office/drawing/2010/main" val="0"/>
                              </a:ext>
                              <a:ext uri="{96DAC541-7B7A-43D3-8B79-37D633B846F1}">
                                <asvg:svgBlip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svg="http://schemas.microsoft.com/office/drawing/2016/SVG/main" r:embed="rId233"/>
                              </a:ext>
                            </a:extLst>
                          </a:blip>
                          <a:stretch>
                            <a:fillRect/>
                          </a:stretch>
                        </pic:blipFill>
                        <pic:spPr>
                          <a:xfrm>
                            <a:off x="0" y="0"/>
                            <a:ext cx="601011" cy="601011"/>
                          </a:xfrm>
                          <a:prstGeom prst="rect">
                            <a:avLst/>
                          </a:prstGeom>
                        </pic:spPr>
                      </pic:pic>
                    </a:graphicData>
                  </a:graphic>
                </wp:inline>
              </w:drawing>
            </w:r>
          </w:p>
        </w:tc>
        <w:tc>
          <w:tcPr>
            <w:tcW w:w="4657" w:type="dxa"/>
          </w:tcPr>
          <w:p w14:paraId="4B0AC273" w14:textId="77777777" w:rsidR="007272B9" w:rsidRPr="00630E49" w:rsidRDefault="007272B9" w:rsidP="003B6148">
            <w:pPr>
              <w:jc w:val="center"/>
              <w:rPr>
                <w:b/>
                <w:bCs/>
                <w:i/>
                <w:iCs/>
                <w:sz w:val="28"/>
                <w:szCs w:val="28"/>
                <w:u w:val="single"/>
              </w:rPr>
            </w:pPr>
            <w:r w:rsidRPr="00630E49">
              <w:rPr>
                <w:b/>
                <w:bCs/>
                <w:i/>
                <w:iCs/>
                <w:sz w:val="28"/>
                <w:szCs w:val="28"/>
                <w:u w:val="single"/>
              </w:rPr>
              <w:t>Co-Enrollment</w:t>
            </w:r>
          </w:p>
          <w:p w14:paraId="76D28CB1" w14:textId="77777777" w:rsidR="007272B9" w:rsidRDefault="007272B9" w:rsidP="003B6148">
            <w:pPr>
              <w:jc w:val="center"/>
              <w:rPr>
                <w:i/>
                <w:iCs/>
              </w:rPr>
            </w:pPr>
            <w:r w:rsidRPr="00A75C98">
              <w:rPr>
                <w:i/>
                <w:iCs/>
              </w:rPr>
              <w:t>Reported for 2 States</w:t>
            </w:r>
            <w:r>
              <w:rPr>
                <w:i/>
                <w:iCs/>
              </w:rPr>
              <w:t>:</w:t>
            </w:r>
          </w:p>
          <w:p w14:paraId="066C571E" w14:textId="77777777" w:rsidR="007272B9" w:rsidRPr="00A75C98" w:rsidRDefault="007272B9" w:rsidP="003B6148">
            <w:pPr>
              <w:jc w:val="center"/>
              <w:rPr>
                <w:i/>
                <w:iCs/>
              </w:rPr>
            </w:pPr>
            <w:r w:rsidRPr="00A75C98">
              <w:rPr>
                <w:i/>
                <w:iCs/>
              </w:rPr>
              <w:t>Down from 71% to 3% in one state.</w:t>
            </w:r>
          </w:p>
          <w:p w14:paraId="0556D446" w14:textId="77777777" w:rsidR="007272B9" w:rsidRDefault="007272B9" w:rsidP="003B6148">
            <w:pPr>
              <w:jc w:val="center"/>
              <w:rPr>
                <w:i/>
                <w:iCs/>
              </w:rPr>
            </w:pPr>
            <w:r w:rsidRPr="00A75C98">
              <w:rPr>
                <w:i/>
                <w:iCs/>
              </w:rPr>
              <w:t>Down from 5.3% to 5% in one state.</w:t>
            </w:r>
          </w:p>
          <w:p w14:paraId="6F1A21A5" w14:textId="77777777" w:rsidR="007272B9" w:rsidRPr="00A75C98" w:rsidRDefault="007272B9" w:rsidP="003B6148">
            <w:pPr>
              <w:jc w:val="center"/>
              <w:rPr>
                <w:i/>
                <w:iCs/>
              </w:rPr>
            </w:pPr>
            <w:r>
              <w:rPr>
                <w:i/>
                <w:iCs/>
              </w:rPr>
              <w:t>Up from 7% to 9% in one state.</w:t>
            </w:r>
          </w:p>
        </w:tc>
      </w:tr>
      <w:tr w:rsidR="007272B9" w:rsidRPr="00A75C98" w14:paraId="29CC7509" w14:textId="77777777" w:rsidTr="00366D34">
        <w:tc>
          <w:tcPr>
            <w:tcW w:w="4657" w:type="dxa"/>
            <w:vAlign w:val="center"/>
          </w:tcPr>
          <w:p w14:paraId="36DF1135" w14:textId="77777777" w:rsidR="007272B9" w:rsidRPr="00A75C98" w:rsidRDefault="007272B9" w:rsidP="003B6148">
            <w:pPr>
              <w:jc w:val="right"/>
              <w:rPr>
                <w:noProof/>
              </w:rPr>
            </w:pPr>
            <w:r>
              <w:rPr>
                <w:noProof/>
                <w:lang w:eastAsia="ko-KR"/>
              </w:rPr>
              <w:drawing>
                <wp:inline distT="0" distB="0" distL="0" distR="0" wp14:anchorId="690CC489" wp14:editId="29DCA412">
                  <wp:extent cx="429371" cy="429371"/>
                  <wp:effectExtent l="0" t="0" r="8890" b="0"/>
                  <wp:docPr id="106" name="Graphic 106" descr="Handshak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handshake.svg"/>
                          <pic:cNvPicPr/>
                        </pic:nvPicPr>
                        <pic:blipFill>
                          <a:blip r:embed="rId234" cstate="print">
                            <a:extLst>
                              <a:ext uri="{28A0092B-C50C-407E-A947-70E740481C1C}">
                                <a14:useLocalDpi xmlns:a14="http://schemas.microsoft.com/office/drawing/2010/main" val="0"/>
                              </a:ext>
                              <a:ext uri="{96DAC541-7B7A-43D3-8B79-37D633B846F1}">
                                <asvg:svgBlip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svg="http://schemas.microsoft.com/office/drawing/2016/SVG/main" r:embed="rId235"/>
                              </a:ext>
                            </a:extLst>
                          </a:blip>
                          <a:stretch>
                            <a:fillRect/>
                          </a:stretch>
                        </pic:blipFill>
                        <pic:spPr>
                          <a:xfrm>
                            <a:off x="0" y="0"/>
                            <a:ext cx="441539" cy="441539"/>
                          </a:xfrm>
                          <a:prstGeom prst="rect">
                            <a:avLst/>
                          </a:prstGeom>
                        </pic:spPr>
                      </pic:pic>
                    </a:graphicData>
                  </a:graphic>
                </wp:inline>
              </w:drawing>
            </w:r>
            <w:r>
              <w:rPr>
                <w:noProof/>
                <w:lang w:eastAsia="ko-KR"/>
              </w:rPr>
              <w:drawing>
                <wp:inline distT="0" distB="0" distL="0" distR="0" wp14:anchorId="108F1A63" wp14:editId="5CF40541">
                  <wp:extent cx="461176" cy="461176"/>
                  <wp:effectExtent l="0" t="0" r="0" b="0"/>
                  <wp:docPr id="107" name="Graphic 107" descr="Customer 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customerreview.svg"/>
                          <pic:cNvPicPr/>
                        </pic:nvPicPr>
                        <pic:blipFill>
                          <a:blip r:embed="rId236" cstate="print">
                            <a:extLst>
                              <a:ext uri="{28A0092B-C50C-407E-A947-70E740481C1C}">
                                <a14:useLocalDpi xmlns:a14="http://schemas.microsoft.com/office/drawing/2010/main" val="0"/>
                              </a:ext>
                              <a:ext uri="{96DAC541-7B7A-43D3-8B79-37D633B846F1}">
                                <asvg:svgBlip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svg="http://schemas.microsoft.com/office/drawing/2016/SVG/main" r:embed="rId237"/>
                              </a:ext>
                            </a:extLst>
                          </a:blip>
                          <a:stretch>
                            <a:fillRect/>
                          </a:stretch>
                        </pic:blipFill>
                        <pic:spPr>
                          <a:xfrm>
                            <a:off x="0" y="0"/>
                            <a:ext cx="470916" cy="470916"/>
                          </a:xfrm>
                          <a:prstGeom prst="rect">
                            <a:avLst/>
                          </a:prstGeom>
                        </pic:spPr>
                      </pic:pic>
                    </a:graphicData>
                  </a:graphic>
                </wp:inline>
              </w:drawing>
            </w:r>
          </w:p>
        </w:tc>
        <w:tc>
          <w:tcPr>
            <w:tcW w:w="4657" w:type="dxa"/>
          </w:tcPr>
          <w:p w14:paraId="26A3DFE5" w14:textId="77777777" w:rsidR="007272B9" w:rsidRPr="00630E49" w:rsidRDefault="007272B9" w:rsidP="003B6148">
            <w:pPr>
              <w:jc w:val="center"/>
              <w:rPr>
                <w:b/>
                <w:bCs/>
                <w:i/>
                <w:iCs/>
                <w:sz w:val="28"/>
                <w:szCs w:val="28"/>
                <w:u w:val="single"/>
              </w:rPr>
            </w:pPr>
            <w:r>
              <w:rPr>
                <w:b/>
                <w:bCs/>
                <w:i/>
                <w:iCs/>
                <w:sz w:val="28"/>
                <w:szCs w:val="28"/>
                <w:u w:val="single"/>
              </w:rPr>
              <w:t># of Collaborative Events</w:t>
            </w:r>
          </w:p>
          <w:p w14:paraId="77D10C29" w14:textId="77777777" w:rsidR="007272B9" w:rsidRPr="002B28F3" w:rsidRDefault="007272B9" w:rsidP="003B6148">
            <w:pPr>
              <w:jc w:val="center"/>
            </w:pPr>
            <w:r>
              <w:t>18 in 6 states (3,3,4,4,2,2)</w:t>
            </w:r>
          </w:p>
        </w:tc>
      </w:tr>
      <w:tr w:rsidR="007272B9" w:rsidRPr="00A75C98" w14:paraId="6B4BF11A" w14:textId="77777777" w:rsidTr="00366D34">
        <w:tc>
          <w:tcPr>
            <w:tcW w:w="4657" w:type="dxa"/>
            <w:vAlign w:val="center"/>
          </w:tcPr>
          <w:p w14:paraId="23B2A2BA" w14:textId="77777777" w:rsidR="007272B9" w:rsidRPr="00A75C98" w:rsidRDefault="007272B9" w:rsidP="003B6148">
            <w:pPr>
              <w:jc w:val="right"/>
              <w:rPr>
                <w:noProof/>
              </w:rPr>
            </w:pPr>
            <w:r>
              <w:rPr>
                <w:noProof/>
                <w:lang w:eastAsia="ko-KR"/>
              </w:rPr>
              <w:drawing>
                <wp:inline distT="0" distB="0" distL="0" distR="0" wp14:anchorId="187A7EC9" wp14:editId="2E5E9546">
                  <wp:extent cx="437322" cy="437322"/>
                  <wp:effectExtent l="0" t="0" r="0" b="0"/>
                  <wp:docPr id="26" name="Graphic 26" descr="Firefigh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firefighter.svg"/>
                          <pic:cNvPicPr/>
                        </pic:nvPicPr>
                        <pic:blipFill>
                          <a:blip r:embed="rId238" cstate="print">
                            <a:extLst>
                              <a:ext uri="{28A0092B-C50C-407E-A947-70E740481C1C}">
                                <a14:useLocalDpi xmlns:a14="http://schemas.microsoft.com/office/drawing/2010/main" val="0"/>
                              </a:ext>
                              <a:ext uri="{96DAC541-7B7A-43D3-8B79-37D633B846F1}">
                                <asvg:svgBlip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svg="http://schemas.microsoft.com/office/drawing/2016/SVG/main" r:embed="rId239"/>
                              </a:ext>
                            </a:extLst>
                          </a:blip>
                          <a:stretch>
                            <a:fillRect/>
                          </a:stretch>
                        </pic:blipFill>
                        <pic:spPr>
                          <a:xfrm>
                            <a:off x="0" y="0"/>
                            <a:ext cx="447744" cy="447744"/>
                          </a:xfrm>
                          <a:prstGeom prst="rect">
                            <a:avLst/>
                          </a:prstGeom>
                        </pic:spPr>
                      </pic:pic>
                    </a:graphicData>
                  </a:graphic>
                </wp:inline>
              </w:drawing>
            </w:r>
            <w:r>
              <w:rPr>
                <w:noProof/>
                <w:lang w:eastAsia="ko-KR"/>
              </w:rPr>
              <w:drawing>
                <wp:inline distT="0" distB="0" distL="0" distR="0" wp14:anchorId="7D91775E" wp14:editId="509D424A">
                  <wp:extent cx="461176" cy="461176"/>
                  <wp:effectExtent l="0" t="0" r="0" b="0"/>
                  <wp:docPr id="27" name="Graphic 27" descr="Scient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scientist.svg"/>
                          <pic:cNvPicPr/>
                        </pic:nvPicPr>
                        <pic:blipFill>
                          <a:blip r:embed="rId240" cstate="print">
                            <a:extLst>
                              <a:ext uri="{28A0092B-C50C-407E-A947-70E740481C1C}">
                                <a14:useLocalDpi xmlns:a14="http://schemas.microsoft.com/office/drawing/2010/main" val="0"/>
                              </a:ext>
                              <a:ext uri="{96DAC541-7B7A-43D3-8B79-37D633B846F1}">
                                <asvg:svgBlip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svg="http://schemas.microsoft.com/office/drawing/2016/SVG/main" r:embed="rId241"/>
                              </a:ext>
                            </a:extLst>
                          </a:blip>
                          <a:stretch>
                            <a:fillRect/>
                          </a:stretch>
                        </pic:blipFill>
                        <pic:spPr>
                          <a:xfrm>
                            <a:off x="0" y="0"/>
                            <a:ext cx="473936" cy="473936"/>
                          </a:xfrm>
                          <a:prstGeom prst="rect">
                            <a:avLst/>
                          </a:prstGeom>
                        </pic:spPr>
                      </pic:pic>
                    </a:graphicData>
                  </a:graphic>
                </wp:inline>
              </w:drawing>
            </w:r>
            <w:r>
              <w:rPr>
                <w:noProof/>
                <w:lang w:eastAsia="ko-KR"/>
              </w:rPr>
              <w:drawing>
                <wp:inline distT="0" distB="0" distL="0" distR="0" wp14:anchorId="3C04F583" wp14:editId="254B7A42">
                  <wp:extent cx="453224" cy="453224"/>
                  <wp:effectExtent l="0" t="0" r="0" b="0"/>
                  <wp:docPr id="108" name="Graphic 108" descr="Jud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judge.svg"/>
                          <pic:cNvPicPr/>
                        </pic:nvPicPr>
                        <pic:blipFill>
                          <a:blip r:embed="rId242" cstate="print">
                            <a:extLst>
                              <a:ext uri="{28A0092B-C50C-407E-A947-70E740481C1C}">
                                <a14:useLocalDpi xmlns:a14="http://schemas.microsoft.com/office/drawing/2010/main" val="0"/>
                              </a:ext>
                              <a:ext uri="{96DAC541-7B7A-43D3-8B79-37D633B846F1}">
                                <asvg:svgBlip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svg="http://schemas.microsoft.com/office/drawing/2016/SVG/main" r:embed="rId243"/>
                              </a:ext>
                            </a:extLst>
                          </a:blip>
                          <a:stretch>
                            <a:fillRect/>
                          </a:stretch>
                        </pic:blipFill>
                        <pic:spPr>
                          <a:xfrm>
                            <a:off x="0" y="0"/>
                            <a:ext cx="459955" cy="459955"/>
                          </a:xfrm>
                          <a:prstGeom prst="rect">
                            <a:avLst/>
                          </a:prstGeom>
                        </pic:spPr>
                      </pic:pic>
                    </a:graphicData>
                  </a:graphic>
                </wp:inline>
              </w:drawing>
            </w:r>
            <w:r>
              <w:rPr>
                <w:noProof/>
                <w:lang w:eastAsia="ko-KR"/>
              </w:rPr>
              <w:drawing>
                <wp:inline distT="0" distB="0" distL="0" distR="0" wp14:anchorId="5B9DFD62" wp14:editId="570E7669">
                  <wp:extent cx="429370" cy="429370"/>
                  <wp:effectExtent l="0" t="0" r="0" b="8890"/>
                  <wp:docPr id="109" name="Graphic 109" descr="Electrici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electrician.svg"/>
                          <pic:cNvPicPr/>
                        </pic:nvPicPr>
                        <pic:blipFill>
                          <a:blip r:embed="rId244" cstate="print">
                            <a:extLst>
                              <a:ext uri="{28A0092B-C50C-407E-A947-70E740481C1C}">
                                <a14:useLocalDpi xmlns:a14="http://schemas.microsoft.com/office/drawing/2010/main" val="0"/>
                              </a:ext>
                              <a:ext uri="{96DAC541-7B7A-43D3-8B79-37D633B846F1}">
                                <asvg:svgBlip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svg="http://schemas.microsoft.com/office/drawing/2016/SVG/main" r:embed="rId245"/>
                              </a:ext>
                            </a:extLst>
                          </a:blip>
                          <a:stretch>
                            <a:fillRect/>
                          </a:stretch>
                        </pic:blipFill>
                        <pic:spPr>
                          <a:xfrm>
                            <a:off x="0" y="0"/>
                            <a:ext cx="439586" cy="439586"/>
                          </a:xfrm>
                          <a:prstGeom prst="rect">
                            <a:avLst/>
                          </a:prstGeom>
                        </pic:spPr>
                      </pic:pic>
                    </a:graphicData>
                  </a:graphic>
                </wp:inline>
              </w:drawing>
            </w:r>
            <w:r>
              <w:rPr>
                <w:noProof/>
                <w:lang w:eastAsia="ko-KR"/>
              </w:rPr>
              <w:drawing>
                <wp:inline distT="0" distB="0" distL="0" distR="0" wp14:anchorId="60E183DE" wp14:editId="468CC0CD">
                  <wp:extent cx="516835" cy="516835"/>
                  <wp:effectExtent l="0" t="0" r="0" b="0"/>
                  <wp:docPr id="31" name="Graphic 31" descr="We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welder.svg"/>
                          <pic:cNvPicPr/>
                        </pic:nvPicPr>
                        <pic:blipFill>
                          <a:blip r:embed="rId246" cstate="print">
                            <a:extLst>
                              <a:ext uri="{28A0092B-C50C-407E-A947-70E740481C1C}">
                                <a14:useLocalDpi xmlns:a14="http://schemas.microsoft.com/office/drawing/2010/main" val="0"/>
                              </a:ext>
                              <a:ext uri="{96DAC541-7B7A-43D3-8B79-37D633B846F1}">
                                <asvg:svgBlip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svg="http://schemas.microsoft.com/office/drawing/2016/SVG/main" r:embed="rId247"/>
                              </a:ext>
                            </a:extLst>
                          </a:blip>
                          <a:stretch>
                            <a:fillRect/>
                          </a:stretch>
                        </pic:blipFill>
                        <pic:spPr>
                          <a:xfrm>
                            <a:off x="0" y="0"/>
                            <a:ext cx="524426" cy="524426"/>
                          </a:xfrm>
                          <a:prstGeom prst="rect">
                            <a:avLst/>
                          </a:prstGeom>
                        </pic:spPr>
                      </pic:pic>
                    </a:graphicData>
                  </a:graphic>
                </wp:inline>
              </w:drawing>
            </w:r>
          </w:p>
        </w:tc>
        <w:tc>
          <w:tcPr>
            <w:tcW w:w="4657" w:type="dxa"/>
          </w:tcPr>
          <w:p w14:paraId="171985DA" w14:textId="77777777" w:rsidR="007272B9" w:rsidRPr="00630E49" w:rsidRDefault="007272B9" w:rsidP="003B6148">
            <w:pPr>
              <w:jc w:val="center"/>
              <w:rPr>
                <w:b/>
                <w:bCs/>
                <w:i/>
                <w:iCs/>
                <w:sz w:val="28"/>
                <w:szCs w:val="28"/>
                <w:u w:val="single"/>
              </w:rPr>
            </w:pPr>
            <w:r>
              <w:rPr>
                <w:b/>
                <w:bCs/>
                <w:i/>
                <w:iCs/>
                <w:sz w:val="28"/>
                <w:szCs w:val="28"/>
                <w:u w:val="single"/>
              </w:rPr>
              <w:t># in Career Pathways</w:t>
            </w:r>
          </w:p>
          <w:p w14:paraId="4930AC39" w14:textId="77777777" w:rsidR="007272B9" w:rsidRPr="0006095C" w:rsidRDefault="007272B9" w:rsidP="003B6148">
            <w:pPr>
              <w:jc w:val="center"/>
            </w:pPr>
            <w:r>
              <w:t>417 in one state!</w:t>
            </w:r>
          </w:p>
        </w:tc>
      </w:tr>
      <w:tr w:rsidR="007272B9" w:rsidRPr="00A75C98" w14:paraId="1A3DB925" w14:textId="77777777" w:rsidTr="00366D34">
        <w:tc>
          <w:tcPr>
            <w:tcW w:w="4657" w:type="dxa"/>
            <w:vAlign w:val="center"/>
          </w:tcPr>
          <w:p w14:paraId="5B6D6FF3" w14:textId="77777777" w:rsidR="007272B9" w:rsidRPr="00A75C98" w:rsidRDefault="007272B9" w:rsidP="003B6148">
            <w:pPr>
              <w:jc w:val="right"/>
              <w:rPr>
                <w:noProof/>
              </w:rPr>
            </w:pPr>
            <w:r>
              <w:rPr>
                <w:noProof/>
                <w:lang w:eastAsia="ko-KR"/>
              </w:rPr>
              <w:drawing>
                <wp:inline distT="0" distB="0" distL="0" distR="0" wp14:anchorId="20CD5A8E" wp14:editId="0117CA83">
                  <wp:extent cx="488887" cy="488887"/>
                  <wp:effectExtent l="0" t="0" r="0" b="0"/>
                  <wp:docPr id="37" name="Graphic 37" descr="Venn 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venndiagram.svg"/>
                          <pic:cNvPicPr/>
                        </pic:nvPicPr>
                        <pic:blipFill>
                          <a:blip r:embed="rId248" cstate="print">
                            <a:extLst>
                              <a:ext uri="{28A0092B-C50C-407E-A947-70E740481C1C}">
                                <a14:useLocalDpi xmlns:a14="http://schemas.microsoft.com/office/drawing/2010/main" val="0"/>
                              </a:ext>
                              <a:ext uri="{96DAC541-7B7A-43D3-8B79-37D633B846F1}">
                                <asvg:svgBlip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svg="http://schemas.microsoft.com/office/drawing/2016/SVG/main" r:embed="rId249"/>
                              </a:ext>
                            </a:extLst>
                          </a:blip>
                          <a:stretch>
                            <a:fillRect/>
                          </a:stretch>
                        </pic:blipFill>
                        <pic:spPr>
                          <a:xfrm>
                            <a:off x="0" y="0"/>
                            <a:ext cx="499156" cy="499156"/>
                          </a:xfrm>
                          <a:prstGeom prst="rect">
                            <a:avLst/>
                          </a:prstGeom>
                        </pic:spPr>
                      </pic:pic>
                    </a:graphicData>
                  </a:graphic>
                </wp:inline>
              </w:drawing>
            </w:r>
            <w:r>
              <w:rPr>
                <w:noProof/>
                <w:lang w:eastAsia="ko-KR"/>
              </w:rPr>
              <w:drawing>
                <wp:inline distT="0" distB="0" distL="0" distR="0" wp14:anchorId="08C0BDAA" wp14:editId="6538CD77">
                  <wp:extent cx="479834" cy="479834"/>
                  <wp:effectExtent l="0" t="0" r="0" b="0"/>
                  <wp:docPr id="110" name="Graphic 110" descr="Bar graph with upward tre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bargraphupwardtrend.svg"/>
                          <pic:cNvPicPr/>
                        </pic:nvPicPr>
                        <pic:blipFill>
                          <a:blip r:embed="rId250" cstate="print">
                            <a:extLst>
                              <a:ext uri="{28A0092B-C50C-407E-A947-70E740481C1C}">
                                <a14:useLocalDpi xmlns:a14="http://schemas.microsoft.com/office/drawing/2010/main" val="0"/>
                              </a:ext>
                              <a:ext uri="{96DAC541-7B7A-43D3-8B79-37D633B846F1}">
                                <asvg:svgBlip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svg="http://schemas.microsoft.com/office/drawing/2016/SVG/main" r:embed="rId251"/>
                              </a:ext>
                            </a:extLst>
                          </a:blip>
                          <a:stretch>
                            <a:fillRect/>
                          </a:stretch>
                        </pic:blipFill>
                        <pic:spPr>
                          <a:xfrm>
                            <a:off x="0" y="0"/>
                            <a:ext cx="492017" cy="492017"/>
                          </a:xfrm>
                          <a:prstGeom prst="rect">
                            <a:avLst/>
                          </a:prstGeom>
                        </pic:spPr>
                      </pic:pic>
                    </a:graphicData>
                  </a:graphic>
                </wp:inline>
              </w:drawing>
            </w:r>
          </w:p>
        </w:tc>
        <w:tc>
          <w:tcPr>
            <w:tcW w:w="4657" w:type="dxa"/>
          </w:tcPr>
          <w:p w14:paraId="106CA0B6" w14:textId="77777777" w:rsidR="007272B9" w:rsidRDefault="007272B9" w:rsidP="003B6148">
            <w:pPr>
              <w:jc w:val="center"/>
              <w:rPr>
                <w:b/>
                <w:bCs/>
                <w:i/>
                <w:iCs/>
                <w:sz w:val="28"/>
                <w:szCs w:val="28"/>
                <w:u w:val="single"/>
              </w:rPr>
            </w:pPr>
            <w:r>
              <w:rPr>
                <w:b/>
                <w:bCs/>
                <w:i/>
                <w:iCs/>
                <w:sz w:val="28"/>
                <w:szCs w:val="28"/>
                <w:u w:val="single"/>
              </w:rPr>
              <w:t>Integration Continuum Assessment</w:t>
            </w:r>
          </w:p>
          <w:p w14:paraId="325E1B05" w14:textId="77777777" w:rsidR="007272B9" w:rsidRDefault="007272B9" w:rsidP="003B6148">
            <w:pPr>
              <w:jc w:val="center"/>
              <w:rPr>
                <w:i/>
                <w:iCs/>
              </w:rPr>
            </w:pPr>
            <w:r>
              <w:rPr>
                <w:i/>
                <w:iCs/>
              </w:rPr>
              <w:t xml:space="preserve">Completed in 6 States, Baselines </w:t>
            </w:r>
            <w:r w:rsidRPr="00A64891">
              <w:rPr>
                <w:i/>
                <w:iCs/>
              </w:rPr>
              <w:t>Set in 4 states</w:t>
            </w:r>
          </w:p>
          <w:p w14:paraId="5F3F4B6F" w14:textId="77777777" w:rsidR="007272B9" w:rsidRPr="00A64891" w:rsidRDefault="007272B9" w:rsidP="003B6148">
            <w:pPr>
              <w:jc w:val="center"/>
              <w:rPr>
                <w:i/>
                <w:iCs/>
                <w:sz w:val="28"/>
                <w:szCs w:val="28"/>
              </w:rPr>
            </w:pPr>
            <w:r w:rsidRPr="006D3AE4">
              <w:rPr>
                <w:i/>
                <w:iCs/>
              </w:rPr>
              <w:t>Averag</w:t>
            </w:r>
            <w:r>
              <w:rPr>
                <w:i/>
                <w:iCs/>
              </w:rPr>
              <w:t>e Scores: 2.2 (All), 2.6 (Core), 1.8 (Required), 2.5 (Other) – Scores out of 5</w:t>
            </w:r>
          </w:p>
        </w:tc>
      </w:tr>
      <w:tr w:rsidR="007272B9" w:rsidRPr="00A75C98" w14:paraId="1A514B07" w14:textId="77777777" w:rsidTr="00366D34">
        <w:tc>
          <w:tcPr>
            <w:tcW w:w="4657" w:type="dxa"/>
            <w:vAlign w:val="center"/>
          </w:tcPr>
          <w:p w14:paraId="4CF46F6C" w14:textId="77777777" w:rsidR="007272B9" w:rsidRDefault="007272B9" w:rsidP="003B6148">
            <w:pPr>
              <w:jc w:val="right"/>
              <w:rPr>
                <w:noProof/>
              </w:rPr>
            </w:pPr>
            <w:r>
              <w:rPr>
                <w:noProof/>
                <w:lang w:eastAsia="ko-KR"/>
              </w:rPr>
              <w:drawing>
                <wp:inline distT="0" distB="0" distL="0" distR="0" wp14:anchorId="4F2F481A" wp14:editId="63EDE4F6">
                  <wp:extent cx="365760" cy="365760"/>
                  <wp:effectExtent l="0" t="0" r="0" b="0"/>
                  <wp:docPr id="41" name="Graphic 41" descr="Mee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meeting.svg"/>
                          <pic:cNvPicPr/>
                        </pic:nvPicPr>
                        <pic:blipFill>
                          <a:blip r:embed="rId252" cstate="print">
                            <a:extLst>
                              <a:ext uri="{28A0092B-C50C-407E-A947-70E740481C1C}">
                                <a14:useLocalDpi xmlns:a14="http://schemas.microsoft.com/office/drawing/2010/main" val="0"/>
                              </a:ext>
                              <a:ext uri="{96DAC541-7B7A-43D3-8B79-37D633B846F1}">
                                <asvg:svgBlip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svg="http://schemas.microsoft.com/office/drawing/2016/SVG/main" r:embed="rId253"/>
                              </a:ext>
                            </a:extLst>
                          </a:blip>
                          <a:stretch>
                            <a:fillRect/>
                          </a:stretch>
                        </pic:blipFill>
                        <pic:spPr>
                          <a:xfrm>
                            <a:off x="0" y="0"/>
                            <a:ext cx="374678" cy="374678"/>
                          </a:xfrm>
                          <a:prstGeom prst="rect">
                            <a:avLst/>
                          </a:prstGeom>
                        </pic:spPr>
                      </pic:pic>
                    </a:graphicData>
                  </a:graphic>
                </wp:inline>
              </w:drawing>
            </w:r>
            <w:r>
              <w:rPr>
                <w:noProof/>
                <w:lang w:eastAsia="ko-KR"/>
              </w:rPr>
              <w:drawing>
                <wp:inline distT="0" distB="0" distL="0" distR="0" wp14:anchorId="38759134" wp14:editId="11503795">
                  <wp:extent cx="413468" cy="413468"/>
                  <wp:effectExtent l="0" t="0" r="0" b="5715"/>
                  <wp:docPr id="42" name="Graphic 42" descr="Social netw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socialnetwork.svg"/>
                          <pic:cNvPicPr/>
                        </pic:nvPicPr>
                        <pic:blipFill>
                          <a:blip r:embed="rId254" cstate="print">
                            <a:extLst>
                              <a:ext uri="{28A0092B-C50C-407E-A947-70E740481C1C}">
                                <a14:useLocalDpi xmlns:a14="http://schemas.microsoft.com/office/drawing/2010/main" val="0"/>
                              </a:ext>
                              <a:ext uri="{96DAC541-7B7A-43D3-8B79-37D633B846F1}">
                                <asvg:svgBlip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svg="http://schemas.microsoft.com/office/drawing/2016/SVG/main" r:embed="rId255"/>
                              </a:ext>
                            </a:extLst>
                          </a:blip>
                          <a:stretch>
                            <a:fillRect/>
                          </a:stretch>
                        </pic:blipFill>
                        <pic:spPr>
                          <a:xfrm>
                            <a:off x="0" y="0"/>
                            <a:ext cx="419466" cy="419466"/>
                          </a:xfrm>
                          <a:prstGeom prst="rect">
                            <a:avLst/>
                          </a:prstGeom>
                        </pic:spPr>
                      </pic:pic>
                    </a:graphicData>
                  </a:graphic>
                </wp:inline>
              </w:drawing>
            </w:r>
            <w:r>
              <w:rPr>
                <w:noProof/>
                <w:lang w:eastAsia="ko-KR"/>
              </w:rPr>
              <w:drawing>
                <wp:inline distT="0" distB="0" distL="0" distR="0" wp14:anchorId="4D7111BD" wp14:editId="05C26BDC">
                  <wp:extent cx="397566" cy="397566"/>
                  <wp:effectExtent l="0" t="0" r="2540" b="2540"/>
                  <wp:docPr id="43" name="Graphic 43" descr="Che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cheers.svg"/>
                          <pic:cNvPicPr/>
                        </pic:nvPicPr>
                        <pic:blipFill>
                          <a:blip r:embed="rId256" cstate="print">
                            <a:extLst>
                              <a:ext uri="{28A0092B-C50C-407E-A947-70E740481C1C}">
                                <a14:useLocalDpi xmlns:a14="http://schemas.microsoft.com/office/drawing/2010/main" val="0"/>
                              </a:ext>
                              <a:ext uri="{96DAC541-7B7A-43D3-8B79-37D633B846F1}">
                                <asvg:svgBlip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svg="http://schemas.microsoft.com/office/drawing/2016/SVG/main" r:embed="rId257"/>
                              </a:ext>
                            </a:extLst>
                          </a:blip>
                          <a:stretch>
                            <a:fillRect/>
                          </a:stretch>
                        </pic:blipFill>
                        <pic:spPr>
                          <a:xfrm>
                            <a:off x="0" y="0"/>
                            <a:ext cx="405952" cy="405952"/>
                          </a:xfrm>
                          <a:prstGeom prst="rect">
                            <a:avLst/>
                          </a:prstGeom>
                        </pic:spPr>
                      </pic:pic>
                    </a:graphicData>
                  </a:graphic>
                </wp:inline>
              </w:drawing>
            </w:r>
          </w:p>
        </w:tc>
        <w:tc>
          <w:tcPr>
            <w:tcW w:w="4657" w:type="dxa"/>
          </w:tcPr>
          <w:p w14:paraId="586357CD" w14:textId="77777777" w:rsidR="007272B9" w:rsidRDefault="007272B9" w:rsidP="003B6148">
            <w:pPr>
              <w:jc w:val="center"/>
              <w:rPr>
                <w:b/>
                <w:bCs/>
                <w:i/>
                <w:iCs/>
                <w:sz w:val="28"/>
                <w:szCs w:val="28"/>
                <w:u w:val="single"/>
              </w:rPr>
            </w:pPr>
            <w:r>
              <w:rPr>
                <w:b/>
                <w:bCs/>
                <w:i/>
                <w:iCs/>
                <w:sz w:val="28"/>
                <w:szCs w:val="28"/>
                <w:u w:val="single"/>
              </w:rPr>
              <w:t># of Integrated Resource Teams</w:t>
            </w:r>
          </w:p>
          <w:p w14:paraId="762C3DF1" w14:textId="77777777" w:rsidR="007272B9" w:rsidRPr="00C03C94" w:rsidRDefault="007272B9" w:rsidP="003B6148">
            <w:pPr>
              <w:jc w:val="center"/>
              <w:rPr>
                <w:i/>
                <w:iCs/>
              </w:rPr>
            </w:pPr>
            <w:r>
              <w:rPr>
                <w:i/>
                <w:iCs/>
              </w:rPr>
              <w:t>Baselines Set in 5 States, 18 in one State So Far</w:t>
            </w:r>
          </w:p>
        </w:tc>
      </w:tr>
      <w:bookmarkEnd w:id="60"/>
    </w:tbl>
    <w:p w14:paraId="3BB8046A" w14:textId="77777777" w:rsidR="007272B9" w:rsidRDefault="007272B9" w:rsidP="007272B9">
      <w:pPr>
        <w:spacing w:line="240" w:lineRule="auto"/>
        <w:rPr>
          <w:b/>
          <w:sz w:val="36"/>
        </w:rPr>
      </w:pPr>
      <w:r>
        <w:rPr>
          <w:b/>
          <w:sz w:val="36"/>
        </w:rPr>
        <w:br w:type="page"/>
      </w:r>
    </w:p>
    <w:p w14:paraId="1D8E2B2E" w14:textId="77777777" w:rsidR="007272B9" w:rsidRDefault="007272B9" w:rsidP="00BA0D82">
      <w:pPr>
        <w:pStyle w:val="Heading2"/>
        <w:numPr>
          <w:ilvl w:val="0"/>
          <w:numId w:val="0"/>
        </w:numPr>
      </w:pPr>
      <w:bookmarkStart w:id="61" w:name="_Toc27904595"/>
      <w:bookmarkStart w:id="62" w:name="_Toc28011432"/>
      <w:r>
        <w:lastRenderedPageBreak/>
        <w:t>WORKFORCE INTEGRATION: RESOURCES</w:t>
      </w:r>
      <w:bookmarkEnd w:id="61"/>
      <w:bookmarkEnd w:id="62"/>
    </w:p>
    <w:p w14:paraId="721B40ED" w14:textId="77777777" w:rsidR="007272B9" w:rsidRPr="005C4152" w:rsidRDefault="007272B9" w:rsidP="007272B9">
      <w:pPr>
        <w:spacing w:after="0" w:line="240" w:lineRule="auto"/>
        <w:rPr>
          <w:rFonts w:eastAsia="Times New Roman" w:cstheme="minorHAnsi"/>
        </w:rPr>
      </w:pPr>
      <w:r>
        <w:rPr>
          <w:rFonts w:eastAsia="Times New Roman" w:cstheme="minorHAnsi"/>
          <w:sz w:val="24"/>
          <w:szCs w:val="24"/>
        </w:rPr>
        <w:t xml:space="preserve">Available on the WINTAC website, the Integration team has developed a number of resources to support TA and training and provide guidance to SVRAs as they meet their requirements for </w:t>
      </w:r>
      <w:r>
        <w:rPr>
          <w:rFonts w:eastAsia="Times New Roman" w:cstheme="minorHAnsi"/>
        </w:rPr>
        <w:t>Integrating VR into the Workforce Development System</w:t>
      </w:r>
      <w:r w:rsidRPr="005C4152">
        <w:rPr>
          <w:rFonts w:eastAsia="Times New Roman" w:cstheme="minorHAnsi"/>
        </w:rPr>
        <w:t xml:space="preserve"> under WIOA:</w:t>
      </w:r>
    </w:p>
    <w:p w14:paraId="1A96AD4D" w14:textId="77777777" w:rsidR="007272B9" w:rsidRPr="00190950" w:rsidRDefault="007272B9" w:rsidP="00076336">
      <w:pPr>
        <w:pStyle w:val="NormalWeb"/>
        <w:numPr>
          <w:ilvl w:val="0"/>
          <w:numId w:val="10"/>
        </w:numPr>
        <w:rPr>
          <w:rFonts w:asciiTheme="minorHAnsi" w:hAnsiTheme="minorHAnsi" w:cstheme="minorHAnsi"/>
          <w:sz w:val="22"/>
          <w:szCs w:val="22"/>
        </w:rPr>
      </w:pPr>
      <w:r w:rsidRPr="00190950">
        <w:rPr>
          <w:rStyle w:val="Strong"/>
          <w:rFonts w:asciiTheme="minorHAnsi" w:hAnsiTheme="minorHAnsi" w:cstheme="minorHAnsi"/>
          <w:sz w:val="22"/>
          <w:szCs w:val="22"/>
        </w:rPr>
        <w:t>Your WIOA Program Partners</w:t>
      </w:r>
      <w:r w:rsidRPr="00190950">
        <w:rPr>
          <w:rFonts w:asciiTheme="minorHAnsi" w:hAnsiTheme="minorHAnsi" w:cstheme="minorHAnsi"/>
          <w:sz w:val="22"/>
          <w:szCs w:val="22"/>
        </w:rPr>
        <w:br/>
        <w:t xml:space="preserve">In the vision of customer service outlined in WIOA and in the guidance in RSA TACs 15-01 and 17-02, the diverse expertise of multiple programs is identified as being important to a responsive seamless system available through a “one-stop” or American Job Center. Core and Required Program Partners are identified as being necessary to support the full inclusion of all job seekers in this system, as well as leaving local leadership the flexibility in adding other services. A description of those Core, Required and possible Other partners are identified in this </w:t>
      </w:r>
      <w:hyperlink r:id="rId258" w:tgtFrame="_blank" w:history="1">
        <w:r w:rsidRPr="00190950">
          <w:rPr>
            <w:rStyle w:val="Hyperlink"/>
            <w:rFonts w:asciiTheme="minorHAnsi" w:hAnsiTheme="minorHAnsi" w:cstheme="minorHAnsi"/>
            <w:sz w:val="22"/>
            <w:szCs w:val="22"/>
          </w:rPr>
          <w:t>WIOA Program Partners List</w:t>
        </w:r>
      </w:hyperlink>
      <w:r w:rsidRPr="00190950">
        <w:rPr>
          <w:rFonts w:asciiTheme="minorHAnsi" w:hAnsiTheme="minorHAnsi" w:cstheme="minorHAnsi"/>
          <w:sz w:val="22"/>
          <w:szCs w:val="22"/>
        </w:rPr>
        <w:t>.</w:t>
      </w:r>
    </w:p>
    <w:p w14:paraId="2183175A" w14:textId="77777777" w:rsidR="007272B9" w:rsidRPr="00190950" w:rsidRDefault="007272B9" w:rsidP="00076336">
      <w:pPr>
        <w:pStyle w:val="NormalWeb"/>
        <w:numPr>
          <w:ilvl w:val="0"/>
          <w:numId w:val="10"/>
        </w:numPr>
        <w:rPr>
          <w:rStyle w:val="Strong"/>
          <w:rFonts w:asciiTheme="minorHAnsi" w:hAnsiTheme="minorHAnsi" w:cstheme="minorHAnsi"/>
          <w:b w:val="0"/>
          <w:bCs w:val="0"/>
          <w:sz w:val="22"/>
          <w:szCs w:val="22"/>
        </w:rPr>
      </w:pPr>
      <w:r w:rsidRPr="00190950">
        <w:rPr>
          <w:rStyle w:val="Strong"/>
          <w:rFonts w:asciiTheme="minorHAnsi" w:hAnsiTheme="minorHAnsi" w:cstheme="minorHAnsi"/>
          <w:sz w:val="22"/>
          <w:szCs w:val="22"/>
        </w:rPr>
        <w:t>Template to assist in Identifying Program Partners in Your Local Area</w:t>
      </w:r>
      <w:r w:rsidRPr="00190950">
        <w:rPr>
          <w:rFonts w:asciiTheme="minorHAnsi" w:hAnsiTheme="minorHAnsi" w:cstheme="minorHAnsi"/>
          <w:sz w:val="22"/>
          <w:szCs w:val="22"/>
        </w:rPr>
        <w:br/>
        <w:t xml:space="preserve">Most programs providing core and required services in your local area are recognized by agency or program names that are different than the funding stream names listed in the </w:t>
      </w:r>
      <w:hyperlink r:id="rId259" w:tgtFrame="_blank" w:history="1">
        <w:r w:rsidRPr="00190950">
          <w:rPr>
            <w:rStyle w:val="Hyperlink"/>
            <w:rFonts w:asciiTheme="minorHAnsi" w:hAnsiTheme="minorHAnsi" w:cstheme="minorHAnsi"/>
            <w:sz w:val="22"/>
            <w:szCs w:val="22"/>
          </w:rPr>
          <w:t>WIOA Program Partners List</w:t>
        </w:r>
      </w:hyperlink>
      <w:r w:rsidRPr="00190950">
        <w:rPr>
          <w:rFonts w:asciiTheme="minorHAnsi" w:hAnsiTheme="minorHAnsi" w:cstheme="minorHAnsi"/>
          <w:sz w:val="22"/>
          <w:szCs w:val="22"/>
        </w:rPr>
        <w:t xml:space="preserve">. The best way for staff to learn about the services and expertise available through each program is to meet with each of the program representatives and share this information directly. An additional tool that may be helpful to local areas is the </w:t>
      </w:r>
      <w:hyperlink r:id="rId260" w:tgtFrame="_blank" w:history="1">
        <w:r w:rsidRPr="00190950">
          <w:rPr>
            <w:rStyle w:val="Hyperlink"/>
            <w:rFonts w:asciiTheme="minorHAnsi" w:hAnsiTheme="minorHAnsi" w:cstheme="minorHAnsi"/>
            <w:sz w:val="22"/>
            <w:szCs w:val="22"/>
          </w:rPr>
          <w:t>Partnership Profile Template</w:t>
        </w:r>
      </w:hyperlink>
      <w:r w:rsidRPr="00190950">
        <w:rPr>
          <w:rFonts w:asciiTheme="minorHAnsi" w:hAnsiTheme="minorHAnsi" w:cstheme="minorHAnsi"/>
          <w:sz w:val="22"/>
          <w:szCs w:val="22"/>
        </w:rPr>
        <w:t>.</w:t>
      </w:r>
    </w:p>
    <w:p w14:paraId="3D2389E6" w14:textId="77777777" w:rsidR="007272B9" w:rsidRPr="004A52C5" w:rsidRDefault="007272B9" w:rsidP="00076336">
      <w:pPr>
        <w:pStyle w:val="NormalWeb"/>
        <w:numPr>
          <w:ilvl w:val="0"/>
          <w:numId w:val="10"/>
        </w:numPr>
        <w:spacing w:before="80" w:beforeAutospacing="0" w:after="0" w:afterAutospacing="0"/>
        <w:rPr>
          <w:rStyle w:val="Strong"/>
          <w:rFonts w:asciiTheme="minorHAnsi" w:hAnsiTheme="minorHAnsi" w:cstheme="minorHAnsi"/>
          <w:sz w:val="22"/>
          <w:szCs w:val="22"/>
        </w:rPr>
      </w:pPr>
      <w:r w:rsidRPr="004A52C5">
        <w:rPr>
          <w:rStyle w:val="Strong"/>
          <w:rFonts w:asciiTheme="minorHAnsi" w:hAnsiTheme="minorHAnsi" w:cstheme="minorHAnsi"/>
          <w:sz w:val="22"/>
          <w:szCs w:val="22"/>
        </w:rPr>
        <w:t>Integration Continuum Self-Assessment</w:t>
      </w:r>
    </w:p>
    <w:p w14:paraId="176E0ADC" w14:textId="77777777" w:rsidR="007272B9" w:rsidRPr="00253BA4" w:rsidRDefault="007272B9" w:rsidP="007272B9">
      <w:pPr>
        <w:pStyle w:val="NormalWeb"/>
        <w:spacing w:before="80" w:beforeAutospacing="0" w:after="0" w:afterAutospacing="0"/>
        <w:ind w:left="720"/>
        <w:rPr>
          <w:rStyle w:val="Strong"/>
          <w:rFonts w:asciiTheme="minorHAnsi" w:hAnsiTheme="minorHAnsi" w:cstheme="minorHAnsi"/>
          <w:bCs w:val="0"/>
          <w:sz w:val="22"/>
          <w:szCs w:val="22"/>
        </w:rPr>
      </w:pPr>
      <w:r w:rsidRPr="004A52C5">
        <w:rPr>
          <w:rStyle w:val="Strong"/>
          <w:rFonts w:asciiTheme="minorHAnsi" w:hAnsiTheme="minorHAnsi" w:cstheme="minorHAnsi"/>
          <w:b w:val="0"/>
          <w:sz w:val="22"/>
          <w:szCs w:val="22"/>
        </w:rPr>
        <w:t xml:space="preserve">Rate your agency’s level of service integration -- Isolation, Communication, Coordination, Collaboration or Integration -- with the Integration Continuum Self-Assessment. WINTAC has </w:t>
      </w:r>
      <w:r w:rsidRPr="00253BA4">
        <w:rPr>
          <w:rStyle w:val="Strong"/>
          <w:rFonts w:asciiTheme="minorHAnsi" w:hAnsiTheme="minorHAnsi" w:cstheme="minorHAnsi"/>
          <w:b w:val="0"/>
          <w:sz w:val="22"/>
          <w:szCs w:val="22"/>
        </w:rPr>
        <w:t>developed the Self-Assessment to help you determine where you are today on the Continuum and where you would like to be. There are three ways to use the assessment: agency self-evaluation, facilitated collaborative self-assessment or self-assessment through the use of a facilitator’s guide.</w:t>
      </w:r>
    </w:p>
    <w:p w14:paraId="73A34647" w14:textId="77777777" w:rsidR="007272B9" w:rsidRPr="00253BA4" w:rsidRDefault="007272B9" w:rsidP="00076336">
      <w:pPr>
        <w:pStyle w:val="NormalWeb"/>
        <w:numPr>
          <w:ilvl w:val="0"/>
          <w:numId w:val="10"/>
        </w:numPr>
        <w:spacing w:before="80" w:beforeAutospacing="0" w:after="0" w:afterAutospacing="0"/>
        <w:rPr>
          <w:rFonts w:asciiTheme="minorHAnsi" w:hAnsiTheme="minorHAnsi" w:cstheme="minorHAnsi"/>
          <w:b/>
          <w:sz w:val="22"/>
          <w:szCs w:val="22"/>
        </w:rPr>
      </w:pPr>
      <w:r w:rsidRPr="00253BA4">
        <w:rPr>
          <w:rFonts w:asciiTheme="minorHAnsi" w:hAnsiTheme="minorHAnsi" w:cstheme="minorHAnsi"/>
          <w:b/>
          <w:sz w:val="22"/>
          <w:szCs w:val="22"/>
        </w:rPr>
        <w:t>"Finding Integration"</w:t>
      </w:r>
    </w:p>
    <w:p w14:paraId="59CC0003" w14:textId="77777777" w:rsidR="007272B9" w:rsidRPr="00253BA4" w:rsidRDefault="007272B9" w:rsidP="007272B9">
      <w:pPr>
        <w:pStyle w:val="NormalWeb"/>
        <w:spacing w:before="80" w:beforeAutospacing="0" w:after="0" w:afterAutospacing="0"/>
        <w:ind w:left="720"/>
        <w:rPr>
          <w:rFonts w:asciiTheme="minorHAnsi" w:hAnsiTheme="minorHAnsi" w:cstheme="minorHAnsi"/>
          <w:b/>
          <w:sz w:val="22"/>
          <w:szCs w:val="22"/>
        </w:rPr>
      </w:pPr>
      <w:r w:rsidRPr="00253BA4">
        <w:rPr>
          <w:rFonts w:asciiTheme="minorHAnsi" w:hAnsiTheme="minorHAnsi" w:cstheme="minorHAnsi"/>
          <w:sz w:val="22"/>
          <w:szCs w:val="22"/>
        </w:rPr>
        <w:t>Without a tangible definition for "Service Integration" in the American Job Center, the WINTAC team set out to meet with State and local leadership in Iowa, Kentucky and Virginia. The mission was to determine how integration was defined in each of the three states. Below is a link to four videos. One is a composite of the three visits; and there are shorter videos that reflect the specific service integration strategies in Creston, Iowa; Covington, Kentucky; and Woodbridge, Virginia. These videos and the accompanying report, which includes the team’s findings and recommendations for each site and more, were designed for a target audience of service leadership and counselors/staff.</w:t>
      </w:r>
    </w:p>
    <w:p w14:paraId="0229546D" w14:textId="77777777" w:rsidR="007272B9" w:rsidRPr="00E13D3B" w:rsidRDefault="007272B9" w:rsidP="00076336">
      <w:pPr>
        <w:pStyle w:val="ListParagraph"/>
        <w:numPr>
          <w:ilvl w:val="0"/>
          <w:numId w:val="11"/>
        </w:numPr>
        <w:spacing w:before="80" w:after="0"/>
        <w:rPr>
          <w:rFonts w:eastAsia="Times New Roman" w:cstheme="minorHAnsi"/>
          <w:b/>
        </w:rPr>
      </w:pPr>
      <w:r w:rsidRPr="00E13D3B">
        <w:rPr>
          <w:rFonts w:eastAsia="Times New Roman" w:cstheme="minorHAnsi"/>
          <w:b/>
          <w:bCs/>
        </w:rPr>
        <w:t>Agreements:</w:t>
      </w:r>
    </w:p>
    <w:p w14:paraId="06988B34" w14:textId="77777777" w:rsidR="007272B9" w:rsidRPr="00E13D3B" w:rsidRDefault="007272B9" w:rsidP="00076336">
      <w:pPr>
        <w:pStyle w:val="ListParagraph"/>
        <w:numPr>
          <w:ilvl w:val="1"/>
          <w:numId w:val="11"/>
        </w:numPr>
        <w:spacing w:before="80" w:after="0"/>
        <w:rPr>
          <w:rFonts w:eastAsia="Times New Roman" w:cstheme="minorHAnsi"/>
          <w:bCs/>
        </w:rPr>
      </w:pPr>
      <w:r w:rsidRPr="00E13D3B">
        <w:rPr>
          <w:rFonts w:eastAsia="Times New Roman" w:cstheme="minorHAnsi"/>
          <w:bCs/>
        </w:rPr>
        <w:t>Agreements with Education Agencies</w:t>
      </w:r>
      <w:r w:rsidRPr="007F09E4">
        <w:rPr>
          <w:rFonts w:eastAsia="Times New Roman" w:cstheme="minorHAnsi"/>
          <w:bCs/>
        </w:rPr>
        <w:t xml:space="preserve"> - </w:t>
      </w:r>
      <w:hyperlink r:id="rId261" w:history="1">
        <w:r w:rsidRPr="00E13D3B">
          <w:rPr>
            <w:rStyle w:val="Hyperlink"/>
            <w:rFonts w:eastAsia="Times New Roman" w:cstheme="minorHAnsi"/>
            <w:bCs/>
          </w:rPr>
          <w:t>Tool Kit</w:t>
        </w:r>
      </w:hyperlink>
    </w:p>
    <w:p w14:paraId="252106D0" w14:textId="77777777" w:rsidR="007272B9" w:rsidRPr="00E13D3B" w:rsidRDefault="007272B9" w:rsidP="00076336">
      <w:pPr>
        <w:pStyle w:val="ListParagraph"/>
        <w:numPr>
          <w:ilvl w:val="1"/>
          <w:numId w:val="11"/>
        </w:numPr>
        <w:spacing w:before="80" w:after="0"/>
        <w:rPr>
          <w:rFonts w:eastAsia="Times New Roman" w:cstheme="minorHAnsi"/>
          <w:bCs/>
        </w:rPr>
      </w:pPr>
      <w:r w:rsidRPr="00E13D3B">
        <w:rPr>
          <w:rFonts w:eastAsia="Times New Roman" w:cstheme="minorHAnsi"/>
          <w:bCs/>
        </w:rPr>
        <w:t>Agreements with Local Workforce Development Boards</w:t>
      </w:r>
    </w:p>
    <w:p w14:paraId="7F0F1784" w14:textId="77777777" w:rsidR="007272B9" w:rsidRPr="00E13D3B" w:rsidRDefault="007272B9" w:rsidP="00076336">
      <w:pPr>
        <w:pStyle w:val="ListParagraph"/>
        <w:numPr>
          <w:ilvl w:val="2"/>
          <w:numId w:val="11"/>
        </w:numPr>
        <w:spacing w:before="80" w:after="0"/>
        <w:rPr>
          <w:rFonts w:eastAsia="Times New Roman" w:cstheme="minorHAnsi"/>
          <w:bCs/>
        </w:rPr>
      </w:pPr>
      <w:r w:rsidRPr="00E13D3B">
        <w:rPr>
          <w:rFonts w:eastAsia="Times New Roman" w:cstheme="minorHAnsi"/>
          <w:bCs/>
          <w:i/>
          <w:iCs/>
        </w:rPr>
        <w:t xml:space="preserve">Contributors from the Departments of Labor, Health and Human Services, and Education provide us with </w:t>
      </w:r>
      <w:r w:rsidRPr="00E13D3B">
        <w:rPr>
          <w:rFonts w:eastAsia="Times New Roman" w:cstheme="minorHAnsi"/>
          <w:bCs/>
        </w:rPr>
        <w:t>"</w:t>
      </w:r>
      <w:hyperlink r:id="rId262" w:tgtFrame="_blank" w:history="1">
        <w:r w:rsidRPr="00E13D3B">
          <w:rPr>
            <w:rStyle w:val="Hyperlink"/>
            <w:rFonts w:eastAsia="Times New Roman" w:cstheme="minorHAnsi"/>
            <w:bCs/>
          </w:rPr>
          <w:t>Sample MOU and Infrastructure Costs Tool Kit</w:t>
        </w:r>
      </w:hyperlink>
      <w:r w:rsidRPr="00E13D3B">
        <w:rPr>
          <w:rFonts w:eastAsia="Times New Roman" w:cstheme="minorHAnsi"/>
          <w:bCs/>
        </w:rPr>
        <w:t>."</w:t>
      </w:r>
    </w:p>
    <w:p w14:paraId="01061C3B" w14:textId="77777777" w:rsidR="007272B9" w:rsidRPr="00E13D3B" w:rsidRDefault="007272B9" w:rsidP="00076336">
      <w:pPr>
        <w:pStyle w:val="ListParagraph"/>
        <w:numPr>
          <w:ilvl w:val="2"/>
          <w:numId w:val="11"/>
        </w:numPr>
        <w:spacing w:before="80" w:after="0"/>
        <w:rPr>
          <w:rFonts w:eastAsia="Times New Roman" w:cstheme="minorHAnsi"/>
          <w:bCs/>
        </w:rPr>
      </w:pPr>
      <w:r w:rsidRPr="00E13D3B">
        <w:rPr>
          <w:rFonts w:eastAsia="Times New Roman" w:cstheme="minorHAnsi"/>
          <w:bCs/>
          <w:i/>
          <w:iCs/>
        </w:rPr>
        <w:t xml:space="preserve">Examples of agreements from states used to support discussions facilitated by CSAVR, WINTAC staff have developed </w:t>
      </w:r>
      <w:r w:rsidRPr="00E13D3B">
        <w:rPr>
          <w:rFonts w:eastAsia="Times New Roman" w:cstheme="minorHAnsi"/>
          <w:bCs/>
        </w:rPr>
        <w:t>"</w:t>
      </w:r>
      <w:hyperlink r:id="rId263" w:tgtFrame="_blank" w:history="1">
        <w:r w:rsidRPr="00E13D3B">
          <w:rPr>
            <w:rStyle w:val="Hyperlink"/>
            <w:rFonts w:eastAsia="Times New Roman" w:cstheme="minorHAnsi"/>
            <w:bCs/>
          </w:rPr>
          <w:t>The WDB MOU and Outline</w:t>
        </w:r>
      </w:hyperlink>
      <w:r w:rsidRPr="00E13D3B">
        <w:rPr>
          <w:rFonts w:eastAsia="Times New Roman" w:cstheme="minorHAnsi"/>
          <w:bCs/>
        </w:rPr>
        <w:t>."</w:t>
      </w:r>
    </w:p>
    <w:p w14:paraId="6275A347" w14:textId="77777777" w:rsidR="007272B9" w:rsidRPr="00E13D3B" w:rsidRDefault="007272B9" w:rsidP="00076336">
      <w:pPr>
        <w:pStyle w:val="ListParagraph"/>
        <w:numPr>
          <w:ilvl w:val="2"/>
          <w:numId w:val="11"/>
        </w:numPr>
        <w:spacing w:before="80" w:after="0"/>
        <w:rPr>
          <w:rFonts w:eastAsia="Times New Roman" w:cstheme="minorHAnsi"/>
          <w:bCs/>
        </w:rPr>
      </w:pPr>
      <w:r w:rsidRPr="00E13D3B">
        <w:rPr>
          <w:rFonts w:eastAsia="Times New Roman" w:cstheme="minorHAnsi"/>
          <w:bCs/>
          <w:i/>
          <w:iCs/>
        </w:rPr>
        <w:lastRenderedPageBreak/>
        <w:t xml:space="preserve">References from the Regulations important to the development of MOUs between Local WDB’s and Partner agencies are identified in </w:t>
      </w:r>
      <w:r w:rsidRPr="00E13D3B">
        <w:rPr>
          <w:rFonts w:eastAsia="Times New Roman" w:cstheme="minorHAnsi"/>
          <w:bCs/>
        </w:rPr>
        <w:t>"</w:t>
      </w:r>
      <w:hyperlink r:id="rId264" w:tgtFrame="_blank" w:history="1">
        <w:r w:rsidRPr="00E13D3B">
          <w:rPr>
            <w:rStyle w:val="Hyperlink"/>
            <w:rFonts w:eastAsia="Times New Roman" w:cstheme="minorHAnsi"/>
            <w:bCs/>
          </w:rPr>
          <w:t>Guidance from WIOA in development</w:t>
        </w:r>
      </w:hyperlink>
      <w:r w:rsidRPr="00E13D3B">
        <w:rPr>
          <w:rFonts w:eastAsia="Times New Roman" w:cstheme="minorHAnsi"/>
          <w:bCs/>
        </w:rPr>
        <w:t>."</w:t>
      </w:r>
    </w:p>
    <w:p w14:paraId="5605BC33" w14:textId="77777777" w:rsidR="007272B9" w:rsidRPr="00E13D3B" w:rsidRDefault="007272B9" w:rsidP="00076336">
      <w:pPr>
        <w:pStyle w:val="ListParagraph"/>
        <w:numPr>
          <w:ilvl w:val="2"/>
          <w:numId w:val="11"/>
        </w:numPr>
        <w:spacing w:before="80" w:after="0"/>
        <w:rPr>
          <w:rFonts w:eastAsia="Times New Roman" w:cstheme="minorHAnsi"/>
          <w:bCs/>
        </w:rPr>
      </w:pPr>
      <w:r w:rsidRPr="00E13D3B">
        <w:rPr>
          <w:rFonts w:eastAsia="Times New Roman" w:cstheme="minorHAnsi"/>
          <w:bCs/>
          <w:i/>
          <w:iCs/>
        </w:rPr>
        <w:t>An example of State Level guidance to facilitate WDB MOU development can be found in the</w:t>
      </w:r>
      <w:r w:rsidRPr="00E13D3B">
        <w:rPr>
          <w:rFonts w:eastAsia="Times New Roman" w:cstheme="minorHAnsi"/>
          <w:bCs/>
        </w:rPr>
        <w:t xml:space="preserve"> </w:t>
      </w:r>
      <w:hyperlink r:id="rId265" w:tgtFrame="_blank" w:history="1">
        <w:r w:rsidRPr="00E13D3B">
          <w:rPr>
            <w:rStyle w:val="Hyperlink"/>
            <w:rFonts w:eastAsia="Times New Roman" w:cstheme="minorHAnsi"/>
            <w:bCs/>
          </w:rPr>
          <w:t>New Jersey WIOA MOU Presentation</w:t>
        </w:r>
      </w:hyperlink>
      <w:r w:rsidRPr="00E13D3B">
        <w:rPr>
          <w:rFonts w:eastAsia="Times New Roman" w:cstheme="minorHAnsi"/>
          <w:bCs/>
        </w:rPr>
        <w:t>.</w:t>
      </w:r>
    </w:p>
    <w:p w14:paraId="3511DAED" w14:textId="77777777" w:rsidR="007272B9" w:rsidRPr="00E13D3B" w:rsidRDefault="007272B9" w:rsidP="00076336">
      <w:pPr>
        <w:pStyle w:val="ListParagraph"/>
        <w:numPr>
          <w:ilvl w:val="1"/>
          <w:numId w:val="11"/>
        </w:numPr>
        <w:spacing w:before="80" w:after="0"/>
        <w:rPr>
          <w:rFonts w:eastAsia="Times New Roman" w:cstheme="minorHAnsi"/>
          <w:bCs/>
        </w:rPr>
      </w:pPr>
      <w:r w:rsidRPr="00E13D3B">
        <w:rPr>
          <w:rFonts w:eastAsia="Times New Roman" w:cstheme="minorHAnsi"/>
          <w:bCs/>
        </w:rPr>
        <w:t>Infrastructure Funding Agreements (IFA) and other Cost Sharing Agreements.</w:t>
      </w:r>
    </w:p>
    <w:p w14:paraId="09088D3E" w14:textId="77777777" w:rsidR="007272B9" w:rsidRPr="00E13D3B" w:rsidRDefault="00366D34" w:rsidP="00076336">
      <w:pPr>
        <w:pStyle w:val="ListParagraph"/>
        <w:numPr>
          <w:ilvl w:val="2"/>
          <w:numId w:val="11"/>
        </w:numPr>
        <w:spacing w:before="80" w:after="0"/>
        <w:rPr>
          <w:rFonts w:eastAsia="Times New Roman" w:cstheme="minorHAnsi"/>
          <w:bCs/>
        </w:rPr>
      </w:pPr>
      <w:hyperlink r:id="rId266" w:history="1">
        <w:r w:rsidR="007272B9" w:rsidRPr="00E13D3B">
          <w:rPr>
            <w:rStyle w:val="Hyperlink"/>
            <w:rFonts w:eastAsia="Times New Roman" w:cstheme="minorHAnsi"/>
            <w:bCs/>
          </w:rPr>
          <w:t>RSA TAC 17-03</w:t>
        </w:r>
      </w:hyperlink>
      <w:r w:rsidR="007272B9" w:rsidRPr="00E13D3B">
        <w:rPr>
          <w:rFonts w:eastAsia="Times New Roman" w:cstheme="minorHAnsi"/>
          <w:bCs/>
        </w:rPr>
        <w:t xml:space="preserve"> provides guidance to SVRAs in establishing IFA and Other or Additional Cost Sharing Agreements with Local WDBs and Partner agencies</w:t>
      </w:r>
    </w:p>
    <w:p w14:paraId="281F4084" w14:textId="77777777" w:rsidR="007272B9" w:rsidRPr="00E13D3B" w:rsidRDefault="007272B9" w:rsidP="00076336">
      <w:pPr>
        <w:pStyle w:val="ListParagraph"/>
        <w:numPr>
          <w:ilvl w:val="2"/>
          <w:numId w:val="11"/>
        </w:numPr>
        <w:spacing w:before="80" w:after="0"/>
        <w:rPr>
          <w:rFonts w:eastAsia="Times New Roman" w:cstheme="minorHAnsi"/>
          <w:bCs/>
        </w:rPr>
      </w:pPr>
      <w:r w:rsidRPr="00E13D3B">
        <w:rPr>
          <w:rFonts w:eastAsia="Times New Roman" w:cstheme="minorHAnsi"/>
          <w:bCs/>
        </w:rPr>
        <w:t xml:space="preserve">Related Regulations </w:t>
      </w:r>
      <w:hyperlink r:id="rId267" w:history="1">
        <w:r w:rsidRPr="00E13D3B">
          <w:rPr>
            <w:rStyle w:val="Hyperlink"/>
            <w:rFonts w:eastAsia="Times New Roman" w:cstheme="minorHAnsi"/>
            <w:bCs/>
          </w:rPr>
          <w:t>Regulations Related to IFA Agreements</w:t>
        </w:r>
      </w:hyperlink>
      <w:r w:rsidRPr="00E13D3B">
        <w:rPr>
          <w:rFonts w:eastAsia="Times New Roman" w:cstheme="minorHAnsi"/>
          <w:bCs/>
        </w:rPr>
        <w:t xml:space="preserve"> for IFAs and Other Cost Sharing Agreements</w:t>
      </w:r>
    </w:p>
    <w:p w14:paraId="51FADC3F" w14:textId="77777777" w:rsidR="007272B9" w:rsidRPr="00E13D3B" w:rsidRDefault="007272B9" w:rsidP="00076336">
      <w:pPr>
        <w:pStyle w:val="ListParagraph"/>
        <w:numPr>
          <w:ilvl w:val="2"/>
          <w:numId w:val="11"/>
        </w:numPr>
        <w:spacing w:before="80" w:after="0"/>
        <w:rPr>
          <w:rFonts w:eastAsia="Times New Roman" w:cstheme="minorHAnsi"/>
          <w:bCs/>
        </w:rPr>
      </w:pPr>
      <w:r w:rsidRPr="00E13D3B">
        <w:rPr>
          <w:rFonts w:eastAsia="Times New Roman" w:cstheme="minorHAnsi"/>
          <w:bCs/>
        </w:rPr>
        <w:t xml:space="preserve">Resources on the GPS ION Site </w:t>
      </w:r>
    </w:p>
    <w:p w14:paraId="1FE043FE" w14:textId="77777777" w:rsidR="007272B9" w:rsidRPr="00E13D3B" w:rsidRDefault="00366D34" w:rsidP="00076336">
      <w:pPr>
        <w:pStyle w:val="ListParagraph"/>
        <w:numPr>
          <w:ilvl w:val="3"/>
          <w:numId w:val="11"/>
        </w:numPr>
        <w:spacing w:before="80" w:after="0"/>
        <w:rPr>
          <w:rFonts w:eastAsia="Times New Roman" w:cstheme="minorHAnsi"/>
          <w:bCs/>
        </w:rPr>
      </w:pPr>
      <w:hyperlink r:id="rId268" w:tgtFrame="_blank" w:history="1">
        <w:r w:rsidR="007272B9" w:rsidRPr="00E13D3B">
          <w:rPr>
            <w:rStyle w:val="Hyperlink"/>
            <w:rFonts w:eastAsia="Times New Roman" w:cstheme="minorHAnsi"/>
            <w:bCs/>
          </w:rPr>
          <w:t>WIOA Wednesday - Memorandum of Understanding (MOU) Part I: Overview &amp; Development</w:t>
        </w:r>
      </w:hyperlink>
    </w:p>
    <w:p w14:paraId="799D1859" w14:textId="77777777" w:rsidR="007272B9" w:rsidRPr="00E13D3B" w:rsidRDefault="00366D34" w:rsidP="00076336">
      <w:pPr>
        <w:pStyle w:val="ListParagraph"/>
        <w:numPr>
          <w:ilvl w:val="3"/>
          <w:numId w:val="11"/>
        </w:numPr>
        <w:spacing w:before="80" w:after="0"/>
        <w:rPr>
          <w:rFonts w:eastAsia="Times New Roman" w:cstheme="minorHAnsi"/>
          <w:bCs/>
        </w:rPr>
      </w:pPr>
      <w:hyperlink r:id="rId269" w:tgtFrame="_blank" w:history="1">
        <w:r w:rsidR="007272B9" w:rsidRPr="00E13D3B">
          <w:rPr>
            <w:rStyle w:val="Hyperlink"/>
            <w:rFonts w:eastAsia="Times New Roman" w:cstheme="minorHAnsi"/>
            <w:bCs/>
          </w:rPr>
          <w:t>WIOA Wednesday - Memorandum of Understanding (MOU) Part II: Local vs. State Funding Mechanism</w:t>
        </w:r>
      </w:hyperlink>
    </w:p>
    <w:p w14:paraId="1ABC0D90" w14:textId="77777777" w:rsidR="007272B9" w:rsidRPr="00E13D3B" w:rsidRDefault="00366D34" w:rsidP="00076336">
      <w:pPr>
        <w:pStyle w:val="ListParagraph"/>
        <w:numPr>
          <w:ilvl w:val="3"/>
          <w:numId w:val="11"/>
        </w:numPr>
        <w:spacing w:before="80" w:after="0"/>
        <w:rPr>
          <w:rFonts w:eastAsia="Times New Roman" w:cstheme="minorHAnsi"/>
          <w:bCs/>
        </w:rPr>
      </w:pPr>
      <w:hyperlink r:id="rId270" w:tgtFrame="_blank" w:history="1">
        <w:r w:rsidR="007272B9" w:rsidRPr="00E13D3B">
          <w:rPr>
            <w:rStyle w:val="Hyperlink"/>
            <w:rFonts w:eastAsia="Times New Roman" w:cstheme="minorHAnsi"/>
            <w:bCs/>
          </w:rPr>
          <w:t>WIOA Wednesday - Infrastructure Part III: Wisconsin's Cost Database</w:t>
        </w:r>
      </w:hyperlink>
    </w:p>
    <w:p w14:paraId="3B611146" w14:textId="77777777" w:rsidR="007272B9" w:rsidRPr="00E13D3B" w:rsidRDefault="00366D34" w:rsidP="00076336">
      <w:pPr>
        <w:pStyle w:val="ListParagraph"/>
        <w:numPr>
          <w:ilvl w:val="2"/>
          <w:numId w:val="11"/>
        </w:numPr>
        <w:spacing w:before="80" w:after="0"/>
        <w:rPr>
          <w:rFonts w:eastAsia="Times New Roman" w:cstheme="minorHAnsi"/>
          <w:bCs/>
        </w:rPr>
      </w:pPr>
      <w:hyperlink r:id="rId271" w:tgtFrame="_blank" w:history="1">
        <w:r w:rsidR="007272B9" w:rsidRPr="00E13D3B">
          <w:rPr>
            <w:rStyle w:val="Hyperlink"/>
            <w:rFonts w:eastAsia="Times New Roman" w:cstheme="minorHAnsi"/>
            <w:bCs/>
          </w:rPr>
          <w:t>Sharing American Job Center Costs Using “Customer Count”: One Approach to Cost Allocation Under WIOA</w:t>
        </w:r>
      </w:hyperlink>
    </w:p>
    <w:p w14:paraId="15E07A9B" w14:textId="77777777" w:rsidR="007272B9" w:rsidRPr="00E13D3B" w:rsidRDefault="00366D34" w:rsidP="00076336">
      <w:pPr>
        <w:pStyle w:val="ListParagraph"/>
        <w:numPr>
          <w:ilvl w:val="2"/>
          <w:numId w:val="11"/>
        </w:numPr>
        <w:spacing w:before="80" w:after="0"/>
        <w:rPr>
          <w:rFonts w:eastAsia="Times New Roman" w:cstheme="minorHAnsi"/>
          <w:bCs/>
        </w:rPr>
      </w:pPr>
      <w:hyperlink r:id="rId272" w:tgtFrame="_blank" w:history="1">
        <w:r w:rsidR="007272B9" w:rsidRPr="00E13D3B">
          <w:rPr>
            <w:rStyle w:val="Hyperlink"/>
            <w:rFonts w:eastAsia="Times New Roman" w:cstheme="minorHAnsi"/>
            <w:bCs/>
          </w:rPr>
          <w:t>Model Cooperative Agreements Between VR Agency and Medicaid, Mental Health, and Intellectual and Developmental Disabilities Agencies</w:t>
        </w:r>
      </w:hyperlink>
    </w:p>
    <w:p w14:paraId="5FCC4D6B" w14:textId="77777777" w:rsidR="007272B9" w:rsidRPr="00E13D3B" w:rsidRDefault="007272B9" w:rsidP="00076336">
      <w:pPr>
        <w:pStyle w:val="ListParagraph"/>
        <w:numPr>
          <w:ilvl w:val="2"/>
          <w:numId w:val="11"/>
        </w:numPr>
        <w:spacing w:before="80" w:after="0"/>
        <w:rPr>
          <w:rFonts w:eastAsia="Times New Roman" w:cstheme="minorHAnsi"/>
          <w:bCs/>
        </w:rPr>
      </w:pPr>
      <w:r w:rsidRPr="00E13D3B">
        <w:rPr>
          <w:rFonts w:eastAsia="Times New Roman" w:cstheme="minorHAnsi"/>
          <w:bCs/>
        </w:rPr>
        <w:t>State VR agencies agreement</w:t>
      </w:r>
      <w:r>
        <w:rPr>
          <w:rFonts w:eastAsia="Times New Roman" w:cstheme="minorHAnsi"/>
          <w:bCs/>
        </w:rPr>
        <w:t>s</w:t>
      </w:r>
      <w:r w:rsidRPr="00E13D3B">
        <w:rPr>
          <w:rFonts w:eastAsia="Times New Roman" w:cstheme="minorHAnsi"/>
          <w:bCs/>
        </w:rPr>
        <w:t xml:space="preserve"> with American Indian Vocational Rehabilitation Services grant recipient</w:t>
      </w:r>
      <w:r>
        <w:rPr>
          <w:rFonts w:eastAsia="Times New Roman" w:cstheme="minorHAnsi"/>
          <w:bCs/>
        </w:rPr>
        <w:t>s</w:t>
      </w:r>
      <w:r w:rsidRPr="00E13D3B">
        <w:rPr>
          <w:rFonts w:eastAsia="Times New Roman" w:cstheme="minorHAnsi"/>
          <w:bCs/>
        </w:rPr>
        <w:t xml:space="preserve">. This </w:t>
      </w:r>
      <w:hyperlink r:id="rId273" w:tgtFrame="_blank" w:history="1">
        <w:r w:rsidRPr="00E13D3B">
          <w:rPr>
            <w:rStyle w:val="Hyperlink"/>
            <w:rFonts w:eastAsia="Times New Roman" w:cstheme="minorHAnsi"/>
            <w:bCs/>
          </w:rPr>
          <w:t>language</w:t>
        </w:r>
      </w:hyperlink>
      <w:r w:rsidRPr="00E13D3B">
        <w:rPr>
          <w:rFonts w:eastAsia="Times New Roman" w:cstheme="minorHAnsi"/>
          <w:bCs/>
        </w:rPr>
        <w:t xml:space="preserve"> describes what is required.</w:t>
      </w:r>
    </w:p>
    <w:p w14:paraId="3BC2FC28" w14:textId="77777777" w:rsidR="007272B9" w:rsidRPr="00E13D3B" w:rsidRDefault="007272B9" w:rsidP="00076336">
      <w:pPr>
        <w:pStyle w:val="ListParagraph"/>
        <w:numPr>
          <w:ilvl w:val="1"/>
          <w:numId w:val="11"/>
        </w:numPr>
        <w:spacing w:before="80" w:after="0"/>
        <w:rPr>
          <w:rFonts w:eastAsia="Times New Roman" w:cstheme="minorHAnsi"/>
          <w:bCs/>
        </w:rPr>
      </w:pPr>
      <w:r w:rsidRPr="00E13D3B">
        <w:rPr>
          <w:rFonts w:eastAsia="Times New Roman" w:cstheme="minorHAnsi"/>
          <w:bCs/>
        </w:rPr>
        <w:t>Data Sharing Agreements</w:t>
      </w:r>
    </w:p>
    <w:p w14:paraId="42504ECB" w14:textId="77777777" w:rsidR="007272B9" w:rsidRPr="00E13D3B" w:rsidRDefault="007272B9" w:rsidP="00076336">
      <w:pPr>
        <w:pStyle w:val="ListParagraph"/>
        <w:numPr>
          <w:ilvl w:val="2"/>
          <w:numId w:val="11"/>
        </w:numPr>
        <w:spacing w:before="80" w:after="0"/>
        <w:rPr>
          <w:rFonts w:eastAsia="Times New Roman" w:cstheme="minorHAnsi"/>
          <w:bCs/>
        </w:rPr>
      </w:pPr>
      <w:r w:rsidRPr="00E13D3B">
        <w:rPr>
          <w:rFonts w:eastAsia="Times New Roman" w:cstheme="minorHAnsi"/>
          <w:bCs/>
          <w:i/>
          <w:iCs/>
        </w:rPr>
        <w:t xml:space="preserve">This </w:t>
      </w:r>
      <w:hyperlink r:id="rId274" w:tgtFrame="_blank" w:history="1">
        <w:r w:rsidRPr="00E13D3B">
          <w:rPr>
            <w:rStyle w:val="Hyperlink"/>
            <w:rFonts w:eastAsia="Times New Roman" w:cstheme="minorHAnsi"/>
            <w:bCs/>
            <w:i/>
            <w:iCs/>
          </w:rPr>
          <w:t xml:space="preserve">Toolkit </w:t>
        </w:r>
      </w:hyperlink>
      <w:r w:rsidRPr="00E13D3B">
        <w:rPr>
          <w:rFonts w:eastAsia="Times New Roman" w:cstheme="minorHAnsi"/>
          <w:bCs/>
          <w:i/>
          <w:iCs/>
        </w:rPr>
        <w:t>was developed by WINTAC staff with input from RSA and through discussions with state representatives facilitated by CSAVR</w:t>
      </w:r>
      <w:r w:rsidRPr="00E13D3B">
        <w:rPr>
          <w:rFonts w:eastAsia="Times New Roman" w:cstheme="minorHAnsi"/>
          <w:bCs/>
        </w:rPr>
        <w:t>.</w:t>
      </w:r>
    </w:p>
    <w:p w14:paraId="1DEB876F" w14:textId="77777777" w:rsidR="007272B9" w:rsidRPr="00E13D3B" w:rsidRDefault="007272B9" w:rsidP="00076336">
      <w:pPr>
        <w:pStyle w:val="ListParagraph"/>
        <w:numPr>
          <w:ilvl w:val="2"/>
          <w:numId w:val="11"/>
        </w:numPr>
        <w:spacing w:before="80" w:after="0"/>
        <w:rPr>
          <w:rFonts w:eastAsia="Times New Roman" w:cstheme="minorHAnsi"/>
          <w:bCs/>
        </w:rPr>
      </w:pPr>
      <w:r w:rsidRPr="00E13D3B">
        <w:rPr>
          <w:rFonts w:eastAsia="Times New Roman" w:cstheme="minorHAnsi"/>
          <w:bCs/>
          <w:i/>
          <w:iCs/>
        </w:rPr>
        <w:t xml:space="preserve">This </w:t>
      </w:r>
      <w:hyperlink r:id="rId275" w:tgtFrame="_blank" w:history="1">
        <w:r w:rsidRPr="00E13D3B">
          <w:rPr>
            <w:rStyle w:val="Hyperlink"/>
            <w:rFonts w:eastAsia="Times New Roman" w:cstheme="minorHAnsi"/>
            <w:bCs/>
            <w:i/>
            <w:iCs/>
          </w:rPr>
          <w:t>joint guidance</w:t>
        </w:r>
      </w:hyperlink>
      <w:r w:rsidRPr="00E13D3B">
        <w:rPr>
          <w:rFonts w:eastAsia="Times New Roman" w:cstheme="minorHAnsi"/>
          <w:bCs/>
          <w:i/>
          <w:iCs/>
        </w:rPr>
        <w:t xml:space="preserve"> by the U.S. Departments of Labor and Education</w:t>
      </w:r>
      <w:r>
        <w:rPr>
          <w:rFonts w:eastAsia="Times New Roman" w:cstheme="minorHAnsi"/>
          <w:bCs/>
          <w:i/>
          <w:iCs/>
        </w:rPr>
        <w:t>.</w:t>
      </w:r>
    </w:p>
    <w:p w14:paraId="6FB75DF3" w14:textId="77777777" w:rsidR="007272B9" w:rsidRPr="00E13D3B" w:rsidRDefault="007272B9" w:rsidP="00076336">
      <w:pPr>
        <w:pStyle w:val="ListParagraph"/>
        <w:numPr>
          <w:ilvl w:val="1"/>
          <w:numId w:val="11"/>
        </w:numPr>
        <w:spacing w:before="80" w:after="0"/>
        <w:rPr>
          <w:rFonts w:eastAsia="Times New Roman" w:cstheme="minorHAnsi"/>
          <w:bCs/>
        </w:rPr>
      </w:pPr>
      <w:r w:rsidRPr="00E13D3B">
        <w:rPr>
          <w:rFonts w:eastAsia="Times New Roman" w:cstheme="minorHAnsi"/>
          <w:bCs/>
        </w:rPr>
        <w:t>Partnership Plus Agreements</w:t>
      </w:r>
    </w:p>
    <w:p w14:paraId="689C2F0F" w14:textId="77777777" w:rsidR="007272B9" w:rsidRPr="00E13D3B" w:rsidRDefault="00366D34" w:rsidP="00076336">
      <w:pPr>
        <w:pStyle w:val="ListParagraph"/>
        <w:numPr>
          <w:ilvl w:val="2"/>
          <w:numId w:val="11"/>
        </w:numPr>
        <w:spacing w:before="80" w:after="0"/>
        <w:rPr>
          <w:rFonts w:eastAsia="Times New Roman" w:cstheme="minorHAnsi"/>
          <w:bCs/>
        </w:rPr>
      </w:pPr>
      <w:hyperlink r:id="rId276" w:tgtFrame="_blank" w:history="1">
        <w:r w:rsidR="007272B9" w:rsidRPr="00E13D3B">
          <w:rPr>
            <w:rStyle w:val="Hyperlink"/>
            <w:rFonts w:eastAsia="Times New Roman" w:cstheme="minorHAnsi"/>
            <w:bCs/>
          </w:rPr>
          <w:t>Ticket to Work FAQs</w:t>
        </w:r>
      </w:hyperlink>
      <w:r w:rsidR="007272B9" w:rsidRPr="00844C62">
        <w:rPr>
          <w:rFonts w:eastAsia="Times New Roman" w:cstheme="minorHAnsi"/>
          <w:bCs/>
        </w:rPr>
        <w:t xml:space="preserve"> (</w:t>
      </w:r>
      <w:hyperlink r:id="rId277" w:tgtFrame="_blank" w:history="1">
        <w:r w:rsidR="007272B9" w:rsidRPr="00E13D3B">
          <w:rPr>
            <w:rStyle w:val="Hyperlink"/>
            <w:rFonts w:eastAsia="Times New Roman" w:cstheme="minorHAnsi"/>
            <w:bCs/>
          </w:rPr>
          <w:t>Abbreviated version</w:t>
        </w:r>
      </w:hyperlink>
      <w:r w:rsidR="007272B9">
        <w:rPr>
          <w:rFonts w:eastAsia="Times New Roman" w:cstheme="minorHAnsi"/>
          <w:bCs/>
        </w:rPr>
        <w:t>)</w:t>
      </w:r>
    </w:p>
    <w:p w14:paraId="4AC62EFC" w14:textId="77777777" w:rsidR="007272B9" w:rsidRPr="00E13D3B" w:rsidRDefault="00366D34" w:rsidP="00076336">
      <w:pPr>
        <w:pStyle w:val="ListParagraph"/>
        <w:numPr>
          <w:ilvl w:val="2"/>
          <w:numId w:val="11"/>
        </w:numPr>
        <w:spacing w:before="80" w:after="0"/>
        <w:rPr>
          <w:rFonts w:eastAsia="Times New Roman" w:cstheme="minorHAnsi"/>
          <w:bCs/>
        </w:rPr>
      </w:pPr>
      <w:hyperlink r:id="rId278" w:tgtFrame="_blank" w:history="1">
        <w:r w:rsidR="007272B9" w:rsidRPr="00E13D3B">
          <w:rPr>
            <w:rStyle w:val="Hyperlink"/>
            <w:rFonts w:eastAsia="Times New Roman" w:cstheme="minorHAnsi"/>
            <w:bCs/>
          </w:rPr>
          <w:t>Partnership Plus and Ticket Assignment Chart</w:t>
        </w:r>
      </w:hyperlink>
    </w:p>
    <w:p w14:paraId="30055FE6" w14:textId="77777777" w:rsidR="007272B9" w:rsidRPr="00E13D3B" w:rsidRDefault="00366D34" w:rsidP="00076336">
      <w:pPr>
        <w:pStyle w:val="ListParagraph"/>
        <w:numPr>
          <w:ilvl w:val="2"/>
          <w:numId w:val="11"/>
        </w:numPr>
        <w:spacing w:before="80" w:after="0"/>
        <w:rPr>
          <w:rFonts w:eastAsia="Times New Roman" w:cstheme="minorHAnsi"/>
          <w:bCs/>
        </w:rPr>
      </w:pPr>
      <w:hyperlink r:id="rId279" w:tgtFrame="_blank" w:history="1">
        <w:r w:rsidR="007272B9" w:rsidRPr="00E13D3B">
          <w:rPr>
            <w:rStyle w:val="Hyperlink"/>
            <w:rFonts w:eastAsia="Times New Roman" w:cstheme="minorHAnsi"/>
            <w:bCs/>
          </w:rPr>
          <w:t>Ticket Payment Chart</w:t>
        </w:r>
      </w:hyperlink>
      <w:r w:rsidR="007272B9" w:rsidRPr="00844C62">
        <w:rPr>
          <w:rFonts w:eastAsia="Times New Roman" w:cstheme="minorHAnsi"/>
          <w:bCs/>
        </w:rPr>
        <w:t xml:space="preserve"> and </w:t>
      </w:r>
      <w:r w:rsidR="007272B9" w:rsidRPr="00E13D3B">
        <w:rPr>
          <w:rFonts w:eastAsia="Times New Roman" w:cstheme="minorHAnsi"/>
          <w:bCs/>
        </w:rPr>
        <w:t>Examples</w:t>
      </w:r>
      <w:r w:rsidR="007272B9" w:rsidRPr="00844C62">
        <w:rPr>
          <w:rFonts w:eastAsia="Times New Roman" w:cstheme="minorHAnsi"/>
          <w:bCs/>
        </w:rPr>
        <w:t xml:space="preserve">: </w:t>
      </w:r>
      <w:hyperlink r:id="rId280" w:tgtFrame="_blank" w:history="1">
        <w:r w:rsidR="007272B9" w:rsidRPr="00E13D3B">
          <w:rPr>
            <w:rStyle w:val="Hyperlink"/>
            <w:rFonts w:eastAsia="Times New Roman" w:cstheme="minorHAnsi"/>
            <w:bCs/>
          </w:rPr>
          <w:t>Alaska</w:t>
        </w:r>
      </w:hyperlink>
      <w:r w:rsidR="007272B9" w:rsidRPr="00844C62">
        <w:rPr>
          <w:rFonts w:eastAsia="Times New Roman" w:cstheme="minorHAnsi"/>
          <w:bCs/>
        </w:rPr>
        <w:t xml:space="preserve"> and </w:t>
      </w:r>
      <w:hyperlink r:id="rId281" w:tgtFrame="_blank" w:history="1">
        <w:r w:rsidR="007272B9" w:rsidRPr="00E13D3B">
          <w:rPr>
            <w:rStyle w:val="Hyperlink"/>
            <w:rFonts w:eastAsia="Times New Roman" w:cstheme="minorHAnsi"/>
            <w:bCs/>
          </w:rPr>
          <w:t>Iowa</w:t>
        </w:r>
      </w:hyperlink>
    </w:p>
    <w:p w14:paraId="593CD90A" w14:textId="77777777" w:rsidR="007272B9" w:rsidRPr="00E13D3B" w:rsidRDefault="007272B9" w:rsidP="00076336">
      <w:pPr>
        <w:pStyle w:val="ListParagraph"/>
        <w:numPr>
          <w:ilvl w:val="0"/>
          <w:numId w:val="11"/>
        </w:numPr>
        <w:spacing w:before="80" w:after="0"/>
        <w:rPr>
          <w:rFonts w:eastAsia="Times New Roman" w:cstheme="minorHAnsi"/>
          <w:b/>
        </w:rPr>
      </w:pPr>
      <w:bookmarkStart w:id="63" w:name="job_seeker_services"/>
      <w:bookmarkEnd w:id="63"/>
      <w:r w:rsidRPr="00E13D3B">
        <w:rPr>
          <w:rFonts w:eastAsia="Times New Roman" w:cstheme="minorHAnsi"/>
          <w:b/>
        </w:rPr>
        <w:t>Job Seeker Services</w:t>
      </w:r>
    </w:p>
    <w:p w14:paraId="0E5F3059" w14:textId="77777777" w:rsidR="007272B9" w:rsidRPr="00E13D3B" w:rsidRDefault="007272B9" w:rsidP="00076336">
      <w:pPr>
        <w:pStyle w:val="ListParagraph"/>
        <w:numPr>
          <w:ilvl w:val="1"/>
          <w:numId w:val="11"/>
        </w:numPr>
        <w:spacing w:before="80" w:after="0"/>
        <w:rPr>
          <w:rFonts w:eastAsia="Times New Roman" w:cstheme="minorHAnsi"/>
          <w:bCs/>
        </w:rPr>
      </w:pPr>
      <w:r w:rsidRPr="00E13D3B">
        <w:rPr>
          <w:rFonts w:eastAsia="Times New Roman" w:cstheme="minorHAnsi"/>
          <w:bCs/>
        </w:rPr>
        <w:t xml:space="preserve">The </w:t>
      </w:r>
      <w:hyperlink r:id="rId282" w:tgtFrame="_blank" w:history="1">
        <w:r w:rsidRPr="00E13D3B">
          <w:rPr>
            <w:rStyle w:val="Hyperlink"/>
            <w:rFonts w:eastAsia="Times New Roman" w:cstheme="minorHAnsi"/>
            <w:bCs/>
          </w:rPr>
          <w:t>Basic Financial Assessment Tool</w:t>
        </w:r>
      </w:hyperlink>
      <w:r w:rsidRPr="00E13D3B">
        <w:rPr>
          <w:rFonts w:eastAsia="Times New Roman" w:cstheme="minorHAnsi"/>
          <w:bCs/>
        </w:rPr>
        <w:t xml:space="preserve"> is a tool that Career Counselors and other AJC staff can use in assessing a job seeker’s financial situation and awareness.</w:t>
      </w:r>
    </w:p>
    <w:p w14:paraId="74CE8665" w14:textId="77777777" w:rsidR="007272B9" w:rsidRPr="00E13D3B" w:rsidRDefault="00366D34" w:rsidP="00076336">
      <w:pPr>
        <w:pStyle w:val="ListParagraph"/>
        <w:numPr>
          <w:ilvl w:val="1"/>
          <w:numId w:val="11"/>
        </w:numPr>
        <w:spacing w:before="80" w:after="0"/>
        <w:rPr>
          <w:rFonts w:eastAsia="Times New Roman" w:cstheme="minorHAnsi"/>
          <w:bCs/>
        </w:rPr>
      </w:pPr>
      <w:hyperlink r:id="rId283" w:anchor="resc-ce" w:history="1">
        <w:r w:rsidR="007272B9" w:rsidRPr="00E13D3B">
          <w:rPr>
            <w:rStyle w:val="Hyperlink"/>
            <w:rFonts w:eastAsia="Times New Roman" w:cstheme="minorHAnsi"/>
            <w:bCs/>
          </w:rPr>
          <w:t>Customized Employment</w:t>
        </w:r>
      </w:hyperlink>
    </w:p>
    <w:p w14:paraId="3206B625" w14:textId="77777777" w:rsidR="007272B9" w:rsidRPr="00B33425" w:rsidRDefault="007272B9" w:rsidP="00076336">
      <w:pPr>
        <w:pStyle w:val="ListParagraph"/>
        <w:numPr>
          <w:ilvl w:val="1"/>
          <w:numId w:val="11"/>
        </w:numPr>
        <w:spacing w:before="80" w:after="0"/>
        <w:rPr>
          <w:rFonts w:eastAsia="Times New Roman" w:cstheme="minorHAnsi"/>
          <w:bCs/>
        </w:rPr>
      </w:pPr>
      <w:r w:rsidRPr="00E13D3B">
        <w:rPr>
          <w:rFonts w:eastAsia="Times New Roman" w:cstheme="minorHAnsi"/>
          <w:bCs/>
        </w:rPr>
        <w:t xml:space="preserve">An </w:t>
      </w:r>
      <w:hyperlink r:id="rId284" w:tgtFrame="_blank" w:history="1">
        <w:r w:rsidRPr="00E13D3B">
          <w:rPr>
            <w:rStyle w:val="Hyperlink"/>
            <w:rFonts w:eastAsia="Times New Roman" w:cstheme="minorHAnsi"/>
            <w:bCs/>
          </w:rPr>
          <w:t>Integrated Resource Team (IRT)</w:t>
        </w:r>
      </w:hyperlink>
      <w:r w:rsidRPr="00E13D3B">
        <w:rPr>
          <w:rFonts w:eastAsia="Times New Roman" w:cstheme="minorHAnsi"/>
          <w:bCs/>
        </w:rPr>
        <w:t xml:space="preserve">is used effectively in many Virginia AJCs as a structure for sharing customers in Career Pathway activity. </w:t>
      </w:r>
    </w:p>
    <w:p w14:paraId="4686812F" w14:textId="77777777" w:rsidR="007272B9" w:rsidRPr="00E13D3B" w:rsidRDefault="00366D34" w:rsidP="00076336">
      <w:pPr>
        <w:pStyle w:val="ListParagraph"/>
        <w:numPr>
          <w:ilvl w:val="1"/>
          <w:numId w:val="11"/>
        </w:numPr>
        <w:spacing w:before="80" w:after="0"/>
        <w:rPr>
          <w:rFonts w:eastAsia="Times New Roman" w:cstheme="minorHAnsi"/>
          <w:bCs/>
        </w:rPr>
      </w:pPr>
      <w:hyperlink r:id="rId285" w:tgtFrame="_blank" w:history="1">
        <w:r w:rsidR="007272B9" w:rsidRPr="00E13D3B">
          <w:rPr>
            <w:rStyle w:val="Hyperlink"/>
            <w:rFonts w:eastAsia="Times New Roman" w:cstheme="minorHAnsi"/>
            <w:bCs/>
          </w:rPr>
          <w:t>Integrated service delivery</w:t>
        </w:r>
      </w:hyperlink>
    </w:p>
    <w:p w14:paraId="3116B673" w14:textId="77777777" w:rsidR="007272B9" w:rsidRPr="00E13D3B" w:rsidRDefault="00366D34" w:rsidP="00076336">
      <w:pPr>
        <w:pStyle w:val="ListParagraph"/>
        <w:numPr>
          <w:ilvl w:val="1"/>
          <w:numId w:val="11"/>
        </w:numPr>
        <w:spacing w:before="80" w:after="0"/>
        <w:rPr>
          <w:rFonts w:eastAsia="Times New Roman" w:cstheme="minorHAnsi"/>
          <w:bCs/>
        </w:rPr>
      </w:pPr>
      <w:hyperlink r:id="rId286" w:tgtFrame="_blank" w:history="1">
        <w:r w:rsidR="007272B9" w:rsidRPr="00E13D3B">
          <w:rPr>
            <w:rStyle w:val="Hyperlink"/>
            <w:rFonts w:eastAsia="Times New Roman" w:cstheme="minorHAnsi"/>
            <w:bCs/>
          </w:rPr>
          <w:t>Opening Doors</w:t>
        </w:r>
      </w:hyperlink>
    </w:p>
    <w:p w14:paraId="4F623377" w14:textId="77777777" w:rsidR="007272B9" w:rsidRPr="00E13D3B" w:rsidRDefault="007272B9" w:rsidP="00076336">
      <w:pPr>
        <w:pStyle w:val="ListParagraph"/>
        <w:numPr>
          <w:ilvl w:val="1"/>
          <w:numId w:val="11"/>
        </w:numPr>
        <w:spacing w:before="80" w:after="0"/>
        <w:rPr>
          <w:rFonts w:eastAsia="Times New Roman" w:cstheme="minorHAnsi"/>
          <w:bCs/>
        </w:rPr>
      </w:pPr>
      <w:r w:rsidRPr="00E13D3B">
        <w:rPr>
          <w:rFonts w:eastAsia="Times New Roman" w:cstheme="minorHAnsi"/>
          <w:bCs/>
        </w:rPr>
        <w:t xml:space="preserve">These </w:t>
      </w:r>
      <w:hyperlink r:id="rId287" w:history="1">
        <w:r w:rsidRPr="00E13D3B">
          <w:rPr>
            <w:rStyle w:val="Hyperlink"/>
            <w:rFonts w:eastAsia="Times New Roman" w:cstheme="minorHAnsi"/>
            <w:bCs/>
          </w:rPr>
          <w:t>regulations</w:t>
        </w:r>
      </w:hyperlink>
      <w:r w:rsidRPr="00E13D3B">
        <w:rPr>
          <w:rFonts w:eastAsia="Times New Roman" w:cstheme="minorHAnsi"/>
          <w:bCs/>
        </w:rPr>
        <w:t xml:space="preserve"> apply to Career Services in an American Job Center.</w:t>
      </w:r>
    </w:p>
    <w:p w14:paraId="055D4655" w14:textId="77777777" w:rsidR="007272B9" w:rsidRPr="00E13D3B" w:rsidRDefault="007272B9" w:rsidP="00076336">
      <w:pPr>
        <w:pStyle w:val="ListParagraph"/>
        <w:numPr>
          <w:ilvl w:val="1"/>
          <w:numId w:val="11"/>
        </w:numPr>
        <w:spacing w:before="80" w:after="0"/>
        <w:rPr>
          <w:rFonts w:eastAsia="Times New Roman" w:cstheme="minorHAnsi"/>
          <w:bCs/>
        </w:rPr>
      </w:pPr>
      <w:r w:rsidRPr="00E13D3B">
        <w:rPr>
          <w:rFonts w:eastAsia="Times New Roman" w:cstheme="minorHAnsi"/>
          <w:bCs/>
        </w:rPr>
        <w:t xml:space="preserve">“Hello. Is Anybody Here?” A Support for Workforce Partners in Including Job Seekers that are Blind and Visually Impaired in AJC Services” </w:t>
      </w:r>
    </w:p>
    <w:p w14:paraId="665FE625" w14:textId="77777777" w:rsidR="007272B9" w:rsidRPr="00E13D3B" w:rsidRDefault="00366D34" w:rsidP="00076336">
      <w:pPr>
        <w:pStyle w:val="ListParagraph"/>
        <w:numPr>
          <w:ilvl w:val="2"/>
          <w:numId w:val="11"/>
        </w:numPr>
        <w:spacing w:before="80" w:after="0"/>
        <w:rPr>
          <w:rFonts w:eastAsia="Times New Roman" w:cstheme="minorHAnsi"/>
          <w:bCs/>
        </w:rPr>
      </w:pPr>
      <w:hyperlink r:id="rId288" w:tgtFrame="_blank" w:history="1">
        <w:r w:rsidR="007272B9" w:rsidRPr="00E13D3B">
          <w:rPr>
            <w:rStyle w:val="Hyperlink"/>
            <w:rFonts w:eastAsia="Times New Roman" w:cstheme="minorHAnsi"/>
            <w:bCs/>
          </w:rPr>
          <w:t>Videos of Training Simulation</w:t>
        </w:r>
      </w:hyperlink>
    </w:p>
    <w:p w14:paraId="080D0D49" w14:textId="77777777" w:rsidR="007272B9" w:rsidRPr="00E13D3B" w:rsidRDefault="00366D34" w:rsidP="00076336">
      <w:pPr>
        <w:pStyle w:val="ListParagraph"/>
        <w:numPr>
          <w:ilvl w:val="2"/>
          <w:numId w:val="11"/>
        </w:numPr>
        <w:spacing w:before="80" w:after="0"/>
        <w:rPr>
          <w:rFonts w:eastAsia="Times New Roman" w:cstheme="minorHAnsi"/>
          <w:bCs/>
        </w:rPr>
      </w:pPr>
      <w:hyperlink r:id="rId289" w:tgtFrame="_blank" w:history="1">
        <w:r w:rsidR="007272B9" w:rsidRPr="00E13D3B">
          <w:rPr>
            <w:rStyle w:val="Hyperlink"/>
            <w:rFonts w:eastAsia="Times New Roman" w:cstheme="minorHAnsi"/>
            <w:bCs/>
          </w:rPr>
          <w:t>Videos of Training with Descriptive Narration</w:t>
        </w:r>
      </w:hyperlink>
    </w:p>
    <w:p w14:paraId="77C355F3" w14:textId="77777777" w:rsidR="007272B9" w:rsidRPr="00E13D3B" w:rsidRDefault="00366D34" w:rsidP="00076336">
      <w:pPr>
        <w:pStyle w:val="ListParagraph"/>
        <w:numPr>
          <w:ilvl w:val="2"/>
          <w:numId w:val="11"/>
        </w:numPr>
        <w:spacing w:before="80" w:after="0"/>
        <w:rPr>
          <w:rFonts w:eastAsia="Times New Roman" w:cstheme="minorHAnsi"/>
          <w:bCs/>
        </w:rPr>
      </w:pPr>
      <w:hyperlink r:id="rId290" w:tgtFrame="_blank" w:history="1">
        <w:r w:rsidR="007272B9" w:rsidRPr="00E13D3B">
          <w:rPr>
            <w:rStyle w:val="Hyperlink"/>
            <w:rFonts w:eastAsia="Times New Roman" w:cstheme="minorHAnsi"/>
            <w:bCs/>
          </w:rPr>
          <w:t>Facilitator’s Guide</w:t>
        </w:r>
      </w:hyperlink>
    </w:p>
    <w:p w14:paraId="1BC54078" w14:textId="77777777" w:rsidR="007272B9" w:rsidRPr="00E13D3B" w:rsidRDefault="007272B9" w:rsidP="00076336">
      <w:pPr>
        <w:pStyle w:val="ListParagraph"/>
        <w:numPr>
          <w:ilvl w:val="0"/>
          <w:numId w:val="11"/>
        </w:numPr>
        <w:spacing w:before="80" w:after="0"/>
        <w:rPr>
          <w:rFonts w:eastAsia="Times New Roman" w:cstheme="minorHAnsi"/>
          <w:b/>
        </w:rPr>
      </w:pPr>
      <w:bookmarkStart w:id="64" w:name="business_services"/>
      <w:bookmarkEnd w:id="64"/>
      <w:r w:rsidRPr="00E13D3B">
        <w:rPr>
          <w:rFonts w:eastAsia="Times New Roman" w:cstheme="minorHAnsi"/>
          <w:b/>
        </w:rPr>
        <w:lastRenderedPageBreak/>
        <w:t>Business Service Practices</w:t>
      </w:r>
    </w:p>
    <w:p w14:paraId="7946F25D" w14:textId="77777777" w:rsidR="007272B9" w:rsidRPr="00E13D3B" w:rsidRDefault="007272B9" w:rsidP="00076336">
      <w:pPr>
        <w:pStyle w:val="ListParagraph"/>
        <w:numPr>
          <w:ilvl w:val="1"/>
          <w:numId w:val="11"/>
        </w:numPr>
        <w:spacing w:before="80" w:after="0"/>
        <w:rPr>
          <w:rFonts w:eastAsia="Times New Roman" w:cstheme="minorHAnsi"/>
          <w:bCs/>
        </w:rPr>
      </w:pPr>
      <w:r w:rsidRPr="00E13D3B">
        <w:rPr>
          <w:rFonts w:eastAsia="Times New Roman" w:cstheme="minorHAnsi"/>
          <w:bCs/>
        </w:rPr>
        <w:t xml:space="preserve">WINTAC, JDVRTAC and CSAVR reviewed collaborative business service approaches in a variety of states and facilitated discussion with practitioners nationally. </w:t>
      </w:r>
      <w:hyperlink r:id="rId291" w:tgtFrame="_blank" w:history="1">
        <w:r w:rsidRPr="00E13D3B">
          <w:rPr>
            <w:rStyle w:val="Hyperlink"/>
            <w:rFonts w:eastAsia="Times New Roman" w:cstheme="minorHAnsi"/>
            <w:bCs/>
          </w:rPr>
          <w:t>This summary reviews those practices, and includes recommendations to the field resulting from the Community dialogue</w:t>
        </w:r>
      </w:hyperlink>
      <w:r w:rsidRPr="00E13D3B">
        <w:rPr>
          <w:rFonts w:eastAsia="Times New Roman" w:cstheme="minorHAnsi"/>
          <w:bCs/>
        </w:rPr>
        <w:t xml:space="preserve">. </w:t>
      </w:r>
    </w:p>
    <w:p w14:paraId="31CCD186" w14:textId="77777777" w:rsidR="007272B9" w:rsidRPr="00E13D3B" w:rsidRDefault="00366D34" w:rsidP="00076336">
      <w:pPr>
        <w:pStyle w:val="ListParagraph"/>
        <w:numPr>
          <w:ilvl w:val="1"/>
          <w:numId w:val="11"/>
        </w:numPr>
        <w:spacing w:before="80" w:after="0"/>
        <w:rPr>
          <w:rFonts w:eastAsia="Times New Roman" w:cstheme="minorHAnsi"/>
          <w:bCs/>
        </w:rPr>
      </w:pPr>
      <w:hyperlink r:id="rId292" w:history="1">
        <w:r w:rsidR="007272B9" w:rsidRPr="00E13D3B">
          <w:rPr>
            <w:rStyle w:val="Hyperlink"/>
            <w:rFonts w:eastAsia="Times New Roman" w:cstheme="minorHAnsi"/>
            <w:bCs/>
          </w:rPr>
          <w:t>Click this link for more information about Business Engagement and related resources</w:t>
        </w:r>
      </w:hyperlink>
      <w:r w:rsidR="007272B9" w:rsidRPr="00E13D3B">
        <w:rPr>
          <w:rFonts w:eastAsia="Times New Roman" w:cstheme="minorHAnsi"/>
          <w:bCs/>
        </w:rPr>
        <w:t>.</w:t>
      </w:r>
    </w:p>
    <w:p w14:paraId="198EBF59" w14:textId="77777777" w:rsidR="007272B9" w:rsidRPr="00E13D3B" w:rsidRDefault="007272B9" w:rsidP="00076336">
      <w:pPr>
        <w:pStyle w:val="ListParagraph"/>
        <w:numPr>
          <w:ilvl w:val="1"/>
          <w:numId w:val="11"/>
        </w:numPr>
        <w:spacing w:before="80" w:after="0"/>
        <w:rPr>
          <w:rFonts w:eastAsia="Times New Roman" w:cstheme="minorHAnsi"/>
          <w:bCs/>
        </w:rPr>
      </w:pPr>
      <w:r w:rsidRPr="00E13D3B">
        <w:rPr>
          <w:rFonts w:eastAsia="Times New Roman" w:cstheme="minorHAnsi"/>
          <w:bCs/>
        </w:rPr>
        <w:t xml:space="preserve">Disability Employment Initiative (DEI) -- </w:t>
      </w:r>
      <w:hyperlink r:id="rId293" w:tgtFrame="_blank" w:history="1">
        <w:r w:rsidRPr="00E13D3B">
          <w:rPr>
            <w:rStyle w:val="Hyperlink"/>
            <w:rFonts w:eastAsia="Times New Roman" w:cstheme="minorHAnsi"/>
            <w:bCs/>
          </w:rPr>
          <w:t>Business Engagement CoP</w:t>
        </w:r>
      </w:hyperlink>
    </w:p>
    <w:p w14:paraId="144F7F9E" w14:textId="77777777" w:rsidR="007272B9" w:rsidRPr="00E13D3B" w:rsidRDefault="00366D34" w:rsidP="00076336">
      <w:pPr>
        <w:pStyle w:val="ListParagraph"/>
        <w:numPr>
          <w:ilvl w:val="1"/>
          <w:numId w:val="11"/>
        </w:numPr>
        <w:spacing w:before="80" w:after="0"/>
        <w:rPr>
          <w:rFonts w:eastAsia="Times New Roman" w:cstheme="minorHAnsi"/>
          <w:bCs/>
        </w:rPr>
      </w:pPr>
      <w:hyperlink r:id="rId294" w:tgtFrame="_blank" w:history="1">
        <w:r w:rsidR="007272B9" w:rsidRPr="00E13D3B">
          <w:rPr>
            <w:rStyle w:val="Hyperlink"/>
            <w:rFonts w:eastAsia="Times New Roman" w:cstheme="minorHAnsi"/>
            <w:bCs/>
          </w:rPr>
          <w:t>Resources</w:t>
        </w:r>
      </w:hyperlink>
      <w:r w:rsidR="007272B9" w:rsidRPr="00E13D3B">
        <w:rPr>
          <w:rFonts w:eastAsia="Times New Roman" w:cstheme="minorHAnsi"/>
          <w:bCs/>
        </w:rPr>
        <w:t xml:space="preserve"> through the Job Driven Vocational Rehabilitation Technical Assistance Center</w:t>
      </w:r>
    </w:p>
    <w:p w14:paraId="48DF9269" w14:textId="77777777" w:rsidR="007272B9" w:rsidRPr="00E13D3B" w:rsidRDefault="007272B9" w:rsidP="00076336">
      <w:pPr>
        <w:pStyle w:val="ListParagraph"/>
        <w:numPr>
          <w:ilvl w:val="0"/>
          <w:numId w:val="11"/>
        </w:numPr>
        <w:spacing w:before="80" w:after="0"/>
        <w:rPr>
          <w:rFonts w:eastAsia="Times New Roman" w:cstheme="minorHAnsi"/>
          <w:b/>
        </w:rPr>
      </w:pPr>
      <w:bookmarkStart w:id="65" w:name="financial"/>
      <w:bookmarkEnd w:id="65"/>
      <w:r w:rsidRPr="00E13D3B">
        <w:rPr>
          <w:rFonts w:eastAsia="Times New Roman" w:cstheme="minorHAnsi"/>
          <w:b/>
        </w:rPr>
        <w:t>Financial Literacy</w:t>
      </w:r>
    </w:p>
    <w:p w14:paraId="4400A0F5" w14:textId="77777777" w:rsidR="007272B9" w:rsidRPr="00E13D3B" w:rsidRDefault="007272B9" w:rsidP="00076336">
      <w:pPr>
        <w:pStyle w:val="ListParagraph"/>
        <w:numPr>
          <w:ilvl w:val="1"/>
          <w:numId w:val="11"/>
        </w:numPr>
        <w:spacing w:before="80" w:after="0"/>
        <w:rPr>
          <w:rFonts w:eastAsia="Times New Roman" w:cstheme="minorHAnsi"/>
          <w:bCs/>
        </w:rPr>
      </w:pPr>
      <w:r w:rsidRPr="00E13D3B">
        <w:rPr>
          <w:rFonts w:eastAsia="Times New Roman" w:cstheme="minorHAnsi"/>
          <w:bCs/>
        </w:rPr>
        <w:t xml:space="preserve">An Analysis of the Legislation and Notice of Proposed Rule Making related to </w:t>
      </w:r>
      <w:hyperlink r:id="rId295" w:history="1">
        <w:r w:rsidRPr="00E13D3B">
          <w:rPr>
            <w:rStyle w:val="Hyperlink"/>
            <w:rFonts w:eastAsia="Times New Roman" w:cstheme="minorHAnsi"/>
            <w:bCs/>
          </w:rPr>
          <w:t>Financial Literacy in WIOA</w:t>
        </w:r>
      </w:hyperlink>
    </w:p>
    <w:p w14:paraId="672BB689" w14:textId="77777777" w:rsidR="007272B9" w:rsidRPr="00E13D3B" w:rsidRDefault="00366D34" w:rsidP="00076336">
      <w:pPr>
        <w:pStyle w:val="ListParagraph"/>
        <w:numPr>
          <w:ilvl w:val="1"/>
          <w:numId w:val="11"/>
        </w:numPr>
        <w:spacing w:before="80" w:after="0"/>
        <w:rPr>
          <w:rFonts w:eastAsia="Times New Roman" w:cstheme="minorHAnsi"/>
          <w:bCs/>
        </w:rPr>
      </w:pPr>
      <w:hyperlink r:id="rId296" w:tgtFrame="_blank" w:history="1">
        <w:r w:rsidR="007272B9" w:rsidRPr="00E13D3B">
          <w:rPr>
            <w:rStyle w:val="Hyperlink"/>
            <w:rFonts w:eastAsia="Times New Roman" w:cstheme="minorHAnsi"/>
            <w:bCs/>
          </w:rPr>
          <w:t>Promoting Employment and Economic Advancement: A Toolkit for CILs and AJCs</w:t>
        </w:r>
      </w:hyperlink>
    </w:p>
    <w:p w14:paraId="13069651" w14:textId="77777777" w:rsidR="007272B9" w:rsidRPr="00E13D3B" w:rsidRDefault="007272B9" w:rsidP="00076336">
      <w:pPr>
        <w:pStyle w:val="ListParagraph"/>
        <w:numPr>
          <w:ilvl w:val="1"/>
          <w:numId w:val="11"/>
        </w:numPr>
        <w:spacing w:before="80" w:after="0"/>
        <w:rPr>
          <w:rFonts w:eastAsia="Times New Roman" w:cstheme="minorHAnsi"/>
          <w:bCs/>
        </w:rPr>
      </w:pPr>
      <w:r w:rsidRPr="00E13D3B">
        <w:rPr>
          <w:rFonts w:eastAsia="Times New Roman" w:cstheme="minorHAnsi"/>
          <w:bCs/>
        </w:rPr>
        <w:t xml:space="preserve">LEAD Releases </w:t>
      </w:r>
      <w:hyperlink r:id="rId297" w:tgtFrame="_blank" w:history="1">
        <w:r w:rsidRPr="00E13D3B">
          <w:rPr>
            <w:rStyle w:val="Hyperlink"/>
            <w:rFonts w:eastAsia="Times New Roman" w:cstheme="minorHAnsi"/>
            <w:bCs/>
          </w:rPr>
          <w:t>New Toolkit</w:t>
        </w:r>
      </w:hyperlink>
      <w:r w:rsidRPr="00E13D3B">
        <w:rPr>
          <w:rFonts w:eastAsia="Times New Roman" w:cstheme="minorHAnsi"/>
          <w:bCs/>
        </w:rPr>
        <w:t xml:space="preserve"> to Promote Collaboration between Centers for Independent Living and American Job Centers</w:t>
      </w:r>
    </w:p>
    <w:p w14:paraId="7EC14E28" w14:textId="77777777" w:rsidR="007272B9" w:rsidRPr="00E13D3B" w:rsidRDefault="007272B9" w:rsidP="00076336">
      <w:pPr>
        <w:pStyle w:val="ListParagraph"/>
        <w:numPr>
          <w:ilvl w:val="1"/>
          <w:numId w:val="11"/>
        </w:numPr>
        <w:spacing w:before="80" w:after="0"/>
        <w:rPr>
          <w:rFonts w:eastAsia="Times New Roman" w:cstheme="minorHAnsi"/>
          <w:bCs/>
        </w:rPr>
      </w:pPr>
      <w:r w:rsidRPr="00E13D3B">
        <w:rPr>
          <w:rFonts w:eastAsia="Times New Roman" w:cstheme="minorHAnsi"/>
          <w:bCs/>
        </w:rPr>
        <w:t xml:space="preserve">Building Financial Capability: A </w:t>
      </w:r>
      <w:hyperlink r:id="rId298" w:tgtFrame="_blank" w:history="1">
        <w:r w:rsidRPr="00E13D3B">
          <w:rPr>
            <w:rStyle w:val="Hyperlink"/>
            <w:rFonts w:eastAsia="Times New Roman" w:cstheme="minorHAnsi"/>
            <w:bCs/>
          </w:rPr>
          <w:t>Planning Guide</w:t>
        </w:r>
      </w:hyperlink>
      <w:r w:rsidRPr="00E13D3B">
        <w:rPr>
          <w:rFonts w:eastAsia="Times New Roman" w:cstheme="minorHAnsi"/>
          <w:bCs/>
        </w:rPr>
        <w:t xml:space="preserve"> for Integrated Services</w:t>
      </w:r>
    </w:p>
    <w:p w14:paraId="58E03F3A" w14:textId="77777777" w:rsidR="007272B9" w:rsidRPr="00E13D3B" w:rsidRDefault="00366D34" w:rsidP="00076336">
      <w:pPr>
        <w:pStyle w:val="ListParagraph"/>
        <w:numPr>
          <w:ilvl w:val="1"/>
          <w:numId w:val="11"/>
        </w:numPr>
        <w:spacing w:before="80" w:after="0"/>
        <w:rPr>
          <w:rFonts w:eastAsia="Times New Roman" w:cstheme="minorHAnsi"/>
          <w:bCs/>
        </w:rPr>
      </w:pPr>
      <w:hyperlink r:id="rId299" w:tgtFrame="_blank" w:history="1">
        <w:r w:rsidR="007272B9" w:rsidRPr="00E13D3B">
          <w:rPr>
            <w:rStyle w:val="Hyperlink"/>
            <w:rFonts w:eastAsia="Times New Roman" w:cstheme="minorHAnsi"/>
            <w:bCs/>
          </w:rPr>
          <w:t>Enabling Financial Capability Along the Road to Financial Inclusion</w:t>
        </w:r>
      </w:hyperlink>
    </w:p>
    <w:p w14:paraId="2DE68716" w14:textId="77777777" w:rsidR="007272B9" w:rsidRPr="00E13D3B" w:rsidRDefault="007272B9" w:rsidP="00076336">
      <w:pPr>
        <w:pStyle w:val="ListParagraph"/>
        <w:numPr>
          <w:ilvl w:val="0"/>
          <w:numId w:val="11"/>
        </w:numPr>
        <w:spacing w:before="80" w:after="0"/>
        <w:rPr>
          <w:rFonts w:eastAsia="Times New Roman" w:cstheme="minorHAnsi"/>
          <w:b/>
        </w:rPr>
      </w:pPr>
      <w:bookmarkStart w:id="66" w:name="advisory_committee"/>
      <w:bookmarkEnd w:id="66"/>
      <w:r w:rsidRPr="00E13D3B">
        <w:rPr>
          <w:rFonts w:eastAsia="Times New Roman" w:cstheme="minorHAnsi"/>
          <w:b/>
        </w:rPr>
        <w:t>Advisory Committee</w:t>
      </w:r>
    </w:p>
    <w:p w14:paraId="7FD929DC" w14:textId="77777777" w:rsidR="007272B9" w:rsidRPr="00E13D3B" w:rsidRDefault="007272B9" w:rsidP="00076336">
      <w:pPr>
        <w:pStyle w:val="ListParagraph"/>
        <w:numPr>
          <w:ilvl w:val="1"/>
          <w:numId w:val="11"/>
        </w:numPr>
        <w:spacing w:before="80" w:after="0"/>
        <w:rPr>
          <w:rFonts w:eastAsia="Times New Roman" w:cstheme="minorHAnsi"/>
          <w:bCs/>
        </w:rPr>
      </w:pPr>
      <w:r w:rsidRPr="00E13D3B">
        <w:rPr>
          <w:rFonts w:eastAsia="Times New Roman" w:cstheme="minorHAnsi"/>
          <w:bCs/>
        </w:rPr>
        <w:t xml:space="preserve">WIOA established the Advisory Committee on Increasing Competitive Integrated Employment for Individuals with Disabilities. </w:t>
      </w:r>
      <w:hyperlink r:id="rId300" w:tgtFrame="_blank" w:history="1">
        <w:r w:rsidRPr="00E13D3B">
          <w:rPr>
            <w:rStyle w:val="Hyperlink"/>
            <w:rFonts w:eastAsia="Times New Roman" w:cstheme="minorHAnsi"/>
            <w:bCs/>
          </w:rPr>
          <w:t>Committee's Final Report</w:t>
        </w:r>
      </w:hyperlink>
      <w:r w:rsidRPr="00E13D3B">
        <w:rPr>
          <w:rFonts w:eastAsia="Times New Roman" w:cstheme="minorHAnsi"/>
          <w:bCs/>
        </w:rPr>
        <w:t xml:space="preserve"> </w:t>
      </w:r>
    </w:p>
    <w:p w14:paraId="4927D914" w14:textId="77777777" w:rsidR="007272B9" w:rsidRPr="008863E3" w:rsidRDefault="007272B9" w:rsidP="00076336">
      <w:pPr>
        <w:pStyle w:val="ListParagraph"/>
        <w:numPr>
          <w:ilvl w:val="0"/>
          <w:numId w:val="11"/>
        </w:numPr>
        <w:spacing w:before="80" w:after="0"/>
        <w:rPr>
          <w:rFonts w:eastAsia="Times New Roman" w:cstheme="minorHAnsi"/>
          <w:b/>
        </w:rPr>
      </w:pPr>
      <w:bookmarkStart w:id="67" w:name="accessibility"/>
      <w:bookmarkEnd w:id="67"/>
      <w:r w:rsidRPr="00E13D3B">
        <w:rPr>
          <w:rFonts w:eastAsia="Times New Roman" w:cstheme="minorHAnsi"/>
          <w:b/>
        </w:rPr>
        <w:t>Accessibility</w:t>
      </w:r>
      <w:r w:rsidRPr="008863E3">
        <w:rPr>
          <w:rFonts w:eastAsia="Times New Roman" w:cstheme="minorHAnsi"/>
          <w:b/>
        </w:rPr>
        <w:t xml:space="preserve"> of Workforce Development System</w:t>
      </w:r>
    </w:p>
    <w:p w14:paraId="18BFAD5C" w14:textId="77777777" w:rsidR="007272B9" w:rsidRPr="00E13D3B" w:rsidRDefault="00366D34" w:rsidP="00076336">
      <w:pPr>
        <w:pStyle w:val="ListParagraph"/>
        <w:numPr>
          <w:ilvl w:val="1"/>
          <w:numId w:val="11"/>
        </w:numPr>
        <w:spacing w:before="80" w:after="0"/>
        <w:rPr>
          <w:rFonts w:eastAsia="Times New Roman" w:cstheme="minorHAnsi"/>
          <w:bCs/>
        </w:rPr>
      </w:pPr>
      <w:hyperlink r:id="rId301" w:tgtFrame="_blank" w:history="1">
        <w:r w:rsidR="007272B9" w:rsidRPr="00E13D3B">
          <w:rPr>
            <w:rStyle w:val="Hyperlink"/>
            <w:rFonts w:eastAsia="Times New Roman" w:cstheme="minorHAnsi"/>
            <w:bCs/>
          </w:rPr>
          <w:t>ADA Related Resources</w:t>
        </w:r>
      </w:hyperlink>
      <w:r w:rsidR="007272B9" w:rsidRPr="00E13D3B">
        <w:rPr>
          <w:rFonts w:eastAsia="Times New Roman" w:cstheme="minorHAnsi"/>
          <w:bCs/>
        </w:rPr>
        <w:t xml:space="preserve"> </w:t>
      </w:r>
    </w:p>
    <w:p w14:paraId="0C6A54C7" w14:textId="77777777" w:rsidR="007272B9" w:rsidRPr="00E13D3B" w:rsidRDefault="00366D34" w:rsidP="00076336">
      <w:pPr>
        <w:pStyle w:val="ListParagraph"/>
        <w:numPr>
          <w:ilvl w:val="1"/>
          <w:numId w:val="11"/>
        </w:numPr>
        <w:spacing w:before="80" w:after="0"/>
        <w:rPr>
          <w:rFonts w:eastAsia="Times New Roman" w:cstheme="minorHAnsi"/>
          <w:bCs/>
        </w:rPr>
      </w:pPr>
      <w:hyperlink r:id="rId302" w:tgtFrame="_blank" w:history="1">
        <w:r w:rsidR="007272B9" w:rsidRPr="00E13D3B">
          <w:rPr>
            <w:rStyle w:val="Hyperlink"/>
            <w:rFonts w:eastAsia="Times New Roman" w:cstheme="minorHAnsi"/>
            <w:bCs/>
          </w:rPr>
          <w:t xml:space="preserve">Section 188 Guide </w:t>
        </w:r>
      </w:hyperlink>
    </w:p>
    <w:p w14:paraId="66430C2A" w14:textId="77777777" w:rsidR="007272B9" w:rsidRPr="00E13D3B" w:rsidRDefault="007272B9" w:rsidP="00076336">
      <w:pPr>
        <w:pStyle w:val="ListParagraph"/>
        <w:numPr>
          <w:ilvl w:val="0"/>
          <w:numId w:val="11"/>
        </w:numPr>
        <w:spacing w:before="80" w:after="0"/>
        <w:rPr>
          <w:rFonts w:eastAsia="Times New Roman" w:cstheme="minorHAnsi"/>
          <w:b/>
        </w:rPr>
      </w:pPr>
      <w:bookmarkStart w:id="68" w:name="career_pathways"/>
      <w:bookmarkEnd w:id="68"/>
      <w:r w:rsidRPr="00E13D3B">
        <w:rPr>
          <w:rFonts w:eastAsia="Times New Roman" w:cstheme="minorHAnsi"/>
          <w:b/>
        </w:rPr>
        <w:t>Career Pathways</w:t>
      </w:r>
    </w:p>
    <w:p w14:paraId="3536981A" w14:textId="77777777" w:rsidR="007272B9" w:rsidRPr="00E13D3B" w:rsidRDefault="007272B9" w:rsidP="00076336">
      <w:pPr>
        <w:pStyle w:val="ListParagraph"/>
        <w:numPr>
          <w:ilvl w:val="1"/>
          <w:numId w:val="11"/>
        </w:numPr>
        <w:spacing w:before="80" w:after="0"/>
        <w:rPr>
          <w:rFonts w:eastAsia="Times New Roman" w:cstheme="minorHAnsi"/>
          <w:bCs/>
        </w:rPr>
      </w:pPr>
      <w:r w:rsidRPr="00E13D3B">
        <w:rPr>
          <w:rFonts w:eastAsia="Times New Roman" w:cstheme="minorHAnsi"/>
          <w:bCs/>
        </w:rPr>
        <w:t xml:space="preserve">This </w:t>
      </w:r>
      <w:hyperlink r:id="rId303" w:tgtFrame="_blank" w:history="1">
        <w:r w:rsidRPr="00E13D3B">
          <w:rPr>
            <w:rStyle w:val="Hyperlink"/>
            <w:rFonts w:eastAsia="Times New Roman" w:cstheme="minorHAnsi"/>
            <w:bCs/>
          </w:rPr>
          <w:t>checklist</w:t>
        </w:r>
      </w:hyperlink>
      <w:r w:rsidRPr="00E13D3B">
        <w:rPr>
          <w:rFonts w:eastAsia="Times New Roman" w:cstheme="minorHAnsi"/>
          <w:bCs/>
        </w:rPr>
        <w:t xml:space="preserve"> includes a broad-range perspective that supports agencies in providing services for the people (and industries) they serve. </w:t>
      </w:r>
    </w:p>
    <w:p w14:paraId="0A75E60E" w14:textId="77777777" w:rsidR="007272B9" w:rsidRPr="00E13D3B" w:rsidRDefault="007272B9" w:rsidP="00076336">
      <w:pPr>
        <w:pStyle w:val="ListParagraph"/>
        <w:numPr>
          <w:ilvl w:val="0"/>
          <w:numId w:val="11"/>
        </w:numPr>
        <w:spacing w:before="80" w:after="0"/>
        <w:rPr>
          <w:rFonts w:eastAsia="Times New Roman" w:cstheme="minorHAnsi"/>
          <w:b/>
        </w:rPr>
      </w:pPr>
      <w:bookmarkStart w:id="69" w:name="related_initiatives"/>
      <w:bookmarkEnd w:id="69"/>
      <w:r w:rsidRPr="00E13D3B">
        <w:rPr>
          <w:rFonts w:eastAsia="Times New Roman" w:cstheme="minorHAnsi"/>
          <w:b/>
        </w:rPr>
        <w:t>Related Initiatives</w:t>
      </w:r>
    </w:p>
    <w:p w14:paraId="68075AEF" w14:textId="77777777" w:rsidR="007272B9" w:rsidRPr="00E13D3B" w:rsidRDefault="00366D34" w:rsidP="00076336">
      <w:pPr>
        <w:pStyle w:val="ListParagraph"/>
        <w:numPr>
          <w:ilvl w:val="1"/>
          <w:numId w:val="11"/>
        </w:numPr>
        <w:spacing w:before="80" w:after="0"/>
        <w:rPr>
          <w:rFonts w:eastAsia="Times New Roman" w:cstheme="minorHAnsi"/>
          <w:bCs/>
        </w:rPr>
      </w:pPr>
      <w:hyperlink r:id="rId304" w:tgtFrame="_blank" w:history="1">
        <w:r w:rsidR="007272B9" w:rsidRPr="00E13D3B">
          <w:rPr>
            <w:rStyle w:val="Hyperlink"/>
            <w:rFonts w:eastAsia="Times New Roman" w:cstheme="minorHAnsi"/>
            <w:bCs/>
          </w:rPr>
          <w:t>DEI Information Brief October 2015</w:t>
        </w:r>
      </w:hyperlink>
    </w:p>
    <w:p w14:paraId="7D387756" w14:textId="77777777" w:rsidR="007272B9" w:rsidRPr="00E13D3B" w:rsidRDefault="00366D34" w:rsidP="00076336">
      <w:pPr>
        <w:pStyle w:val="ListParagraph"/>
        <w:numPr>
          <w:ilvl w:val="1"/>
          <w:numId w:val="11"/>
        </w:numPr>
        <w:spacing w:before="80" w:after="0"/>
        <w:rPr>
          <w:rFonts w:eastAsia="Times New Roman" w:cstheme="minorHAnsi"/>
          <w:bCs/>
        </w:rPr>
      </w:pPr>
      <w:hyperlink r:id="rId305" w:tgtFrame="_blank" w:history="1">
        <w:r w:rsidR="007272B9" w:rsidRPr="00E13D3B">
          <w:rPr>
            <w:rStyle w:val="Hyperlink"/>
            <w:rFonts w:eastAsia="Times New Roman" w:cstheme="minorHAnsi"/>
            <w:bCs/>
          </w:rPr>
          <w:t>DEI Map with Text October 2015</w:t>
        </w:r>
      </w:hyperlink>
    </w:p>
    <w:p w14:paraId="7A470963" w14:textId="77777777" w:rsidR="007272B9" w:rsidRPr="00E13D3B" w:rsidRDefault="00366D34" w:rsidP="00076336">
      <w:pPr>
        <w:pStyle w:val="ListParagraph"/>
        <w:numPr>
          <w:ilvl w:val="1"/>
          <w:numId w:val="11"/>
        </w:numPr>
        <w:spacing w:before="80" w:after="0"/>
        <w:rPr>
          <w:rFonts w:eastAsia="Times New Roman" w:cstheme="minorHAnsi"/>
          <w:bCs/>
        </w:rPr>
      </w:pPr>
      <w:hyperlink r:id="rId306" w:tgtFrame="_blank" w:history="1">
        <w:r w:rsidR="007272B9" w:rsidRPr="00E13D3B">
          <w:rPr>
            <w:rStyle w:val="Hyperlink"/>
            <w:rFonts w:eastAsia="Times New Roman" w:cstheme="minorHAnsi"/>
            <w:bCs/>
          </w:rPr>
          <w:t>DEI Project Examples of VR Partnerships</w:t>
        </w:r>
      </w:hyperlink>
    </w:p>
    <w:p w14:paraId="12401194" w14:textId="77777777" w:rsidR="007272B9" w:rsidRPr="00E13D3B" w:rsidRDefault="00366D34" w:rsidP="00076336">
      <w:pPr>
        <w:pStyle w:val="ListParagraph"/>
        <w:numPr>
          <w:ilvl w:val="1"/>
          <w:numId w:val="11"/>
        </w:numPr>
        <w:spacing w:before="80" w:after="0"/>
        <w:rPr>
          <w:rFonts w:eastAsia="Times New Roman" w:cstheme="minorHAnsi"/>
          <w:bCs/>
        </w:rPr>
      </w:pPr>
      <w:hyperlink r:id="rId307" w:tgtFrame="_blank" w:history="1">
        <w:r w:rsidR="007272B9" w:rsidRPr="00E13D3B">
          <w:rPr>
            <w:rStyle w:val="Hyperlink"/>
            <w:rFonts w:eastAsia="Times New Roman" w:cstheme="minorHAnsi"/>
            <w:bCs/>
          </w:rPr>
          <w:t>Partnership Plus</w:t>
        </w:r>
      </w:hyperlink>
      <w:r w:rsidR="007272B9" w:rsidRPr="00E13D3B">
        <w:rPr>
          <w:rFonts w:eastAsia="Times New Roman" w:cstheme="minorHAnsi"/>
          <w:bCs/>
        </w:rPr>
        <w:t xml:space="preserve"> can expand a state's capacity to provide long-term supports</w:t>
      </w:r>
      <w:r w:rsidR="007272B9">
        <w:rPr>
          <w:rFonts w:eastAsia="Times New Roman" w:cstheme="minorHAnsi"/>
          <w:bCs/>
        </w:rPr>
        <w:t>.</w:t>
      </w:r>
      <w:r w:rsidR="007272B9" w:rsidRPr="00E13D3B">
        <w:rPr>
          <w:rFonts w:eastAsia="Times New Roman" w:cstheme="minorHAnsi"/>
          <w:bCs/>
        </w:rPr>
        <w:t xml:space="preserve"> </w:t>
      </w:r>
    </w:p>
    <w:p w14:paraId="3EEF22EC" w14:textId="77777777" w:rsidR="007272B9" w:rsidRPr="00E13D3B" w:rsidRDefault="007272B9" w:rsidP="00076336">
      <w:pPr>
        <w:pStyle w:val="ListParagraph"/>
        <w:numPr>
          <w:ilvl w:val="0"/>
          <w:numId w:val="11"/>
        </w:numPr>
        <w:spacing w:before="80" w:after="0"/>
        <w:rPr>
          <w:rFonts w:eastAsia="Times New Roman" w:cstheme="minorHAnsi"/>
          <w:b/>
        </w:rPr>
      </w:pPr>
      <w:bookmarkStart w:id="70" w:name="implement"/>
      <w:bookmarkEnd w:id="70"/>
      <w:r w:rsidRPr="00E13D3B">
        <w:rPr>
          <w:rFonts w:eastAsia="Times New Roman" w:cstheme="minorHAnsi"/>
          <w:b/>
        </w:rPr>
        <w:t>WIOA Implementation</w:t>
      </w:r>
    </w:p>
    <w:p w14:paraId="771B8E80" w14:textId="77777777" w:rsidR="007272B9" w:rsidRPr="00E13D3B" w:rsidRDefault="00366D34" w:rsidP="00076336">
      <w:pPr>
        <w:pStyle w:val="ListParagraph"/>
        <w:numPr>
          <w:ilvl w:val="1"/>
          <w:numId w:val="11"/>
        </w:numPr>
        <w:spacing w:before="80" w:after="0"/>
        <w:rPr>
          <w:rFonts w:eastAsia="Times New Roman" w:cstheme="minorHAnsi"/>
          <w:bCs/>
        </w:rPr>
      </w:pPr>
      <w:hyperlink r:id="rId308" w:tgtFrame="_blank" w:history="1">
        <w:r w:rsidR="007272B9" w:rsidRPr="00E13D3B">
          <w:rPr>
            <w:rStyle w:val="Hyperlink"/>
            <w:rFonts w:eastAsia="Times New Roman" w:cstheme="minorHAnsi"/>
            <w:bCs/>
          </w:rPr>
          <w:t>Click this link to view the WIOA Vison Self-Pace Training.</w:t>
        </w:r>
      </w:hyperlink>
      <w:r w:rsidR="007272B9" w:rsidRPr="00E13D3B">
        <w:rPr>
          <w:rFonts w:eastAsia="Times New Roman" w:cstheme="minorHAnsi"/>
          <w:bCs/>
        </w:rPr>
        <w:t xml:space="preserve"> </w:t>
      </w:r>
      <w:hyperlink r:id="rId309" w:tgtFrame="_blank" w:history="1">
        <w:r w:rsidR="007272B9" w:rsidRPr="00E13D3B">
          <w:rPr>
            <w:rStyle w:val="Hyperlink"/>
            <w:rFonts w:eastAsia="Times New Roman" w:cstheme="minorHAnsi"/>
            <w:bCs/>
          </w:rPr>
          <w:t>(Transcript for WIOA Vision Self-Paced Training)</w:t>
        </w:r>
      </w:hyperlink>
    </w:p>
    <w:p w14:paraId="7736AB60" w14:textId="77777777" w:rsidR="007272B9" w:rsidRDefault="007272B9" w:rsidP="00076336">
      <w:pPr>
        <w:pStyle w:val="ListParagraph"/>
        <w:numPr>
          <w:ilvl w:val="1"/>
          <w:numId w:val="11"/>
        </w:numPr>
        <w:spacing w:before="80" w:after="0" w:line="240" w:lineRule="auto"/>
        <w:rPr>
          <w:rFonts w:eastAsia="Times New Roman" w:cstheme="minorHAnsi"/>
        </w:rPr>
      </w:pPr>
      <w:r w:rsidRPr="00330FB3">
        <w:rPr>
          <w:rFonts w:eastAsia="Times New Roman" w:cstheme="minorHAnsi"/>
        </w:rPr>
        <w:t>"</w:t>
      </w:r>
      <w:hyperlink r:id="rId310" w:history="1">
        <w:r w:rsidRPr="00330FB3">
          <w:rPr>
            <w:rFonts w:eastAsia="Times New Roman" w:cstheme="minorHAnsi"/>
            <w:color w:val="0000FF"/>
            <w:u w:val="single"/>
          </w:rPr>
          <w:t>Are You Ready for Integrated Services in the American Job Centers?</w:t>
        </w:r>
      </w:hyperlink>
      <w:r w:rsidRPr="00330FB3">
        <w:rPr>
          <w:rFonts w:eastAsia="Times New Roman" w:cstheme="minorHAnsi"/>
        </w:rPr>
        <w:t xml:space="preserve">" </w:t>
      </w:r>
    </w:p>
    <w:p w14:paraId="0C64F31B" w14:textId="5903C485" w:rsidR="007272B9" w:rsidRPr="00427FF4" w:rsidRDefault="007272B9" w:rsidP="00BA0D82">
      <w:pPr>
        <w:pStyle w:val="Heading2"/>
        <w:numPr>
          <w:ilvl w:val="0"/>
          <w:numId w:val="0"/>
        </w:numPr>
      </w:pPr>
      <w:r w:rsidRPr="00427FF4">
        <w:rPr>
          <w:sz w:val="22"/>
        </w:rPr>
        <w:br w:type="page"/>
      </w:r>
      <w:bookmarkStart w:id="71" w:name="_Toc27904596"/>
      <w:bookmarkStart w:id="72" w:name="_Toc28011433"/>
      <w:r>
        <w:lastRenderedPageBreak/>
        <w:t>WORKFORCE INTEGRATION</w:t>
      </w:r>
      <w:r w:rsidRPr="00427FF4">
        <w:t>:</w:t>
      </w:r>
      <w:bookmarkStart w:id="73" w:name="_Toc27904597"/>
      <w:bookmarkEnd w:id="71"/>
      <w:r w:rsidR="00574844">
        <w:br/>
      </w:r>
      <w:r w:rsidRPr="00427FF4">
        <w:t>PROGRESS NARRATIVE</w:t>
      </w:r>
      <w:bookmarkEnd w:id="72"/>
      <w:bookmarkEnd w:id="73"/>
    </w:p>
    <w:p w14:paraId="17CF1858" w14:textId="77777777" w:rsidR="007272B9" w:rsidRDefault="007272B9" w:rsidP="00C22384">
      <w:pPr>
        <w:pStyle w:val="Heading3"/>
        <w:numPr>
          <w:ilvl w:val="0"/>
          <w:numId w:val="0"/>
        </w:numPr>
        <w:ind w:left="810" w:hanging="810"/>
      </w:pPr>
      <w:bookmarkStart w:id="74" w:name="_Toc27904598"/>
      <w:r>
        <w:t>National Lens</w:t>
      </w:r>
      <w:bookmarkEnd w:id="74"/>
    </w:p>
    <w:p w14:paraId="7EE5B105" w14:textId="77777777" w:rsidR="007272B9" w:rsidRDefault="007272B9" w:rsidP="007272B9">
      <w:pPr>
        <w:ind w:firstLine="360"/>
      </w:pPr>
      <w:r>
        <w:t xml:space="preserve">  Nationally, there is extensive literature on interagency collaboration and its effectiveness for improving public efforts to improve social, economic, and health outcomes for various populations.  In terms of WIOA’s mandate to integrate VR into the workforce development system, recent literature is still sparse as to WIOA’s impact on VR integration specifically.  As noted in government reports and literature, WIOA identifies six programs as “core” programs that must work together and report on “common performance measures.”  In order to report effectively, data sharing agreements and collaboration is required and effective interagency collaboration supports this set of requirements (GAO, 2015).  A relatively recent example of effective interagency collaboration in the era of WIOA comes from a national survey of SVRAs working with Veterans Affairs (VA) agencies to serve veterans of color with disabilities.  Johnson, Moore, Aref, Washington, Ward, and Webb (2017) identified effective co-service practices in five domains: (1) job placement services, (2) referral services, (3) cultural diversity, (4) co-service agreements, and (5) co-agency procedures.  Examining multi-system collaboration to support individuals with intellectual and/or developmental disability (IDD), Kennedy-Lizotte, Sass, and Zlockie (2018) noted that effective collaboration requires “shared, unambiguous goals and defined roles” which can clearly be extrapolated to facilitate success for other disability populations as well.  Similarly, Butterworth, Christensen, and Flippo (2017) highlight the Partnerships in Employment project for young adults with IDD, noting its “holistic model for addressing systems change [to] reflect[s] the importance of intentional investment in relationships and connecting activities that link stakeholders across state governmental systems change…” as another example of effective collaboration improving outcomes.  </w:t>
      </w:r>
    </w:p>
    <w:p w14:paraId="4CC510D7" w14:textId="77777777" w:rsidR="007272B9" w:rsidRDefault="007272B9" w:rsidP="007272B9">
      <w:pPr>
        <w:ind w:firstLine="360"/>
      </w:pPr>
      <w:r>
        <w:t>Most notably, in a survey of SVRA directors, Fong et al., (2017) solicited importance ratings of 41 different knowledge domains for VRCs using a 5-point Likert-type scale and “collaboration with other core programs in the workforce development and adult education systems” was ranked 7</w:t>
      </w:r>
      <w:r w:rsidRPr="001E25E7">
        <w:rPr>
          <w:vertAlign w:val="superscript"/>
        </w:rPr>
        <w:t>th</w:t>
      </w:r>
      <w:r>
        <w:t xml:space="preserve"> highest.  Importantly, for the top 10 highest ranked concerns, there were significant differences between their importance rankings and VR directors’ perceptions of VRC preparedness in these domains, conveying a critical need for training and TA in them.</w:t>
      </w:r>
    </w:p>
    <w:p w14:paraId="3F23E40B" w14:textId="77777777" w:rsidR="007272B9" w:rsidRDefault="007272B9" w:rsidP="00C22384">
      <w:pPr>
        <w:pStyle w:val="Heading3"/>
        <w:numPr>
          <w:ilvl w:val="0"/>
          <w:numId w:val="0"/>
        </w:numPr>
        <w:ind w:left="810" w:hanging="810"/>
      </w:pPr>
      <w:bookmarkStart w:id="75" w:name="_Toc27904599"/>
      <w:r>
        <w:t>WINTAC Lens</w:t>
      </w:r>
      <w:bookmarkEnd w:id="75"/>
    </w:p>
    <w:p w14:paraId="5EF04EF7" w14:textId="77777777" w:rsidR="007272B9" w:rsidRDefault="007272B9" w:rsidP="007272B9">
      <w:pPr>
        <w:ind w:firstLine="720"/>
      </w:pPr>
      <w:r>
        <w:t xml:space="preserve">Integration of VR into the Workforce Development System is a popular subject area in terms of ITAAs, as demonstrated by the 20 formal intensive technical assistance agreements (ITAAs) in place (one more than at mid-year).  These ITAAs draw from a menu of activities identified in the logic model, which each have an associated output and contribute to a set of defined short-term outcomes expected to be achieved within this funding cycle.  </w:t>
      </w:r>
    </w:p>
    <w:p w14:paraId="441232D2" w14:textId="77777777" w:rsidR="007272B9" w:rsidRDefault="007272B9" w:rsidP="007272B9">
      <w:pPr>
        <w:tabs>
          <w:tab w:val="left" w:pos="360"/>
        </w:tabs>
        <w:rPr>
          <w:szCs w:val="14"/>
        </w:rPr>
      </w:pPr>
      <w:r>
        <w:rPr>
          <w:szCs w:val="14"/>
        </w:rPr>
        <w:tab/>
      </w:r>
      <w:r w:rsidRPr="00533653">
        <w:rPr>
          <w:b/>
          <w:bCs/>
          <w:i/>
          <w:iCs/>
          <w:szCs w:val="14"/>
          <w:u w:val="single"/>
        </w:rPr>
        <w:t>TA Progress.</w:t>
      </w:r>
      <w:r>
        <w:rPr>
          <w:szCs w:val="14"/>
        </w:rPr>
        <w:t xml:space="preserve"> Across the topic area of Pre-ETS (first dashboard), we see that just under half of activities (44%) are nearing or have reached completion (representing a completion rate of 75% or  more).  Below this first dashboard – the average activity progress bar - the progress rate is broken out by specific activity with the linked outputs’ progress rates provided side-by-side using “thermometer charts.”  Activities one, three, four, five, and nine are progressing (assessing capacity and readiness) but the remainder are not as far along (establishing MOUs, pilots).  For the most part, we see a one-to-one correspondence between the rate of completion for an activity and its associated output, but in one </w:t>
      </w:r>
      <w:r>
        <w:rPr>
          <w:szCs w:val="14"/>
        </w:rPr>
        <w:lastRenderedPageBreak/>
        <w:t>case, we see fewer completed outputs than activities.  This is true for activity five to a slight degree – activities which represent considering career pathways at IPE development.</w:t>
      </w:r>
    </w:p>
    <w:p w14:paraId="09347B02" w14:textId="77777777" w:rsidR="007272B9" w:rsidRDefault="007272B9" w:rsidP="007272B9">
      <w:pPr>
        <w:tabs>
          <w:tab w:val="left" w:pos="360"/>
        </w:tabs>
        <w:rPr>
          <w:rFonts w:cstheme="minorHAnsi"/>
        </w:rPr>
      </w:pPr>
      <w:r w:rsidRPr="006F029E">
        <w:rPr>
          <w:szCs w:val="14"/>
        </w:rPr>
        <w:tab/>
      </w:r>
      <w:r>
        <w:rPr>
          <w:b/>
          <w:bCs/>
          <w:i/>
          <w:iCs/>
          <w:szCs w:val="14"/>
          <w:u w:val="single"/>
        </w:rPr>
        <w:t>Challenges Overcome.</w:t>
      </w:r>
      <w:r>
        <w:rPr>
          <w:i/>
          <w:iCs/>
          <w:szCs w:val="14"/>
        </w:rPr>
        <w:t xml:space="preserve"> </w:t>
      </w:r>
      <w:r>
        <w:rPr>
          <w:szCs w:val="14"/>
        </w:rPr>
        <w:t xml:space="preserve"> Unlike the Pre-ETS and CPMs areas, the pressures to implement workforce integration are less driven by RSA deadlines.  As a result, many agencies that chose integration as a topic area for their ITAA began engaging the TA Team and then slowed down progress or explicitly put it on hold.  As reported elsewhere many states are plagued by staff and leadership turnover and these challenges impact progress – particularly when leadership changes or is absent since interagency collaboration work so often requires leadership direction.  Nevertheless, some agencies are making important headway with different aspects of workforce integration involving the use of integrated resource teams, career pathways, and collaborative meetings and events.  In addition, these agencies are setting “baseline” measurements in place, against which to explicitly measure progress and success.  Due to staff turnover, some agencies may be experiencing fluctuating rates as reported (e.g., in one state where co-enrollment appears to have dropped very significantly).  This can be due to under-reporting, but also the need to acculturate newer staff and train them on collaborative working with the workforce development system that is being implemented within a given state since this is a significant systems – and importantly – culture change relative to what staff may have experienced previously.</w:t>
      </w:r>
    </w:p>
    <w:p w14:paraId="3D5FB19A" w14:textId="77777777" w:rsidR="007272B9" w:rsidRDefault="007272B9" w:rsidP="007272B9">
      <w:pPr>
        <w:tabs>
          <w:tab w:val="left" w:pos="360"/>
        </w:tabs>
        <w:rPr>
          <w:rFonts w:cstheme="minorHAnsi"/>
        </w:rPr>
      </w:pPr>
      <w:r>
        <w:rPr>
          <w:rFonts w:cstheme="minorHAnsi"/>
          <w:i/>
          <w:iCs/>
        </w:rPr>
        <w:tab/>
      </w:r>
      <w:r>
        <w:rPr>
          <w:rFonts w:cstheme="minorHAnsi"/>
          <w:b/>
          <w:bCs/>
          <w:i/>
          <w:iCs/>
          <w:u w:val="single"/>
        </w:rPr>
        <w:t>Impact</w:t>
      </w:r>
      <w:r>
        <w:rPr>
          <w:rFonts w:cstheme="minorHAnsi"/>
          <w:i/>
          <w:iCs/>
        </w:rPr>
        <w:t>.</w:t>
      </w:r>
      <w:r>
        <w:rPr>
          <w:rFonts w:cstheme="minorHAnsi"/>
        </w:rPr>
        <w:t xml:space="preserve">  With respect to the “Integration Continuum” and its associated self-assessments to inform planning for improved integration, six states have participated in self- and joint-assessments with workforce partners and four have established their initial scores as “baselines.”  (See “Outcomes Snapshot” infographic above).  This is significant as a documented commitment to understanding how one operationalizes “collaboration” and progresses over time to more and more meaningful integrated work.  Nowhere is this clearer than in one state that has engaged its core partners, required partners, and others that conducted a system-wide self-assessment and is now requiring all its 22 Local Workforce Innovation Boards to do the same as part of an annual assessment process!  This systems change effort is being followed by the state’s Workforce Innovation Board (WIB) and included in the Unified State Plan and the policy and reporting systems, as well as in the Governor’s Executive Order Report on workforce development.  Further, the WIB’s Continuous Improvement Committee itself has asked for an evaluation and monitoring of service integration activities.  So far, the state VR agency reports seeing an increase its co-enrollment and direct referral rates as a result.  In the future, follow-up data collection should include not only changes in scores, but information about what the change process has looked like in each state to enhance understanding of the impact and changes that have resulted and inform a set of promising practices that other states and systems can consider.  </w:t>
      </w:r>
    </w:p>
    <w:p w14:paraId="1B2D2B6D" w14:textId="77777777" w:rsidR="007272B9" w:rsidRDefault="007272B9" w:rsidP="007272B9">
      <w:pPr>
        <w:tabs>
          <w:tab w:val="left" w:pos="360"/>
        </w:tabs>
        <w:rPr>
          <w:rFonts w:cstheme="minorHAnsi"/>
        </w:rPr>
      </w:pPr>
      <w:r>
        <w:rPr>
          <w:rFonts w:cstheme="minorHAnsi"/>
        </w:rPr>
        <w:tab/>
        <w:t xml:space="preserve">A great example of creating resources for other states and systems is seen in one state’s work with the Integration TA Team in relation to IRTs.  As part of an onsite collaborative event across state agencies, vignettes regarding the challenges and barriers faced by people who are blind were developed.  The TA Team recognized this as a valuable resource and has translated it into online training modules with facilitator guides available online (see resources above).  </w:t>
      </w:r>
    </w:p>
    <w:p w14:paraId="2EE7BD34" w14:textId="77777777" w:rsidR="007272B9" w:rsidRDefault="007272B9" w:rsidP="007272B9">
      <w:pPr>
        <w:tabs>
          <w:tab w:val="left" w:pos="360"/>
        </w:tabs>
        <w:rPr>
          <w:rFonts w:cstheme="minorHAnsi"/>
        </w:rPr>
      </w:pPr>
      <w:r>
        <w:rPr>
          <w:rFonts w:cstheme="minorHAnsi"/>
        </w:rPr>
        <w:tab/>
        <w:t>Integration is connecting across many other WINTAC areas and thus supporting joint and enhanced impacts.  For example they are working with the Pre-ETS team to see Career Pathway work begin at IEP development and increase work-based learning experiences – see one state’s “Explore” program.  They are collaborating (</w:t>
      </w:r>
      <w:r w:rsidRPr="00D65057">
        <w:rPr>
          <mc:AlternateContent>
            <mc:Choice Requires="w16se">
              <w:rFonts w:cstheme="minorHAnsi"/>
            </mc:Choice>
            <mc:Fallback>
              <w:rFonts w:ascii="Segoe UI Emoji" w:eastAsia="Segoe UI Emoji" w:hAnsi="Segoe UI Emoji" w:cs="Segoe UI Emoji"/>
            </mc:Fallback>
          </mc:AlternateContent>
        </w:rPr>
        <mc:AlternateContent>
          <mc:Choice Requires="w16se">
            <w16se:symEx w16se:font="Segoe UI Emoji" w16se:char="1F60A"/>
          </mc:Choice>
          <mc:Fallback>
            <w:t>😊</w:t>
          </mc:Fallback>
        </mc:AlternateContent>
      </w:r>
      <w:r>
        <w:rPr>
          <w:rFonts w:cstheme="minorHAnsi"/>
        </w:rPr>
        <w:t xml:space="preserve">) with the Business Engagement team and The Career Index/Labor Market Information as well to support efforts by American Job Centers (AJCs), and Peer Mentoring to ensure </w:t>
      </w:r>
      <w:r>
        <w:rPr>
          <w:rFonts w:cstheme="minorHAnsi"/>
        </w:rPr>
        <w:lastRenderedPageBreak/>
        <w:t>Career Pathway work is built into the career planning work that is considered by mentors and mentees.  Outside of WINTAC, the Integration TA Team has also collaborated with YTAC and DEI’s TA Center to leverage and support resources and agency engagements already ongoing with AJCs.</w:t>
      </w:r>
    </w:p>
    <w:p w14:paraId="0B524E1C" w14:textId="77777777" w:rsidR="007272B9" w:rsidRPr="00D43F44" w:rsidRDefault="007272B9" w:rsidP="007272B9">
      <w:pPr>
        <w:tabs>
          <w:tab w:val="left" w:pos="360"/>
        </w:tabs>
        <w:rPr>
          <w:rFonts w:cstheme="minorHAnsi"/>
        </w:rPr>
      </w:pPr>
      <w:r>
        <w:rPr>
          <w:rFonts w:cstheme="minorHAnsi"/>
        </w:rPr>
        <w:t>In other notable impacts, it is important to connect the work of this team to the successes of agencies in the area of Pre-ETS.  With teamwork involving agencies, the Pre-ETS TA Team, the CPM TA Team (and RSA), agencies have been able to access data regarding performance and understand their work better in multiple areas.  As noted in the Pre-ETS chapter, the requirements to track spending on new Pre-ETS services and the numbers of students served and potentially eligible for services – as well as the requirements to track performance according to CPMs – will allow for a deeper look at effectiveness of services and fiscal analyses of cost for services or per student, and return-on-investment/cost-benefit analyses.</w:t>
      </w:r>
    </w:p>
    <w:p w14:paraId="6F8B2FF5" w14:textId="77777777" w:rsidR="007272B9" w:rsidRDefault="007272B9" w:rsidP="007272B9">
      <w:pPr>
        <w:tabs>
          <w:tab w:val="left" w:pos="360"/>
        </w:tabs>
        <w:rPr>
          <w:rFonts w:cstheme="minorHAnsi"/>
        </w:rPr>
      </w:pPr>
      <w:r w:rsidRPr="000D7C6D">
        <w:rPr>
          <w:rFonts w:cstheme="minorHAnsi"/>
          <w:noProof/>
          <w:lang w:eastAsia="ko-KR"/>
        </w:rPr>
        <mc:AlternateContent>
          <mc:Choice Requires="wps">
            <w:drawing>
              <wp:anchor distT="182880" distB="182880" distL="182880" distR="182880" simplePos="0" relativeHeight="251673600" behindDoc="0" locked="0" layoutInCell="1" allowOverlap="1" wp14:anchorId="0EB0957E" wp14:editId="2763A997">
                <wp:simplePos x="0" y="0"/>
                <wp:positionH relativeFrom="margin">
                  <wp:posOffset>2974340</wp:posOffset>
                </wp:positionH>
                <wp:positionV relativeFrom="margin">
                  <wp:posOffset>2267585</wp:posOffset>
                </wp:positionV>
                <wp:extent cx="2971800" cy="2082800"/>
                <wp:effectExtent l="0" t="0" r="0" b="0"/>
                <wp:wrapSquare wrapText="bothSides"/>
                <wp:docPr id="51" name="Snip Single Corner Rectangle 117"/>
                <wp:cNvGraphicFramePr/>
                <a:graphic xmlns:a="http://schemas.openxmlformats.org/drawingml/2006/main">
                  <a:graphicData uri="http://schemas.microsoft.com/office/word/2010/wordprocessingShape">
                    <wps:wsp>
                      <wps:cNvSpPr/>
                      <wps:spPr>
                        <a:xfrm>
                          <a:off x="0" y="0"/>
                          <a:ext cx="2971800" cy="2082800"/>
                        </a:xfrm>
                        <a:prstGeom prst="snip1Rect">
                          <a:avLst/>
                        </a:prstGeom>
                        <a:ln>
                          <a:noFill/>
                        </a:ln>
                      </wps:spPr>
                      <wps:style>
                        <a:lnRef idx="2">
                          <a:schemeClr val="accent1">
                            <a:shade val="50000"/>
                          </a:schemeClr>
                        </a:lnRef>
                        <a:fillRef idx="1003">
                          <a:schemeClr val="dk2"/>
                        </a:fillRef>
                        <a:effectRef idx="0">
                          <a:schemeClr val="accent1"/>
                        </a:effectRef>
                        <a:fontRef idx="minor">
                          <a:schemeClr val="lt1"/>
                        </a:fontRef>
                      </wps:style>
                      <wps:txbx>
                        <w:txbxContent>
                          <w:p w14:paraId="1E7F342A" w14:textId="77777777" w:rsidR="00366D34" w:rsidRPr="000D7C6D" w:rsidRDefault="00366D34" w:rsidP="007272B9">
                            <w:pPr>
                              <w:rPr>
                                <w:i/>
                                <w:iCs/>
                                <w:caps/>
                                <w:sz w:val="24"/>
                                <w:szCs w:val="28"/>
                              </w:rPr>
                            </w:pPr>
                            <w:r w:rsidRPr="000D7C6D">
                              <w:rPr>
                                <w:rFonts w:ascii="Times New Roman" w:hAnsi="Times New Roman" w:cs="Times New Roman"/>
                                <w:i/>
                                <w:iCs/>
                                <w:sz w:val="24"/>
                                <w:szCs w:val="24"/>
                              </w:rPr>
                              <w:t>NH has recognized the advantage of attention to credential attainment as a pathway to higher level positions and improved employment outcomes from a retention and higher wage perspective, so has recently developed new policy and procedures around MSGs and Credentials that have been shared with other states.</w:t>
                            </w:r>
                          </w:p>
                        </w:txbxContent>
                      </wps:txbx>
                      <wps:bodyPr rot="0" spcFirstLastPara="0" vertOverflow="overflow" horzOverflow="overflow" vert="horz" wrap="square" lIns="137160" tIns="91440" rIns="91440" bIns="91440" numCol="1" spcCol="0" rtlCol="0" fromWordArt="0" anchor="t" anchorCtr="0" forceAA="0" compatLnSpc="1">
                        <a:prstTxWarp prst="textNoShape">
                          <a:avLst/>
                        </a:prstTxWarp>
                        <a:noAutofit/>
                      </wps:bodyPr>
                    </wps:wsp>
                  </a:graphicData>
                </a:graphic>
                <wp14:sizeRelH relativeFrom="margin">
                  <wp14:pctWidth>50000</wp14:pctWidth>
                </wp14:sizeRelH>
                <wp14:sizeRelV relativeFrom="margin">
                  <wp14:pctHeight>0</wp14:pctHeight>
                </wp14:sizeRelV>
              </wp:anchor>
            </w:drawing>
          </mc:Choice>
          <mc:Fallback>
            <w:pict>
              <v:shape w14:anchorId="0EB0957E" id="_x0000_s1040" style="position:absolute;margin-left:234.2pt;margin-top:178.55pt;width:234pt;height:164pt;z-index:251673600;visibility:visible;mso-wrap-style:square;mso-width-percent:500;mso-height-percent:0;mso-wrap-distance-left:14.4pt;mso-wrap-distance-top:14.4pt;mso-wrap-distance-right:14.4pt;mso-wrap-distance-bottom:14.4pt;mso-position-horizontal:absolute;mso-position-horizontal-relative:margin;mso-position-vertical:absolute;mso-position-vertical-relative:margin;mso-width-percent:500;mso-height-percent:0;mso-width-relative:margin;mso-height-relative:margin;v-text-anchor:top" coordsize="2971800,20828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" adj="-11796480,,5400" path="m,l2624660,r347140,347140l2971800,2082800,,2082800,,xe" fillcolor="#4d5f78 [2994]" stroked="f" strokeweight="1pt">
                <v:fill color2="#2a3442 [2018]" rotate="t" colors="0 #5d6d85;.5 #485972;1 #334258" focus="100%" type="gradient">
                  <o:fill v:ext="view" type="gradientUnscaled"/>
                </v:fill>
                <v:stroke joinstyle="miter"/>
                <v:formulas/>
                <v:path arrowok="t" o:connecttype="custom" o:connectlocs="0,0;2624660,0;2971800,347140;2971800,2082800;0,2082800;0,0" o:connectangles="0,0,0,0,0,0" textboxrect="0,0,2971800,2082800"/>
                <v:textbox inset="10.8pt,7.2pt,,7.2pt">
                  <w:txbxContent>
                    <w:p w14:paraId="1E7F342A" w14:textId="77777777" w:rsidR="00366D34" w:rsidRPr="000D7C6D" w:rsidRDefault="00366D34" w:rsidP="007272B9">
                      <w:pPr>
                        <w:rPr>
                          <w:i/>
                          <w:iCs/>
                          <w:caps/>
                          <w:sz w:val="24"/>
                          <w:szCs w:val="28"/>
                        </w:rPr>
                      </w:pPr>
                      <w:r w:rsidRPr="000D7C6D">
                        <w:rPr>
                          <w:rFonts w:ascii="Times New Roman" w:hAnsi="Times New Roman" w:cs="Times New Roman"/>
                          <w:i/>
                          <w:iCs/>
                          <w:sz w:val="24"/>
                          <w:szCs w:val="24"/>
                        </w:rPr>
                        <w:t>NH has recognized the advantage of attention to credential attainment as a pathway to higher level positions and improved employment outcomes from a retention and higher wage perspective, so has recently developed new policy and procedures around MSGs and Credentials that have been shared with other states.</w:t>
                      </w:r>
                    </w:p>
                  </w:txbxContent>
                </v:textbox>
                <w10:wrap type="square" anchorx="margin" anchory="margin"/>
              </v:shape>
            </w:pict>
          </mc:Fallback>
        </mc:AlternateContent>
      </w:r>
      <w:r>
        <w:rPr>
          <w:rFonts w:cstheme="minorHAnsi"/>
        </w:rPr>
        <w:tab/>
      </w:r>
    </w:p>
    <w:p w14:paraId="49BBB527" w14:textId="77777777" w:rsidR="007272B9" w:rsidRDefault="007272B9" w:rsidP="007272B9">
      <w:pPr>
        <w:tabs>
          <w:tab w:val="left" w:pos="360"/>
        </w:tabs>
        <w:rPr>
          <w:rFonts w:cstheme="minorHAnsi"/>
        </w:rPr>
      </w:pPr>
    </w:p>
    <w:p w14:paraId="4121696B" w14:textId="77777777" w:rsidR="007272B9" w:rsidRDefault="007272B9" w:rsidP="007272B9">
      <w:pPr>
        <w:tabs>
          <w:tab w:val="left" w:pos="360"/>
        </w:tabs>
        <w:rPr>
          <w:rFonts w:cstheme="minorHAnsi"/>
        </w:rPr>
      </w:pPr>
    </w:p>
    <w:p w14:paraId="39D5F5F4" w14:textId="77777777" w:rsidR="007272B9" w:rsidRDefault="007272B9" w:rsidP="007272B9">
      <w:pPr>
        <w:tabs>
          <w:tab w:val="left" w:pos="360"/>
        </w:tabs>
        <w:rPr>
          <w:rFonts w:cstheme="minorHAnsi"/>
        </w:rPr>
      </w:pPr>
    </w:p>
    <w:p w14:paraId="60496170" w14:textId="77777777" w:rsidR="007272B9" w:rsidRDefault="007272B9" w:rsidP="007272B9">
      <w:pPr>
        <w:tabs>
          <w:tab w:val="left" w:pos="360"/>
        </w:tabs>
        <w:rPr>
          <w:rFonts w:cstheme="minorHAnsi"/>
        </w:rPr>
      </w:pPr>
    </w:p>
    <w:p w14:paraId="7A2BF0AF" w14:textId="77777777" w:rsidR="007272B9" w:rsidRDefault="007272B9" w:rsidP="007272B9">
      <w:pPr>
        <w:tabs>
          <w:tab w:val="left" w:pos="360"/>
        </w:tabs>
        <w:rPr>
          <w:rFonts w:cstheme="minorHAnsi"/>
        </w:rPr>
      </w:pPr>
    </w:p>
    <w:p w14:paraId="02BD521A" w14:textId="77777777" w:rsidR="007272B9" w:rsidRDefault="007272B9" w:rsidP="007272B9">
      <w:pPr>
        <w:tabs>
          <w:tab w:val="left" w:pos="360"/>
        </w:tabs>
        <w:rPr>
          <w:rFonts w:cstheme="minorHAnsi"/>
        </w:rPr>
      </w:pPr>
      <w:r w:rsidRPr="0055233B">
        <w:rPr>
          <w:rFonts w:cstheme="minorHAnsi"/>
          <w:noProof/>
          <w:lang w:eastAsia="ko-KR"/>
        </w:rPr>
        <mc:AlternateContent>
          <mc:Choice Requires="wps">
            <w:drawing>
              <wp:anchor distT="182880" distB="182880" distL="182880" distR="182880" simplePos="0" relativeHeight="251672576" behindDoc="0" locked="0" layoutInCell="1" allowOverlap="1" wp14:anchorId="356DBCC7" wp14:editId="4DEFFD9A">
                <wp:simplePos x="0" y="0"/>
                <wp:positionH relativeFrom="margin">
                  <wp:posOffset>-82550</wp:posOffset>
                </wp:positionH>
                <wp:positionV relativeFrom="margin">
                  <wp:posOffset>4377436</wp:posOffset>
                </wp:positionV>
                <wp:extent cx="2971800" cy="1764792"/>
                <wp:effectExtent l="0" t="0" r="0" b="1905"/>
                <wp:wrapSquare wrapText="bothSides"/>
                <wp:docPr id="50" name="Snip Single Corner Rectangle 117"/>
                <wp:cNvGraphicFramePr/>
                <a:graphic xmlns:a="http://schemas.openxmlformats.org/drawingml/2006/main">
                  <a:graphicData uri="http://schemas.microsoft.com/office/word/2010/wordprocessingShape">
                    <wps:wsp>
                      <wps:cNvSpPr/>
                      <wps:spPr>
                        <a:xfrm>
                          <a:off x="0" y="0"/>
                          <a:ext cx="2971800" cy="1764792"/>
                        </a:xfrm>
                        <a:prstGeom prst="snip1Rect">
                          <a:avLst/>
                        </a:prstGeom>
                        <a:ln>
                          <a:noFill/>
                        </a:ln>
                      </wps:spPr>
                      <wps:style>
                        <a:lnRef idx="2">
                          <a:schemeClr val="accent1">
                            <a:shade val="50000"/>
                          </a:schemeClr>
                        </a:lnRef>
                        <a:fillRef idx="1003">
                          <a:schemeClr val="dk2"/>
                        </a:fillRef>
                        <a:effectRef idx="0">
                          <a:schemeClr val="accent1"/>
                        </a:effectRef>
                        <a:fontRef idx="minor">
                          <a:schemeClr val="lt1"/>
                        </a:fontRef>
                      </wps:style>
                      <wps:txbx>
                        <w:txbxContent>
                          <w:p w14:paraId="1100FEAF" w14:textId="77777777" w:rsidR="00366D34" w:rsidRPr="001B4082" w:rsidRDefault="00366D34" w:rsidP="007272B9">
                            <w:pPr>
                              <w:rPr>
                                <w:rFonts w:ascii="Times New Roman" w:hAnsi="Times New Roman" w:cs="Times New Roman"/>
                                <w:i/>
                                <w:iCs/>
                                <w:caps/>
                                <w:sz w:val="24"/>
                                <w:szCs w:val="28"/>
                              </w:rPr>
                            </w:pPr>
                            <w:r w:rsidRPr="001B4082">
                              <w:rPr>
                                <w:rFonts w:ascii="Times New Roman" w:hAnsi="Times New Roman" w:cs="Times New Roman"/>
                                <w:i/>
                                <w:iCs/>
                                <w:sz w:val="24"/>
                                <w:szCs w:val="24"/>
                              </w:rPr>
                              <w:t>Partnerships in the pilot area are showing results with 40 individuals from multiple partners attending the latest coordinating meeting and discussing continued improvement and the action plan in place.</w:t>
                            </w:r>
                          </w:p>
                        </w:txbxContent>
                      </wps:txbx>
                      <wps:bodyPr rot="0" spcFirstLastPara="0" vertOverflow="overflow" horzOverflow="overflow" vert="horz" wrap="square" lIns="137160" tIns="91440" rIns="91440" bIns="91440" numCol="1" spcCol="0" rtlCol="0" fromWordArt="0" anchor="t" anchorCtr="0" forceAA="0" compatLnSpc="1">
                        <a:prstTxWarp prst="textNoShape">
                          <a:avLst/>
                        </a:prstTxWarp>
                        <a:spAutoFit/>
                      </wps:bodyPr>
                    </wps:wsp>
                  </a:graphicData>
                </a:graphic>
                <wp14:sizeRelH relativeFrom="margin">
                  <wp14:pctWidth>50000</wp14:pctWidth>
                </wp14:sizeRelH>
                <wp14:sizeRelV relativeFrom="margin">
                  <wp14:pctHeight>0</wp14:pctHeight>
                </wp14:sizeRelV>
              </wp:anchor>
            </w:drawing>
          </mc:Choice>
          <mc:Fallback>
            <w:pict>
              <v:shape w14:anchorId="356DBCC7" id="_x0000_s1041" style="position:absolute;margin-left:-6.5pt;margin-top:344.7pt;width:234pt;height:138.95pt;z-index:251672576;visibility:visible;mso-wrap-style:square;mso-width-percent:500;mso-height-percent:0;mso-wrap-distance-left:14.4pt;mso-wrap-distance-top:14.4pt;mso-wrap-distance-right:14.4pt;mso-wrap-distance-bottom:14.4pt;mso-position-horizontal:absolute;mso-position-horizontal-relative:margin;mso-position-vertical:absolute;mso-position-vertical-relative:margin;mso-width-percent:500;mso-height-percent:0;mso-width-relative:margin;mso-height-relative:margin;v-text-anchor:top" coordsize="2971800,1764792"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" adj="-11796480,,5400" path="m,l2677662,r294138,294138l2971800,1764792,,1764792,,xe" fillcolor="#4d5f78 [2994]" stroked="f" strokeweight="1pt">
                <v:fill color2="#2a3442 [2018]" rotate="t" colors="0 #5d6d85;.5 #485972;1 #334258" focus="100%" type="gradient">
                  <o:fill v:ext="view" type="gradientUnscaled"/>
                </v:fill>
                <v:stroke joinstyle="miter"/>
                <v:formulas/>
                <v:path arrowok="t" o:connecttype="custom" o:connectlocs="0,0;2677662,0;2971800,294138;2971800,1764792;0,1764792;0,0" o:connectangles="0,0,0,0,0,0" textboxrect="0,0,2971800,1764792"/>
                <v:textbox style="mso-fit-shape-to-text:t" inset="10.8pt,7.2pt,,7.2pt">
                  <w:txbxContent>
                    <w:p w14:paraId="1100FEAF" w14:textId="77777777" w:rsidR="00366D34" w:rsidRPr="001B4082" w:rsidRDefault="00366D34" w:rsidP="007272B9">
                      <w:pPr>
                        <w:rPr>
                          <w:rFonts w:ascii="Times New Roman" w:hAnsi="Times New Roman" w:cs="Times New Roman"/>
                          <w:i/>
                          <w:iCs/>
                          <w:caps/>
                          <w:sz w:val="24"/>
                          <w:szCs w:val="28"/>
                        </w:rPr>
                      </w:pPr>
                      <w:r w:rsidRPr="001B4082">
                        <w:rPr>
                          <w:rFonts w:ascii="Times New Roman" w:hAnsi="Times New Roman" w:cs="Times New Roman"/>
                          <w:i/>
                          <w:iCs/>
                          <w:sz w:val="24"/>
                          <w:szCs w:val="24"/>
                        </w:rPr>
                        <w:t>Partnerships in the pilot area are showing results with 40 individuals from multiple partners attending the latest coordinating meeting and discussing continued improvement and the action plan in place.</w:t>
                      </w:r>
                    </w:p>
                  </w:txbxContent>
                </v:textbox>
                <w10:wrap type="square" anchorx="margin" anchory="margin"/>
              </v:shape>
            </w:pict>
          </mc:Fallback>
        </mc:AlternateContent>
      </w:r>
    </w:p>
    <w:p w14:paraId="340371E8" w14:textId="77777777" w:rsidR="007272B9" w:rsidRDefault="007272B9" w:rsidP="007272B9">
      <w:pPr>
        <w:tabs>
          <w:tab w:val="left" w:pos="360"/>
        </w:tabs>
        <w:rPr>
          <w:rFonts w:cstheme="minorHAnsi"/>
        </w:rPr>
      </w:pPr>
    </w:p>
    <w:p w14:paraId="0335AF8C" w14:textId="77777777" w:rsidR="007272B9" w:rsidRDefault="007272B9" w:rsidP="007272B9">
      <w:pPr>
        <w:tabs>
          <w:tab w:val="left" w:pos="360"/>
        </w:tabs>
        <w:rPr>
          <w:rFonts w:cstheme="minorHAnsi"/>
        </w:rPr>
      </w:pPr>
      <w:r w:rsidRPr="00C947E0">
        <w:rPr>
          <w:rFonts w:ascii="Times New Roman" w:hAnsi="Times New Roman" w:cs="Times New Roman"/>
          <w:noProof/>
          <w:sz w:val="24"/>
          <w:szCs w:val="24"/>
          <w:lang w:eastAsia="ko-KR"/>
        </w:rPr>
        <w:lastRenderedPageBreak/>
        <mc:AlternateContent>
          <mc:Choice Requires="wps">
            <w:drawing>
              <wp:inline distT="0" distB="0" distL="0" distR="0" wp14:anchorId="0AE0D896" wp14:editId="6EE1AB96">
                <wp:extent cx="5929630" cy="6169660"/>
                <wp:effectExtent l="0" t="0" r="0" b="2540"/>
                <wp:docPr id="59" name="Snip Single Corner Rectangle 117"/>
                <wp:cNvGraphicFramePr/>
                <a:graphic xmlns:a="http://schemas.openxmlformats.org/drawingml/2006/main">
                  <a:graphicData uri="http://schemas.microsoft.com/office/word/2010/wordprocessingShape">
                    <wps:wsp>
                      <wps:cNvSpPr/>
                      <wps:spPr>
                        <a:xfrm>
                          <a:off x="0" y="0"/>
                          <a:ext cx="5929630" cy="6169660"/>
                        </a:xfrm>
                        <a:prstGeom prst="snip1Rect">
                          <a:avLst/>
                        </a:prstGeom>
                        <a:ln>
                          <a:noFill/>
                        </a:ln>
                      </wps:spPr>
                      <wps:style>
                        <a:lnRef idx="2">
                          <a:schemeClr val="accent1">
                            <a:shade val="50000"/>
                          </a:schemeClr>
                        </a:lnRef>
                        <a:fillRef idx="1003">
                          <a:schemeClr val="dk2"/>
                        </a:fillRef>
                        <a:effectRef idx="0">
                          <a:schemeClr val="accent1"/>
                        </a:effectRef>
                        <a:fontRef idx="minor">
                          <a:schemeClr val="lt1"/>
                        </a:fontRef>
                      </wps:style>
                      <wps:txbx>
                        <w:txbxContent>
                          <w:p w14:paraId="6E3747BA" w14:textId="77777777" w:rsidR="00366D34" w:rsidRPr="002A331B" w:rsidRDefault="00366D34" w:rsidP="007272B9">
                            <w:pPr>
                              <w:spacing w:after="0" w:line="276" w:lineRule="auto"/>
                              <w:ind w:left="1080"/>
                              <w:rPr>
                                <w:rFonts w:ascii="Times New Roman" w:hAnsi="Times New Roman" w:cs="Times New Roman"/>
                                <w:b/>
                                <w:bCs/>
                                <w:i/>
                                <w:iCs/>
                                <w:sz w:val="28"/>
                                <w:szCs w:val="28"/>
                              </w:rPr>
                            </w:pPr>
                            <w:r w:rsidRPr="002A331B">
                              <w:rPr>
                                <w:rFonts w:ascii="Times New Roman" w:hAnsi="Times New Roman" w:cs="Times New Roman"/>
                                <w:i/>
                                <w:iCs/>
                                <w:sz w:val="24"/>
                                <w:szCs w:val="24"/>
                              </w:rPr>
                              <w:t xml:space="preserve">Doug Keast and Lou Adams have been exceptionally helpful and accessible to those of us working on service integration at both the State and local levels.  At the State level, they have participated in countless phone calls and in-person meetings, listening carefully and offering pertinent advice and information.  Their input is informed by their experience with other states and organizations working with the integration continuum, and, as such, has allowed us to learn from the experience – both good and bad – of others.  Given their deep history with vocational rehabilitation, one of the areas that Illinois wants to integrate more fully in our state and local workforce efforts, their suggestions of how to leverage those resources and effective practices have been particularly useful.  They have also provided us with draft documents and forms which have helped accelerate our development process.  Finally, they have also extended their offer of assistance to local workforce innovation areas (LWIAs), bringing their expertise to areas that need targeted support or wish to innovate. The style in which they have engaged is also noteworthy.  Both Doug and Lou are </w:t>
                            </w:r>
                            <w:r w:rsidRPr="002A331B">
                              <w:rPr>
                                <w:rFonts w:ascii="Times New Roman" w:hAnsi="Times New Roman" w:cs="Times New Roman"/>
                                <w:b/>
                                <w:bCs/>
                                <w:i/>
                                <w:iCs/>
                                <w:sz w:val="24"/>
                                <w:szCs w:val="24"/>
                                <w:u w:val="single"/>
                              </w:rPr>
                              <w:t>exemplars of reflective practitioners who do not claim to have “The Answer,” but rather offer suggestions and examples that allow organizations and individuals to discover their own path.</w:t>
                            </w:r>
                            <w:r w:rsidRPr="002A331B">
                              <w:rPr>
                                <w:rFonts w:ascii="Times New Roman" w:hAnsi="Times New Roman" w:cs="Times New Roman"/>
                                <w:i/>
                                <w:iCs/>
                                <w:sz w:val="24"/>
                                <w:szCs w:val="24"/>
                              </w:rPr>
                              <w:t xml:space="preserve">  They are highly talented facilitators, able to pivot with the needs of the group and help direct the conversation to a productive outcome.  The impact of their work, which began with the introduction of the integration continuum, has been to support </w:t>
                            </w:r>
                            <w:r>
                              <w:rPr>
                                <w:rFonts w:ascii="Times New Roman" w:hAnsi="Times New Roman" w:cs="Times New Roman"/>
                                <w:i/>
                                <w:iCs/>
                                <w:sz w:val="24"/>
                                <w:szCs w:val="24"/>
                              </w:rPr>
                              <w:t>[State’s]</w:t>
                            </w:r>
                            <w:r w:rsidRPr="002A331B">
                              <w:rPr>
                                <w:rFonts w:ascii="Times New Roman" w:hAnsi="Times New Roman" w:cs="Times New Roman"/>
                                <w:i/>
                                <w:iCs/>
                                <w:sz w:val="24"/>
                                <w:szCs w:val="24"/>
                              </w:rPr>
                              <w:t xml:space="preserve"> journey to service integration through a self-assessment process – all in a matter of months.  By avoiding a number of the pitfalls and building on the successes of other states, WINTAC has saved </w:t>
                            </w:r>
                            <w:r>
                              <w:rPr>
                                <w:rFonts w:ascii="Times New Roman" w:hAnsi="Times New Roman" w:cs="Times New Roman"/>
                                <w:i/>
                                <w:iCs/>
                                <w:sz w:val="24"/>
                                <w:szCs w:val="24"/>
                              </w:rPr>
                              <w:t>[State]</w:t>
                            </w:r>
                            <w:r w:rsidRPr="002A331B">
                              <w:rPr>
                                <w:rFonts w:ascii="Times New Roman" w:hAnsi="Times New Roman" w:cs="Times New Roman"/>
                                <w:i/>
                                <w:iCs/>
                                <w:sz w:val="24"/>
                                <w:szCs w:val="24"/>
                              </w:rPr>
                              <w:t xml:space="preserve"> considerable time and resources.</w:t>
                            </w:r>
                          </w:p>
                        </w:txbxContent>
                      </wps:txbx>
                      <wps:bodyPr rot="0" spcFirstLastPara="0" vertOverflow="overflow" horzOverflow="overflow" vert="horz" wrap="square" lIns="137160" tIns="91440" rIns="91440" bIns="91440" numCol="1" spcCol="0" rtlCol="0" fromWordArt="0" anchor="t" anchorCtr="0" forceAA="0" compatLnSpc="1">
                        <a:prstTxWarp prst="textNoShape">
                          <a:avLst/>
                        </a:prstTxWarp>
                        <a:noAutofit/>
                      </wps:bodyPr>
                    </wps:wsp>
                  </a:graphicData>
                </a:graphic>
              </wp:inline>
            </w:drawing>
          </mc:Choice>
          <mc:Fallback>
            <w:pict>
              <v:shape w14:anchorId="0AE0D896" id="_x0000_s1042" style="width:466.9pt;height:485.8pt;visibility:visible;mso-wrap-style:square;mso-left-percent:-10001;mso-top-percent:-10001;mso-position-horizontal:absolute;mso-position-horizontal-relative:char;mso-position-vertical:absolute;mso-position-vertical-relative:line;mso-left-percent:-10001;mso-top-percent:-10001;v-text-anchor:top" coordsize="5929630,616966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" adj="-11796480,,5400" path="m,l4941339,r988291,988291l5929630,6169660,,6169660,,xe" fillcolor="#4d5f78 [2994]" stroked="f" strokeweight="1pt">
                <v:fill color2="#2a3442 [2018]" rotate="t" colors="0 #5d6d85;.5 #485972;1 #334258" focus="100%" type="gradient">
                  <o:fill v:ext="view" type="gradientUnscaled"/>
                </v:fill>
                <v:stroke joinstyle="miter"/>
                <v:formulas/>
                <v:path arrowok="t" o:connecttype="custom" o:connectlocs="0,0;4941339,0;5929630,988291;5929630,6169660;0,6169660;0,0" o:connectangles="0,0,0,0,0,0" textboxrect="0,0,5929630,6169660"/>
                <v:textbox inset="10.8pt,7.2pt,,7.2pt">
                  <w:txbxContent>
                    <w:p w14:paraId="6E3747BA" w14:textId="77777777" w:rsidR="00366D34" w:rsidRPr="002A331B" w:rsidRDefault="00366D34" w:rsidP="007272B9">
                      <w:pPr>
                        <w:spacing w:after="0" w:line="276" w:lineRule="auto"/>
                        <w:ind w:left="1080"/>
                        <w:rPr>
                          <w:rFonts w:ascii="Times New Roman" w:hAnsi="Times New Roman" w:cs="Times New Roman"/>
                          <w:b/>
                          <w:bCs/>
                          <w:i/>
                          <w:iCs/>
                          <w:sz w:val="28"/>
                          <w:szCs w:val="28"/>
                        </w:rPr>
                      </w:pPr>
                      <w:r w:rsidRPr="002A331B">
                        <w:rPr>
                          <w:rFonts w:ascii="Times New Roman" w:hAnsi="Times New Roman" w:cs="Times New Roman"/>
                          <w:i/>
                          <w:iCs/>
                          <w:sz w:val="24"/>
                          <w:szCs w:val="24"/>
                        </w:rPr>
                        <w:t xml:space="preserve">Doug Keast and Lou Adams have been exceptionally helpful and accessible to those of us working on service integration at both the State and local levels.  At the State level, they have participated in countless phone calls and in-person meetings, listening carefully and offering pertinent advice and information.  Their input is informed by their experience with other states and organizations working with the integration continuum, and, as such, has allowed us to learn from the experience – both good and bad – of others.  Given their deep history with vocational rehabilitation, one of the areas that Illinois wants to integrate more fully in our state and local workforce efforts, their suggestions of how to leverage those resources and effective practices have been particularly useful.  They have also provided us with draft documents and forms which have helped accelerate our development process.  Finally, they have also extended their offer of assistance to local workforce innovation areas (LWIAs), bringing their expertise to areas that need targeted support or wish to innovate. The style in which they have engaged is also noteworthy.  Both Doug and Lou are </w:t>
                      </w:r>
                      <w:r w:rsidRPr="002A331B">
                        <w:rPr>
                          <w:rFonts w:ascii="Times New Roman" w:hAnsi="Times New Roman" w:cs="Times New Roman"/>
                          <w:b/>
                          <w:bCs/>
                          <w:i/>
                          <w:iCs/>
                          <w:sz w:val="24"/>
                          <w:szCs w:val="24"/>
                          <w:u w:val="single"/>
                        </w:rPr>
                        <w:t>exemplars of reflective practitioners who do not claim to have “The Answer,” but rather offer suggestions and examples that allow organizations and individuals to discover their own path.</w:t>
                      </w:r>
                      <w:r w:rsidRPr="002A331B">
                        <w:rPr>
                          <w:rFonts w:ascii="Times New Roman" w:hAnsi="Times New Roman" w:cs="Times New Roman"/>
                          <w:i/>
                          <w:iCs/>
                          <w:sz w:val="24"/>
                          <w:szCs w:val="24"/>
                        </w:rPr>
                        <w:t xml:space="preserve">  They are highly talented facilitators, able to pivot with the needs of the group and help direct the conversation to a productive outcome.  The impact of their work, which began with the introduction of the integration continuum, has been to support </w:t>
                      </w:r>
                      <w:r>
                        <w:rPr>
                          <w:rFonts w:ascii="Times New Roman" w:hAnsi="Times New Roman" w:cs="Times New Roman"/>
                          <w:i/>
                          <w:iCs/>
                          <w:sz w:val="24"/>
                          <w:szCs w:val="24"/>
                        </w:rPr>
                        <w:t>[State’s]</w:t>
                      </w:r>
                      <w:r w:rsidRPr="002A331B">
                        <w:rPr>
                          <w:rFonts w:ascii="Times New Roman" w:hAnsi="Times New Roman" w:cs="Times New Roman"/>
                          <w:i/>
                          <w:iCs/>
                          <w:sz w:val="24"/>
                          <w:szCs w:val="24"/>
                        </w:rPr>
                        <w:t xml:space="preserve"> journey to service integration through a self-assessment process – all in a matter of months.  By avoiding a number of the pitfalls and building on the successes of other states, WINTAC has saved </w:t>
                      </w:r>
                      <w:r>
                        <w:rPr>
                          <w:rFonts w:ascii="Times New Roman" w:hAnsi="Times New Roman" w:cs="Times New Roman"/>
                          <w:i/>
                          <w:iCs/>
                          <w:sz w:val="24"/>
                          <w:szCs w:val="24"/>
                        </w:rPr>
                        <w:t>[State]</w:t>
                      </w:r>
                      <w:r w:rsidRPr="002A331B">
                        <w:rPr>
                          <w:rFonts w:ascii="Times New Roman" w:hAnsi="Times New Roman" w:cs="Times New Roman"/>
                          <w:i/>
                          <w:iCs/>
                          <w:sz w:val="24"/>
                          <w:szCs w:val="24"/>
                        </w:rPr>
                        <w:t xml:space="preserve"> considerable time and resources.</w:t>
                      </w:r>
                    </w:p>
                  </w:txbxContent>
                </v:textbox>
                <w10:anchorlock/>
              </v:shape>
            </w:pict>
          </mc:Fallback>
        </mc:AlternateContent>
      </w:r>
    </w:p>
    <w:p w14:paraId="3D9C454F" w14:textId="77777777" w:rsidR="007272B9" w:rsidRDefault="007272B9" w:rsidP="007272B9">
      <w:pPr>
        <w:tabs>
          <w:tab w:val="left" w:pos="360"/>
        </w:tabs>
        <w:rPr>
          <w:rFonts w:cstheme="minorHAnsi"/>
        </w:rPr>
      </w:pPr>
    </w:p>
    <w:p w14:paraId="2F1BAB10" w14:textId="77777777" w:rsidR="007272B9" w:rsidRDefault="007272B9" w:rsidP="007272B9">
      <w:pPr>
        <w:tabs>
          <w:tab w:val="left" w:pos="360"/>
        </w:tabs>
        <w:rPr>
          <w:rFonts w:cstheme="minorHAnsi"/>
        </w:rPr>
      </w:pPr>
      <w:r w:rsidRPr="00AA21D3">
        <w:rPr>
          <w:rFonts w:cstheme="minorHAnsi"/>
          <w:noProof/>
          <w:lang w:eastAsia="ko-KR"/>
        </w:rPr>
        <mc:AlternateContent>
          <mc:Choice Requires="wps">
            <w:drawing>
              <wp:anchor distT="182880" distB="182880" distL="182880" distR="182880" simplePos="0" relativeHeight="251668480" behindDoc="0" locked="0" layoutInCell="1" allowOverlap="1" wp14:anchorId="62808310" wp14:editId="7730FA77">
                <wp:simplePos x="0" y="0"/>
                <wp:positionH relativeFrom="margin">
                  <wp:posOffset>-3683</wp:posOffset>
                </wp:positionH>
                <wp:positionV relativeFrom="margin">
                  <wp:posOffset>6515354</wp:posOffset>
                </wp:positionV>
                <wp:extent cx="2971800" cy="1764665"/>
                <wp:effectExtent l="0" t="0" r="0" b="9525"/>
                <wp:wrapSquare wrapText="bothSides"/>
                <wp:docPr id="44" name="Snip Single Corner Rectangle 117"/>
                <wp:cNvGraphicFramePr/>
                <a:graphic xmlns:a="http://schemas.openxmlformats.org/drawingml/2006/main">
                  <a:graphicData uri="http://schemas.microsoft.com/office/word/2010/wordprocessingShape">
                    <wps:wsp>
                      <wps:cNvSpPr/>
                      <wps:spPr>
                        <a:xfrm>
                          <a:off x="0" y="0"/>
                          <a:ext cx="2971800" cy="1764665"/>
                        </a:xfrm>
                        <a:prstGeom prst="snip1Rect">
                          <a:avLst/>
                        </a:prstGeom>
                        <a:ln>
                          <a:noFill/>
                        </a:ln>
                      </wps:spPr>
                      <wps:style>
                        <a:lnRef idx="2">
                          <a:schemeClr val="accent1">
                            <a:shade val="50000"/>
                          </a:schemeClr>
                        </a:lnRef>
                        <a:fillRef idx="1003">
                          <a:schemeClr val="dk2"/>
                        </a:fillRef>
                        <a:effectRef idx="0">
                          <a:schemeClr val="accent1"/>
                        </a:effectRef>
                        <a:fontRef idx="minor">
                          <a:schemeClr val="lt1"/>
                        </a:fontRef>
                      </wps:style>
                      <wps:txbx>
                        <w:txbxContent>
                          <w:p w14:paraId="5B79650D" w14:textId="77777777" w:rsidR="00366D34" w:rsidRPr="00FF0FDA" w:rsidRDefault="00366D34" w:rsidP="007272B9">
                            <w:pPr>
                              <w:spacing w:line="240" w:lineRule="auto"/>
                              <w:rPr>
                                <w:rFonts w:ascii="Times New Roman" w:hAnsi="Times New Roman" w:cs="Times New Roman"/>
                                <w:i/>
                                <w:iCs/>
                                <w:color w:val="FFFFFF" w:themeColor="background1"/>
                                <w:sz w:val="24"/>
                                <w:szCs w:val="24"/>
                              </w:rPr>
                            </w:pPr>
                            <w:r w:rsidRPr="00FF0FDA">
                              <w:rPr>
                                <w:rFonts w:ascii="Times New Roman" w:hAnsi="Times New Roman" w:cs="Times New Roman"/>
                                <w:i/>
                                <w:iCs/>
                                <w:color w:val="FFFFFF" w:themeColor="background1"/>
                                <w:sz w:val="24"/>
                                <w:szCs w:val="24"/>
                              </w:rPr>
                              <w:t xml:space="preserve">Since WINTAC’ s involvement, the concept of integrating services has become much clearer to workforce partners and as a result is happening much more often. </w:t>
                            </w:r>
                          </w:p>
                        </w:txbxContent>
                      </wps:txbx>
                      <wps:bodyPr rot="0" spcFirstLastPara="0" vertOverflow="overflow" horzOverflow="overflow" vert="horz" wrap="square" lIns="137160" tIns="91440" rIns="91440" bIns="91440" numCol="1" spcCol="0" rtlCol="0" fromWordArt="0" anchor="t" anchorCtr="0" forceAA="0" compatLnSpc="1">
                        <a:prstTxWarp prst="textNoShape">
                          <a:avLst/>
                        </a:prstTxWarp>
                        <a:spAutoFit/>
                      </wps:bodyPr>
                    </wps:wsp>
                  </a:graphicData>
                </a:graphic>
                <wp14:sizeRelH relativeFrom="margin">
                  <wp14:pctWidth>50000</wp14:pctWidth>
                </wp14:sizeRelH>
                <wp14:sizeRelV relativeFrom="margin">
                  <wp14:pctHeight>0</wp14:pctHeight>
                </wp14:sizeRelV>
              </wp:anchor>
            </w:drawing>
          </mc:Choice>
          <mc:Fallback>
            <w:pict>
              <v:shape w14:anchorId="62808310" id="_x0000_s1043" style="position:absolute;margin-left:-.3pt;margin-top:513pt;width:234pt;height:138.95pt;z-index:251668480;visibility:visible;mso-wrap-style:square;mso-width-percent:500;mso-height-percent:0;mso-wrap-distance-left:14.4pt;mso-wrap-distance-top:14.4pt;mso-wrap-distance-right:14.4pt;mso-wrap-distance-bottom:14.4pt;mso-position-horizontal:absolute;mso-position-horizontal-relative:margin;mso-position-vertical:absolute;mso-position-vertical-relative:margin;mso-width-percent:500;mso-height-percent:0;mso-width-relative:margin;mso-height-relative:margin;v-text-anchor:top" coordsize="2971800,176466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" adj="-11796480,,5400" path="m,l2677683,r294117,294117l2971800,1764665,,1764665,,xe" fillcolor="#4d5f78 [2994]" stroked="f" strokeweight="1pt">
                <v:fill color2="#2a3442 [2018]" rotate="t" colors="0 #5d6d85;.5 #485972;1 #334258" focus="100%" type="gradient">
                  <o:fill v:ext="view" type="gradientUnscaled"/>
                </v:fill>
                <v:stroke joinstyle="miter"/>
                <v:formulas/>
                <v:path arrowok="t" o:connecttype="custom" o:connectlocs="0,0;2677683,0;2971800,294117;2971800,1764665;0,1764665;0,0" o:connectangles="0,0,0,0,0,0" textboxrect="0,0,2971800,1764665"/>
                <v:textbox style="mso-fit-shape-to-text:t" inset="10.8pt,7.2pt,,7.2pt">
                  <w:txbxContent>
                    <w:p w14:paraId="5B79650D" w14:textId="77777777" w:rsidR="00366D34" w:rsidRPr="00FF0FDA" w:rsidRDefault="00366D34" w:rsidP="007272B9">
                      <w:pPr>
                        <w:spacing w:line="240" w:lineRule="auto"/>
                        <w:rPr>
                          <w:rFonts w:ascii="Times New Roman" w:hAnsi="Times New Roman" w:cs="Times New Roman"/>
                          <w:i/>
                          <w:iCs/>
                          <w:color w:val="FFFFFF" w:themeColor="background1"/>
                          <w:sz w:val="24"/>
                          <w:szCs w:val="24"/>
                        </w:rPr>
                      </w:pPr>
                      <w:r w:rsidRPr="00FF0FDA">
                        <w:rPr>
                          <w:rFonts w:ascii="Times New Roman" w:hAnsi="Times New Roman" w:cs="Times New Roman"/>
                          <w:i/>
                          <w:iCs/>
                          <w:color w:val="FFFFFF" w:themeColor="background1"/>
                          <w:sz w:val="24"/>
                          <w:szCs w:val="24"/>
                        </w:rPr>
                        <w:t xml:space="preserve">Since WINTAC’ s involvement, the concept of integrating services has become much clearer to workforce partners and as a result is happening much more often. </w:t>
                      </w:r>
                    </w:p>
                  </w:txbxContent>
                </v:textbox>
                <w10:wrap type="square" anchorx="margin" anchory="margin"/>
              </v:shape>
            </w:pict>
          </mc:Fallback>
        </mc:AlternateContent>
      </w:r>
    </w:p>
    <w:p w14:paraId="537E5A9B" w14:textId="77777777" w:rsidR="007272B9" w:rsidRDefault="007272B9" w:rsidP="007272B9">
      <w:pPr>
        <w:tabs>
          <w:tab w:val="left" w:pos="360"/>
        </w:tabs>
        <w:rPr>
          <w:rFonts w:cstheme="minorHAnsi"/>
        </w:rPr>
      </w:pPr>
    </w:p>
    <w:p w14:paraId="3166C553" w14:textId="77777777" w:rsidR="007272B9" w:rsidRDefault="007272B9" w:rsidP="007272B9">
      <w:pPr>
        <w:tabs>
          <w:tab w:val="left" w:pos="360"/>
        </w:tabs>
        <w:rPr>
          <w:rFonts w:cstheme="minorHAnsi"/>
        </w:rPr>
      </w:pPr>
    </w:p>
    <w:p w14:paraId="4EACD2E6" w14:textId="77777777" w:rsidR="007272B9" w:rsidRDefault="007272B9" w:rsidP="007272B9">
      <w:pPr>
        <w:tabs>
          <w:tab w:val="left" w:pos="360"/>
        </w:tabs>
        <w:rPr>
          <w:rFonts w:cstheme="minorHAnsi"/>
        </w:rPr>
      </w:pPr>
    </w:p>
    <w:p w14:paraId="5723A1E9" w14:textId="77777777" w:rsidR="007272B9" w:rsidRDefault="007272B9" w:rsidP="007272B9">
      <w:pPr>
        <w:tabs>
          <w:tab w:val="left" w:pos="360"/>
        </w:tabs>
        <w:rPr>
          <w:rFonts w:cstheme="minorHAnsi"/>
        </w:rPr>
      </w:pPr>
    </w:p>
    <w:p w14:paraId="0D07581E" w14:textId="77777777" w:rsidR="007272B9" w:rsidRDefault="007272B9" w:rsidP="007272B9">
      <w:pPr>
        <w:tabs>
          <w:tab w:val="left" w:pos="360"/>
        </w:tabs>
        <w:rPr>
          <w:rFonts w:cstheme="minorHAnsi"/>
        </w:rPr>
      </w:pPr>
      <w:r w:rsidRPr="00C360B6">
        <w:rPr>
          <w:rFonts w:cstheme="minorHAnsi"/>
        </w:rPr>
        <w:tab/>
      </w:r>
    </w:p>
    <w:p w14:paraId="6DCC1CA9" w14:textId="77777777" w:rsidR="007272B9" w:rsidRDefault="007272B9" w:rsidP="007272B9">
      <w:pPr>
        <w:tabs>
          <w:tab w:val="left" w:pos="360"/>
        </w:tabs>
        <w:rPr>
          <w:rFonts w:cstheme="minorHAnsi"/>
        </w:rPr>
      </w:pPr>
    </w:p>
    <w:p w14:paraId="4A746E37" w14:textId="77777777" w:rsidR="007272B9" w:rsidRDefault="007272B9" w:rsidP="007272B9">
      <w:pPr>
        <w:tabs>
          <w:tab w:val="left" w:pos="360"/>
        </w:tabs>
        <w:rPr>
          <w:rFonts w:cstheme="minorHAnsi"/>
        </w:rPr>
      </w:pPr>
      <w:r w:rsidRPr="00AA21D3">
        <w:rPr>
          <w:rFonts w:cstheme="minorHAnsi"/>
          <w:noProof/>
          <w:lang w:eastAsia="ko-KR"/>
        </w:rPr>
        <mc:AlternateContent>
          <mc:Choice Requires="wps">
            <w:drawing>
              <wp:anchor distT="182880" distB="182880" distL="182880" distR="182880" simplePos="0" relativeHeight="251669504" behindDoc="0" locked="0" layoutInCell="1" allowOverlap="1" wp14:anchorId="2D059886" wp14:editId="4AB918BB">
                <wp:simplePos x="0" y="0"/>
                <wp:positionH relativeFrom="margin">
                  <wp:posOffset>0</wp:posOffset>
                </wp:positionH>
                <wp:positionV relativeFrom="margin">
                  <wp:posOffset>-169926</wp:posOffset>
                </wp:positionV>
                <wp:extent cx="2971800" cy="1764665"/>
                <wp:effectExtent l="0" t="0" r="0" b="9525"/>
                <wp:wrapSquare wrapText="bothSides"/>
                <wp:docPr id="45" name="Snip Single Corner Rectangle 117"/>
                <wp:cNvGraphicFramePr/>
                <a:graphic xmlns:a="http://schemas.openxmlformats.org/drawingml/2006/main">
                  <a:graphicData uri="http://schemas.microsoft.com/office/word/2010/wordprocessingShape">
                    <wps:wsp>
                      <wps:cNvSpPr/>
                      <wps:spPr>
                        <a:xfrm>
                          <a:off x="0" y="0"/>
                          <a:ext cx="2971800" cy="1764665"/>
                        </a:xfrm>
                        <a:prstGeom prst="snip1Rect">
                          <a:avLst/>
                        </a:prstGeom>
                        <a:ln>
                          <a:noFill/>
                        </a:ln>
                      </wps:spPr>
                      <wps:style>
                        <a:lnRef idx="2">
                          <a:schemeClr val="accent1">
                            <a:shade val="50000"/>
                          </a:schemeClr>
                        </a:lnRef>
                        <a:fillRef idx="1003">
                          <a:schemeClr val="dk2"/>
                        </a:fillRef>
                        <a:effectRef idx="0">
                          <a:schemeClr val="accent1"/>
                        </a:effectRef>
                        <a:fontRef idx="minor">
                          <a:schemeClr val="lt1"/>
                        </a:fontRef>
                      </wps:style>
                      <wps:txbx>
                        <w:txbxContent>
                          <w:p w14:paraId="73043CEF" w14:textId="77777777" w:rsidR="00366D34" w:rsidRPr="00FF0FDA" w:rsidRDefault="00366D34" w:rsidP="007272B9">
                            <w:pPr>
                              <w:spacing w:line="240" w:lineRule="auto"/>
                              <w:rPr>
                                <w:rFonts w:ascii="Times New Roman" w:hAnsi="Times New Roman" w:cs="Times New Roman"/>
                                <w:i/>
                                <w:iCs/>
                                <w:color w:val="FFFFFF" w:themeColor="background1"/>
                                <w:sz w:val="24"/>
                                <w:szCs w:val="24"/>
                              </w:rPr>
                            </w:pPr>
                            <w:r w:rsidRPr="0027755E">
                              <w:rPr>
                                <w:rFonts w:ascii="Times New Roman" w:hAnsi="Times New Roman" w:cs="Times New Roman"/>
                                <w:i/>
                                <w:iCs/>
                                <w:color w:val="FFFFFF" w:themeColor="background1"/>
                                <w:sz w:val="24"/>
                                <w:szCs w:val="24"/>
                              </w:rPr>
                              <w:t>Initial traction demonstrated that the IRT approach led to increased integration at the front line and enabled AJC to be educated in effective ways to serve the IDB clientele.</w:t>
                            </w:r>
                          </w:p>
                        </w:txbxContent>
                      </wps:txbx>
                      <wps:bodyPr rot="0" spcFirstLastPara="0" vertOverflow="overflow" horzOverflow="overflow" vert="horz" wrap="square" lIns="137160" tIns="91440" rIns="91440" bIns="91440" numCol="1" spcCol="0" rtlCol="0" fromWordArt="0" anchor="t" anchorCtr="0" forceAA="0" compatLnSpc="1">
                        <a:prstTxWarp prst="textNoShape">
                          <a:avLst/>
                        </a:prstTxWarp>
                        <a:spAutoFit/>
                      </wps:bodyPr>
                    </wps:wsp>
                  </a:graphicData>
                </a:graphic>
                <wp14:sizeRelH relativeFrom="margin">
                  <wp14:pctWidth>50000</wp14:pctWidth>
                </wp14:sizeRelH>
                <wp14:sizeRelV relativeFrom="margin">
                  <wp14:pctHeight>0</wp14:pctHeight>
                </wp14:sizeRelV>
              </wp:anchor>
            </w:drawing>
          </mc:Choice>
          <mc:Fallback>
            <w:pict>
              <v:shape w14:anchorId="2D059886" id="_x0000_s1044" style="position:absolute;margin-left:0;margin-top:-13.4pt;width:234pt;height:138.95pt;z-index:251669504;visibility:visible;mso-wrap-style:square;mso-width-percent:500;mso-height-percent:0;mso-wrap-distance-left:14.4pt;mso-wrap-distance-top:14.4pt;mso-wrap-distance-right:14.4pt;mso-wrap-distance-bottom:14.4pt;mso-position-horizontal:absolute;mso-position-horizontal-relative:margin;mso-position-vertical:absolute;mso-position-vertical-relative:margin;mso-width-percent:500;mso-height-percent:0;mso-width-relative:margin;mso-height-relative:margin;v-text-anchor:top" coordsize="2971800,176466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" adj="-11796480,,5400" path="m,l2677683,r294117,294117l2971800,1764665,,1764665,,xe" fillcolor="#4d5f78 [2994]" stroked="f" strokeweight="1pt">
                <v:fill color2="#2a3442 [2018]" rotate="t" colors="0 #5d6d85;.5 #485972;1 #334258" focus="100%" type="gradient">
                  <o:fill v:ext="view" type="gradientUnscaled"/>
                </v:fill>
                <v:stroke joinstyle="miter"/>
                <v:formulas/>
                <v:path arrowok="t" o:connecttype="custom" o:connectlocs="0,0;2677683,0;2971800,294117;2971800,1764665;0,1764665;0,0" o:connectangles="0,0,0,0,0,0" textboxrect="0,0,2971800,1764665"/>
                <v:textbox style="mso-fit-shape-to-text:t" inset="10.8pt,7.2pt,,7.2pt">
                  <w:txbxContent>
                    <w:p w14:paraId="73043CEF" w14:textId="77777777" w:rsidR="00366D34" w:rsidRPr="00FF0FDA" w:rsidRDefault="00366D34" w:rsidP="007272B9">
                      <w:pPr>
                        <w:spacing w:line="240" w:lineRule="auto"/>
                        <w:rPr>
                          <w:rFonts w:ascii="Times New Roman" w:hAnsi="Times New Roman" w:cs="Times New Roman"/>
                          <w:i/>
                          <w:iCs/>
                          <w:color w:val="FFFFFF" w:themeColor="background1"/>
                          <w:sz w:val="24"/>
                          <w:szCs w:val="24"/>
                        </w:rPr>
                      </w:pPr>
                      <w:r w:rsidRPr="0027755E">
                        <w:rPr>
                          <w:rFonts w:ascii="Times New Roman" w:hAnsi="Times New Roman" w:cs="Times New Roman"/>
                          <w:i/>
                          <w:iCs/>
                          <w:color w:val="FFFFFF" w:themeColor="background1"/>
                          <w:sz w:val="24"/>
                          <w:szCs w:val="24"/>
                        </w:rPr>
                        <w:t>Initial traction demonstrated that the IRT approach led to increased integration at the front line and enabled AJC to be educated in effective ways to serve the IDB clientele.</w:t>
                      </w:r>
                    </w:p>
                  </w:txbxContent>
                </v:textbox>
                <w10:wrap type="square" anchorx="margin" anchory="margin"/>
              </v:shape>
            </w:pict>
          </mc:Fallback>
        </mc:AlternateContent>
      </w:r>
    </w:p>
    <w:p w14:paraId="6FB50054" w14:textId="77777777" w:rsidR="007272B9" w:rsidRDefault="007272B9" w:rsidP="007272B9">
      <w:pPr>
        <w:tabs>
          <w:tab w:val="left" w:pos="360"/>
        </w:tabs>
        <w:rPr>
          <w:rFonts w:cstheme="minorHAnsi"/>
        </w:rPr>
      </w:pPr>
    </w:p>
    <w:p w14:paraId="0DDA9A3E" w14:textId="77777777" w:rsidR="007272B9" w:rsidRDefault="007272B9" w:rsidP="007272B9">
      <w:pPr>
        <w:tabs>
          <w:tab w:val="left" w:pos="360"/>
        </w:tabs>
        <w:rPr>
          <w:rFonts w:cstheme="minorHAnsi"/>
        </w:rPr>
      </w:pPr>
    </w:p>
    <w:p w14:paraId="165BFC97" w14:textId="77777777" w:rsidR="007272B9" w:rsidRDefault="007272B9" w:rsidP="007272B9">
      <w:pPr>
        <w:tabs>
          <w:tab w:val="left" w:pos="360"/>
        </w:tabs>
        <w:rPr>
          <w:rFonts w:cstheme="minorHAnsi"/>
        </w:rPr>
      </w:pPr>
      <w:r w:rsidRPr="00D16DE5">
        <w:rPr>
          <w:rFonts w:cstheme="minorHAnsi"/>
          <w:noProof/>
          <w:lang w:eastAsia="ko-KR"/>
        </w:rPr>
        <mc:AlternateContent>
          <mc:Choice Requires="wps">
            <w:drawing>
              <wp:anchor distT="182880" distB="182880" distL="182880" distR="182880" simplePos="0" relativeHeight="251671552" behindDoc="0" locked="0" layoutInCell="1" allowOverlap="1" wp14:anchorId="39F6A5C9" wp14:editId="4642E06B">
                <wp:simplePos x="0" y="0"/>
                <wp:positionH relativeFrom="margin">
                  <wp:posOffset>1528191</wp:posOffset>
                </wp:positionH>
                <wp:positionV relativeFrom="margin">
                  <wp:posOffset>1384681</wp:posOffset>
                </wp:positionV>
                <wp:extent cx="4744720" cy="3378835"/>
                <wp:effectExtent l="0" t="0" r="0" b="0"/>
                <wp:wrapSquare wrapText="bothSides"/>
                <wp:docPr id="49" name="Snip Single Corner Rectangle 117"/>
                <wp:cNvGraphicFramePr/>
                <a:graphic xmlns:a="http://schemas.openxmlformats.org/drawingml/2006/main">
                  <a:graphicData uri="http://schemas.microsoft.com/office/word/2010/wordprocessingShape">
                    <wps:wsp>
                      <wps:cNvSpPr/>
                      <wps:spPr>
                        <a:xfrm>
                          <a:off x="0" y="0"/>
                          <a:ext cx="4744720" cy="3378835"/>
                        </a:xfrm>
                        <a:prstGeom prst="snip1Rect">
                          <a:avLst/>
                        </a:prstGeom>
                        <a:ln>
                          <a:noFill/>
                        </a:ln>
                      </wps:spPr>
                      <wps:style>
                        <a:lnRef idx="2">
                          <a:schemeClr val="accent1">
                            <a:shade val="50000"/>
                          </a:schemeClr>
                        </a:lnRef>
                        <a:fillRef idx="1003">
                          <a:schemeClr val="dk2"/>
                        </a:fillRef>
                        <a:effectRef idx="0">
                          <a:schemeClr val="accent1"/>
                        </a:effectRef>
                        <a:fontRef idx="minor">
                          <a:schemeClr val="lt1"/>
                        </a:fontRef>
                      </wps:style>
                      <wps:txbx>
                        <w:txbxContent>
                          <w:p w14:paraId="6A136DE2" w14:textId="77777777" w:rsidR="00366D34" w:rsidRPr="00DE3B72" w:rsidRDefault="00366D34" w:rsidP="007272B9">
                            <w:pPr>
                              <w:rPr>
                                <w:rFonts w:ascii="Times New Roman" w:hAnsi="Times New Roman" w:cs="Times New Roman"/>
                                <w:i/>
                                <w:iCs/>
                                <w:color w:val="FFFFFF" w:themeColor="background1"/>
                                <w:sz w:val="24"/>
                                <w:szCs w:val="24"/>
                              </w:rPr>
                            </w:pPr>
                            <w:r>
                              <w:rPr>
                                <w:rFonts w:ascii="Times New Roman" w:hAnsi="Times New Roman" w:cs="Times New Roman"/>
                                <w:i/>
                                <w:iCs/>
                                <w:sz w:val="24"/>
                                <w:szCs w:val="24"/>
                              </w:rPr>
                              <w:t>WINTAC</w:t>
                            </w:r>
                            <w:r w:rsidRPr="00D16DE5">
                              <w:rPr>
                                <w:rFonts w:ascii="Times New Roman" w:hAnsi="Times New Roman" w:cs="Times New Roman"/>
                                <w:i/>
                                <w:iCs/>
                                <w:sz w:val="24"/>
                                <w:szCs w:val="24"/>
                              </w:rPr>
                              <w:t xml:space="preserve"> assisted state representatives to complete the career pathways checklist to help them understand how career pathways focus both aligned with traditional vr values and were a part of the </w:t>
                            </w:r>
                            <w:r w:rsidRPr="00DE3B72">
                              <w:rPr>
                                <w:rFonts w:ascii="Times New Roman" w:hAnsi="Times New Roman" w:cs="Times New Roman"/>
                                <w:i/>
                                <w:iCs/>
                                <w:color w:val="FFFFFF" w:themeColor="background1"/>
                                <w:sz w:val="24"/>
                                <w:szCs w:val="24"/>
                              </w:rPr>
                              <w:t>larger vision of wioa. A realization that career pathways alignment would need to be considered at both the systems and counselor level was reached, and groups were formed to take steps at both these levels.</w:t>
                            </w:r>
                          </w:p>
                          <w:p w14:paraId="066B5511" w14:textId="77777777" w:rsidR="00366D34" w:rsidRPr="00DE3B72" w:rsidRDefault="00366D34" w:rsidP="007272B9">
                            <w:pPr>
                              <w:rPr>
                                <w:rFonts w:ascii="Times New Roman" w:hAnsi="Times New Roman" w:cs="Times New Roman"/>
                                <w:i/>
                                <w:iCs/>
                                <w:caps/>
                                <w:color w:val="FFFFFF" w:themeColor="background1"/>
                                <w:sz w:val="24"/>
                                <w:szCs w:val="28"/>
                              </w:rPr>
                            </w:pPr>
                            <w:r w:rsidRPr="00DE3B72">
                              <w:rPr>
                                <w:rFonts w:ascii="Times New Roman" w:eastAsia="Times New Roman" w:hAnsi="Times New Roman" w:cs="Times New Roman"/>
                                <w:i/>
                                <w:iCs/>
                                <w:color w:val="FFFFFF" w:themeColor="background1"/>
                                <w:sz w:val="24"/>
                                <w:szCs w:val="24"/>
                              </w:rPr>
                              <w:t>An action team (5-8 members) is being established to include representatives from the state administrative level, the office administrative level and the counselor level to review materials from WINTAC and other states and develop definitions around what Career Pathways focused IPEs to include in Louisiana and recommendations as to how to introduce, operationalize and document such an effort.</w:t>
                            </w:r>
                          </w:p>
                        </w:txbxContent>
                      </wps:txbx>
                      <wps:bodyPr rot="0" spcFirstLastPara="0" vertOverflow="overflow" horzOverflow="overflow" vert="horz" wrap="square" lIns="137160" tIns="91440" rIns="91440" bIns="9144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F6A5C9" id="_x0000_s1045" style="position:absolute;margin-left:120.35pt;margin-top:109.05pt;width:373.6pt;height:266.05pt;z-index:251671552;visibility:visible;mso-wrap-style:square;mso-width-percent:0;mso-height-percent:0;mso-wrap-distance-left:14.4pt;mso-wrap-distance-top:14.4pt;mso-wrap-distance-right:14.4pt;mso-wrap-distance-bottom:14.4pt;mso-position-horizontal:absolute;mso-position-horizontal-relative:margin;mso-position-vertical:absolute;mso-position-vertical-relative:margin;mso-width-percent:0;mso-height-percent:0;mso-width-relative:margin;mso-height-relative:margin;v-text-anchor:top" coordsize="4744720,337883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" adj="-11796480,,5400" path="m,l4181570,r563150,563150l4744720,3378835,,3378835,,xe" fillcolor="#4d5f78 [2994]" stroked="f" strokeweight="1pt">
                <v:fill color2="#2a3442 [2018]" rotate="t" colors="0 #5d6d85;.5 #485972;1 #334258" focus="100%" type="gradient">
                  <o:fill v:ext="view" type="gradientUnscaled"/>
                </v:fill>
                <v:stroke joinstyle="miter"/>
                <v:formulas/>
                <v:path arrowok="t" o:connecttype="custom" o:connectlocs="0,0;4181570,0;4744720,563150;4744720,3378835;0,3378835;0,0" o:connectangles="0,0,0,0,0,0" textboxrect="0,0,4744720,3378835"/>
                <v:textbox inset="10.8pt,7.2pt,,7.2pt">
                  <w:txbxContent>
                    <w:p w14:paraId="6A136DE2" w14:textId="77777777" w:rsidR="00366D34" w:rsidRPr="00DE3B72" w:rsidRDefault="00366D34" w:rsidP="007272B9">
                      <w:pPr>
                        <w:rPr>
                          <w:rFonts w:ascii="Times New Roman" w:hAnsi="Times New Roman" w:cs="Times New Roman"/>
                          <w:i/>
                          <w:iCs/>
                          <w:color w:val="FFFFFF" w:themeColor="background1"/>
                          <w:sz w:val="24"/>
                          <w:szCs w:val="24"/>
                        </w:rPr>
                      </w:pPr>
                      <w:r>
                        <w:rPr>
                          <w:rFonts w:ascii="Times New Roman" w:hAnsi="Times New Roman" w:cs="Times New Roman"/>
                          <w:i/>
                          <w:iCs/>
                          <w:sz w:val="24"/>
                          <w:szCs w:val="24"/>
                        </w:rPr>
                        <w:t>WINTAC</w:t>
                      </w:r>
                      <w:r w:rsidRPr="00D16DE5">
                        <w:rPr>
                          <w:rFonts w:ascii="Times New Roman" w:hAnsi="Times New Roman" w:cs="Times New Roman"/>
                          <w:i/>
                          <w:iCs/>
                          <w:sz w:val="24"/>
                          <w:szCs w:val="24"/>
                        </w:rPr>
                        <w:t xml:space="preserve"> assisted state representatives to complete the career pathways checklist to help them understand how career pathways focus both aligned with traditional vr values and were a part of the </w:t>
                      </w:r>
                      <w:r w:rsidRPr="00DE3B72">
                        <w:rPr>
                          <w:rFonts w:ascii="Times New Roman" w:hAnsi="Times New Roman" w:cs="Times New Roman"/>
                          <w:i/>
                          <w:iCs/>
                          <w:color w:val="FFFFFF" w:themeColor="background1"/>
                          <w:sz w:val="24"/>
                          <w:szCs w:val="24"/>
                        </w:rPr>
                        <w:t>larger vision of wioa. A realization that career pathways alignment would need to be considered at both the systems and counselor level was reached, and groups were formed to take steps at both these levels.</w:t>
                      </w:r>
                    </w:p>
                    <w:p w14:paraId="066B5511" w14:textId="77777777" w:rsidR="00366D34" w:rsidRPr="00DE3B72" w:rsidRDefault="00366D34" w:rsidP="007272B9">
                      <w:pPr>
                        <w:rPr>
                          <w:rFonts w:ascii="Times New Roman" w:hAnsi="Times New Roman" w:cs="Times New Roman"/>
                          <w:i/>
                          <w:iCs/>
                          <w:caps/>
                          <w:color w:val="FFFFFF" w:themeColor="background1"/>
                          <w:sz w:val="24"/>
                          <w:szCs w:val="28"/>
                        </w:rPr>
                      </w:pPr>
                      <w:r w:rsidRPr="00DE3B72">
                        <w:rPr>
                          <w:rFonts w:ascii="Times New Roman" w:eastAsia="Times New Roman" w:hAnsi="Times New Roman" w:cs="Times New Roman"/>
                          <w:i/>
                          <w:iCs/>
                          <w:color w:val="FFFFFF" w:themeColor="background1"/>
                          <w:sz w:val="24"/>
                          <w:szCs w:val="24"/>
                        </w:rPr>
                        <w:t>An action team (5-8 members) is being established to include representatives from the state administrative level, the office administrative level and the counselor level to review materials from WINTAC and other states and develop definitions around what Career Pathways focused IPEs to include in Louisiana and recommendations as to how to introduce, operationalize and document such an effort.</w:t>
                      </w:r>
                    </w:p>
                  </w:txbxContent>
                </v:textbox>
                <w10:wrap type="square" anchorx="margin" anchory="margin"/>
              </v:shape>
            </w:pict>
          </mc:Fallback>
        </mc:AlternateContent>
      </w:r>
    </w:p>
    <w:p w14:paraId="61F5EBF1" w14:textId="77777777" w:rsidR="007272B9" w:rsidRDefault="007272B9" w:rsidP="007272B9">
      <w:pPr>
        <w:tabs>
          <w:tab w:val="left" w:pos="360"/>
        </w:tabs>
        <w:rPr>
          <w:rFonts w:cstheme="minorHAnsi"/>
        </w:rPr>
      </w:pPr>
    </w:p>
    <w:p w14:paraId="32697A82" w14:textId="77777777" w:rsidR="007272B9" w:rsidRDefault="007272B9" w:rsidP="007272B9">
      <w:pPr>
        <w:tabs>
          <w:tab w:val="left" w:pos="360"/>
        </w:tabs>
        <w:rPr>
          <w:rFonts w:cstheme="minorHAnsi"/>
        </w:rPr>
      </w:pPr>
    </w:p>
    <w:p w14:paraId="138D8DAB" w14:textId="77777777" w:rsidR="007272B9" w:rsidRDefault="007272B9" w:rsidP="007272B9">
      <w:pPr>
        <w:tabs>
          <w:tab w:val="left" w:pos="360"/>
        </w:tabs>
        <w:rPr>
          <w:rFonts w:cstheme="minorHAnsi"/>
        </w:rPr>
      </w:pPr>
    </w:p>
    <w:p w14:paraId="388094B1" w14:textId="77777777" w:rsidR="007272B9" w:rsidRDefault="007272B9" w:rsidP="007272B9">
      <w:pPr>
        <w:tabs>
          <w:tab w:val="left" w:pos="360"/>
        </w:tabs>
        <w:rPr>
          <w:rFonts w:cstheme="minorHAnsi"/>
        </w:rPr>
      </w:pPr>
    </w:p>
    <w:p w14:paraId="37D50D4A" w14:textId="77777777" w:rsidR="007272B9" w:rsidRDefault="007272B9" w:rsidP="007272B9">
      <w:pPr>
        <w:tabs>
          <w:tab w:val="left" w:pos="360"/>
        </w:tabs>
        <w:rPr>
          <w:rFonts w:cstheme="minorHAnsi"/>
        </w:rPr>
      </w:pPr>
    </w:p>
    <w:p w14:paraId="036B9233" w14:textId="77777777" w:rsidR="007272B9" w:rsidRDefault="007272B9" w:rsidP="007272B9">
      <w:pPr>
        <w:tabs>
          <w:tab w:val="left" w:pos="360"/>
        </w:tabs>
        <w:ind w:firstLine="360"/>
        <w:rPr>
          <w:rFonts w:cstheme="minorHAnsi"/>
          <w:b/>
          <w:bCs/>
          <w:i/>
          <w:iCs/>
          <w:u w:val="single"/>
        </w:rPr>
      </w:pPr>
    </w:p>
    <w:p w14:paraId="50D4587D" w14:textId="77777777" w:rsidR="007272B9" w:rsidRDefault="007272B9" w:rsidP="007272B9">
      <w:pPr>
        <w:tabs>
          <w:tab w:val="left" w:pos="360"/>
        </w:tabs>
        <w:ind w:firstLine="360"/>
        <w:rPr>
          <w:rFonts w:cstheme="minorHAnsi"/>
          <w:b/>
          <w:bCs/>
          <w:i/>
          <w:iCs/>
          <w:u w:val="single"/>
        </w:rPr>
      </w:pPr>
    </w:p>
    <w:p w14:paraId="7D538275" w14:textId="77777777" w:rsidR="007272B9" w:rsidRDefault="007272B9" w:rsidP="007272B9">
      <w:pPr>
        <w:tabs>
          <w:tab w:val="left" w:pos="360"/>
        </w:tabs>
        <w:ind w:firstLine="360"/>
        <w:rPr>
          <w:rFonts w:cstheme="minorHAnsi"/>
          <w:b/>
          <w:bCs/>
          <w:i/>
          <w:iCs/>
          <w:u w:val="single"/>
        </w:rPr>
      </w:pPr>
    </w:p>
    <w:p w14:paraId="07C0B48C" w14:textId="77777777" w:rsidR="007272B9" w:rsidRDefault="007272B9" w:rsidP="007272B9">
      <w:pPr>
        <w:tabs>
          <w:tab w:val="left" w:pos="360"/>
        </w:tabs>
        <w:ind w:firstLine="360"/>
        <w:rPr>
          <w:rFonts w:cstheme="minorHAnsi"/>
          <w:b/>
          <w:bCs/>
          <w:i/>
          <w:iCs/>
          <w:u w:val="single"/>
        </w:rPr>
      </w:pPr>
    </w:p>
    <w:p w14:paraId="06DB2406" w14:textId="77777777" w:rsidR="007272B9" w:rsidRDefault="007272B9" w:rsidP="007272B9">
      <w:pPr>
        <w:tabs>
          <w:tab w:val="left" w:pos="360"/>
        </w:tabs>
        <w:ind w:firstLine="360"/>
        <w:rPr>
          <w:rFonts w:cstheme="minorHAnsi"/>
          <w:b/>
          <w:bCs/>
          <w:i/>
          <w:iCs/>
          <w:u w:val="single"/>
        </w:rPr>
      </w:pPr>
    </w:p>
    <w:p w14:paraId="2001A065" w14:textId="77777777" w:rsidR="007272B9" w:rsidRDefault="007272B9" w:rsidP="007272B9">
      <w:pPr>
        <w:tabs>
          <w:tab w:val="left" w:pos="360"/>
        </w:tabs>
        <w:ind w:firstLine="360"/>
        <w:rPr>
          <w:rFonts w:cstheme="minorHAnsi"/>
          <w:b/>
          <w:bCs/>
          <w:i/>
          <w:iCs/>
          <w:u w:val="single"/>
        </w:rPr>
      </w:pPr>
    </w:p>
    <w:p w14:paraId="79730E97" w14:textId="77777777" w:rsidR="007272B9" w:rsidRDefault="007272B9" w:rsidP="007272B9">
      <w:pPr>
        <w:tabs>
          <w:tab w:val="left" w:pos="360"/>
        </w:tabs>
        <w:ind w:firstLine="360"/>
        <w:rPr>
          <w:rFonts w:cstheme="minorHAnsi"/>
          <w:b/>
          <w:bCs/>
          <w:i/>
          <w:iCs/>
          <w:u w:val="single"/>
        </w:rPr>
      </w:pPr>
      <w:r w:rsidRPr="00AA21D3">
        <w:rPr>
          <w:rFonts w:cstheme="minorHAnsi"/>
          <w:noProof/>
          <w:lang w:eastAsia="ko-KR"/>
        </w:rPr>
        <mc:AlternateContent>
          <mc:Choice Requires="wps">
            <w:drawing>
              <wp:anchor distT="182880" distB="182880" distL="182880" distR="182880" simplePos="0" relativeHeight="251670528" behindDoc="0" locked="0" layoutInCell="1" allowOverlap="1" wp14:anchorId="0EA83EE4" wp14:editId="67817862">
                <wp:simplePos x="0" y="0"/>
                <wp:positionH relativeFrom="margin">
                  <wp:posOffset>-194310</wp:posOffset>
                </wp:positionH>
                <wp:positionV relativeFrom="margin">
                  <wp:posOffset>5236464</wp:posOffset>
                </wp:positionV>
                <wp:extent cx="6201410" cy="2949575"/>
                <wp:effectExtent l="0" t="0" r="8890" b="3175"/>
                <wp:wrapSquare wrapText="bothSides"/>
                <wp:docPr id="46" name="Snip Single Corner Rectangle 117"/>
                <wp:cNvGraphicFramePr/>
                <a:graphic xmlns:a="http://schemas.openxmlformats.org/drawingml/2006/main">
                  <a:graphicData uri="http://schemas.microsoft.com/office/word/2010/wordprocessingShape">
                    <wps:wsp>
                      <wps:cNvSpPr/>
                      <wps:spPr>
                        <a:xfrm>
                          <a:off x="0" y="0"/>
                          <a:ext cx="6201410" cy="2949575"/>
                        </a:xfrm>
                        <a:prstGeom prst="snip1Rect">
                          <a:avLst/>
                        </a:prstGeom>
                        <a:ln>
                          <a:noFill/>
                        </a:ln>
                      </wps:spPr>
                      <wps:style>
                        <a:lnRef idx="2">
                          <a:schemeClr val="accent1">
                            <a:shade val="50000"/>
                          </a:schemeClr>
                        </a:lnRef>
                        <a:fillRef idx="1003">
                          <a:schemeClr val="dk2"/>
                        </a:fillRef>
                        <a:effectRef idx="0">
                          <a:schemeClr val="accent1"/>
                        </a:effectRef>
                        <a:fontRef idx="minor">
                          <a:schemeClr val="lt1"/>
                        </a:fontRef>
                      </wps:style>
                      <wps:txbx>
                        <w:txbxContent>
                          <w:p w14:paraId="64C8C715" w14:textId="77777777" w:rsidR="00366D34" w:rsidRPr="00FF0FDA" w:rsidRDefault="00366D34" w:rsidP="007272B9">
                            <w:pPr>
                              <w:spacing w:line="240" w:lineRule="auto"/>
                              <w:rPr>
                                <w:rFonts w:ascii="Times New Roman" w:hAnsi="Times New Roman" w:cs="Times New Roman"/>
                                <w:i/>
                                <w:iCs/>
                                <w:color w:val="FFFFFF" w:themeColor="background1"/>
                                <w:sz w:val="24"/>
                                <w:szCs w:val="24"/>
                              </w:rPr>
                            </w:pPr>
                            <w:r w:rsidRPr="00C00FA6">
                              <w:rPr>
                                <w:rFonts w:ascii="Times New Roman" w:hAnsi="Times New Roman" w:cs="Times New Roman"/>
                                <w:i/>
                                <w:iCs/>
                                <w:color w:val="FFFFFF" w:themeColor="background1"/>
                                <w:sz w:val="24"/>
                                <w:szCs w:val="24"/>
                              </w:rPr>
                              <w:t>WINTAC has provided so much information and technical assistance across all areas</w:t>
                            </w:r>
                            <w:r>
                              <w:rPr>
                                <w:rFonts w:ascii="Times New Roman" w:hAnsi="Times New Roman" w:cs="Times New Roman"/>
                                <w:i/>
                                <w:iCs/>
                                <w:color w:val="FFFFFF" w:themeColor="background1"/>
                                <w:sz w:val="24"/>
                                <w:szCs w:val="24"/>
                              </w:rPr>
                              <w:t>…</w:t>
                            </w:r>
                            <w:r w:rsidRPr="00C00FA6">
                              <w:rPr>
                                <w:rFonts w:ascii="Times New Roman" w:hAnsi="Times New Roman" w:cs="Times New Roman"/>
                                <w:i/>
                                <w:iCs/>
                                <w:color w:val="FFFFFF" w:themeColor="background1"/>
                                <w:sz w:val="24"/>
                                <w:szCs w:val="24"/>
                              </w:rPr>
                              <w:t>We wouldn’t be where we are without it. They’ve helped us focus on all of these things the same time. As a small agency, with a lot of changes we’ve been going through, the steps we’ve been taking would have been impossible to take alone. We have a long way to go in many ways, but due to the WINTAC support we are a lot more comfortable in our direction and progress. With PreETS we’re better with our engagement with youth, and what we count and report in performance.  We have a good focus with what we’re doing in apprenticeship with our partners, improving our overall alignment and building on the integrated resource team strategy. The help with TCI+ has integrated the use of LMI in our counseling process, strengthening how we engage clients with Career Pathways. The WINTAC team has supported our overall assessment and improvement of our rehabilitation services in the WIOA focus.  These changes for us in the past few years, with so much information coming our way, we’ve gained some comfort in knowing what to focus on, and how to stage the changes we’ve been going through.</w:t>
                            </w:r>
                          </w:p>
                        </w:txbxContent>
                      </wps:txbx>
                      <wps:bodyPr rot="0" spcFirstLastPara="0" vertOverflow="overflow" horzOverflow="overflow" vert="horz" wrap="square" lIns="137160" tIns="91440" rIns="91440" bIns="9144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A83EE4" id="_x0000_s1046" style="position:absolute;left:0;text-align:left;margin-left:-15.3pt;margin-top:412.3pt;width:488.3pt;height:232.25pt;z-index:251670528;visibility:visible;mso-wrap-style:square;mso-width-percent:0;mso-height-percent:0;mso-wrap-distance-left:14.4pt;mso-wrap-distance-top:14.4pt;mso-wrap-distance-right:14.4pt;mso-wrap-distance-bottom:14.4pt;mso-position-horizontal:absolute;mso-position-horizontal-relative:margin;mso-position-vertical:absolute;mso-position-vertical-relative:margin;mso-width-percent:0;mso-height-percent:0;mso-width-relative:margin;mso-height-relative:margin;v-text-anchor:top" coordsize="6201410,294957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" adj="-11796480,,5400" path="m,l5709804,r491606,491606l6201410,2949575,,2949575,,xe" fillcolor="#4d5f78 [2994]" stroked="f" strokeweight="1pt">
                <v:fill color2="#2a3442 [2018]" rotate="t" colors="0 #5d6d85;.5 #485972;1 #334258" focus="100%" type="gradient">
                  <o:fill v:ext="view" type="gradientUnscaled"/>
                </v:fill>
                <v:stroke joinstyle="miter"/>
                <v:formulas/>
                <v:path arrowok="t" o:connecttype="custom" o:connectlocs="0,0;5709804,0;6201410,491606;6201410,2949575;0,2949575;0,0" o:connectangles="0,0,0,0,0,0" textboxrect="0,0,6201410,2949575"/>
                <v:textbox inset="10.8pt,7.2pt,,7.2pt">
                  <w:txbxContent>
                    <w:p w14:paraId="64C8C715" w14:textId="77777777" w:rsidR="00366D34" w:rsidRPr="00FF0FDA" w:rsidRDefault="00366D34" w:rsidP="007272B9">
                      <w:pPr>
                        <w:spacing w:line="240" w:lineRule="auto"/>
                        <w:rPr>
                          <w:rFonts w:ascii="Times New Roman" w:hAnsi="Times New Roman" w:cs="Times New Roman"/>
                          <w:i/>
                          <w:iCs/>
                          <w:color w:val="FFFFFF" w:themeColor="background1"/>
                          <w:sz w:val="24"/>
                          <w:szCs w:val="24"/>
                        </w:rPr>
                      </w:pPr>
                      <w:r w:rsidRPr="00C00FA6">
                        <w:rPr>
                          <w:rFonts w:ascii="Times New Roman" w:hAnsi="Times New Roman" w:cs="Times New Roman"/>
                          <w:i/>
                          <w:iCs/>
                          <w:color w:val="FFFFFF" w:themeColor="background1"/>
                          <w:sz w:val="24"/>
                          <w:szCs w:val="24"/>
                        </w:rPr>
                        <w:t>WINTAC has provided so much information and technical assistance across all areas</w:t>
                      </w:r>
                      <w:r>
                        <w:rPr>
                          <w:rFonts w:ascii="Times New Roman" w:hAnsi="Times New Roman" w:cs="Times New Roman"/>
                          <w:i/>
                          <w:iCs/>
                          <w:color w:val="FFFFFF" w:themeColor="background1"/>
                          <w:sz w:val="24"/>
                          <w:szCs w:val="24"/>
                        </w:rPr>
                        <w:t>…</w:t>
                      </w:r>
                      <w:r w:rsidRPr="00C00FA6">
                        <w:rPr>
                          <w:rFonts w:ascii="Times New Roman" w:hAnsi="Times New Roman" w:cs="Times New Roman"/>
                          <w:i/>
                          <w:iCs/>
                          <w:color w:val="FFFFFF" w:themeColor="background1"/>
                          <w:sz w:val="24"/>
                          <w:szCs w:val="24"/>
                        </w:rPr>
                        <w:t>We wouldn’t be where we are without it. They’ve helped us focus on all of these things the same time. As a small agency, with a lot of changes we’ve been going through, the steps we’ve been taking would have been impossible to take alone. We have a long way to go in many ways, but due to the WINTAC support we are a lot more comfortable in our direction and progress. With PreETS we’re better with our engagement with youth, and what we count and report in performance.  We have a good focus with what we’re doing in apprenticeship with our partners, improving our overall alignment and building on the integrated resource team strategy. The help with TCI+ has integrated the use of LMI in our counseling process, strengthening how we engage clients with Career Pathways. The WINTAC team has supported our overall assessment and improvement of our rehabilitation services in the WIOA focus.  These changes for us in the past few years, with so much information coming our way, we’ve gained some comfort in knowing what to focus on, and how to stage the changes we’ve been going through.</w:t>
                      </w:r>
                    </w:p>
                  </w:txbxContent>
                </v:textbox>
                <w10:wrap type="square" anchorx="margin" anchory="margin"/>
              </v:shape>
            </w:pict>
          </mc:Fallback>
        </mc:AlternateContent>
      </w:r>
    </w:p>
    <w:p w14:paraId="4E03B722" w14:textId="77777777" w:rsidR="007272B9" w:rsidRDefault="007272B9" w:rsidP="007272B9">
      <w:pPr>
        <w:tabs>
          <w:tab w:val="left" w:pos="360"/>
        </w:tabs>
        <w:ind w:firstLine="360"/>
        <w:rPr>
          <w:rFonts w:cstheme="minorHAnsi"/>
        </w:rPr>
      </w:pPr>
      <w:r w:rsidRPr="00AD2F4E">
        <w:rPr>
          <w:rFonts w:cstheme="minorHAnsi"/>
          <w:b/>
          <w:bCs/>
          <w:i/>
          <w:iCs/>
          <w:u w:val="single"/>
        </w:rPr>
        <w:lastRenderedPageBreak/>
        <w:t>Evaluation Recommendations.</w:t>
      </w:r>
      <w:r w:rsidRPr="00AD2F4E">
        <w:rPr>
          <w:rFonts w:cstheme="minorHAnsi"/>
        </w:rPr>
        <w:t xml:space="preserve">  </w:t>
      </w:r>
      <w:r>
        <w:rPr>
          <w:rFonts w:cstheme="minorHAnsi"/>
        </w:rPr>
        <w:t xml:space="preserve">Some states are clearly tracking efforts at integration as seen in the outcomes snapshot infographic above.  Other states are not yet doing this as reported in the narratives, therefore it is suggested to prioritize as possible in Year 5 that all states establish a flag in their system to track and thus “count” outcomes o f their efforts (e.g., # involved in career pathways, # of IRTs) in a way that complements already ongoing tracking in this vein (e.g., co-enrollment).  Over time, one will be able to connect these types of “service pathways” directly to client outcomes.  One such outcome for Career Pathways for example, would include examining State Occupational Codes for recorded employment outcomes and whether they connect to high growth industries and IEP or IPE goals.  </w:t>
      </w:r>
    </w:p>
    <w:p w14:paraId="7F956BFD" w14:textId="77777777" w:rsidR="007272B9" w:rsidRPr="006F029E" w:rsidRDefault="007272B9" w:rsidP="007272B9">
      <w:pPr>
        <w:tabs>
          <w:tab w:val="left" w:pos="360"/>
        </w:tabs>
        <w:rPr>
          <w:rFonts w:cstheme="minorHAnsi"/>
        </w:rPr>
      </w:pPr>
      <w:r>
        <w:rPr>
          <w:rFonts w:cstheme="minorHAnsi"/>
        </w:rPr>
        <w:tab/>
        <w:t>In addition to numbers and rates, processes and descriptions of changes being made would benefit from elaboration as states move forward in their systems change efforts to integrate.  For example, what kinds of collaborative events, committees, or plans are being established.  As clients receive joint service delivery, what outcomes are they experiencing.  These impacts will take place over time, but establishing a process for tracking them with states will ensure the opportunity to do so is not lost by them.  Future TA Centers and Evaluators can document them and examine patterns and highlight success stories for replication.</w:t>
      </w:r>
    </w:p>
    <w:p w14:paraId="6F9C1A20" w14:textId="77777777" w:rsidR="00B10E8F" w:rsidRDefault="00B10E8F" w:rsidP="007272B9">
      <w:pPr>
        <w:sectPr w:rsidR="00B10E8F" w:rsidSect="00D27D05">
          <w:pgSz w:w="12240" w:h="15840"/>
          <w:pgMar w:top="1440" w:right="1440" w:bottom="1440" w:left="1440" w:header="720" w:footer="720" w:gutter="0"/>
          <w:pgBorders w:offsetFrom="page">
            <w:top w:val="thinThickSmallGap" w:sz="24" w:space="24" w:color="2F5496" w:themeColor="accent1" w:themeShade="BF"/>
            <w:left w:val="thinThickSmallGap" w:sz="24" w:space="24" w:color="2F5496" w:themeColor="accent1" w:themeShade="BF"/>
            <w:bottom w:val="thickThinSmallGap" w:sz="24" w:space="24" w:color="2F5496" w:themeColor="accent1" w:themeShade="BF"/>
            <w:right w:val="thickThinSmallGap" w:sz="24" w:space="24" w:color="2F5496" w:themeColor="accent1" w:themeShade="BF"/>
          </w:pgBorders>
          <w:cols w:space="720"/>
          <w:docGrid w:linePitch="360"/>
        </w:sectPr>
      </w:pPr>
    </w:p>
    <w:p w14:paraId="225CC48B" w14:textId="09FAA517" w:rsidR="007272B9" w:rsidRPr="00AF24CD" w:rsidRDefault="007272B9" w:rsidP="007272B9"/>
    <w:p w14:paraId="7135320B" w14:textId="01474483" w:rsidR="00B10E8F" w:rsidRPr="00C83541" w:rsidRDefault="00B10E8F" w:rsidP="00076336">
      <w:pPr>
        <w:pStyle w:val="Heading1"/>
        <w:numPr>
          <w:ilvl w:val="0"/>
          <w:numId w:val="59"/>
        </w:numPr>
        <w:pBdr>
          <w:bottom w:val="single" w:sz="18" w:space="1" w:color="auto"/>
        </w:pBdr>
        <w:shd w:val="clear" w:color="auto" w:fill="auto"/>
        <w:ind w:right="-270"/>
        <w:rPr>
          <w:szCs w:val="52"/>
        </w:rPr>
      </w:pPr>
      <w:bookmarkStart w:id="76" w:name="_Toc27904600"/>
      <w:bookmarkStart w:id="77" w:name="_Toc28011434"/>
      <w:r w:rsidRPr="001454F0">
        <w:rPr>
          <w:caps w:val="0"/>
          <w:szCs w:val="52"/>
        </w:rPr>
        <w:t>Competitive Integrated Employment</w:t>
      </w:r>
      <w:r w:rsidRPr="001454F0">
        <w:rPr>
          <w:caps w:val="0"/>
          <w:szCs w:val="52"/>
        </w:rPr>
        <w:br/>
        <w:t>including Supported Employment</w:t>
      </w:r>
      <w:r w:rsidRPr="00C83541">
        <w:rPr>
          <w:szCs w:val="52"/>
        </w:rPr>
        <w:t>-</w:t>
      </w:r>
      <w:bookmarkEnd w:id="76"/>
      <w:bookmarkEnd w:id="77"/>
    </w:p>
    <w:p w14:paraId="20CDCC28" w14:textId="77777777" w:rsidR="00B10E8F" w:rsidRDefault="00B10E8F" w:rsidP="00B10E8F">
      <w:pPr>
        <w:rPr>
          <w:noProof/>
        </w:rPr>
      </w:pPr>
      <w:r>
        <w:rPr>
          <w:noProof/>
          <w:lang w:eastAsia="ko-KR"/>
        </w:rPr>
        <w:drawing>
          <wp:inline distT="0" distB="0" distL="0" distR="0" wp14:anchorId="5D9BC3A2" wp14:editId="096FFD06">
            <wp:extent cx="5943600" cy="4305300"/>
            <wp:effectExtent l="323850" t="323850" r="323850" b="323850"/>
            <wp:docPr id="115" name="Picture 115" descr="Map of the united states showing states with competitive integrated employment. States highlighted include AR, AZ, and 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1" cstate="print">
                      <a:extLst>
                        <a:ext uri="{28A0092B-C50C-407E-A947-70E740481C1C}">
                          <a14:useLocalDpi xmlns:a14="http://schemas.microsoft.com/office/drawing/2010/main" val="0"/>
                        </a:ext>
                      </a:extLst>
                    </a:blip>
                    <a:srcRect/>
                    <a:stretch>
                      <a:fillRect/>
                    </a:stretch>
                  </pic:blipFill>
                  <pic:spPr bwMode="auto">
                    <a:xfrm>
                      <a:off x="0" y="0"/>
                      <a:ext cx="5943600" cy="430530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p>
    <w:p w14:paraId="121DCD43" w14:textId="77777777" w:rsidR="00B10E8F" w:rsidRDefault="00B10E8F" w:rsidP="00B10E8F"/>
    <w:p w14:paraId="1C5835B2" w14:textId="77777777" w:rsidR="00B10E8F" w:rsidRDefault="00B10E8F" w:rsidP="00B10E8F">
      <w:pPr>
        <w:sectPr w:rsidR="00B10E8F" w:rsidSect="00D27D05">
          <w:footerReference w:type="default" r:id="rId312"/>
          <w:pgSz w:w="12240" w:h="15840" w:code="1"/>
          <w:pgMar w:top="1440" w:right="1440" w:bottom="1440" w:left="1440" w:header="720" w:footer="720" w:gutter="0"/>
          <w:pgBorders w:offsetFrom="page">
            <w:top w:val="thinThickSmallGap" w:sz="24" w:space="24" w:color="2F5496" w:themeColor="accent1" w:themeShade="BF"/>
            <w:left w:val="thinThickSmallGap" w:sz="24" w:space="24" w:color="2F5496" w:themeColor="accent1" w:themeShade="BF"/>
            <w:bottom w:val="thickThinSmallGap" w:sz="24" w:space="24" w:color="2F5496" w:themeColor="accent1" w:themeShade="BF"/>
            <w:right w:val="thickThinSmallGap" w:sz="24" w:space="24" w:color="2F5496" w:themeColor="accent1" w:themeShade="BF"/>
          </w:pgBorders>
          <w:cols w:space="720"/>
          <w:vAlign w:val="center"/>
          <w:docGrid w:linePitch="360"/>
        </w:sectPr>
      </w:pPr>
    </w:p>
    <w:p w14:paraId="7F10A389" w14:textId="77777777" w:rsidR="00B10E8F" w:rsidRPr="00DD08B6" w:rsidRDefault="00B10E8F" w:rsidP="00BA0D82">
      <w:pPr>
        <w:pStyle w:val="Heading2"/>
        <w:numPr>
          <w:ilvl w:val="0"/>
          <w:numId w:val="0"/>
        </w:numPr>
        <w:pBdr>
          <w:bottom w:val="single" w:sz="24" w:space="1" w:color="auto"/>
        </w:pBdr>
        <w:spacing w:after="240"/>
      </w:pPr>
      <w:bookmarkStart w:id="78" w:name="_Toc11010581"/>
      <w:bookmarkStart w:id="79" w:name="_Toc27904601"/>
      <w:bookmarkStart w:id="80" w:name="_Toc28011435"/>
      <w:r>
        <w:lastRenderedPageBreak/>
        <w:t>CIE: PROGRESS N</w:t>
      </w:r>
      <w:r w:rsidRPr="00DD08B6">
        <w:t>ARRATIVE</w:t>
      </w:r>
      <w:bookmarkEnd w:id="78"/>
      <w:bookmarkEnd w:id="79"/>
      <w:bookmarkEnd w:id="80"/>
    </w:p>
    <w:p w14:paraId="3C5EAF9D" w14:textId="77777777" w:rsidR="00B10E8F" w:rsidRPr="00C83541" w:rsidRDefault="00B10E8F" w:rsidP="00C22384">
      <w:pPr>
        <w:pStyle w:val="Heading3"/>
        <w:numPr>
          <w:ilvl w:val="0"/>
          <w:numId w:val="0"/>
        </w:numPr>
        <w:ind w:left="810" w:hanging="810"/>
      </w:pPr>
      <w:bookmarkStart w:id="81" w:name="_Toc27904602"/>
      <w:r w:rsidRPr="00C83541">
        <w:t>National Lens</w:t>
      </w:r>
      <w:bookmarkEnd w:id="81"/>
    </w:p>
    <w:p w14:paraId="1783E2CB" w14:textId="77777777" w:rsidR="00B10E8F" w:rsidRPr="008D5E5C" w:rsidRDefault="00B10E8F" w:rsidP="00B10E8F">
      <w:pPr>
        <w:tabs>
          <w:tab w:val="left" w:pos="360"/>
        </w:tabs>
      </w:pPr>
      <w:r>
        <w:tab/>
      </w:r>
      <w:r w:rsidRPr="008D5E5C">
        <w:t xml:space="preserve">Competitive </w:t>
      </w:r>
      <w:r>
        <w:t>i</w:t>
      </w:r>
      <w:r w:rsidRPr="008D5E5C">
        <w:t xml:space="preserve">ntegrated </w:t>
      </w:r>
      <w:r>
        <w:t>e</w:t>
      </w:r>
      <w:r w:rsidRPr="008D5E5C">
        <w:t>mployment</w:t>
      </w:r>
      <w:r>
        <w:t xml:space="preserve"> (CIE)</w:t>
      </w:r>
      <w:r w:rsidRPr="008D5E5C">
        <w:t xml:space="preserve"> is the foundation of the Workforce Innovation and Opportunity Act (WIOA) and regulations</w:t>
      </w:r>
      <w:r>
        <w:t xml:space="preserve"> (Wehman et al., 2018)</w:t>
      </w:r>
      <w:r w:rsidRPr="008D5E5C">
        <w:t>. It is the common theme in all of the WINTAC topical areas, as well as the work of other technical assistance centers. Successful competitive integrated employment outcomes for people with disabilities correspond with effective VR engagement with a wide range of businesses and workforce development partners.</w:t>
      </w:r>
    </w:p>
    <w:p w14:paraId="39A04789" w14:textId="77777777" w:rsidR="00B10E8F" w:rsidRDefault="00B10E8F" w:rsidP="00B10E8F">
      <w:pPr>
        <w:tabs>
          <w:tab w:val="left" w:pos="360"/>
        </w:tabs>
      </w:pPr>
      <w:r>
        <w:tab/>
      </w:r>
      <w:r w:rsidRPr="008D5E5C">
        <w:t>WIOA and final regulations emphasize the need for VR agencies to increase strategies for successful competitive integrated employment including Supported Employment (SE) and Customized Employment (CE) for those individuals with the most significant disabilitie</w:t>
      </w:r>
      <w:r>
        <w:t xml:space="preserve">s, with contemporary research from national project evaluations demonstrating that every state can chart a path to successful outcomes despite different contexts or approaches (Tucker, Feng, Gruman, &amp; Crossen, 2017).  </w:t>
      </w:r>
    </w:p>
    <w:p w14:paraId="54E518AD" w14:textId="77777777" w:rsidR="00B10E8F" w:rsidRPr="00C83541" w:rsidRDefault="00B10E8F" w:rsidP="00C22384">
      <w:pPr>
        <w:pStyle w:val="Heading3"/>
        <w:numPr>
          <w:ilvl w:val="0"/>
          <w:numId w:val="0"/>
        </w:numPr>
        <w:ind w:left="810" w:hanging="810"/>
      </w:pPr>
      <w:bookmarkStart w:id="82" w:name="_Toc27904603"/>
      <w:r w:rsidRPr="00C83541">
        <w:t>WINTAC Lens</w:t>
      </w:r>
      <w:bookmarkEnd w:id="82"/>
    </w:p>
    <w:p w14:paraId="73F090BE" w14:textId="77777777" w:rsidR="00B10E8F" w:rsidRDefault="00B10E8F" w:rsidP="00B10E8F">
      <w:pPr>
        <w:tabs>
          <w:tab w:val="left" w:pos="360"/>
        </w:tabs>
      </w:pPr>
      <w:r>
        <w:tab/>
        <w:t xml:space="preserve">In the first few years of this project, WINTAC entered into 31 Intensive TA agreements to assist SVRAs in improving their understanding of the rationale, concepts, implications and WIOA requirements associated with CIE, as well as best practices in supported and customized employment services. Over time, this assistance resulted in changing needs and WINTAC adjusted accordingly. For some SVRAs, issues were resolved to the point where diminishing levels of intervention were needed, and WINTAC shifted to targeted TA with them. For </w:t>
      </w:r>
      <w:r w:rsidRPr="002424B7">
        <w:t>others</w:t>
      </w:r>
      <w:r>
        <w:t xml:space="preserve">, the response to issues and needs evolved to specific pilot projects and other strategies related to supported and customized employment. Those focused on Supported Employment are addressed in this chapter. Those focused on Customized Employment are addressed in the following chapter. </w:t>
      </w:r>
    </w:p>
    <w:p w14:paraId="6EEDB870" w14:textId="77777777" w:rsidR="00B10E8F" w:rsidRDefault="00B10E8F" w:rsidP="00B10E8F">
      <w:pPr>
        <w:tabs>
          <w:tab w:val="left" w:pos="360"/>
        </w:tabs>
      </w:pPr>
      <w:r>
        <w:tab/>
        <w:t>Under the CIE umbrella, WINTAC has worked with RSA to provide guidance to SVRAs in interpreting and applying regulatory expectations relating to CIE, developed companion tools and resources to support CIE implementation, conducted surveys to measure impact and facilitated communities of practice to share practical application knowledge and experiences. On a national scale, WINTAC has been in a unique position to identify the need for and take a leadership role in building consensus around the essential elements of CIE practices. These foundational principles have been articulated in WINTAC documents such as the “</w:t>
      </w:r>
      <w:r w:rsidRPr="00D57A4B">
        <w:t>Essential Elements of Customized Employment for Universal Application</w:t>
      </w:r>
      <w:r>
        <w:t>” and “Core Features of Quality Supported Employment Services” that are recognized and cited in setting standards for excellence and measuring performance in vocational rehabilitation practice. WINTAC continues to provide a platform for ongoing dialogue and refinement of national standards and their practical application in CIE.</w:t>
      </w:r>
    </w:p>
    <w:p w14:paraId="30C9A4CA" w14:textId="77777777" w:rsidR="00B10E8F" w:rsidRDefault="00B10E8F" w:rsidP="00B10E8F">
      <w:pPr>
        <w:tabs>
          <w:tab w:val="left" w:pos="360"/>
        </w:tabs>
      </w:pPr>
      <w:r>
        <w:tab/>
        <w:t xml:space="preserve">Other </w:t>
      </w:r>
      <w:r w:rsidRPr="00AB704D">
        <w:rPr>
          <w:rFonts w:cstheme="minorHAnsi"/>
        </w:rPr>
        <w:t>examples</w:t>
      </w:r>
      <w:r>
        <w:t xml:space="preserve"> of CIE-related TA that have had broader implications beyond the individual SVRA include:</w:t>
      </w:r>
    </w:p>
    <w:p w14:paraId="42C395DA" w14:textId="77777777" w:rsidR="00B10E8F" w:rsidRDefault="00B10E8F" w:rsidP="00076336">
      <w:pPr>
        <w:pStyle w:val="ListParagraph"/>
        <w:numPr>
          <w:ilvl w:val="0"/>
          <w:numId w:val="24"/>
        </w:numPr>
        <w:spacing w:after="120"/>
        <w:ind w:left="360"/>
        <w:contextualSpacing w:val="0"/>
      </w:pPr>
      <w:r>
        <w:t>A Competitive Integrated Employment Checklist tool to assist VR counselors in reviewing CIE services delivered by providers. The tool contains three checklists – one for each component of CIE (work setting, integrated location and work unit, and benefits and rate of pay). WINTAC held a webinar on its use and has posted RSA’s FAQs on the subject as a resource on its website.</w:t>
      </w:r>
    </w:p>
    <w:p w14:paraId="64589613" w14:textId="77777777" w:rsidR="00B10E8F" w:rsidRDefault="00B10E8F" w:rsidP="00076336">
      <w:pPr>
        <w:pStyle w:val="ListParagraph"/>
        <w:numPr>
          <w:ilvl w:val="0"/>
          <w:numId w:val="24"/>
        </w:numPr>
        <w:spacing w:after="120"/>
        <w:ind w:left="360"/>
        <w:contextualSpacing w:val="0"/>
      </w:pPr>
      <w:r>
        <w:lastRenderedPageBreak/>
        <w:t>An MOU negotiated between an SVRA’s VR and DD agencies to articulate the principles, provisions and funding of sequenced services for individuals with significant disabilities in alignment with the terms of WIOA and the Medicaid Waiver program. This MOU is now complete, enabling the SVRA to take its CIE services to new levels with unprecedented collaborations and shared resources. It also serves as a model for other SVRAs and DD agencies encountering barriers to collaboration.</w:t>
      </w:r>
    </w:p>
    <w:p w14:paraId="3582347D" w14:textId="77777777" w:rsidR="00B10E8F" w:rsidRDefault="00B10E8F" w:rsidP="00B10E8F">
      <w:pPr>
        <w:spacing w:after="120"/>
      </w:pPr>
    </w:p>
    <w:p w14:paraId="5F24743A" w14:textId="77777777" w:rsidR="00B10E8F" w:rsidRPr="00DD08B6" w:rsidRDefault="00B10E8F" w:rsidP="00BA0D82">
      <w:pPr>
        <w:pStyle w:val="Heading2"/>
        <w:numPr>
          <w:ilvl w:val="0"/>
          <w:numId w:val="0"/>
        </w:numPr>
        <w:pBdr>
          <w:bottom w:val="single" w:sz="24" w:space="1" w:color="auto"/>
        </w:pBdr>
        <w:spacing w:after="240"/>
      </w:pPr>
      <w:bookmarkStart w:id="83" w:name="_Toc27904604"/>
      <w:bookmarkStart w:id="84" w:name="_Toc28011436"/>
      <w:r>
        <w:t>CIE: SUPPORTED EMPLOYMENT</w:t>
      </w:r>
      <w:bookmarkEnd w:id="83"/>
      <w:bookmarkEnd w:id="84"/>
    </w:p>
    <w:p w14:paraId="148BC697" w14:textId="77777777" w:rsidR="00B10E8F" w:rsidRPr="00A370E6" w:rsidRDefault="00B10E8F" w:rsidP="00B10E8F">
      <w:pPr>
        <w:pStyle w:val="Title"/>
        <w:rPr>
          <w:color w:val="FF0000"/>
        </w:rPr>
      </w:pPr>
      <w:r>
        <w:t>SUPPORTED EMPLOYMENT LOGIC MODEL</w:t>
      </w:r>
    </w:p>
    <w:tbl>
      <w:tblPr>
        <w:tblW w:w="5000" w:type="pct"/>
        <w:tblLook w:val="04A0" w:firstRow="1" w:lastRow="0" w:firstColumn="1" w:lastColumn="0" w:noHBand="0" w:noVBand="1"/>
      </w:tblPr>
      <w:tblGrid>
        <w:gridCol w:w="4675"/>
        <w:gridCol w:w="4675"/>
      </w:tblGrid>
      <w:tr w:rsidR="00B10E8F" w:rsidRPr="00206792" w14:paraId="05CBAE3B" w14:textId="77777777" w:rsidTr="003B6148">
        <w:trPr>
          <w:trHeight w:val="20"/>
        </w:trPr>
        <w:tc>
          <w:tcPr>
            <w:tcW w:w="2500" w:type="pct"/>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hideMark/>
          </w:tcPr>
          <w:p w14:paraId="514E4973" w14:textId="77777777" w:rsidR="00B10E8F" w:rsidRPr="00206792" w:rsidRDefault="00B10E8F" w:rsidP="003B6148">
            <w:pPr>
              <w:spacing w:line="240" w:lineRule="auto"/>
              <w:jc w:val="center"/>
              <w:rPr>
                <w:b/>
                <w:bCs/>
                <w:color w:val="000000"/>
              </w:rPr>
            </w:pPr>
            <w:r w:rsidRPr="00206792">
              <w:rPr>
                <w:b/>
                <w:bCs/>
                <w:color w:val="000000"/>
              </w:rPr>
              <w:t>Activities</w:t>
            </w:r>
          </w:p>
        </w:tc>
        <w:tc>
          <w:tcPr>
            <w:tcW w:w="2500" w:type="pct"/>
            <w:tcBorders>
              <w:top w:val="single" w:sz="4" w:space="0" w:color="auto"/>
              <w:left w:val="nil"/>
              <w:bottom w:val="single" w:sz="4" w:space="0" w:color="auto"/>
              <w:right w:val="single" w:sz="4" w:space="0" w:color="auto"/>
            </w:tcBorders>
            <w:shd w:val="clear" w:color="auto" w:fill="D9E2F3" w:themeFill="accent1" w:themeFillTint="33"/>
            <w:vAlign w:val="center"/>
            <w:hideMark/>
          </w:tcPr>
          <w:p w14:paraId="43649C44" w14:textId="77777777" w:rsidR="00B10E8F" w:rsidRPr="00206792" w:rsidRDefault="00B10E8F" w:rsidP="003B6148">
            <w:pPr>
              <w:spacing w:line="240" w:lineRule="auto"/>
              <w:jc w:val="center"/>
              <w:rPr>
                <w:b/>
                <w:bCs/>
                <w:color w:val="000000"/>
              </w:rPr>
            </w:pPr>
            <w:r w:rsidRPr="00206792">
              <w:rPr>
                <w:b/>
                <w:bCs/>
                <w:color w:val="000000"/>
              </w:rPr>
              <w:t>Output</w:t>
            </w:r>
          </w:p>
        </w:tc>
      </w:tr>
      <w:tr w:rsidR="00B10E8F" w:rsidRPr="00206792" w14:paraId="243E9DF6" w14:textId="77777777" w:rsidTr="003B6148">
        <w:trPr>
          <w:trHeight w:val="20"/>
        </w:trPr>
        <w:tc>
          <w:tcPr>
            <w:tcW w:w="2500" w:type="pct"/>
            <w:tcBorders>
              <w:top w:val="nil"/>
              <w:left w:val="single" w:sz="4" w:space="0" w:color="000000"/>
              <w:bottom w:val="single" w:sz="4" w:space="0" w:color="000000"/>
              <w:right w:val="single" w:sz="4" w:space="0" w:color="000000"/>
            </w:tcBorders>
            <w:shd w:val="clear" w:color="auto" w:fill="auto"/>
            <w:vAlign w:val="center"/>
            <w:hideMark/>
          </w:tcPr>
          <w:p w14:paraId="71E7B285" w14:textId="77777777" w:rsidR="00B10E8F" w:rsidRPr="00206792" w:rsidRDefault="00B10E8F" w:rsidP="003B6148">
            <w:pPr>
              <w:spacing w:line="240" w:lineRule="auto"/>
              <w:rPr>
                <w:rFonts w:ascii="Calibri" w:eastAsia="Calibri" w:hAnsi="Calibri" w:cs="Times New Roman"/>
              </w:rPr>
            </w:pPr>
            <w:bookmarkStart w:id="85" w:name="_Hlk17792548"/>
            <w:r w:rsidRPr="00206792">
              <w:rPr>
                <w:rFonts w:ascii="Calibri" w:eastAsia="Calibri" w:hAnsi="Calibri" w:cs="Times New Roman"/>
              </w:rPr>
              <w:t>Provide overview  training and targeted  technical assistance (TA) related  to WIOA requirements and the SE Quality Features relative to Supported Employment</w:t>
            </w:r>
          </w:p>
        </w:tc>
        <w:tc>
          <w:tcPr>
            <w:tcW w:w="2500" w:type="pct"/>
            <w:tcBorders>
              <w:top w:val="nil"/>
              <w:left w:val="nil"/>
              <w:bottom w:val="single" w:sz="4" w:space="0" w:color="auto"/>
              <w:right w:val="single" w:sz="4" w:space="0" w:color="auto"/>
            </w:tcBorders>
            <w:shd w:val="clear" w:color="auto" w:fill="auto"/>
            <w:vAlign w:val="center"/>
            <w:hideMark/>
          </w:tcPr>
          <w:p w14:paraId="60B89525" w14:textId="77777777" w:rsidR="00B10E8F" w:rsidRPr="00206792" w:rsidRDefault="00B10E8F" w:rsidP="00076336">
            <w:pPr>
              <w:pStyle w:val="ListParagraph"/>
              <w:numPr>
                <w:ilvl w:val="0"/>
                <w:numId w:val="26"/>
              </w:numPr>
              <w:spacing w:line="240" w:lineRule="auto"/>
              <w:ind w:left="340"/>
              <w:rPr>
                <w:color w:val="000000"/>
              </w:rPr>
            </w:pPr>
            <w:r w:rsidRPr="00206792">
              <w:rPr>
                <w:color w:val="000000"/>
              </w:rPr>
              <w:t>Completed trainings</w:t>
            </w:r>
          </w:p>
        </w:tc>
      </w:tr>
      <w:tr w:rsidR="00B10E8F" w:rsidRPr="00206792" w14:paraId="03D91B16" w14:textId="77777777" w:rsidTr="003B6148">
        <w:trPr>
          <w:trHeight w:val="20"/>
        </w:trPr>
        <w:tc>
          <w:tcPr>
            <w:tcW w:w="2500" w:type="pct"/>
            <w:tcBorders>
              <w:top w:val="nil"/>
              <w:left w:val="single" w:sz="4" w:space="0" w:color="000000"/>
              <w:bottom w:val="single" w:sz="4" w:space="0" w:color="000000"/>
              <w:right w:val="single" w:sz="4" w:space="0" w:color="000000"/>
            </w:tcBorders>
            <w:shd w:val="clear" w:color="auto" w:fill="auto"/>
            <w:vAlign w:val="center"/>
          </w:tcPr>
          <w:p w14:paraId="113EA0F7" w14:textId="77777777" w:rsidR="00B10E8F" w:rsidRPr="00206792" w:rsidRDefault="00B10E8F" w:rsidP="003B6148">
            <w:pPr>
              <w:spacing w:line="240" w:lineRule="auto"/>
              <w:rPr>
                <w:rFonts w:ascii="Calibri" w:eastAsia="Calibri" w:hAnsi="Calibri" w:cs="Times New Roman"/>
              </w:rPr>
            </w:pPr>
            <w:r w:rsidRPr="00206792">
              <w:rPr>
                <w:rFonts w:ascii="Calibri" w:eastAsia="Calibri" w:hAnsi="Calibri" w:cs="Times New Roman"/>
              </w:rPr>
              <w:t>Provide TA related to the development of MOUs with partner agencies as required by WIOA</w:t>
            </w:r>
          </w:p>
        </w:tc>
        <w:tc>
          <w:tcPr>
            <w:tcW w:w="2500" w:type="pct"/>
            <w:tcBorders>
              <w:top w:val="nil"/>
              <w:left w:val="nil"/>
              <w:bottom w:val="single" w:sz="4" w:space="0" w:color="auto"/>
              <w:right w:val="single" w:sz="4" w:space="0" w:color="auto"/>
            </w:tcBorders>
            <w:shd w:val="clear" w:color="auto" w:fill="auto"/>
            <w:vAlign w:val="center"/>
          </w:tcPr>
          <w:p w14:paraId="2AB1D8DB" w14:textId="77777777" w:rsidR="00B10E8F" w:rsidRPr="00206792" w:rsidRDefault="00B10E8F" w:rsidP="00076336">
            <w:pPr>
              <w:pStyle w:val="ListParagraph"/>
              <w:numPr>
                <w:ilvl w:val="0"/>
                <w:numId w:val="26"/>
              </w:numPr>
              <w:spacing w:line="240" w:lineRule="auto"/>
              <w:ind w:left="340"/>
              <w:rPr>
                <w:color w:val="000000"/>
              </w:rPr>
            </w:pPr>
            <w:r w:rsidRPr="00206792">
              <w:rPr>
                <w:color w:val="000000"/>
              </w:rPr>
              <w:t>Draft MOUs</w:t>
            </w:r>
          </w:p>
        </w:tc>
      </w:tr>
      <w:tr w:rsidR="00B10E8F" w:rsidRPr="00206792" w14:paraId="140DD617" w14:textId="77777777" w:rsidTr="003B6148">
        <w:trPr>
          <w:trHeight w:val="20"/>
        </w:trPr>
        <w:tc>
          <w:tcPr>
            <w:tcW w:w="2500" w:type="pct"/>
            <w:tcBorders>
              <w:top w:val="nil"/>
              <w:left w:val="single" w:sz="4" w:space="0" w:color="auto"/>
              <w:bottom w:val="single" w:sz="4" w:space="0" w:color="auto"/>
              <w:right w:val="single" w:sz="4" w:space="0" w:color="auto"/>
            </w:tcBorders>
            <w:shd w:val="clear" w:color="auto" w:fill="auto"/>
            <w:vAlign w:val="center"/>
            <w:hideMark/>
          </w:tcPr>
          <w:p w14:paraId="3AF0C015" w14:textId="77777777" w:rsidR="00B10E8F" w:rsidRPr="00206792" w:rsidRDefault="00B10E8F" w:rsidP="003B6148">
            <w:pPr>
              <w:spacing w:line="240" w:lineRule="auto"/>
              <w:rPr>
                <w:color w:val="000000"/>
              </w:rPr>
            </w:pPr>
            <w:r w:rsidRPr="00206792">
              <w:rPr>
                <w:rFonts w:ascii="Calibri" w:eastAsia="Calibri" w:hAnsi="Calibri" w:cs="Times New Roman"/>
              </w:rPr>
              <w:t xml:space="preserve"> Develop new and/or review existing documentation policies and procedures, related to  Supported Employment</w:t>
            </w:r>
          </w:p>
        </w:tc>
        <w:tc>
          <w:tcPr>
            <w:tcW w:w="2500" w:type="pct"/>
            <w:tcBorders>
              <w:top w:val="nil"/>
              <w:left w:val="nil"/>
              <w:bottom w:val="single" w:sz="4" w:space="0" w:color="auto"/>
              <w:right w:val="single" w:sz="4" w:space="0" w:color="auto"/>
            </w:tcBorders>
            <w:shd w:val="clear" w:color="auto" w:fill="auto"/>
            <w:vAlign w:val="center"/>
            <w:hideMark/>
          </w:tcPr>
          <w:p w14:paraId="4105BC19" w14:textId="77777777" w:rsidR="00B10E8F" w:rsidRPr="00206792" w:rsidRDefault="00B10E8F" w:rsidP="00076336">
            <w:pPr>
              <w:pStyle w:val="ListParagraph"/>
              <w:numPr>
                <w:ilvl w:val="0"/>
                <w:numId w:val="26"/>
              </w:numPr>
              <w:spacing w:line="240" w:lineRule="auto"/>
              <w:ind w:left="340"/>
              <w:rPr>
                <w:color w:val="000000"/>
              </w:rPr>
            </w:pPr>
            <w:r w:rsidRPr="00206792">
              <w:rPr>
                <w:color w:val="000000"/>
              </w:rPr>
              <w:t>New or revised draft policies that meet WIOA requirements</w:t>
            </w:r>
          </w:p>
        </w:tc>
      </w:tr>
      <w:tr w:rsidR="00B10E8F" w:rsidRPr="00206792" w14:paraId="46C90C23" w14:textId="77777777" w:rsidTr="003B6148">
        <w:trPr>
          <w:trHeight w:val="20"/>
        </w:trPr>
        <w:tc>
          <w:tcPr>
            <w:tcW w:w="2500" w:type="pct"/>
            <w:tcBorders>
              <w:top w:val="nil"/>
              <w:left w:val="single" w:sz="4" w:space="0" w:color="000000"/>
              <w:bottom w:val="single" w:sz="4" w:space="0" w:color="000000"/>
              <w:right w:val="single" w:sz="4" w:space="0" w:color="000000"/>
            </w:tcBorders>
            <w:shd w:val="clear" w:color="auto" w:fill="auto"/>
            <w:vAlign w:val="center"/>
            <w:hideMark/>
          </w:tcPr>
          <w:p w14:paraId="71DADD03" w14:textId="77777777" w:rsidR="00B10E8F" w:rsidRPr="00206792" w:rsidRDefault="00B10E8F" w:rsidP="003B6148">
            <w:pPr>
              <w:spacing w:line="240" w:lineRule="auto"/>
              <w:rPr>
                <w:rFonts w:ascii="Calibri" w:eastAsia="Calibri" w:hAnsi="Calibri" w:cs="Times New Roman"/>
              </w:rPr>
            </w:pPr>
            <w:r w:rsidRPr="00206792">
              <w:rPr>
                <w:rFonts w:ascii="Calibri" w:eastAsia="Calibri" w:hAnsi="Calibri" w:cs="Times New Roman"/>
              </w:rPr>
              <w:t>Provide TA for the  planning, development, implementation  and sustainability of an SE Pilot Project that reflects the SE Quality Features</w:t>
            </w:r>
          </w:p>
        </w:tc>
        <w:tc>
          <w:tcPr>
            <w:tcW w:w="2500" w:type="pct"/>
            <w:tcBorders>
              <w:top w:val="nil"/>
              <w:left w:val="nil"/>
              <w:bottom w:val="single" w:sz="4" w:space="0" w:color="auto"/>
              <w:right w:val="single" w:sz="4" w:space="0" w:color="auto"/>
            </w:tcBorders>
            <w:shd w:val="clear" w:color="auto" w:fill="auto"/>
            <w:vAlign w:val="center"/>
            <w:hideMark/>
          </w:tcPr>
          <w:p w14:paraId="745D9FD1" w14:textId="77777777" w:rsidR="00B10E8F" w:rsidRPr="00206792" w:rsidRDefault="00B10E8F" w:rsidP="00076336">
            <w:pPr>
              <w:pStyle w:val="ListParagraph"/>
              <w:numPr>
                <w:ilvl w:val="0"/>
                <w:numId w:val="26"/>
              </w:numPr>
              <w:spacing w:line="240" w:lineRule="auto"/>
              <w:ind w:left="340"/>
              <w:rPr>
                <w:color w:val="000000"/>
              </w:rPr>
            </w:pPr>
            <w:r w:rsidRPr="00206792">
              <w:rPr>
                <w:color w:val="000000"/>
              </w:rPr>
              <w:t>Completed SE Pilot</w:t>
            </w:r>
          </w:p>
        </w:tc>
      </w:tr>
      <w:tr w:rsidR="00B10E8F" w:rsidRPr="00206792" w14:paraId="29503ECE" w14:textId="77777777" w:rsidTr="003B6148">
        <w:trPr>
          <w:trHeight w:val="20"/>
        </w:trPr>
        <w:tc>
          <w:tcPr>
            <w:tcW w:w="250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9E37441" w14:textId="77777777" w:rsidR="00B10E8F" w:rsidRPr="00206792" w:rsidRDefault="00B10E8F" w:rsidP="003B6148">
            <w:pPr>
              <w:spacing w:line="240" w:lineRule="auto"/>
              <w:rPr>
                <w:color w:val="000000"/>
              </w:rPr>
            </w:pPr>
            <w:r w:rsidRPr="00206792">
              <w:rPr>
                <w:color w:val="000000"/>
              </w:rPr>
              <w:t xml:space="preserve"> Provide TA in developing an RFP for SE training to SVRA staff and providers</w:t>
            </w:r>
          </w:p>
        </w:tc>
        <w:tc>
          <w:tcPr>
            <w:tcW w:w="250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5EFBDC7" w14:textId="77777777" w:rsidR="00B10E8F" w:rsidRPr="00206792" w:rsidRDefault="00B10E8F" w:rsidP="00076336">
            <w:pPr>
              <w:pStyle w:val="ListParagraph"/>
              <w:numPr>
                <w:ilvl w:val="0"/>
                <w:numId w:val="26"/>
              </w:numPr>
              <w:spacing w:line="240" w:lineRule="auto"/>
              <w:ind w:left="340"/>
              <w:rPr>
                <w:color w:val="000000"/>
              </w:rPr>
            </w:pPr>
            <w:r w:rsidRPr="00206792">
              <w:rPr>
                <w:color w:val="000000"/>
              </w:rPr>
              <w:t>Completed RFP</w:t>
            </w:r>
          </w:p>
        </w:tc>
      </w:tr>
      <w:tr w:rsidR="00B10E8F" w:rsidRPr="00206792" w14:paraId="537218D7" w14:textId="77777777" w:rsidTr="003B6148">
        <w:trPr>
          <w:trHeight w:val="20"/>
        </w:trPr>
        <w:tc>
          <w:tcPr>
            <w:tcW w:w="2500" w:type="pct"/>
            <w:tcBorders>
              <w:top w:val="single" w:sz="4" w:space="0" w:color="auto"/>
              <w:left w:val="single" w:sz="4" w:space="0" w:color="auto"/>
              <w:bottom w:val="single" w:sz="4" w:space="0" w:color="auto"/>
              <w:right w:val="single" w:sz="4" w:space="0" w:color="auto"/>
            </w:tcBorders>
            <w:shd w:val="clear" w:color="auto" w:fill="auto"/>
            <w:vAlign w:val="center"/>
          </w:tcPr>
          <w:p w14:paraId="06863191" w14:textId="77777777" w:rsidR="00B10E8F" w:rsidRPr="00206792" w:rsidRDefault="00B10E8F" w:rsidP="003B6148">
            <w:pPr>
              <w:spacing w:line="240" w:lineRule="auto"/>
              <w:rPr>
                <w:rFonts w:ascii="Calibri" w:eastAsia="Calibri" w:hAnsi="Calibri" w:cs="Times New Roman"/>
              </w:rPr>
            </w:pPr>
            <w:r w:rsidRPr="00206792">
              <w:rPr>
                <w:rFonts w:ascii="Calibri" w:eastAsia="Calibri" w:hAnsi="Calibri" w:cs="Times New Roman"/>
              </w:rPr>
              <w:t>Develop new and/or review existing documentation  fee structures for the provision of Supported Employment</w:t>
            </w:r>
          </w:p>
        </w:tc>
        <w:tc>
          <w:tcPr>
            <w:tcW w:w="2500" w:type="pct"/>
            <w:tcBorders>
              <w:top w:val="single" w:sz="4" w:space="0" w:color="auto"/>
              <w:left w:val="nil"/>
              <w:bottom w:val="single" w:sz="4" w:space="0" w:color="auto"/>
              <w:right w:val="single" w:sz="4" w:space="0" w:color="auto"/>
            </w:tcBorders>
            <w:shd w:val="clear" w:color="auto" w:fill="auto"/>
            <w:vAlign w:val="center"/>
          </w:tcPr>
          <w:p w14:paraId="65283B26" w14:textId="77777777" w:rsidR="00B10E8F" w:rsidRPr="00206792" w:rsidRDefault="00B10E8F" w:rsidP="00076336">
            <w:pPr>
              <w:pStyle w:val="ListParagraph"/>
              <w:numPr>
                <w:ilvl w:val="0"/>
                <w:numId w:val="26"/>
              </w:numPr>
              <w:spacing w:line="240" w:lineRule="auto"/>
              <w:ind w:left="340"/>
              <w:rPr>
                <w:rFonts w:ascii="Calibri" w:eastAsia="Calibri" w:hAnsi="Calibri" w:cs="Times New Roman"/>
              </w:rPr>
            </w:pPr>
            <w:r w:rsidRPr="00206792">
              <w:rPr>
                <w:rFonts w:ascii="Calibri" w:eastAsia="Calibri" w:hAnsi="Calibri" w:cs="Times New Roman"/>
              </w:rPr>
              <w:t>New or revised draft Fee Structures that meet RSA standards</w:t>
            </w:r>
          </w:p>
        </w:tc>
      </w:tr>
      <w:bookmarkEnd w:id="85"/>
      <w:tr w:rsidR="00B10E8F" w:rsidRPr="00206792" w14:paraId="0C137F0F" w14:textId="77777777" w:rsidTr="003B6148">
        <w:trPr>
          <w:trHeight w:val="20"/>
        </w:trPr>
        <w:tc>
          <w:tcPr>
            <w:tcW w:w="5000" w:type="pct"/>
            <w:gridSpan w:val="2"/>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tcPr>
          <w:p w14:paraId="5B2FC97E" w14:textId="77777777" w:rsidR="00B10E8F" w:rsidRPr="00206792" w:rsidRDefault="00B10E8F" w:rsidP="003B6148">
            <w:pPr>
              <w:spacing w:line="240" w:lineRule="auto"/>
              <w:jc w:val="center"/>
              <w:rPr>
                <w:rFonts w:ascii="Calibri" w:eastAsia="Calibri" w:hAnsi="Calibri" w:cs="Times New Roman"/>
                <w:b/>
              </w:rPr>
            </w:pPr>
            <w:r w:rsidRPr="00206792">
              <w:rPr>
                <w:rFonts w:ascii="Calibri" w:eastAsia="Calibri" w:hAnsi="Calibri" w:cs="Times New Roman"/>
                <w:b/>
              </w:rPr>
              <w:t>Short-Term Outcome</w:t>
            </w:r>
          </w:p>
          <w:p w14:paraId="5351DB5C" w14:textId="77777777" w:rsidR="00B10E8F" w:rsidRPr="00206792" w:rsidRDefault="00B10E8F" w:rsidP="00076336">
            <w:pPr>
              <w:numPr>
                <w:ilvl w:val="0"/>
                <w:numId w:val="1"/>
              </w:numPr>
              <w:spacing w:after="0" w:line="240" w:lineRule="auto"/>
              <w:contextualSpacing/>
              <w:rPr>
                <w:rFonts w:ascii="Calibri" w:eastAsia="Calibri" w:hAnsi="Calibri" w:cs="Times New Roman"/>
              </w:rPr>
            </w:pPr>
            <w:r w:rsidRPr="00206792">
              <w:rPr>
                <w:rFonts w:ascii="Calibri" w:eastAsia="Calibri" w:hAnsi="Calibri" w:cs="Times New Roman"/>
              </w:rPr>
              <w:t xml:space="preserve">____% </w:t>
            </w:r>
            <w:r>
              <w:rPr>
                <w:rFonts w:ascii="Calibri" w:eastAsia="Calibri" w:hAnsi="Calibri" w:cs="Times New Roman"/>
              </w:rPr>
              <w:t xml:space="preserve">increase </w:t>
            </w:r>
            <w:r w:rsidRPr="00206792">
              <w:rPr>
                <w:rFonts w:ascii="Calibri" w:eastAsia="Calibri" w:hAnsi="Calibri" w:cs="Times New Roman"/>
              </w:rPr>
              <w:t>in the number of qualified/certified SE providers</w:t>
            </w:r>
          </w:p>
          <w:p w14:paraId="06594A8B" w14:textId="77777777" w:rsidR="00B10E8F" w:rsidRPr="00206792" w:rsidRDefault="00B10E8F" w:rsidP="00076336">
            <w:pPr>
              <w:numPr>
                <w:ilvl w:val="0"/>
                <w:numId w:val="1"/>
              </w:numPr>
              <w:spacing w:after="0" w:line="240" w:lineRule="auto"/>
              <w:contextualSpacing/>
              <w:rPr>
                <w:rFonts w:ascii="Calibri" w:eastAsia="Calibri" w:hAnsi="Calibri" w:cs="Times New Roman"/>
              </w:rPr>
            </w:pPr>
            <w:r w:rsidRPr="00206792">
              <w:rPr>
                <w:rFonts w:ascii="Calibri" w:eastAsia="Calibri" w:hAnsi="Calibri" w:cs="Times New Roman"/>
              </w:rPr>
              <w:t>____% increase in the number of individuals receiving SE Services</w:t>
            </w:r>
          </w:p>
          <w:p w14:paraId="2A8D5C1D" w14:textId="77777777" w:rsidR="00B10E8F" w:rsidRPr="00206792" w:rsidRDefault="00B10E8F" w:rsidP="00076336">
            <w:pPr>
              <w:pStyle w:val="ListParagraph"/>
              <w:numPr>
                <w:ilvl w:val="0"/>
                <w:numId w:val="1"/>
              </w:numPr>
              <w:rPr>
                <w:rFonts w:ascii="Calibri" w:eastAsia="Calibri" w:hAnsi="Calibri"/>
              </w:rPr>
            </w:pPr>
            <w:r w:rsidRPr="00206792">
              <w:rPr>
                <w:rFonts w:ascii="Calibri" w:eastAsia="Calibri" w:hAnsi="Calibri"/>
              </w:rPr>
              <w:t xml:space="preserve"> ____% in the number of successful outcomes for individuals receiving SE services </w:t>
            </w:r>
          </w:p>
        </w:tc>
      </w:tr>
    </w:tbl>
    <w:p w14:paraId="62FE109A" w14:textId="77777777" w:rsidR="00B10E8F" w:rsidRPr="00206792" w:rsidRDefault="00B10E8F" w:rsidP="00B10E8F"/>
    <w:p w14:paraId="47CFDFF4" w14:textId="77777777" w:rsidR="00B10E8F" w:rsidRDefault="00B10E8F" w:rsidP="00B10E8F"/>
    <w:p w14:paraId="0CCF5EB9" w14:textId="77777777" w:rsidR="00B10E8F" w:rsidRDefault="00B10E8F" w:rsidP="00B10E8F">
      <w:pPr>
        <w:spacing w:after="120"/>
      </w:pPr>
    </w:p>
    <w:p w14:paraId="0A7192D6" w14:textId="77777777" w:rsidR="00B10E8F" w:rsidRDefault="00B10E8F" w:rsidP="00B10E8F">
      <w:pPr>
        <w:spacing w:after="120"/>
      </w:pPr>
      <w:r>
        <w:rPr>
          <w:noProof/>
          <w:lang w:eastAsia="ko-KR"/>
        </w:rPr>
        <w:lastRenderedPageBreak/>
        <w:drawing>
          <wp:inline distT="0" distB="0" distL="0" distR="0" wp14:anchorId="76172DED" wp14:editId="7249D594">
            <wp:extent cx="5943600" cy="2190877"/>
            <wp:effectExtent l="0" t="0" r="0" b="0"/>
            <wp:docPr id="116" name="Chart 116" descr="overall progress cie/ supported employment activities. Completed 11%, 90% 22%, 75% 11%, 50% 22%, 25% 33%.">
              <a:extLst xmlns:a="http://schemas.openxmlformats.org/drawingml/2006/main">
                <a:ext uri="{FF2B5EF4-FFF2-40B4-BE49-F238E27FC236}">
                  <a16:creationId xmlns:a16="http://schemas.microsoft.com/office/drawing/2014/main" id="{22525305-93A8-40F9-BE66-5807D5874FE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3"/>
              </a:graphicData>
            </a:graphic>
          </wp:inline>
        </w:drawing>
      </w:r>
    </w:p>
    <w:p w14:paraId="421AD4FD" w14:textId="77777777" w:rsidR="00B10E8F" w:rsidRDefault="00B10E8F" w:rsidP="00B10E8F">
      <w:pPr>
        <w:tabs>
          <w:tab w:val="left" w:pos="360"/>
        </w:tabs>
      </w:pPr>
      <w:r>
        <w:rPr>
          <w:szCs w:val="14"/>
        </w:rPr>
        <w:tab/>
        <w:t>Across the topic area of CIE/Supported Employment we see that all ITAA activites have started, and 44% are nearing or have reached completion (with completion rates of 75% or more). Another 22% are half way to completion, with the remaining third of activities being 25% under way.</w:t>
      </w:r>
    </w:p>
    <w:p w14:paraId="1A69BF0F" w14:textId="77777777" w:rsidR="00B10E8F" w:rsidRDefault="00B10E8F" w:rsidP="00B10E8F">
      <w:pPr>
        <w:rPr>
          <w:b/>
          <w:color w:val="FF0000"/>
        </w:rPr>
      </w:pPr>
      <w:r>
        <w:rPr>
          <w:b/>
          <w:color w:val="FF0000"/>
        </w:rPr>
        <w:br w:type="page"/>
      </w:r>
    </w:p>
    <w:p w14:paraId="65D3716C" w14:textId="77777777" w:rsidR="00B10E8F" w:rsidRDefault="00B10E8F" w:rsidP="00B10E8F">
      <w:pPr>
        <w:spacing w:after="0" w:line="240" w:lineRule="auto"/>
        <w:rPr>
          <w:rFonts w:cstheme="minorHAnsi"/>
        </w:rPr>
        <w:sectPr w:rsidR="00B10E8F" w:rsidSect="00D27D05">
          <w:headerReference w:type="even" r:id="rId314"/>
          <w:headerReference w:type="default" r:id="rId315"/>
          <w:footerReference w:type="even" r:id="rId316"/>
          <w:footerReference w:type="default" r:id="rId317"/>
          <w:headerReference w:type="first" r:id="rId318"/>
          <w:footerReference w:type="first" r:id="rId319"/>
          <w:pgSz w:w="12240" w:h="15840"/>
          <w:pgMar w:top="1440" w:right="1440" w:bottom="1440" w:left="1440" w:header="720" w:footer="720" w:gutter="0"/>
          <w:pgBorders w:offsetFrom="page">
            <w:top w:val="thinThickSmallGap" w:sz="24" w:space="24" w:color="2F5496" w:themeColor="accent1" w:themeShade="BF"/>
            <w:left w:val="thinThickSmallGap" w:sz="24" w:space="24" w:color="2F5496" w:themeColor="accent1" w:themeShade="BF"/>
            <w:bottom w:val="thickThinSmallGap" w:sz="24" w:space="24" w:color="2F5496" w:themeColor="accent1" w:themeShade="BF"/>
            <w:right w:val="thickThinSmallGap" w:sz="24" w:space="24" w:color="2F5496" w:themeColor="accent1" w:themeShade="BF"/>
          </w:pgBorders>
          <w:cols w:space="720"/>
          <w:docGrid w:linePitch="360"/>
        </w:sectPr>
      </w:pPr>
    </w:p>
    <w:p w14:paraId="7BB3274E" w14:textId="77777777" w:rsidR="00B10E8F" w:rsidRPr="007F2530" w:rsidRDefault="00B10E8F" w:rsidP="00BA0D82">
      <w:pPr>
        <w:pStyle w:val="Heading2"/>
        <w:numPr>
          <w:ilvl w:val="0"/>
          <w:numId w:val="0"/>
        </w:numPr>
      </w:pPr>
      <w:bookmarkStart w:id="86" w:name="_Toc27904605"/>
      <w:bookmarkStart w:id="87" w:name="_Toc28011437"/>
      <w:r w:rsidRPr="007F2530">
        <w:lastRenderedPageBreak/>
        <w:t xml:space="preserve">PROGRESS BY ACTIVITY/OUTPUT: </w:t>
      </w:r>
      <w:r>
        <w:t>CIE/SUPPORTED EMPLOYMENT</w:t>
      </w:r>
      <w:bookmarkEnd w:id="86"/>
      <w:bookmarkEnd w:id="87"/>
    </w:p>
    <w:p w14:paraId="22F7CAD5" w14:textId="77777777" w:rsidR="00B10E8F" w:rsidRDefault="00B10E8F" w:rsidP="00B10E8F">
      <w:pPr>
        <w:tabs>
          <w:tab w:val="left" w:pos="360"/>
        </w:tabs>
        <w:spacing w:after="0"/>
        <w:rPr>
          <w:rFonts w:cstheme="minorHAnsi"/>
        </w:rPr>
        <w:sectPr w:rsidR="00B10E8F" w:rsidSect="00D27D05">
          <w:type w:val="continuous"/>
          <w:pgSz w:w="12240" w:h="15840"/>
          <w:pgMar w:top="1440" w:right="1440" w:bottom="1440" w:left="1440" w:header="720" w:footer="720" w:gutter="0"/>
          <w:pgBorders w:offsetFrom="page">
            <w:top w:val="thinThickSmallGap" w:sz="24" w:space="24" w:color="2F5496" w:themeColor="accent1" w:themeShade="BF"/>
            <w:left w:val="thinThickSmallGap" w:sz="24" w:space="24" w:color="2F5496" w:themeColor="accent1" w:themeShade="BF"/>
            <w:bottom w:val="thickThinSmallGap" w:sz="24" w:space="24" w:color="2F5496" w:themeColor="accent1" w:themeShade="BF"/>
            <w:right w:val="thickThinSmallGap" w:sz="24" w:space="24" w:color="2F5496" w:themeColor="accent1" w:themeShade="BF"/>
          </w:pgBorders>
          <w:cols w:space="720"/>
          <w:docGrid w:linePitch="360"/>
        </w:sectPr>
      </w:pPr>
      <w:r>
        <w:rPr>
          <w:rFonts w:cstheme="minorHAnsi"/>
        </w:rPr>
        <w:tab/>
        <w:t xml:space="preserve">In the following “thermometer charts” the overall progress rate is broken out by specific activity with the linked outputs’ progress rates provided side-by-side. As is illustrated in these charts, there is a one-to-one </w:t>
      </w:r>
      <w:r w:rsidRPr="00AB704D">
        <w:rPr>
          <w:szCs w:val="14"/>
        </w:rPr>
        <w:t>correspondence</w:t>
      </w:r>
      <w:r>
        <w:rPr>
          <w:rFonts w:cstheme="minorHAnsi"/>
        </w:rPr>
        <w:t xml:space="preserve"> between the rate of completion for each SE activity and its associated output. The Supported Employment team fully completed one activity, and generated its corresponding output, related to training on the </w:t>
      </w:r>
      <w:r w:rsidRPr="00D00895">
        <w:rPr>
          <w:rFonts w:cstheme="minorHAnsi"/>
        </w:rPr>
        <w:t xml:space="preserve">WIOA requirements and the Quality Features </w:t>
      </w:r>
      <w:r>
        <w:rPr>
          <w:rFonts w:cstheme="minorHAnsi"/>
        </w:rPr>
        <w:t>of</w:t>
      </w:r>
      <w:r w:rsidRPr="00D00895">
        <w:rPr>
          <w:rFonts w:cstheme="minorHAnsi"/>
        </w:rPr>
        <w:t xml:space="preserve"> Supported Employment</w:t>
      </w:r>
      <w:r>
        <w:rPr>
          <w:rFonts w:cstheme="minorHAnsi"/>
        </w:rPr>
        <w:t xml:space="preserve"> Services. Activities 2 and 6 relating to development or review of MOUs and fee structures are 90% completed in half of the ITAAs and 50% completed in the remainder. The team’s pilot project assistance is 50% complete and work related to policies and procedures is 25% complete.</w:t>
      </w:r>
    </w:p>
    <w:p w14:paraId="172D0BA6" w14:textId="77777777" w:rsidR="00B10E8F" w:rsidRPr="00D00895" w:rsidRDefault="00B10E8F" w:rsidP="00B10E8F">
      <w:pPr>
        <w:spacing w:after="0" w:line="240" w:lineRule="auto"/>
        <w:rPr>
          <w:rFonts w:cstheme="minorHAnsi"/>
        </w:rPr>
      </w:pPr>
      <w:r w:rsidRPr="00D00895">
        <w:rPr>
          <w:rFonts w:cstheme="minorHAnsi"/>
          <w:noProof/>
          <w:lang w:eastAsia="ko-KR"/>
        </w:rPr>
        <w:drawing>
          <wp:inline distT="0" distB="0" distL="0" distR="0" wp14:anchorId="159391F8" wp14:editId="39A93611">
            <wp:extent cx="2777928" cy="5225632"/>
            <wp:effectExtent l="0" t="0" r="3810" b="13335"/>
            <wp:docPr id="118" name="Chart 118" descr="Activity #1 100% completed activity and 100% completed outputs">
              <a:extLst xmlns:a="http://schemas.openxmlformats.org/drawingml/2006/main">
                <a:ext uri="{FF2B5EF4-FFF2-40B4-BE49-F238E27FC236}">
                  <a16:creationId xmlns:a16="http://schemas.microsoft.com/office/drawing/2014/main" id="{36E76D94-867E-4D1B-BEB3-3B663ABB475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0"/>
              </a:graphicData>
            </a:graphic>
          </wp:inline>
        </w:drawing>
      </w:r>
    </w:p>
    <w:p w14:paraId="3624909C" w14:textId="77777777" w:rsidR="00B10E8F" w:rsidRPr="00D00895" w:rsidRDefault="00B10E8F" w:rsidP="00B10E8F">
      <w:pPr>
        <w:spacing w:after="0" w:line="240" w:lineRule="auto"/>
        <w:rPr>
          <w:rFonts w:cstheme="minorHAnsi"/>
        </w:rPr>
      </w:pPr>
      <w:r w:rsidRPr="00D00895">
        <w:rPr>
          <w:rFonts w:cstheme="minorHAnsi"/>
          <w:b/>
          <w:bCs/>
        </w:rPr>
        <w:t>Activity 1:</w:t>
      </w:r>
      <w:r w:rsidRPr="00D00895">
        <w:rPr>
          <w:rFonts w:cstheme="minorHAnsi"/>
        </w:rPr>
        <w:t xml:space="preserve"> Provide overview training and targeted technical assistance (TA) related to WIOA requirements and the SE Quality Features relative to Supported Employment.</w:t>
      </w:r>
    </w:p>
    <w:p w14:paraId="33CC7814" w14:textId="77777777" w:rsidR="00B10E8F" w:rsidRDefault="00B10E8F" w:rsidP="00B10E8F">
      <w:pPr>
        <w:spacing w:after="0" w:line="240" w:lineRule="auto"/>
        <w:rPr>
          <w:rFonts w:cstheme="minorHAnsi"/>
        </w:rPr>
      </w:pPr>
      <w:r w:rsidRPr="00D00895">
        <w:rPr>
          <w:rFonts w:cstheme="minorHAnsi"/>
          <w:b/>
          <w:bCs/>
        </w:rPr>
        <w:t>Output A:</w:t>
      </w:r>
      <w:r w:rsidRPr="00D00895">
        <w:rPr>
          <w:rFonts w:cstheme="minorHAnsi"/>
        </w:rPr>
        <w:t xml:space="preserve"> Completed trainings.</w:t>
      </w:r>
    </w:p>
    <w:p w14:paraId="46277513" w14:textId="77777777" w:rsidR="00B10E8F" w:rsidRPr="00D00895" w:rsidRDefault="00B10E8F" w:rsidP="00B10E8F">
      <w:pPr>
        <w:spacing w:after="0" w:line="240" w:lineRule="auto"/>
        <w:rPr>
          <w:rFonts w:cstheme="minorHAnsi"/>
        </w:rPr>
      </w:pPr>
      <w:r w:rsidRPr="00D00895">
        <w:rPr>
          <w:rFonts w:cstheme="minorHAnsi"/>
          <w:noProof/>
          <w:lang w:eastAsia="ko-KR"/>
        </w:rPr>
        <w:drawing>
          <wp:inline distT="0" distB="0" distL="0" distR="0" wp14:anchorId="75485116" wp14:editId="3F67800A">
            <wp:extent cx="2777929" cy="5225632"/>
            <wp:effectExtent l="0" t="0" r="16510" b="6985"/>
            <wp:docPr id="119" name="Chart 119" descr="Activity #2 50% completed 75% activity, 50% completed 50% activity and 50% completed 75% activity, 50% completed 50% outputs">
              <a:extLst xmlns:a="http://schemas.openxmlformats.org/drawingml/2006/main">
                <a:ext uri="{FF2B5EF4-FFF2-40B4-BE49-F238E27FC236}">
                  <a16:creationId xmlns:a16="http://schemas.microsoft.com/office/drawing/2014/main" id="{4674930F-34C6-4ABC-9E9A-64704E0DE32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1"/>
              </a:graphicData>
            </a:graphic>
          </wp:inline>
        </w:drawing>
      </w:r>
    </w:p>
    <w:p w14:paraId="72C343A0" w14:textId="77777777" w:rsidR="00B10E8F" w:rsidRPr="00D00895" w:rsidRDefault="00B10E8F" w:rsidP="00B10E8F">
      <w:pPr>
        <w:spacing w:after="0" w:line="240" w:lineRule="auto"/>
        <w:rPr>
          <w:rFonts w:cstheme="minorHAnsi"/>
        </w:rPr>
      </w:pPr>
      <w:r w:rsidRPr="00D00895">
        <w:rPr>
          <w:rFonts w:cstheme="minorHAnsi"/>
          <w:b/>
          <w:bCs/>
        </w:rPr>
        <w:t>Activity 2:</w:t>
      </w:r>
      <w:r w:rsidRPr="00D00895">
        <w:rPr>
          <w:rFonts w:cstheme="minorHAnsi"/>
        </w:rPr>
        <w:t xml:space="preserve"> Provide TA related to the development of MOUs with partner agencies as required by WIOA.</w:t>
      </w:r>
    </w:p>
    <w:p w14:paraId="48063647" w14:textId="77777777" w:rsidR="00B10E8F" w:rsidRDefault="00B10E8F" w:rsidP="00B10E8F">
      <w:pPr>
        <w:spacing w:after="0" w:line="240" w:lineRule="auto"/>
        <w:rPr>
          <w:rFonts w:cstheme="minorHAnsi"/>
        </w:rPr>
      </w:pPr>
      <w:r w:rsidRPr="00D00895">
        <w:rPr>
          <w:rFonts w:cstheme="minorHAnsi"/>
          <w:b/>
          <w:bCs/>
        </w:rPr>
        <w:t>Output B:</w:t>
      </w:r>
      <w:r w:rsidRPr="00D00895">
        <w:rPr>
          <w:rFonts w:cstheme="minorHAnsi"/>
        </w:rPr>
        <w:t xml:space="preserve"> Draft MOUs.</w:t>
      </w:r>
    </w:p>
    <w:p w14:paraId="315D2406" w14:textId="77777777" w:rsidR="00B10E8F" w:rsidRPr="00D00895" w:rsidRDefault="00B10E8F" w:rsidP="00B10E8F">
      <w:pPr>
        <w:spacing w:after="0" w:line="240" w:lineRule="auto"/>
        <w:rPr>
          <w:rFonts w:cstheme="minorHAnsi"/>
        </w:rPr>
      </w:pPr>
      <w:r w:rsidRPr="00D00895">
        <w:rPr>
          <w:rFonts w:cstheme="minorHAnsi"/>
          <w:noProof/>
          <w:lang w:eastAsia="ko-KR"/>
        </w:rPr>
        <w:lastRenderedPageBreak/>
        <w:drawing>
          <wp:inline distT="0" distB="0" distL="0" distR="0" wp14:anchorId="43BFC634" wp14:editId="30832D90">
            <wp:extent cx="2777928" cy="5225632"/>
            <wp:effectExtent l="0" t="0" r="16510" b="6985"/>
            <wp:docPr id="120" name="Chart 120" descr="Activity #3 100% completed 25% activity and 100% completed 25% outputs">
              <a:extLst xmlns:a="http://schemas.openxmlformats.org/drawingml/2006/main">
                <a:ext uri="{FF2B5EF4-FFF2-40B4-BE49-F238E27FC236}">
                  <a16:creationId xmlns:a16="http://schemas.microsoft.com/office/drawing/2014/main" id="{8DA5E2EF-56E3-4130-8BC9-D8045C33B56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2"/>
              </a:graphicData>
            </a:graphic>
          </wp:inline>
        </w:drawing>
      </w:r>
    </w:p>
    <w:p w14:paraId="5D3BD90A" w14:textId="77777777" w:rsidR="00B10E8F" w:rsidRPr="00D00895" w:rsidRDefault="00B10E8F" w:rsidP="00B10E8F">
      <w:pPr>
        <w:spacing w:after="0" w:line="240" w:lineRule="auto"/>
        <w:rPr>
          <w:rFonts w:cstheme="minorHAnsi"/>
        </w:rPr>
      </w:pPr>
      <w:r w:rsidRPr="00D00895">
        <w:rPr>
          <w:rFonts w:cstheme="minorHAnsi"/>
          <w:b/>
          <w:bCs/>
        </w:rPr>
        <w:t>Activity 3:</w:t>
      </w:r>
      <w:r w:rsidRPr="00D00895">
        <w:rPr>
          <w:rFonts w:cstheme="minorHAnsi"/>
        </w:rPr>
        <w:t xml:space="preserve"> Develop new and/or review existing documentation policies and procedures, related to Supported Employment.</w:t>
      </w:r>
    </w:p>
    <w:p w14:paraId="5C022CD2" w14:textId="77777777" w:rsidR="00B10E8F" w:rsidRDefault="00B10E8F" w:rsidP="00B10E8F">
      <w:pPr>
        <w:spacing w:after="0" w:line="240" w:lineRule="auto"/>
        <w:rPr>
          <w:rFonts w:cstheme="minorHAnsi"/>
        </w:rPr>
      </w:pPr>
      <w:r w:rsidRPr="00D00895">
        <w:rPr>
          <w:rFonts w:cstheme="minorHAnsi"/>
          <w:b/>
          <w:bCs/>
        </w:rPr>
        <w:t>Output C:</w:t>
      </w:r>
      <w:r w:rsidRPr="00D00895">
        <w:rPr>
          <w:rFonts w:cstheme="minorHAnsi"/>
        </w:rPr>
        <w:t xml:space="preserve"> New or revised draft policies that meet WIOA requirements.</w:t>
      </w:r>
    </w:p>
    <w:p w14:paraId="5A7E6C79" w14:textId="77777777" w:rsidR="00B10E8F" w:rsidRPr="00D00895" w:rsidRDefault="00B10E8F" w:rsidP="00B10E8F">
      <w:pPr>
        <w:spacing w:after="0" w:line="240" w:lineRule="auto"/>
        <w:rPr>
          <w:rFonts w:cstheme="minorHAnsi"/>
        </w:rPr>
      </w:pPr>
      <w:r w:rsidRPr="00D00895">
        <w:rPr>
          <w:rFonts w:cstheme="minorHAnsi"/>
          <w:noProof/>
          <w:lang w:eastAsia="ko-KR"/>
        </w:rPr>
        <w:drawing>
          <wp:inline distT="0" distB="0" distL="0" distR="0" wp14:anchorId="042B1150" wp14:editId="1AE76C5D">
            <wp:extent cx="2777928" cy="5225632"/>
            <wp:effectExtent l="0" t="0" r="3810" b="13335"/>
            <wp:docPr id="121" name="Chart 121" descr="Activity #3 100% completed 50% activity and 100% completed 50% outputs">
              <a:extLst xmlns:a="http://schemas.openxmlformats.org/drawingml/2006/main">
                <a:ext uri="{FF2B5EF4-FFF2-40B4-BE49-F238E27FC236}">
                  <a16:creationId xmlns:a16="http://schemas.microsoft.com/office/drawing/2014/main" id="{2879EAA3-391E-4500-A205-7CA11430516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3"/>
              </a:graphicData>
            </a:graphic>
          </wp:inline>
        </w:drawing>
      </w:r>
    </w:p>
    <w:p w14:paraId="3F144549" w14:textId="77777777" w:rsidR="00B10E8F" w:rsidRPr="00D00895" w:rsidRDefault="00B10E8F" w:rsidP="00B10E8F">
      <w:pPr>
        <w:spacing w:after="0" w:line="240" w:lineRule="auto"/>
        <w:rPr>
          <w:rFonts w:cstheme="minorHAnsi"/>
        </w:rPr>
      </w:pPr>
      <w:r w:rsidRPr="00D00895">
        <w:rPr>
          <w:rFonts w:cstheme="minorHAnsi"/>
          <w:b/>
          <w:bCs/>
        </w:rPr>
        <w:t>Activity 4:</w:t>
      </w:r>
      <w:r w:rsidRPr="00D00895">
        <w:rPr>
          <w:rFonts w:cstheme="minorHAnsi"/>
        </w:rPr>
        <w:t xml:space="preserve"> Provide TA for the planning, development, implementation and sustainability of an SE Pilot Project that reflects the SE Quality Features.</w:t>
      </w:r>
    </w:p>
    <w:p w14:paraId="07B2C782" w14:textId="77777777" w:rsidR="00B10E8F" w:rsidRDefault="00B10E8F" w:rsidP="00B10E8F">
      <w:pPr>
        <w:spacing w:after="0" w:line="240" w:lineRule="auto"/>
        <w:rPr>
          <w:rFonts w:cstheme="minorHAnsi"/>
        </w:rPr>
      </w:pPr>
      <w:r w:rsidRPr="00D00895">
        <w:rPr>
          <w:rFonts w:cstheme="minorHAnsi"/>
          <w:b/>
          <w:bCs/>
        </w:rPr>
        <w:t>Output D:</w:t>
      </w:r>
      <w:r w:rsidRPr="00D00895">
        <w:rPr>
          <w:rFonts w:cstheme="minorHAnsi"/>
        </w:rPr>
        <w:t xml:space="preserve"> Completed SE Pilot.</w:t>
      </w:r>
    </w:p>
    <w:p w14:paraId="709C6C5D" w14:textId="77777777" w:rsidR="00B10E8F" w:rsidRPr="00D00895" w:rsidRDefault="00B10E8F" w:rsidP="00B10E8F">
      <w:pPr>
        <w:spacing w:after="0" w:line="240" w:lineRule="auto"/>
        <w:rPr>
          <w:rFonts w:cstheme="minorHAnsi"/>
        </w:rPr>
      </w:pPr>
      <w:r w:rsidRPr="00D00895">
        <w:rPr>
          <w:rFonts w:cstheme="minorHAnsi"/>
          <w:noProof/>
          <w:lang w:eastAsia="ko-KR"/>
        </w:rPr>
        <w:lastRenderedPageBreak/>
        <w:drawing>
          <wp:inline distT="0" distB="0" distL="0" distR="0" wp14:anchorId="6031AACD" wp14:editId="3EA4F7E3">
            <wp:extent cx="2777929" cy="5225632"/>
            <wp:effectExtent l="0" t="0" r="16510" b="6985"/>
            <wp:docPr id="122" name="Chart 122" descr="Activity 5- no activity or outputs">
              <a:extLst xmlns:a="http://schemas.openxmlformats.org/drawingml/2006/main">
                <a:ext uri="{FF2B5EF4-FFF2-40B4-BE49-F238E27FC236}">
                  <a16:creationId xmlns:a16="http://schemas.microsoft.com/office/drawing/2014/main" id="{4BD7B9D6-5AD6-4D95-B093-BB2F702DBD2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4"/>
              </a:graphicData>
            </a:graphic>
          </wp:inline>
        </w:drawing>
      </w:r>
    </w:p>
    <w:p w14:paraId="3BF61715" w14:textId="77777777" w:rsidR="00B10E8F" w:rsidRPr="00D00895" w:rsidRDefault="00B10E8F" w:rsidP="00B10E8F">
      <w:pPr>
        <w:spacing w:after="0" w:line="240" w:lineRule="auto"/>
        <w:rPr>
          <w:rFonts w:cstheme="minorHAnsi"/>
        </w:rPr>
      </w:pPr>
      <w:r w:rsidRPr="00D00895">
        <w:rPr>
          <w:rFonts w:cstheme="minorHAnsi"/>
          <w:b/>
          <w:bCs/>
        </w:rPr>
        <w:t>Activity 5:</w:t>
      </w:r>
      <w:r w:rsidRPr="00D00895">
        <w:rPr>
          <w:rFonts w:cstheme="minorHAnsi"/>
        </w:rPr>
        <w:t xml:space="preserve"> Provide TA in developing an RFP for SE training to SVRA staff and providers.</w:t>
      </w:r>
    </w:p>
    <w:p w14:paraId="6AE05EA9" w14:textId="77777777" w:rsidR="00B10E8F" w:rsidRDefault="00B10E8F" w:rsidP="00B10E8F">
      <w:pPr>
        <w:spacing w:after="0" w:line="240" w:lineRule="auto"/>
        <w:rPr>
          <w:rFonts w:cstheme="minorHAnsi"/>
        </w:rPr>
      </w:pPr>
      <w:r w:rsidRPr="00D00895">
        <w:rPr>
          <w:rFonts w:cstheme="minorHAnsi"/>
          <w:b/>
          <w:bCs/>
        </w:rPr>
        <w:t>Output E:</w:t>
      </w:r>
      <w:r w:rsidRPr="00D00895">
        <w:rPr>
          <w:rFonts w:cstheme="minorHAnsi"/>
        </w:rPr>
        <w:t xml:space="preserve"> Completed RFP.</w:t>
      </w:r>
    </w:p>
    <w:p w14:paraId="3C9C7806" w14:textId="77777777" w:rsidR="00B10E8F" w:rsidRDefault="00B10E8F" w:rsidP="00B10E8F">
      <w:pPr>
        <w:spacing w:after="0" w:line="240" w:lineRule="auto"/>
        <w:rPr>
          <w:rFonts w:cstheme="minorHAnsi"/>
        </w:rPr>
      </w:pPr>
    </w:p>
    <w:p w14:paraId="59B5571E" w14:textId="77777777" w:rsidR="00B10E8F" w:rsidRPr="00237C9C" w:rsidRDefault="00B10E8F" w:rsidP="00B10E8F">
      <w:pPr>
        <w:spacing w:after="0" w:line="240" w:lineRule="auto"/>
        <w:rPr>
          <w:rFonts w:cstheme="minorHAnsi"/>
          <w:i/>
        </w:rPr>
      </w:pPr>
      <w:r w:rsidRPr="00237C9C">
        <w:rPr>
          <w:rFonts w:cstheme="minorHAnsi"/>
          <w:i/>
        </w:rPr>
        <w:t xml:space="preserve">[Note: None of the </w:t>
      </w:r>
      <w:r>
        <w:rPr>
          <w:rFonts w:cstheme="minorHAnsi"/>
          <w:i/>
        </w:rPr>
        <w:t>current</w:t>
      </w:r>
      <w:r w:rsidRPr="00237C9C">
        <w:rPr>
          <w:rFonts w:cstheme="minorHAnsi"/>
          <w:i/>
        </w:rPr>
        <w:t xml:space="preserve"> SE sites requested WINTAC TA on this activity.]</w:t>
      </w:r>
    </w:p>
    <w:p w14:paraId="1CDC0B0B" w14:textId="77777777" w:rsidR="00B10E8F" w:rsidRPr="00D00895" w:rsidRDefault="00B10E8F" w:rsidP="00B10E8F">
      <w:pPr>
        <w:spacing w:after="0" w:line="240" w:lineRule="auto"/>
        <w:rPr>
          <w:rFonts w:cstheme="minorHAnsi"/>
        </w:rPr>
      </w:pPr>
      <w:r w:rsidRPr="00D00895">
        <w:rPr>
          <w:rFonts w:cstheme="minorHAnsi"/>
          <w:noProof/>
          <w:lang w:eastAsia="ko-KR"/>
        </w:rPr>
        <w:drawing>
          <wp:inline distT="0" distB="0" distL="0" distR="0" wp14:anchorId="797B2556" wp14:editId="4FB35D1C">
            <wp:extent cx="2777928" cy="5225632"/>
            <wp:effectExtent l="0" t="0" r="16510" b="6985"/>
            <wp:docPr id="123" name="Chart 123" descr="Activity #6 50% completed 75% activity, 50% completed 50% activity and 50% completed 75% activity, 50% completed 50% outputs">
              <a:extLst xmlns:a="http://schemas.openxmlformats.org/drawingml/2006/main">
                <a:ext uri="{FF2B5EF4-FFF2-40B4-BE49-F238E27FC236}">
                  <a16:creationId xmlns:a16="http://schemas.microsoft.com/office/drawing/2014/main" id="{A9AD30CE-4C1B-49A9-9D71-E723E85A3AD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5"/>
              </a:graphicData>
            </a:graphic>
          </wp:inline>
        </w:drawing>
      </w:r>
    </w:p>
    <w:p w14:paraId="40A0631D" w14:textId="77777777" w:rsidR="00B10E8F" w:rsidRPr="00D00895" w:rsidRDefault="00B10E8F" w:rsidP="00B10E8F">
      <w:pPr>
        <w:spacing w:after="0" w:line="240" w:lineRule="auto"/>
        <w:rPr>
          <w:rFonts w:cstheme="minorHAnsi"/>
        </w:rPr>
      </w:pPr>
      <w:r w:rsidRPr="00D00895">
        <w:rPr>
          <w:rFonts w:cstheme="minorHAnsi"/>
          <w:b/>
          <w:bCs/>
        </w:rPr>
        <w:t>Activity 6:</w:t>
      </w:r>
      <w:r w:rsidRPr="00D00895">
        <w:rPr>
          <w:rFonts w:cstheme="minorHAnsi"/>
        </w:rPr>
        <w:t xml:space="preserve"> Develop new and/or review existing documentation fee structures for the provision of Supported Employment.</w:t>
      </w:r>
    </w:p>
    <w:p w14:paraId="64071943" w14:textId="77777777" w:rsidR="00B10E8F" w:rsidRDefault="00B10E8F" w:rsidP="00B10E8F">
      <w:pPr>
        <w:spacing w:after="0" w:line="240" w:lineRule="auto"/>
        <w:rPr>
          <w:rFonts w:cstheme="minorHAnsi"/>
        </w:rPr>
      </w:pPr>
      <w:r w:rsidRPr="00D00895">
        <w:rPr>
          <w:rFonts w:cstheme="minorHAnsi"/>
          <w:b/>
          <w:bCs/>
        </w:rPr>
        <w:t>Output F:</w:t>
      </w:r>
      <w:r w:rsidRPr="00D00895">
        <w:rPr>
          <w:rFonts w:cstheme="minorHAnsi"/>
        </w:rPr>
        <w:t xml:space="preserve"> New or revised draft Fee Structures that meet RSA standards.</w:t>
      </w:r>
    </w:p>
    <w:p w14:paraId="7F611559" w14:textId="77777777" w:rsidR="00B10E8F" w:rsidRDefault="00B10E8F" w:rsidP="00B10E8F">
      <w:pPr>
        <w:rPr>
          <w:rFonts w:cstheme="minorHAnsi"/>
        </w:rPr>
      </w:pPr>
    </w:p>
    <w:p w14:paraId="4A7CFAC2" w14:textId="77777777" w:rsidR="00B10E8F" w:rsidRDefault="00B10E8F" w:rsidP="00B10E8F">
      <w:pPr>
        <w:rPr>
          <w:rFonts w:cstheme="minorHAnsi"/>
        </w:rPr>
        <w:sectPr w:rsidR="00B10E8F" w:rsidSect="00D27D05">
          <w:type w:val="continuous"/>
          <w:pgSz w:w="12240" w:h="15840"/>
          <w:pgMar w:top="1440" w:right="1440" w:bottom="1440" w:left="1440" w:header="720" w:footer="720" w:gutter="0"/>
          <w:pgBorders w:offsetFrom="page">
            <w:top w:val="thinThickSmallGap" w:sz="24" w:space="24" w:color="2F5496" w:themeColor="accent1" w:themeShade="BF"/>
            <w:left w:val="thinThickSmallGap" w:sz="24" w:space="24" w:color="2F5496" w:themeColor="accent1" w:themeShade="BF"/>
            <w:bottom w:val="thickThinSmallGap" w:sz="24" w:space="24" w:color="2F5496" w:themeColor="accent1" w:themeShade="BF"/>
            <w:right w:val="thickThinSmallGap" w:sz="24" w:space="24" w:color="2F5496" w:themeColor="accent1" w:themeShade="BF"/>
          </w:pgBorders>
          <w:cols w:num="2" w:space="720"/>
          <w:docGrid w:linePitch="360"/>
        </w:sectPr>
      </w:pPr>
    </w:p>
    <w:p w14:paraId="37ACAF08" w14:textId="77777777" w:rsidR="00B10E8F" w:rsidRDefault="00B10E8F" w:rsidP="00B10E8F">
      <w:pPr>
        <w:jc w:val="center"/>
        <w:rPr>
          <w:b/>
          <w:color w:val="FF0000"/>
        </w:rPr>
      </w:pPr>
      <w:r w:rsidRPr="00BE6746">
        <w:rPr>
          <w:b/>
          <w:noProof/>
          <w:color w:val="FF0000"/>
          <w:lang w:eastAsia="ko-KR"/>
        </w:rPr>
        <w:lastRenderedPageBreak/>
        <w:drawing>
          <wp:inline distT="0" distB="0" distL="0" distR="0" wp14:anchorId="32CDE470" wp14:editId="1FC16692">
            <wp:extent cx="5943600" cy="3738880"/>
            <wp:effectExtent l="0" t="0" r="0" b="0"/>
            <wp:docPr id="124" name="Picture 124" descr="chart showing outcomes progress supported employment. Not started 13%, 25% completed 25%, 50% completed 25%, 75% completed 13%, 90% completed 13%, 100% completed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6"/>
                    <a:stretch>
                      <a:fillRect/>
                    </a:stretch>
                  </pic:blipFill>
                  <pic:spPr>
                    <a:xfrm>
                      <a:off x="0" y="0"/>
                      <a:ext cx="5943600" cy="3738880"/>
                    </a:xfrm>
                    <a:prstGeom prst="rect">
                      <a:avLst/>
                    </a:prstGeom>
                  </pic:spPr>
                </pic:pic>
              </a:graphicData>
            </a:graphic>
          </wp:inline>
        </w:drawing>
      </w:r>
    </w:p>
    <w:p w14:paraId="76C3957A" w14:textId="77777777" w:rsidR="00B10E8F" w:rsidRPr="00FA3678" w:rsidRDefault="00B10E8F" w:rsidP="00B10E8F">
      <w:pPr>
        <w:tabs>
          <w:tab w:val="left" w:pos="360"/>
        </w:tabs>
        <w:spacing w:after="0"/>
        <w:ind w:firstLine="360"/>
      </w:pPr>
      <w:r w:rsidRPr="00FA3678">
        <w:t>This infographic</w:t>
      </w:r>
      <w:r>
        <w:t xml:space="preserve"> shows that over one-third of anticipated SE outcomes are at least 75% achieved. These include measurable increases </w:t>
      </w:r>
      <w:r w:rsidRPr="0038788C">
        <w:rPr>
          <w:rFonts w:cstheme="minorHAnsi"/>
        </w:rPr>
        <w:t>for</w:t>
      </w:r>
      <w:r>
        <w:t xml:space="preserve"> three SVRAs in (1) VR staff understanding of WIOA’s SE requirements, (2) vendor capacity and (3) SE enrollments.</w:t>
      </w:r>
    </w:p>
    <w:p w14:paraId="484A65C7" w14:textId="77777777" w:rsidR="00B10E8F" w:rsidRDefault="00B10E8F" w:rsidP="00B10E8F">
      <w:pPr>
        <w:jc w:val="center"/>
        <w:rPr>
          <w:b/>
          <w:color w:val="FF0000"/>
        </w:rPr>
      </w:pPr>
      <w:r>
        <w:rPr>
          <w:b/>
          <w:color w:val="FF0000"/>
        </w:rPr>
        <w:br w:type="page"/>
      </w:r>
    </w:p>
    <w:p w14:paraId="692F51E4" w14:textId="77777777" w:rsidR="00B10E8F" w:rsidRDefault="00B10E8F" w:rsidP="00BA0D82">
      <w:pPr>
        <w:pStyle w:val="Heading2"/>
        <w:numPr>
          <w:ilvl w:val="0"/>
          <w:numId w:val="0"/>
        </w:numPr>
        <w:pBdr>
          <w:bottom w:val="single" w:sz="24" w:space="1" w:color="auto"/>
        </w:pBdr>
        <w:spacing w:after="240"/>
      </w:pPr>
      <w:bookmarkStart w:id="88" w:name="_Toc11010580"/>
      <w:bookmarkStart w:id="89" w:name="_Toc27904606"/>
      <w:bookmarkStart w:id="90" w:name="_Toc28011438"/>
      <w:r>
        <w:lastRenderedPageBreak/>
        <w:t>CIE/Supported Employment: R</w:t>
      </w:r>
      <w:r w:rsidRPr="00F1798B">
        <w:t>ESOURCES</w:t>
      </w:r>
      <w:bookmarkEnd w:id="88"/>
      <w:bookmarkEnd w:id="89"/>
      <w:bookmarkEnd w:id="90"/>
    </w:p>
    <w:p w14:paraId="5765866C" w14:textId="77777777" w:rsidR="00B10E8F" w:rsidRDefault="00B10E8F" w:rsidP="00B10E8F">
      <w:pPr>
        <w:spacing w:before="240" w:after="240" w:line="240" w:lineRule="auto"/>
        <w:rPr>
          <w:rFonts w:eastAsia="Times New Roman" w:cstheme="minorHAnsi"/>
          <w:sz w:val="24"/>
          <w:szCs w:val="24"/>
        </w:rPr>
      </w:pPr>
      <w:r>
        <w:rPr>
          <w:rFonts w:eastAsia="Times New Roman" w:cstheme="minorHAnsi"/>
          <w:sz w:val="24"/>
          <w:szCs w:val="24"/>
        </w:rPr>
        <w:t>Available on the WINTAC website, the CIE/SE team has developed a number of resources to support TA and training and provide guidance to SVRAs as they meet their requirements for competitive integrated employment under WIOA:</w:t>
      </w:r>
    </w:p>
    <w:p w14:paraId="6CE2BAF8" w14:textId="77777777" w:rsidR="00B10E8F" w:rsidRPr="00DD64A8" w:rsidRDefault="00366D34" w:rsidP="00076336">
      <w:pPr>
        <w:numPr>
          <w:ilvl w:val="0"/>
          <w:numId w:val="25"/>
        </w:numPr>
        <w:rPr>
          <w:rFonts w:cstheme="minorHAnsi"/>
          <w:szCs w:val="28"/>
        </w:rPr>
      </w:pPr>
      <w:hyperlink r:id="rId327" w:tgtFrame="_blank" w:history="1">
        <w:r w:rsidR="00B10E8F" w:rsidRPr="00E85F26">
          <w:rPr>
            <w:rStyle w:val="Hyperlink"/>
            <w:rFonts w:cstheme="minorHAnsi"/>
            <w:szCs w:val="28"/>
          </w:rPr>
          <w:t>Supported Employment Quality Features</w:t>
        </w:r>
      </w:hyperlink>
      <w:r w:rsidR="00B10E8F" w:rsidRPr="00E85F26">
        <w:rPr>
          <w:rFonts w:cstheme="minorHAnsi"/>
          <w:szCs w:val="28"/>
        </w:rPr>
        <w:br/>
        <w:t>WINTAC, along with a wide variety of stakeholders with extensive supported employment experience developed the attached “Supported Employment Quality Features” document to identify and describe high quality features of supported employment as a guide for the universal application of these features across service delivery and training providers.  The intent of this document is to provide a consistent framework and detailed description of all the elements necessary to provide high quality supported employment services.</w:t>
      </w:r>
    </w:p>
    <w:p w14:paraId="512B9ED9" w14:textId="77777777" w:rsidR="00B10E8F" w:rsidRPr="00E85F26" w:rsidRDefault="00366D34" w:rsidP="00076336">
      <w:pPr>
        <w:numPr>
          <w:ilvl w:val="0"/>
          <w:numId w:val="25"/>
        </w:numPr>
        <w:rPr>
          <w:rFonts w:cstheme="minorHAnsi"/>
          <w:szCs w:val="28"/>
        </w:rPr>
      </w:pPr>
      <w:hyperlink r:id="rId328" w:tgtFrame="_blank" w:history="1">
        <w:r w:rsidR="00B10E8F" w:rsidRPr="00E85F26">
          <w:rPr>
            <w:rStyle w:val="Hyperlink"/>
            <w:rFonts w:cstheme="minorHAnsi"/>
            <w:szCs w:val="28"/>
          </w:rPr>
          <w:t xml:space="preserve">Supported Employment Critical Elements </w:t>
        </w:r>
      </w:hyperlink>
      <w:r w:rsidR="00B10E8F" w:rsidRPr="00E85F26">
        <w:rPr>
          <w:rFonts w:cstheme="minorHAnsi"/>
          <w:szCs w:val="28"/>
        </w:rPr>
        <w:br/>
        <w:t>is compiled from multiple resources such as WIOA Law, regulations, and RSA guidance to provide a comprehensive view of Supported Employment.</w:t>
      </w:r>
    </w:p>
    <w:p w14:paraId="1179D442" w14:textId="77777777" w:rsidR="00B10E8F" w:rsidRPr="00E85F26" w:rsidRDefault="00366D34" w:rsidP="00076336">
      <w:pPr>
        <w:numPr>
          <w:ilvl w:val="0"/>
          <w:numId w:val="25"/>
        </w:numPr>
        <w:rPr>
          <w:rFonts w:cstheme="minorHAnsi"/>
          <w:szCs w:val="28"/>
        </w:rPr>
      </w:pPr>
      <w:hyperlink r:id="rId329" w:tgtFrame="_blank" w:history="1">
        <w:r w:rsidR="00B10E8F" w:rsidRPr="00E85F26">
          <w:rPr>
            <w:rStyle w:val="Hyperlink"/>
            <w:rFonts w:cstheme="minorHAnsi"/>
            <w:szCs w:val="28"/>
          </w:rPr>
          <w:t>Oregon VR's presentation on changes to Supported Employment due to WIOA</w:t>
        </w:r>
      </w:hyperlink>
    </w:p>
    <w:p w14:paraId="09D0B143" w14:textId="77777777" w:rsidR="00B10E8F" w:rsidRPr="00E85F26" w:rsidRDefault="00366D34" w:rsidP="00076336">
      <w:pPr>
        <w:numPr>
          <w:ilvl w:val="0"/>
          <w:numId w:val="25"/>
        </w:numPr>
        <w:rPr>
          <w:rFonts w:cstheme="minorHAnsi"/>
          <w:szCs w:val="28"/>
        </w:rPr>
      </w:pPr>
      <w:hyperlink r:id="rId330" w:tgtFrame="_blank" w:history="1">
        <w:r w:rsidR="00B10E8F" w:rsidRPr="00E85F26">
          <w:rPr>
            <w:rStyle w:val="Hyperlink"/>
            <w:rFonts w:cstheme="minorHAnsi"/>
            <w:szCs w:val="28"/>
          </w:rPr>
          <w:t>Utah's SE Policy, Chapter 30</w:t>
        </w:r>
      </w:hyperlink>
      <w:r w:rsidR="00B10E8F" w:rsidRPr="00E85F26">
        <w:rPr>
          <w:rFonts w:cstheme="minorHAnsi"/>
          <w:szCs w:val="28"/>
        </w:rPr>
        <w:br/>
        <w:t>Utahs Client Service Manual, Chapter 30 on (SE) Supported Employment including policy, Definitions, and instructions on Individual Placement and Support, Community Rehabilitation Programs, and Job Coaching.</w:t>
      </w:r>
    </w:p>
    <w:p w14:paraId="262CFD2E" w14:textId="77777777" w:rsidR="00B10E8F" w:rsidRPr="00E85F26" w:rsidRDefault="00366D34" w:rsidP="00076336">
      <w:pPr>
        <w:numPr>
          <w:ilvl w:val="0"/>
          <w:numId w:val="25"/>
        </w:numPr>
        <w:rPr>
          <w:rFonts w:cstheme="minorHAnsi"/>
          <w:szCs w:val="28"/>
        </w:rPr>
      </w:pPr>
      <w:hyperlink r:id="rId331" w:tgtFrame="_blank" w:history="1">
        <w:r w:rsidR="00B10E8F" w:rsidRPr="00E85F26">
          <w:rPr>
            <w:rStyle w:val="Hyperlink"/>
            <w:rFonts w:cstheme="minorHAnsi"/>
            <w:szCs w:val="28"/>
          </w:rPr>
          <w:t>Utah SOR Chapter 30 Supported Employment Nov. 2016 Addendum</w:t>
        </w:r>
      </w:hyperlink>
    </w:p>
    <w:p w14:paraId="26F99D23" w14:textId="77777777" w:rsidR="00B10E8F" w:rsidRPr="00E85F26" w:rsidRDefault="00B10E8F" w:rsidP="00076336">
      <w:pPr>
        <w:numPr>
          <w:ilvl w:val="0"/>
          <w:numId w:val="25"/>
        </w:numPr>
        <w:rPr>
          <w:rFonts w:cstheme="minorHAnsi"/>
          <w:szCs w:val="28"/>
        </w:rPr>
      </w:pPr>
      <w:r w:rsidRPr="00E85F26">
        <w:rPr>
          <w:rFonts w:cstheme="minorHAnsi"/>
          <w:szCs w:val="28"/>
        </w:rPr>
        <w:t>The Hawaii VR agency developed a series of documents listed below to provide staff guidance regarding the implementation of Supported Employment under WIOA.</w:t>
      </w:r>
    </w:p>
    <w:p w14:paraId="510E0FDF" w14:textId="77777777" w:rsidR="00B10E8F" w:rsidRPr="00E85F26" w:rsidRDefault="00366D34" w:rsidP="00076336">
      <w:pPr>
        <w:numPr>
          <w:ilvl w:val="1"/>
          <w:numId w:val="25"/>
        </w:numPr>
        <w:rPr>
          <w:rFonts w:cstheme="minorHAnsi"/>
          <w:szCs w:val="28"/>
        </w:rPr>
      </w:pPr>
      <w:hyperlink r:id="rId332" w:tgtFrame="_blank" w:history="1">
        <w:r w:rsidR="00B10E8F" w:rsidRPr="00E85F26">
          <w:rPr>
            <w:rStyle w:val="Hyperlink"/>
            <w:rFonts w:cstheme="minorHAnsi"/>
            <w:szCs w:val="28"/>
          </w:rPr>
          <w:t>Hawaii’s internal staff procedures for Supported Employment Part 1, SE Eligibility and Planning</w:t>
        </w:r>
      </w:hyperlink>
    </w:p>
    <w:p w14:paraId="2383B4C8" w14:textId="77777777" w:rsidR="00B10E8F" w:rsidRPr="00E85F26" w:rsidRDefault="00366D34" w:rsidP="00076336">
      <w:pPr>
        <w:numPr>
          <w:ilvl w:val="1"/>
          <w:numId w:val="25"/>
        </w:numPr>
        <w:rPr>
          <w:rFonts w:cstheme="minorHAnsi"/>
          <w:szCs w:val="28"/>
        </w:rPr>
      </w:pPr>
      <w:hyperlink r:id="rId333" w:tgtFrame="_blank" w:history="1">
        <w:r w:rsidR="00B10E8F" w:rsidRPr="00E85F26">
          <w:rPr>
            <w:rStyle w:val="Hyperlink"/>
            <w:rFonts w:cstheme="minorHAnsi"/>
            <w:szCs w:val="28"/>
          </w:rPr>
          <w:t>Hawaii’s internal staff procedures for Supported Employment" Part 2,SE Intensive Skills Training and Support</w:t>
        </w:r>
      </w:hyperlink>
    </w:p>
    <w:p w14:paraId="0EBB1D2C" w14:textId="77777777" w:rsidR="00B10E8F" w:rsidRPr="00E85F26" w:rsidRDefault="00366D34" w:rsidP="00076336">
      <w:pPr>
        <w:numPr>
          <w:ilvl w:val="1"/>
          <w:numId w:val="25"/>
        </w:numPr>
        <w:rPr>
          <w:rFonts w:cstheme="minorHAnsi"/>
          <w:szCs w:val="28"/>
        </w:rPr>
      </w:pPr>
      <w:hyperlink r:id="rId334" w:tgtFrame="_blank" w:history="1">
        <w:r w:rsidR="00B10E8F" w:rsidRPr="00E85F26">
          <w:rPr>
            <w:rStyle w:val="Hyperlink"/>
            <w:rFonts w:cstheme="minorHAnsi"/>
            <w:szCs w:val="28"/>
          </w:rPr>
          <w:t>Hawaii’s internal staff procedures for Supported Employment” Part 3, SE Extensive Services and Case Closures</w:t>
        </w:r>
      </w:hyperlink>
    </w:p>
    <w:p w14:paraId="3B5AE385" w14:textId="77777777" w:rsidR="00B10E8F" w:rsidRPr="00E85F26" w:rsidRDefault="00366D34" w:rsidP="00076336">
      <w:pPr>
        <w:numPr>
          <w:ilvl w:val="1"/>
          <w:numId w:val="25"/>
        </w:numPr>
        <w:rPr>
          <w:rFonts w:cstheme="minorHAnsi"/>
          <w:szCs w:val="28"/>
        </w:rPr>
      </w:pPr>
      <w:hyperlink r:id="rId335" w:tgtFrame="_blank" w:history="1">
        <w:r w:rsidR="00B10E8F" w:rsidRPr="00E85F26">
          <w:rPr>
            <w:rStyle w:val="Hyperlink"/>
            <w:rFonts w:cstheme="minorHAnsi"/>
            <w:szCs w:val="28"/>
          </w:rPr>
          <w:t>Hawaii's internal staff procedures for Supported Employment, SE Checklist and Case Study</w:t>
        </w:r>
      </w:hyperlink>
    </w:p>
    <w:p w14:paraId="28D74A8C" w14:textId="77777777" w:rsidR="00B10E8F" w:rsidRPr="00F1798B" w:rsidRDefault="00366D34" w:rsidP="00076336">
      <w:pPr>
        <w:numPr>
          <w:ilvl w:val="1"/>
          <w:numId w:val="25"/>
        </w:numPr>
        <w:rPr>
          <w:rStyle w:val="Hyperlink"/>
          <w:rFonts w:cstheme="minorHAnsi"/>
          <w:color w:val="auto"/>
          <w:szCs w:val="28"/>
          <w:u w:val="none"/>
        </w:rPr>
      </w:pPr>
      <w:hyperlink r:id="rId336" w:tgtFrame="_blank" w:history="1">
        <w:r w:rsidR="00B10E8F" w:rsidRPr="00E85F26">
          <w:rPr>
            <w:rStyle w:val="Hyperlink"/>
            <w:rFonts w:cstheme="minorHAnsi"/>
            <w:szCs w:val="28"/>
          </w:rPr>
          <w:t>Hawaii's internal staff procedures for Supported Employment, SE Employment definitions and practice under WIOA</w:t>
        </w:r>
      </w:hyperlink>
    </w:p>
    <w:p w14:paraId="66539F8B" w14:textId="77777777" w:rsidR="00B10E8F" w:rsidRPr="00E85F26" w:rsidRDefault="00366D34" w:rsidP="00076336">
      <w:pPr>
        <w:numPr>
          <w:ilvl w:val="0"/>
          <w:numId w:val="25"/>
        </w:numPr>
        <w:rPr>
          <w:rFonts w:cstheme="minorHAnsi"/>
          <w:szCs w:val="28"/>
        </w:rPr>
      </w:pPr>
      <w:hyperlink r:id="rId337" w:tgtFrame="_blank" w:history="1">
        <w:r w:rsidR="00B10E8F" w:rsidRPr="00F4273F">
          <w:rPr>
            <w:rStyle w:val="Hyperlink"/>
            <w:rFonts w:cstheme="minorHAnsi"/>
            <w:szCs w:val="28"/>
          </w:rPr>
          <w:t>Michigan Rehabilitation Services CIE Checklist</w:t>
        </w:r>
      </w:hyperlink>
    </w:p>
    <w:p w14:paraId="311C8AAA" w14:textId="77777777" w:rsidR="00B10E8F" w:rsidRDefault="00B10E8F" w:rsidP="00B10E8F">
      <w:pPr>
        <w:pBdr>
          <w:bottom w:val="single" w:sz="24" w:space="1" w:color="auto"/>
        </w:pBdr>
        <w:rPr>
          <w:b/>
          <w:sz w:val="36"/>
        </w:rPr>
      </w:pPr>
    </w:p>
    <w:p w14:paraId="2F005634" w14:textId="77777777" w:rsidR="00B10E8F" w:rsidRDefault="00B10E8F" w:rsidP="00B10E8F">
      <w:pPr>
        <w:pBdr>
          <w:bottom w:val="single" w:sz="24" w:space="1" w:color="auto"/>
        </w:pBdr>
        <w:jc w:val="center"/>
        <w:rPr>
          <w:b/>
          <w:sz w:val="36"/>
        </w:rPr>
      </w:pPr>
      <w:r>
        <w:rPr>
          <w:b/>
          <w:sz w:val="36"/>
        </w:rPr>
        <w:lastRenderedPageBreak/>
        <w:t>Supported Employment: PROGRESS NARRATIVE</w:t>
      </w:r>
    </w:p>
    <w:p w14:paraId="3AF7D671" w14:textId="77777777" w:rsidR="00B10E8F" w:rsidRDefault="00B10E8F" w:rsidP="00B10E8F">
      <w:pPr>
        <w:tabs>
          <w:tab w:val="left" w:pos="360"/>
        </w:tabs>
      </w:pPr>
      <w:r>
        <w:tab/>
        <w:t>WINTAC’s support to SVRAs in developing or solidifying their understanding and implementation of CIE, in particular relating to supported employment, has provided a foundation for several states to progress to a higher level of service delivery requiring degrees of performance and systems change that they might not have been able to manage without this foundation. The focus of WINTAC’s assistance is to provide structure and guidance so states can develop, improve and sustain SE programs with fidelity and quality. Among other resources, the “Core Features of Quality SE Services” document provides a hands-on program design tool and a quality features checklist,</w:t>
      </w:r>
      <w:r w:rsidRPr="00D41C60">
        <w:t xml:space="preserve"> </w:t>
      </w:r>
      <w:r>
        <w:t>serving as a consistent program management and evaluation framework that will stand the test of time.</w:t>
      </w:r>
    </w:p>
    <w:p w14:paraId="50EA86D0" w14:textId="77777777" w:rsidR="00B10E8F" w:rsidRDefault="00B10E8F" w:rsidP="00B10E8F">
      <w:pPr>
        <w:tabs>
          <w:tab w:val="left" w:pos="360"/>
        </w:tabs>
      </w:pPr>
      <w:r>
        <w:tab/>
        <w:t>WINTAC also facilitated a Supported Employment Community of Practice (CoP) designed for participants to learn about and share approaches to SE policy and procedures consistent with WIOA and RSA requirements. CoP membership counted as many as 42 individuals from 17 states. 60% of respondents to a member survey found the CoP to be beneficial.</w:t>
      </w:r>
    </w:p>
    <w:p w14:paraId="5042CAA1" w14:textId="77777777" w:rsidR="00B10E8F" w:rsidRDefault="00B10E8F" w:rsidP="00B10E8F">
      <w:pPr>
        <w:tabs>
          <w:tab w:val="left" w:pos="360"/>
        </w:tabs>
        <w:rPr>
          <w:rFonts w:cstheme="minorHAnsi"/>
        </w:rPr>
      </w:pPr>
      <w:r>
        <w:rPr>
          <w:rFonts w:cstheme="minorHAnsi"/>
        </w:rPr>
        <w:tab/>
      </w:r>
      <w:r w:rsidRPr="00C37067">
        <w:rPr>
          <w:rFonts w:cstheme="minorHAnsi"/>
          <w:b/>
          <w:i/>
        </w:rPr>
        <w:t>TA Progress</w:t>
      </w:r>
      <w:r>
        <w:rPr>
          <w:rFonts w:cstheme="minorHAnsi"/>
        </w:rPr>
        <w:t xml:space="preserve"> </w:t>
      </w:r>
      <w:r>
        <w:t>WINTAC worked with six SVRAs on activities related to SE policy and service delivery aligned with WIOA changes. As noted in the above charts, all ITAA activities are under way, and 44% are 75-100% complete, including training on the Quality Features document and development of MOUs and fee structures. Activity related to the SE pilot in one SVRA – where the agency is revamping its entire program – is already halfway toward completion. As can be expected, the team’s more complex work on SE policies and procedures is at 25%.</w:t>
      </w:r>
    </w:p>
    <w:p w14:paraId="2D646000" w14:textId="77777777" w:rsidR="00B10E8F" w:rsidRDefault="00B10E8F" w:rsidP="00B10E8F">
      <w:pPr>
        <w:tabs>
          <w:tab w:val="left" w:pos="360"/>
        </w:tabs>
        <w:rPr>
          <w:rFonts w:cstheme="minorHAnsi"/>
        </w:rPr>
      </w:pPr>
      <w:r>
        <w:rPr>
          <w:rFonts w:cstheme="minorHAnsi"/>
        </w:rPr>
        <w:tab/>
      </w:r>
      <w:r>
        <w:rPr>
          <w:rFonts w:cstheme="minorHAnsi"/>
          <w:b/>
          <w:i/>
        </w:rPr>
        <w:t>Challenges Overcome</w:t>
      </w:r>
      <w:r>
        <w:rPr>
          <w:rFonts w:cstheme="minorHAnsi"/>
        </w:rPr>
        <w:t xml:space="preserve"> Most SVRAs requesting intensive technical assistance in this area identified unsatisfactory SE outcomes and program needs related to insufficient pay, training and quality control. The strategies and tools developed under WINTAC addressed these challenges by helping agencies build or reshape the fundamentals of their programs: agreements, fee structures, standards, policies and procedures. This infrastructure will help them – and other SVRAs – sustain solid SE programs and overcome further challenges going forward.</w:t>
      </w:r>
    </w:p>
    <w:p w14:paraId="7EC3ADD9" w14:textId="77777777" w:rsidR="00B10E8F" w:rsidRDefault="00B10E8F" w:rsidP="00B10E8F">
      <w:pPr>
        <w:tabs>
          <w:tab w:val="left" w:pos="360"/>
        </w:tabs>
        <w:rPr>
          <w:rFonts w:cstheme="minorHAnsi"/>
        </w:rPr>
      </w:pPr>
      <w:r>
        <w:rPr>
          <w:rFonts w:cstheme="minorHAnsi"/>
        </w:rPr>
        <w:tab/>
      </w:r>
      <w:r>
        <w:rPr>
          <w:rFonts w:cstheme="minorHAnsi"/>
          <w:b/>
          <w:i/>
        </w:rPr>
        <w:t>Impact</w:t>
      </w:r>
      <w:r>
        <w:rPr>
          <w:rFonts w:cstheme="minorHAnsi"/>
        </w:rPr>
        <w:t xml:space="preserve"> As noted in the </w:t>
      </w:r>
      <w:r>
        <w:t>speedometer</w:t>
      </w:r>
      <w:r w:rsidRPr="00FA3678">
        <w:t xml:space="preserve"> infographic</w:t>
      </w:r>
      <w:r>
        <w:t xml:space="preserve"> above, over one-third of anticipated SE outcomes are already at least 75% achieved. These include measurable increases for three SVRAs in (1) VR staff understanding of WIOA’s SE requirements, (2) vendor capacity and (3) SE enrollments. Outcomes that are associated with fundamental systems change activities and outputs understandably are still in earlier stages (25-50%) of achievement. These include measurable increases in consumers served and individuals achieving competitive integrated employment.</w:t>
      </w:r>
    </w:p>
    <w:p w14:paraId="33F15378" w14:textId="77777777" w:rsidR="00B10E8F" w:rsidRDefault="00B10E8F" w:rsidP="00B10E8F">
      <w:pPr>
        <w:tabs>
          <w:tab w:val="left" w:pos="360"/>
        </w:tabs>
        <w:rPr>
          <w:rFonts w:cstheme="minorHAnsi"/>
        </w:rPr>
      </w:pPr>
      <w:r>
        <w:rPr>
          <w:rFonts w:cstheme="minorHAnsi"/>
        </w:rPr>
        <w:tab/>
        <w:t xml:space="preserve">In a survey regarding SE technical assistance, 82% of TA recipients responding indicated that WINTAC’s intensive services resulted in adoption of new policies and procedures as well as completion of related staff training. 73% indicated that it had also resulted in CRPs being better informed regarding SE. WINTAC supports enabled one SVRA to increase SE contractors by five with the expected result of increased referrals and outcomes. Another SVRA, currently </w:t>
      </w:r>
      <w:r>
        <w:t>only halfway through a Supported Employment pilot, has already seen a systems shift from a historic lack of collaboration with the</w:t>
      </w:r>
      <w:r w:rsidRPr="00BF7051">
        <w:t xml:space="preserve"> DD </w:t>
      </w:r>
      <w:r>
        <w:t>agency – and resulting low enrollments – to a strong collaboration under the state’s Employment First Initiative (EFI) and a 500% increase in referrals and co-enrollments</w:t>
      </w:r>
      <w:r w:rsidRPr="00BF7051">
        <w:t xml:space="preserve">. </w:t>
      </w:r>
      <w:r>
        <w:t xml:space="preserve">The experience in one of the pilot’s sites will form the basis for SE expansion </w:t>
      </w:r>
      <w:r w:rsidRPr="00BF7051">
        <w:t>in conjunc</w:t>
      </w:r>
      <w:r>
        <w:t>ti</w:t>
      </w:r>
      <w:r w:rsidRPr="00BF7051">
        <w:t xml:space="preserve">on with the EFI, </w:t>
      </w:r>
      <w:r>
        <w:t xml:space="preserve">and it has positioned them to begin </w:t>
      </w:r>
      <w:r>
        <w:lastRenderedPageBreak/>
        <w:t xml:space="preserve">developing </w:t>
      </w:r>
      <w:r w:rsidRPr="00BF7051">
        <w:t>a CE pilot.</w:t>
      </w:r>
      <w:r>
        <w:t xml:space="preserve"> It should also be noted that WINTAC’s targeted TA working with sixteen agencies to align their paperwork with WIOA requirements resulted in capacity-building measures (both VR and providers), greater clarity on regulations and ultimately significant expansion of SE services, commitment to service quality and improved data tracking.</w:t>
      </w:r>
    </w:p>
    <w:p w14:paraId="4C1C0353" w14:textId="77777777" w:rsidR="00B10E8F" w:rsidRPr="00C37067" w:rsidRDefault="00B10E8F" w:rsidP="00B10E8F">
      <w:pPr>
        <w:tabs>
          <w:tab w:val="left" w:pos="360"/>
        </w:tabs>
        <w:jc w:val="center"/>
        <w:rPr>
          <w:rFonts w:cstheme="minorHAnsi"/>
          <w:b/>
          <w:i/>
        </w:rPr>
      </w:pPr>
      <w:r w:rsidRPr="00C37067">
        <w:rPr>
          <w:rFonts w:cstheme="minorHAnsi"/>
          <w:b/>
          <w:i/>
        </w:rPr>
        <w:t>Sampling of Testimonials on the Supported Employment Technical Assistance Experience/Impact</w:t>
      </w:r>
    </w:p>
    <w:p w14:paraId="69B87419" w14:textId="77777777" w:rsidR="00B10E8F" w:rsidRDefault="00B10E8F" w:rsidP="00B10E8F">
      <w:pPr>
        <w:tabs>
          <w:tab w:val="left" w:pos="360"/>
        </w:tabs>
        <w:rPr>
          <w:rFonts w:cstheme="minorHAnsi"/>
        </w:rPr>
      </w:pPr>
      <w:r w:rsidRPr="00C947E0">
        <w:rPr>
          <w:rFonts w:ascii="Times New Roman" w:hAnsi="Times New Roman" w:cs="Times New Roman"/>
          <w:noProof/>
          <w:sz w:val="24"/>
          <w:szCs w:val="24"/>
          <w:lang w:eastAsia="ko-KR"/>
        </w:rPr>
        <mc:AlternateContent>
          <mc:Choice Requires="wps">
            <w:drawing>
              <wp:inline distT="0" distB="0" distL="0" distR="0" wp14:anchorId="5988A643" wp14:editId="6A5F2D28">
                <wp:extent cx="3416300" cy="1053193"/>
                <wp:effectExtent l="0" t="0" r="0" b="1270"/>
                <wp:docPr id="111" name="Snip Single Corner Rectangle 117"/>
                <wp:cNvGraphicFramePr/>
                <a:graphic xmlns:a="http://schemas.openxmlformats.org/drawingml/2006/main">
                  <a:graphicData uri="http://schemas.microsoft.com/office/word/2010/wordprocessingShape">
                    <wps:wsp>
                      <wps:cNvSpPr/>
                      <wps:spPr>
                        <a:xfrm>
                          <a:off x="0" y="0"/>
                          <a:ext cx="3416300" cy="1053193"/>
                        </a:xfrm>
                        <a:prstGeom prst="snip1Rect">
                          <a:avLst/>
                        </a:prstGeom>
                        <a:ln>
                          <a:noFill/>
                        </a:ln>
                      </wps:spPr>
                      <wps:style>
                        <a:lnRef idx="2">
                          <a:schemeClr val="accent1">
                            <a:shade val="50000"/>
                          </a:schemeClr>
                        </a:lnRef>
                        <a:fillRef idx="1003">
                          <a:schemeClr val="dk2"/>
                        </a:fillRef>
                        <a:effectRef idx="0">
                          <a:schemeClr val="accent1"/>
                        </a:effectRef>
                        <a:fontRef idx="minor">
                          <a:schemeClr val="lt1"/>
                        </a:fontRef>
                      </wps:style>
                      <wps:txbx>
                        <w:txbxContent>
                          <w:p w14:paraId="54C29E6C" w14:textId="77777777" w:rsidR="00366D34" w:rsidRPr="00E65CF9" w:rsidRDefault="00366D34" w:rsidP="00B10E8F">
                            <w:pPr>
                              <w:spacing w:after="0" w:line="276" w:lineRule="auto"/>
                              <w:ind w:left="1080"/>
                              <w:rPr>
                                <w:rFonts w:ascii="Times New Roman" w:hAnsi="Times New Roman" w:cs="Times New Roman"/>
                                <w:b/>
                                <w:bCs/>
                                <w:i/>
                                <w:iCs/>
                                <w:sz w:val="24"/>
                                <w:szCs w:val="24"/>
                              </w:rPr>
                            </w:pPr>
                            <w:r w:rsidRPr="00E65CF9">
                              <w:rPr>
                                <w:rFonts w:ascii="Times New Roman" w:hAnsi="Times New Roman" w:cs="Times New Roman"/>
                                <w:b/>
                                <w:bCs/>
                                <w:i/>
                                <w:iCs/>
                                <w:sz w:val="24"/>
                                <w:szCs w:val="24"/>
                              </w:rPr>
                              <w:t>Thank you for all of the great input and feedback. We did this in short order and [WINTAC team members] were very accessible.</w:t>
                            </w:r>
                          </w:p>
                        </w:txbxContent>
                      </wps:txbx>
                      <wps:bodyPr rot="0" spcFirstLastPara="0" vertOverflow="overflow" horzOverflow="overflow" vert="horz" wrap="square" lIns="137160" tIns="91440" rIns="91440" bIns="91440" numCol="1" spcCol="0" rtlCol="0" fromWordArt="0" anchor="t" anchorCtr="0" forceAA="0" compatLnSpc="1">
                        <a:prstTxWarp prst="textNoShape">
                          <a:avLst/>
                        </a:prstTxWarp>
                        <a:noAutofit/>
                      </wps:bodyPr>
                    </wps:wsp>
                  </a:graphicData>
                </a:graphic>
              </wp:inline>
            </w:drawing>
          </mc:Choice>
          <mc:Fallback>
            <w:pict>
              <v:shape w14:anchorId="5988A643" id="_x0000_s1047" style="width:269pt;height:82.95pt;visibility:visible;mso-wrap-style:square;mso-left-percent:-10001;mso-top-percent:-10001;mso-position-horizontal:absolute;mso-position-horizontal-relative:char;mso-position-vertical:absolute;mso-position-vertical-relative:line;mso-left-percent:-10001;mso-top-percent:-10001;v-text-anchor:top" coordsize="3416300,1053193"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" adj="-11796480,,5400" path="m,l3240764,r175536,175536l3416300,1053193,,1053193,,xe" fillcolor="#4d5f78 [2994]" stroked="f" strokeweight="1pt">
                <v:fill color2="#2a3442 [2018]" rotate="t" colors="0 #5d6d85;.5 #485972;1 #334258" focus="100%" type="gradient">
                  <o:fill v:ext="view" type="gradientUnscaled"/>
                </v:fill>
                <v:stroke joinstyle="miter"/>
                <v:formulas/>
                <v:path arrowok="t" o:connecttype="custom" o:connectlocs="0,0;3240764,0;3416300,175536;3416300,1053193;0,1053193;0,0" o:connectangles="0,0,0,0,0,0" textboxrect="0,0,3416300,1053193"/>
                <v:textbox inset="10.8pt,7.2pt,,7.2pt">
                  <w:txbxContent>
                    <w:p w14:paraId="54C29E6C" w14:textId="77777777" w:rsidR="00366D34" w:rsidRPr="00E65CF9" w:rsidRDefault="00366D34" w:rsidP="00B10E8F">
                      <w:pPr>
                        <w:spacing w:after="0" w:line="276" w:lineRule="auto"/>
                        <w:ind w:left="1080"/>
                        <w:rPr>
                          <w:rFonts w:ascii="Times New Roman" w:hAnsi="Times New Roman" w:cs="Times New Roman"/>
                          <w:b/>
                          <w:bCs/>
                          <w:i/>
                          <w:iCs/>
                          <w:sz w:val="24"/>
                          <w:szCs w:val="24"/>
                        </w:rPr>
                      </w:pPr>
                      <w:r w:rsidRPr="00E65CF9">
                        <w:rPr>
                          <w:rFonts w:ascii="Times New Roman" w:hAnsi="Times New Roman" w:cs="Times New Roman"/>
                          <w:b/>
                          <w:bCs/>
                          <w:i/>
                          <w:iCs/>
                          <w:sz w:val="24"/>
                          <w:szCs w:val="24"/>
                        </w:rPr>
                        <w:t>Thank you for all of the great input and feedback. We did this in short order and [WINTAC team members] were very accessible.</w:t>
                      </w:r>
                    </w:p>
                  </w:txbxContent>
                </v:textbox>
                <w10:anchorlock/>
              </v:shape>
            </w:pict>
          </mc:Fallback>
        </mc:AlternateContent>
      </w:r>
    </w:p>
    <w:p w14:paraId="644AC0F7" w14:textId="77777777" w:rsidR="00B10E8F" w:rsidRDefault="00B10E8F" w:rsidP="00B10E8F">
      <w:pPr>
        <w:tabs>
          <w:tab w:val="left" w:pos="360"/>
        </w:tabs>
        <w:jc w:val="right"/>
        <w:rPr>
          <w:rFonts w:cstheme="minorHAnsi"/>
        </w:rPr>
      </w:pPr>
      <w:r w:rsidRPr="00C947E0">
        <w:rPr>
          <w:rFonts w:ascii="Times New Roman" w:hAnsi="Times New Roman" w:cs="Times New Roman"/>
          <w:noProof/>
          <w:sz w:val="24"/>
          <w:szCs w:val="24"/>
          <w:lang w:eastAsia="ko-KR"/>
        </w:rPr>
        <mc:AlternateContent>
          <mc:Choice Requires="wps">
            <w:drawing>
              <wp:inline distT="0" distB="0" distL="0" distR="0" wp14:anchorId="6054490C" wp14:editId="1C833252">
                <wp:extent cx="3416300" cy="1298121"/>
                <wp:effectExtent l="0" t="0" r="0" b="0"/>
                <wp:docPr id="112" name="Snip Single Corner Rectangle 10"/>
                <wp:cNvGraphicFramePr/>
                <a:graphic xmlns:a="http://schemas.openxmlformats.org/drawingml/2006/main">
                  <a:graphicData uri="http://schemas.microsoft.com/office/word/2010/wordprocessingShape">
                    <wps:wsp>
                      <wps:cNvSpPr/>
                      <wps:spPr>
                        <a:xfrm>
                          <a:off x="0" y="0"/>
                          <a:ext cx="3416300" cy="1298121"/>
                        </a:xfrm>
                        <a:prstGeom prst="snip1Rect">
                          <a:avLst/>
                        </a:prstGeom>
                        <a:ln>
                          <a:noFill/>
                        </a:ln>
                      </wps:spPr>
                      <wps:style>
                        <a:lnRef idx="2">
                          <a:schemeClr val="accent1">
                            <a:shade val="50000"/>
                          </a:schemeClr>
                        </a:lnRef>
                        <a:fillRef idx="1003">
                          <a:schemeClr val="dk2"/>
                        </a:fillRef>
                        <a:effectRef idx="0">
                          <a:schemeClr val="accent1"/>
                        </a:effectRef>
                        <a:fontRef idx="minor">
                          <a:schemeClr val="lt1"/>
                        </a:fontRef>
                      </wps:style>
                      <wps:txbx>
                        <w:txbxContent>
                          <w:p w14:paraId="6393A47C" w14:textId="77777777" w:rsidR="00366D34" w:rsidRPr="00C54296" w:rsidRDefault="00366D34" w:rsidP="00B10E8F">
                            <w:pPr>
                              <w:spacing w:after="0" w:line="276" w:lineRule="auto"/>
                              <w:ind w:left="1080"/>
                              <w:rPr>
                                <w:rFonts w:ascii="Times New Roman" w:hAnsi="Times New Roman" w:cs="Times New Roman"/>
                                <w:b/>
                                <w:bCs/>
                                <w:i/>
                                <w:iCs/>
                                <w:sz w:val="28"/>
                                <w:szCs w:val="28"/>
                              </w:rPr>
                            </w:pPr>
                            <w:r w:rsidRPr="00B87F11">
                              <w:rPr>
                                <w:rFonts w:ascii="Times New Roman" w:hAnsi="Times New Roman" w:cs="Times New Roman"/>
                                <w:b/>
                                <w:bCs/>
                                <w:i/>
                                <w:iCs/>
                                <w:sz w:val="24"/>
                                <w:szCs w:val="24"/>
                              </w:rPr>
                              <w:t>[As a result of WINTAC’s TA on SE policies and procedures] we have seen a significant increase in the number of SE job coaching hours to help individuals reach stability.</w:t>
                            </w:r>
                          </w:p>
                        </w:txbxContent>
                      </wps:txbx>
                      <wps:bodyPr rot="0" spcFirstLastPara="0" vertOverflow="overflow" horzOverflow="overflow" vert="horz" wrap="square" lIns="137160" tIns="91440" rIns="91440" bIns="91440" numCol="1" spcCol="0" rtlCol="0" fromWordArt="0" anchor="t" anchorCtr="0" forceAA="0" compatLnSpc="1">
                        <a:prstTxWarp prst="textNoShape">
                          <a:avLst/>
                        </a:prstTxWarp>
                        <a:noAutofit/>
                      </wps:bodyPr>
                    </wps:wsp>
                  </a:graphicData>
                </a:graphic>
              </wp:inline>
            </w:drawing>
          </mc:Choice>
          <mc:Fallback>
            <w:pict>
              <v:shape w14:anchorId="6054490C" id="Snip Single Corner Rectangle 10" o:spid="_x0000_s1048" style="width:269pt;height:102.2pt;visibility:visible;mso-wrap-style:square;mso-left-percent:-10001;mso-top-percent:-10001;mso-position-horizontal:absolute;mso-position-horizontal-relative:char;mso-position-vertical:absolute;mso-position-vertical-relative:line;mso-left-percent:-10001;mso-top-percent:-10001;v-text-anchor:top" coordsize="3416300,1298121"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" adj="-11796480,,5400" path="m,l3199942,r216358,216358l3416300,1298121,,1298121,,xe" fillcolor="#4d5f78 [2994]" stroked="f" strokeweight="1pt">
                <v:fill color2="#2a3442 [2018]" rotate="t" colors="0 #5d6d85;.5 #485972;1 #334258" focus="100%" type="gradient">
                  <o:fill v:ext="view" type="gradientUnscaled"/>
                </v:fill>
                <v:stroke joinstyle="miter"/>
                <v:formulas/>
                <v:path arrowok="t" o:connecttype="custom" o:connectlocs="0,0;3199942,0;3416300,216358;3416300,1298121;0,1298121;0,0" o:connectangles="0,0,0,0,0,0" textboxrect="0,0,3416300,1298121"/>
                <v:textbox inset="10.8pt,7.2pt,,7.2pt">
                  <w:txbxContent>
                    <w:p w14:paraId="6393A47C" w14:textId="77777777" w:rsidR="00366D34" w:rsidRPr="00C54296" w:rsidRDefault="00366D34" w:rsidP="00B10E8F">
                      <w:pPr>
                        <w:spacing w:after="0" w:line="276" w:lineRule="auto"/>
                        <w:ind w:left="1080"/>
                        <w:rPr>
                          <w:rFonts w:ascii="Times New Roman" w:hAnsi="Times New Roman" w:cs="Times New Roman"/>
                          <w:b/>
                          <w:bCs/>
                          <w:i/>
                          <w:iCs/>
                          <w:sz w:val="28"/>
                          <w:szCs w:val="28"/>
                        </w:rPr>
                      </w:pPr>
                      <w:r w:rsidRPr="00B87F11">
                        <w:rPr>
                          <w:rFonts w:ascii="Times New Roman" w:hAnsi="Times New Roman" w:cs="Times New Roman"/>
                          <w:b/>
                          <w:bCs/>
                          <w:i/>
                          <w:iCs/>
                          <w:sz w:val="24"/>
                          <w:szCs w:val="24"/>
                        </w:rPr>
                        <w:t>[As a result of WINTAC’s TA on SE policies and procedures] we have seen a significant increase in the number of SE job coaching hours to help individuals reach stability.</w:t>
                      </w:r>
                    </w:p>
                  </w:txbxContent>
                </v:textbox>
                <w10:anchorlock/>
              </v:shape>
            </w:pict>
          </mc:Fallback>
        </mc:AlternateContent>
      </w:r>
    </w:p>
    <w:p w14:paraId="22D9B46D" w14:textId="77777777" w:rsidR="00B10E8F" w:rsidRDefault="00B10E8F" w:rsidP="00B10E8F">
      <w:pPr>
        <w:tabs>
          <w:tab w:val="left" w:pos="360"/>
        </w:tabs>
        <w:jc w:val="center"/>
        <w:rPr>
          <w:rFonts w:cstheme="minorHAnsi"/>
        </w:rPr>
      </w:pPr>
      <w:r w:rsidRPr="00C947E0">
        <w:rPr>
          <w:rFonts w:ascii="Times New Roman" w:hAnsi="Times New Roman" w:cs="Times New Roman"/>
          <w:noProof/>
          <w:sz w:val="24"/>
          <w:szCs w:val="24"/>
          <w:lang w:eastAsia="ko-KR"/>
        </w:rPr>
        <mc:AlternateContent>
          <mc:Choice Requires="wps">
            <w:drawing>
              <wp:inline distT="0" distB="0" distL="0" distR="0" wp14:anchorId="702E28E9" wp14:editId="35E46A88">
                <wp:extent cx="3416300" cy="1118507"/>
                <wp:effectExtent l="0" t="0" r="0" b="0"/>
                <wp:docPr id="113" name="Snip Single Corner Rectangle 11"/>
                <wp:cNvGraphicFramePr/>
                <a:graphic xmlns:a="http://schemas.openxmlformats.org/drawingml/2006/main">
                  <a:graphicData uri="http://schemas.microsoft.com/office/word/2010/wordprocessingShape">
                    <wps:wsp>
                      <wps:cNvSpPr/>
                      <wps:spPr>
                        <a:xfrm>
                          <a:off x="0" y="0"/>
                          <a:ext cx="3416300" cy="1118507"/>
                        </a:xfrm>
                        <a:prstGeom prst="snip1Rect">
                          <a:avLst/>
                        </a:prstGeom>
                        <a:ln>
                          <a:noFill/>
                        </a:ln>
                      </wps:spPr>
                      <wps:style>
                        <a:lnRef idx="2">
                          <a:schemeClr val="accent1">
                            <a:shade val="50000"/>
                          </a:schemeClr>
                        </a:lnRef>
                        <a:fillRef idx="1003">
                          <a:schemeClr val="dk2"/>
                        </a:fillRef>
                        <a:effectRef idx="0">
                          <a:schemeClr val="accent1"/>
                        </a:effectRef>
                        <a:fontRef idx="minor">
                          <a:schemeClr val="lt1"/>
                        </a:fontRef>
                      </wps:style>
                      <wps:txbx>
                        <w:txbxContent>
                          <w:p w14:paraId="2BC8064F" w14:textId="77777777" w:rsidR="00366D34" w:rsidRPr="00D45DFC" w:rsidRDefault="00366D34" w:rsidP="00B10E8F">
                            <w:pPr>
                              <w:spacing w:after="0" w:line="276" w:lineRule="auto"/>
                              <w:ind w:left="1080"/>
                              <w:rPr>
                                <w:rFonts w:ascii="Times New Roman" w:hAnsi="Times New Roman" w:cs="Times New Roman"/>
                                <w:b/>
                                <w:bCs/>
                                <w:i/>
                                <w:iCs/>
                                <w:sz w:val="24"/>
                                <w:szCs w:val="24"/>
                              </w:rPr>
                            </w:pPr>
                            <w:r w:rsidRPr="00D45DFC">
                              <w:rPr>
                                <w:rFonts w:ascii="Times New Roman" w:hAnsi="Times New Roman" w:cs="Times New Roman"/>
                                <w:b/>
                                <w:bCs/>
                                <w:i/>
                                <w:iCs/>
                                <w:sz w:val="24"/>
                                <w:szCs w:val="24"/>
                              </w:rPr>
                              <w:t>The information provided within the [Supported Employment Community of Practice] has been beneficial as we work through policy development.</w:t>
                            </w:r>
                          </w:p>
                        </w:txbxContent>
                      </wps:txbx>
                      <wps:bodyPr rot="0" spcFirstLastPara="0" vertOverflow="overflow" horzOverflow="overflow" vert="horz" wrap="square" lIns="137160" tIns="91440" rIns="91440" bIns="91440" numCol="1" spcCol="0" rtlCol="0" fromWordArt="0" anchor="t" anchorCtr="0" forceAA="0" compatLnSpc="1">
                        <a:prstTxWarp prst="textNoShape">
                          <a:avLst/>
                        </a:prstTxWarp>
                        <a:noAutofit/>
                      </wps:bodyPr>
                    </wps:wsp>
                  </a:graphicData>
                </a:graphic>
              </wp:inline>
            </w:drawing>
          </mc:Choice>
          <mc:Fallback>
            <w:pict>
              <v:shape w14:anchorId="702E28E9" id="Snip Single Corner Rectangle 11" o:spid="_x0000_s1049" style="width:269pt;height:88.05pt;visibility:visible;mso-wrap-style:square;mso-left-percent:-10001;mso-top-percent:-10001;mso-position-horizontal:absolute;mso-position-horizontal-relative:char;mso-position-vertical:absolute;mso-position-vertical-relative:line;mso-left-percent:-10001;mso-top-percent:-10001;v-text-anchor:top" coordsize="3416300,1118507"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" adj="-11796480,,5400" path="m,l3229878,r186422,186422l3416300,1118507,,1118507,,xe" fillcolor="#4d5f78 [2994]" stroked="f" strokeweight="1pt">
                <v:fill color2="#2a3442 [2018]" rotate="t" colors="0 #5d6d85;.5 #485972;1 #334258" focus="100%" type="gradient">
                  <o:fill v:ext="view" type="gradientUnscaled"/>
                </v:fill>
                <v:stroke joinstyle="miter"/>
                <v:formulas/>
                <v:path arrowok="t" o:connecttype="custom" o:connectlocs="0,0;3229878,0;3416300,186422;3416300,1118507;0,1118507;0,0" o:connectangles="0,0,0,0,0,0" textboxrect="0,0,3416300,1118507"/>
                <v:textbox inset="10.8pt,7.2pt,,7.2pt">
                  <w:txbxContent>
                    <w:p w14:paraId="2BC8064F" w14:textId="77777777" w:rsidR="00366D34" w:rsidRPr="00D45DFC" w:rsidRDefault="00366D34" w:rsidP="00B10E8F">
                      <w:pPr>
                        <w:spacing w:after="0" w:line="276" w:lineRule="auto"/>
                        <w:ind w:left="1080"/>
                        <w:rPr>
                          <w:rFonts w:ascii="Times New Roman" w:hAnsi="Times New Roman" w:cs="Times New Roman"/>
                          <w:b/>
                          <w:bCs/>
                          <w:i/>
                          <w:iCs/>
                          <w:sz w:val="24"/>
                          <w:szCs w:val="24"/>
                        </w:rPr>
                      </w:pPr>
                      <w:r w:rsidRPr="00D45DFC">
                        <w:rPr>
                          <w:rFonts w:ascii="Times New Roman" w:hAnsi="Times New Roman" w:cs="Times New Roman"/>
                          <w:b/>
                          <w:bCs/>
                          <w:i/>
                          <w:iCs/>
                          <w:sz w:val="24"/>
                          <w:szCs w:val="24"/>
                        </w:rPr>
                        <w:t>The information provided within the [Supported Employment Community of Practice] has been beneficial as we work through policy development.</w:t>
                      </w:r>
                    </w:p>
                  </w:txbxContent>
                </v:textbox>
                <w10:anchorlock/>
              </v:shape>
            </w:pict>
          </mc:Fallback>
        </mc:AlternateContent>
      </w:r>
    </w:p>
    <w:p w14:paraId="14EB7445" w14:textId="77777777" w:rsidR="00B10E8F" w:rsidRDefault="00B10E8F" w:rsidP="00B10E8F">
      <w:pPr>
        <w:tabs>
          <w:tab w:val="left" w:pos="360"/>
        </w:tabs>
        <w:rPr>
          <w:rFonts w:cstheme="minorHAnsi"/>
        </w:rPr>
      </w:pPr>
      <w:r w:rsidRPr="00C947E0">
        <w:rPr>
          <w:rFonts w:ascii="Times New Roman" w:hAnsi="Times New Roman" w:cs="Times New Roman"/>
          <w:noProof/>
          <w:sz w:val="24"/>
          <w:szCs w:val="24"/>
          <w:lang w:eastAsia="ko-KR"/>
        </w:rPr>
        <mc:AlternateContent>
          <mc:Choice Requires="wps">
            <w:drawing>
              <wp:inline distT="0" distB="0" distL="0" distR="0" wp14:anchorId="16D7AEDD" wp14:editId="6B5C0463">
                <wp:extent cx="3416300" cy="1069522"/>
                <wp:effectExtent l="0" t="0" r="0" b="0"/>
                <wp:docPr id="114" name="Snip Single Corner Rectangle 12"/>
                <wp:cNvGraphicFramePr/>
                <a:graphic xmlns:a="http://schemas.openxmlformats.org/drawingml/2006/main">
                  <a:graphicData uri="http://schemas.microsoft.com/office/word/2010/wordprocessingShape">
                    <wps:wsp>
                      <wps:cNvSpPr/>
                      <wps:spPr>
                        <a:xfrm>
                          <a:off x="0" y="0"/>
                          <a:ext cx="3416300" cy="1069522"/>
                        </a:xfrm>
                        <a:prstGeom prst="snip1Rect">
                          <a:avLst/>
                        </a:prstGeom>
                        <a:ln>
                          <a:noFill/>
                        </a:ln>
                      </wps:spPr>
                      <wps:style>
                        <a:lnRef idx="2">
                          <a:schemeClr val="accent1">
                            <a:shade val="50000"/>
                          </a:schemeClr>
                        </a:lnRef>
                        <a:fillRef idx="1003">
                          <a:schemeClr val="dk2"/>
                        </a:fillRef>
                        <a:effectRef idx="0">
                          <a:schemeClr val="accent1"/>
                        </a:effectRef>
                        <a:fontRef idx="minor">
                          <a:schemeClr val="lt1"/>
                        </a:fontRef>
                      </wps:style>
                      <wps:txbx>
                        <w:txbxContent>
                          <w:p w14:paraId="22B17172" w14:textId="77777777" w:rsidR="00366D34" w:rsidRPr="00D45DFC" w:rsidRDefault="00366D34" w:rsidP="00B10E8F">
                            <w:pPr>
                              <w:spacing w:after="0" w:line="276" w:lineRule="auto"/>
                              <w:ind w:left="1080"/>
                              <w:rPr>
                                <w:rFonts w:ascii="Times New Roman" w:hAnsi="Times New Roman" w:cs="Times New Roman"/>
                                <w:b/>
                                <w:bCs/>
                                <w:i/>
                                <w:iCs/>
                                <w:sz w:val="24"/>
                                <w:szCs w:val="24"/>
                              </w:rPr>
                            </w:pPr>
                            <w:r>
                              <w:rPr>
                                <w:rFonts w:ascii="Times New Roman" w:hAnsi="Times New Roman" w:cs="Times New Roman"/>
                                <w:b/>
                                <w:bCs/>
                                <w:i/>
                                <w:iCs/>
                                <w:sz w:val="24"/>
                                <w:szCs w:val="24"/>
                              </w:rPr>
                              <w:t>WINTAC is an essential resource and should continue to be sustained in order to continue to offer TA solutions.</w:t>
                            </w:r>
                          </w:p>
                        </w:txbxContent>
                      </wps:txbx>
                      <wps:bodyPr rot="0" spcFirstLastPara="0" vertOverflow="overflow" horzOverflow="overflow" vert="horz" wrap="square" lIns="137160" tIns="91440" rIns="91440" bIns="91440" numCol="1" spcCol="0" rtlCol="0" fromWordArt="0" anchor="t" anchorCtr="0" forceAA="0" compatLnSpc="1">
                        <a:prstTxWarp prst="textNoShape">
                          <a:avLst/>
                        </a:prstTxWarp>
                        <a:noAutofit/>
                      </wps:bodyPr>
                    </wps:wsp>
                  </a:graphicData>
                </a:graphic>
              </wp:inline>
            </w:drawing>
          </mc:Choice>
          <mc:Fallback>
            <w:pict>
              <v:shape w14:anchorId="16D7AEDD" id="Snip Single Corner Rectangle 12" o:spid="_x0000_s1050" style="width:269pt;height:84.2pt;visibility:visible;mso-wrap-style:square;mso-left-percent:-10001;mso-top-percent:-10001;mso-position-horizontal:absolute;mso-position-horizontal-relative:char;mso-position-vertical:absolute;mso-position-vertical-relative:line;mso-left-percent:-10001;mso-top-percent:-10001;v-text-anchor:top" coordsize="3416300,1069522"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" adj="-11796480,,5400" path="m,l3238043,r178257,178257l3416300,1069522,,1069522,,xe" fillcolor="#4d5f78 [2994]" stroked="f" strokeweight="1pt">
                <v:fill color2="#2a3442 [2018]" rotate="t" colors="0 #5d6d85;.5 #485972;1 #334258" focus="100%" type="gradient">
                  <o:fill v:ext="view" type="gradientUnscaled"/>
                </v:fill>
                <v:stroke joinstyle="miter"/>
                <v:formulas/>
                <v:path arrowok="t" o:connecttype="custom" o:connectlocs="0,0;3238043,0;3416300,178257;3416300,1069522;0,1069522;0,0" o:connectangles="0,0,0,0,0,0" textboxrect="0,0,3416300,1069522"/>
                <v:textbox inset="10.8pt,7.2pt,,7.2pt">
                  <w:txbxContent>
                    <w:p w14:paraId="22B17172" w14:textId="77777777" w:rsidR="00366D34" w:rsidRPr="00D45DFC" w:rsidRDefault="00366D34" w:rsidP="00B10E8F">
                      <w:pPr>
                        <w:spacing w:after="0" w:line="276" w:lineRule="auto"/>
                        <w:ind w:left="1080"/>
                        <w:rPr>
                          <w:rFonts w:ascii="Times New Roman" w:hAnsi="Times New Roman" w:cs="Times New Roman"/>
                          <w:b/>
                          <w:bCs/>
                          <w:i/>
                          <w:iCs/>
                          <w:sz w:val="24"/>
                          <w:szCs w:val="24"/>
                        </w:rPr>
                      </w:pPr>
                      <w:r>
                        <w:rPr>
                          <w:rFonts w:ascii="Times New Roman" w:hAnsi="Times New Roman" w:cs="Times New Roman"/>
                          <w:b/>
                          <w:bCs/>
                          <w:i/>
                          <w:iCs/>
                          <w:sz w:val="24"/>
                          <w:szCs w:val="24"/>
                        </w:rPr>
                        <w:t>WINTAC is an essential resource and should continue to be sustained in order to continue to offer TA solutions.</w:t>
                      </w:r>
                    </w:p>
                  </w:txbxContent>
                </v:textbox>
                <w10:anchorlock/>
              </v:shape>
            </w:pict>
          </mc:Fallback>
        </mc:AlternateContent>
      </w:r>
    </w:p>
    <w:p w14:paraId="27D83729" w14:textId="77777777" w:rsidR="00B10E8F" w:rsidRDefault="00B10E8F" w:rsidP="00B10E8F">
      <w:pPr>
        <w:tabs>
          <w:tab w:val="left" w:pos="360"/>
        </w:tabs>
        <w:rPr>
          <w:rFonts w:cstheme="minorHAnsi"/>
        </w:rPr>
      </w:pPr>
      <w:r>
        <w:rPr>
          <w:rFonts w:cstheme="minorHAnsi"/>
        </w:rPr>
        <w:tab/>
      </w:r>
      <w:r>
        <w:rPr>
          <w:rFonts w:cstheme="minorHAnsi"/>
          <w:b/>
          <w:i/>
        </w:rPr>
        <w:t>Evaluation Recommendations</w:t>
      </w:r>
      <w:r>
        <w:rPr>
          <w:rFonts w:cstheme="minorHAnsi"/>
        </w:rPr>
        <w:t xml:space="preserve"> The SE team has made steady progress in moving TA activities toward completion to ensure that SVRAs are able to build and sustain strong Supported Employment programs. As time permits going forward, it will be valuable to more closely examine changes in states’ capacity to provide quality Supported Employment services (as measured by the quantity of qualified vendors, authorizations, referrals, co-enrollments, etc.) as well as changes in outcomes (as measured by the quantity of SE consumers attaining competitive integrated employment). This will entail deliberate articulation of pre-intervention baselines and periodic tracking and comparison of results for states receiving technical assistance from WINTAC’s SE team.</w:t>
      </w:r>
    </w:p>
    <w:p w14:paraId="2CC8ED4C" w14:textId="77777777" w:rsidR="00B10E8F" w:rsidRPr="00C55B1D" w:rsidRDefault="00B10E8F" w:rsidP="00B10E8F">
      <w:pPr>
        <w:tabs>
          <w:tab w:val="left" w:pos="360"/>
        </w:tabs>
        <w:rPr>
          <w:rFonts w:cstheme="minorHAnsi"/>
        </w:rPr>
      </w:pPr>
      <w:r>
        <w:rPr>
          <w:rFonts w:cstheme="minorHAnsi"/>
        </w:rPr>
        <w:tab/>
        <w:t xml:space="preserve">For other states where SE capacity and quality may be found lacking (whether across the board or among underserved populations), it may be worth considering pilots similar to the one currently under </w:t>
      </w:r>
      <w:r>
        <w:rPr>
          <w:rFonts w:cstheme="minorHAnsi"/>
        </w:rPr>
        <w:lastRenderedPageBreak/>
        <w:t>way. As seen with the current pilot, it will be important to assist these states in establishing evaluation plans from the outset, including clearly articulated outcomes, baselines, measures and tracking processes and timetables.</w:t>
      </w:r>
    </w:p>
    <w:p w14:paraId="33444870" w14:textId="77777777" w:rsidR="00B10E8F" w:rsidRPr="00C83541" w:rsidRDefault="00B10E8F" w:rsidP="00B10E8F"/>
    <w:p w14:paraId="64035AB9" w14:textId="77777777" w:rsidR="00C5068F" w:rsidRDefault="00C5068F" w:rsidP="008810D5">
      <w:pPr>
        <w:tabs>
          <w:tab w:val="left" w:pos="360"/>
        </w:tabs>
        <w:rPr>
          <w:rFonts w:cstheme="minorHAnsi"/>
        </w:rPr>
        <w:sectPr w:rsidR="00C5068F" w:rsidSect="00D27D05">
          <w:pgSz w:w="12240" w:h="15840"/>
          <w:pgMar w:top="1440" w:right="1440" w:bottom="1440" w:left="1440" w:header="720" w:footer="720" w:gutter="0"/>
          <w:pgBorders w:offsetFrom="page">
            <w:top w:val="thinThickSmallGap" w:sz="24" w:space="24" w:color="2F5496" w:themeColor="accent1" w:themeShade="BF"/>
            <w:left w:val="thinThickSmallGap" w:sz="24" w:space="24" w:color="2F5496" w:themeColor="accent1" w:themeShade="BF"/>
            <w:bottom w:val="thickThinSmallGap" w:sz="24" w:space="24" w:color="2F5496" w:themeColor="accent1" w:themeShade="BF"/>
            <w:right w:val="thickThinSmallGap" w:sz="24" w:space="24" w:color="2F5496" w:themeColor="accent1" w:themeShade="BF"/>
          </w:pgBorders>
          <w:cols w:space="720"/>
          <w:docGrid w:linePitch="360"/>
        </w:sectPr>
      </w:pPr>
    </w:p>
    <w:p w14:paraId="57743681" w14:textId="26AC8732" w:rsidR="00C5068F" w:rsidRPr="00CA090F" w:rsidRDefault="00C5068F" w:rsidP="00076336">
      <w:pPr>
        <w:pStyle w:val="Heading1"/>
        <w:numPr>
          <w:ilvl w:val="0"/>
          <w:numId w:val="59"/>
        </w:numPr>
        <w:pBdr>
          <w:bottom w:val="single" w:sz="18" w:space="1" w:color="auto"/>
        </w:pBdr>
        <w:shd w:val="clear" w:color="auto" w:fill="auto"/>
        <w:ind w:right="-540" w:hanging="360"/>
        <w:rPr>
          <w:caps w:val="0"/>
          <w:color w:val="000000" w:themeColor="text1"/>
          <w:szCs w:val="52"/>
        </w:rPr>
      </w:pPr>
      <w:bookmarkStart w:id="91" w:name="_Toc27904607"/>
      <w:bookmarkStart w:id="92" w:name="_Toc28011439"/>
      <w:r w:rsidRPr="00CA090F">
        <w:rPr>
          <w:caps w:val="0"/>
          <w:color w:val="000000" w:themeColor="text1"/>
          <w:szCs w:val="52"/>
        </w:rPr>
        <w:lastRenderedPageBreak/>
        <w:t>Competitive Integrated Employment:</w:t>
      </w:r>
      <w:r>
        <w:rPr>
          <w:caps w:val="0"/>
          <w:color w:val="000000" w:themeColor="text1"/>
          <w:szCs w:val="52"/>
        </w:rPr>
        <w:br/>
      </w:r>
      <w:r w:rsidRPr="00CA090F">
        <w:rPr>
          <w:caps w:val="0"/>
          <w:color w:val="000000" w:themeColor="text1"/>
          <w:szCs w:val="52"/>
        </w:rPr>
        <w:t>Customized Employment-</w:t>
      </w:r>
      <w:bookmarkEnd w:id="91"/>
      <w:bookmarkEnd w:id="92"/>
    </w:p>
    <w:p w14:paraId="205BE727" w14:textId="77777777" w:rsidR="00C5068F" w:rsidRDefault="00C5068F" w:rsidP="00C5068F">
      <w:pPr>
        <w:jc w:val="center"/>
        <w:rPr>
          <w:noProof/>
        </w:rPr>
      </w:pPr>
      <w:r>
        <w:rPr>
          <w:noProof/>
          <w:lang w:eastAsia="ko-KR"/>
        </w:rPr>
        <w:drawing>
          <wp:inline distT="0" distB="0" distL="0" distR="0" wp14:anchorId="55755F95" wp14:editId="7B628C38">
            <wp:extent cx="5924550" cy="4305300"/>
            <wp:effectExtent l="323850" t="323850" r="323850" b="323850"/>
            <wp:docPr id="133" name="Picture 133" descr="Map of Customized Employment  ITAAs covering the states and territories of:  AZ, CA, CO, ID, LA, MI, MN, MO, MT, NH, NV, RI, SC, T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8" cstate="print">
                      <a:extLst>
                        <a:ext uri="{28A0092B-C50C-407E-A947-70E740481C1C}">
                          <a14:useLocalDpi xmlns:a14="http://schemas.microsoft.com/office/drawing/2010/main" val="0"/>
                        </a:ext>
                      </a:extLst>
                    </a:blip>
                    <a:srcRect/>
                    <a:stretch>
                      <a:fillRect/>
                    </a:stretch>
                  </pic:blipFill>
                  <pic:spPr bwMode="auto">
                    <a:xfrm>
                      <a:off x="0" y="0"/>
                      <a:ext cx="5924550" cy="430530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p>
    <w:p w14:paraId="00BF996A" w14:textId="77777777" w:rsidR="00C5068F" w:rsidRDefault="00C5068F" w:rsidP="00C5068F"/>
    <w:p w14:paraId="516D2D9B" w14:textId="77777777" w:rsidR="00C5068F" w:rsidRDefault="00C5068F" w:rsidP="00C5068F">
      <w:pPr>
        <w:sectPr w:rsidR="00C5068F" w:rsidSect="00D27D05">
          <w:footerReference w:type="default" r:id="rId339"/>
          <w:pgSz w:w="12240" w:h="15840" w:code="1"/>
          <w:pgMar w:top="1440" w:right="1440" w:bottom="1440" w:left="1440" w:header="720" w:footer="720" w:gutter="0"/>
          <w:pgBorders w:offsetFrom="page">
            <w:top w:val="thinThickSmallGap" w:sz="24" w:space="24" w:color="2F5496" w:themeColor="accent1" w:themeShade="BF"/>
            <w:left w:val="thinThickSmallGap" w:sz="24" w:space="24" w:color="2F5496" w:themeColor="accent1" w:themeShade="BF"/>
            <w:bottom w:val="thickThinSmallGap" w:sz="24" w:space="24" w:color="2F5496" w:themeColor="accent1" w:themeShade="BF"/>
            <w:right w:val="thickThinSmallGap" w:sz="24" w:space="24" w:color="2F5496" w:themeColor="accent1" w:themeShade="BF"/>
          </w:pgBorders>
          <w:cols w:space="720"/>
          <w:vAlign w:val="center"/>
          <w:docGrid w:linePitch="360"/>
        </w:sectPr>
      </w:pPr>
    </w:p>
    <w:p w14:paraId="647B72B1" w14:textId="77777777" w:rsidR="00C5068F" w:rsidRPr="00574844" w:rsidRDefault="00C5068F" w:rsidP="00BA0D82">
      <w:pPr>
        <w:pStyle w:val="Heading2"/>
        <w:numPr>
          <w:ilvl w:val="0"/>
          <w:numId w:val="0"/>
        </w:numPr>
        <w:shd w:val="clear" w:color="auto" w:fill="8EAADB" w:themeFill="accent1" w:themeFillTint="99"/>
      </w:pPr>
      <w:bookmarkStart w:id="93" w:name="_Toc27904608"/>
      <w:bookmarkStart w:id="94" w:name="_Toc28011440"/>
      <w:r>
        <w:lastRenderedPageBreak/>
        <w:t>CUSTOMIZED EMPLOYMENT LOGIC MODEL</w:t>
      </w:r>
      <w:bookmarkEnd w:id="93"/>
      <w:bookmarkEnd w:id="94"/>
    </w:p>
    <w:tbl>
      <w:tblPr>
        <w:tblStyle w:val="TableGrid"/>
        <w:tblW w:w="5000" w:type="pct"/>
        <w:tblLook w:val="04A0" w:firstRow="1" w:lastRow="0" w:firstColumn="1" w:lastColumn="0" w:noHBand="0" w:noVBand="1"/>
        <w:tblCaption w:val="Customized employment Logic Model"/>
        <w:tblDescription w:val="Customized employment Logic Model"/>
      </w:tblPr>
      <w:tblGrid>
        <w:gridCol w:w="5511"/>
        <w:gridCol w:w="3839"/>
      </w:tblGrid>
      <w:tr w:rsidR="00C5068F" w:rsidRPr="00206792" w14:paraId="5452859E" w14:textId="77777777" w:rsidTr="00366D34">
        <w:trPr>
          <w:tblHeader/>
        </w:trPr>
        <w:tc>
          <w:tcPr>
            <w:tcW w:w="2947" w:type="pct"/>
            <w:shd w:val="clear" w:color="auto" w:fill="D9E2F3" w:themeFill="accent1" w:themeFillTint="33"/>
          </w:tcPr>
          <w:p w14:paraId="6EEBDE5E" w14:textId="77777777" w:rsidR="00C5068F" w:rsidRPr="00206792" w:rsidRDefault="00C5068F" w:rsidP="00C22384">
            <w:pPr>
              <w:pStyle w:val="Heading3"/>
              <w:numPr>
                <w:ilvl w:val="0"/>
                <w:numId w:val="0"/>
              </w:numPr>
              <w:ind w:left="810" w:hanging="810"/>
              <w:outlineLvl w:val="2"/>
            </w:pPr>
            <w:bookmarkStart w:id="95" w:name="_Toc27904609"/>
            <w:r w:rsidRPr="00206792">
              <w:t>Activities</w:t>
            </w:r>
            <w:bookmarkEnd w:id="95"/>
          </w:p>
        </w:tc>
        <w:tc>
          <w:tcPr>
            <w:tcW w:w="2053" w:type="pct"/>
            <w:shd w:val="clear" w:color="auto" w:fill="D9E2F3" w:themeFill="accent1" w:themeFillTint="33"/>
          </w:tcPr>
          <w:p w14:paraId="69BEB5D4" w14:textId="77777777" w:rsidR="00C5068F" w:rsidRPr="00206792" w:rsidRDefault="00C5068F" w:rsidP="00C22384">
            <w:pPr>
              <w:pStyle w:val="Heading3"/>
              <w:numPr>
                <w:ilvl w:val="0"/>
                <w:numId w:val="0"/>
              </w:numPr>
              <w:ind w:left="810" w:hanging="810"/>
              <w:outlineLvl w:val="2"/>
            </w:pPr>
            <w:bookmarkStart w:id="96" w:name="_Toc27904610"/>
            <w:r w:rsidRPr="00206792">
              <w:t>Outputs</w:t>
            </w:r>
            <w:bookmarkEnd w:id="96"/>
          </w:p>
        </w:tc>
      </w:tr>
      <w:tr w:rsidR="00C5068F" w:rsidRPr="00206792" w14:paraId="7AADF2AE" w14:textId="77777777" w:rsidTr="003B6148">
        <w:trPr>
          <w:trHeight w:val="2417"/>
        </w:trPr>
        <w:tc>
          <w:tcPr>
            <w:tcW w:w="2947" w:type="pct"/>
          </w:tcPr>
          <w:p w14:paraId="7CDCE50C" w14:textId="77777777" w:rsidR="00C5068F" w:rsidRPr="00206792" w:rsidRDefault="00C5068F" w:rsidP="00076336">
            <w:pPr>
              <w:pStyle w:val="ListParagraph"/>
              <w:numPr>
                <w:ilvl w:val="0"/>
                <w:numId w:val="27"/>
              </w:numPr>
            </w:pPr>
            <w:bookmarkStart w:id="97" w:name="_Hlk17793065"/>
            <w:r w:rsidRPr="00206792">
              <w:t>WINTAC: Analyze system’s (VR and State Partners) readiness and capacity to implement CE.</w:t>
            </w:r>
          </w:p>
          <w:p w14:paraId="414BF7B8" w14:textId="77777777" w:rsidR="00C5068F" w:rsidRPr="00206792" w:rsidRDefault="00C5068F" w:rsidP="00076336">
            <w:pPr>
              <w:pStyle w:val="ListParagraph"/>
              <w:numPr>
                <w:ilvl w:val="1"/>
                <w:numId w:val="27"/>
              </w:numPr>
            </w:pPr>
            <w:r w:rsidRPr="00206792">
              <w:t>NTACT: examine same, including current systems collaboration, for students and youth with disabilities between SEAs, LEAs, VR, ID/DD, MH, CMS, and other key partners</w:t>
            </w:r>
          </w:p>
          <w:p w14:paraId="1A6B1926" w14:textId="77777777" w:rsidR="00C5068F" w:rsidRPr="00206792" w:rsidRDefault="00C5068F" w:rsidP="00076336">
            <w:pPr>
              <w:pStyle w:val="ListParagraph"/>
              <w:numPr>
                <w:ilvl w:val="1"/>
                <w:numId w:val="27"/>
              </w:numPr>
            </w:pPr>
            <w:r w:rsidRPr="00206792">
              <w:t>YTAC: examine same, specifically for system-involved (juvenile justice, foster care), homeless, and out-of-school youth</w:t>
            </w:r>
          </w:p>
        </w:tc>
        <w:tc>
          <w:tcPr>
            <w:tcW w:w="2053" w:type="pct"/>
            <w:vAlign w:val="center"/>
          </w:tcPr>
          <w:p w14:paraId="19B08F57" w14:textId="77777777" w:rsidR="00C5068F" w:rsidRPr="00206792" w:rsidRDefault="00C5068F" w:rsidP="00076336">
            <w:pPr>
              <w:pStyle w:val="ListParagraph"/>
              <w:numPr>
                <w:ilvl w:val="0"/>
                <w:numId w:val="30"/>
              </w:numPr>
              <w:ind w:left="346"/>
            </w:pPr>
            <w:r w:rsidRPr="00206792">
              <w:t>Completed readiness and capacity assessment.</w:t>
            </w:r>
          </w:p>
          <w:p w14:paraId="2577A97D" w14:textId="77777777" w:rsidR="00C5068F" w:rsidRPr="00206792" w:rsidRDefault="00C5068F" w:rsidP="003B6148">
            <w:pPr>
              <w:ind w:left="346"/>
            </w:pPr>
          </w:p>
        </w:tc>
      </w:tr>
      <w:tr w:rsidR="00C5068F" w:rsidRPr="00206792" w14:paraId="0021D079" w14:textId="77777777" w:rsidTr="003B6148">
        <w:trPr>
          <w:trHeight w:val="2417"/>
        </w:trPr>
        <w:tc>
          <w:tcPr>
            <w:tcW w:w="2947" w:type="pct"/>
          </w:tcPr>
          <w:p w14:paraId="7E43E7FB" w14:textId="77777777" w:rsidR="00C5068F" w:rsidRPr="00206792" w:rsidRDefault="00C5068F" w:rsidP="00076336">
            <w:pPr>
              <w:pStyle w:val="ListParagraph"/>
              <w:numPr>
                <w:ilvl w:val="0"/>
                <w:numId w:val="27"/>
              </w:numPr>
            </w:pPr>
            <w:r w:rsidRPr="00206792">
              <w:t>WINTAC: Analyze feasibility of system (VR and State Partners) to implement CE.</w:t>
            </w:r>
          </w:p>
          <w:p w14:paraId="0E27823F" w14:textId="77777777" w:rsidR="00C5068F" w:rsidRPr="00206792" w:rsidRDefault="00C5068F" w:rsidP="00076336">
            <w:pPr>
              <w:pStyle w:val="ListParagraph"/>
              <w:numPr>
                <w:ilvl w:val="1"/>
                <w:numId w:val="27"/>
              </w:numPr>
            </w:pPr>
            <w:r w:rsidRPr="00206792">
              <w:t>NTACT: examine same, including current systems collaboration, for students and youth with disabilities between SEAs, LEAs, VR, ID/DD, MH, CMS, and other key partners</w:t>
            </w:r>
          </w:p>
          <w:p w14:paraId="1CBC5A52" w14:textId="77777777" w:rsidR="00C5068F" w:rsidRPr="00206792" w:rsidRDefault="00C5068F" w:rsidP="00076336">
            <w:pPr>
              <w:pStyle w:val="ListParagraph"/>
              <w:numPr>
                <w:ilvl w:val="1"/>
                <w:numId w:val="27"/>
              </w:numPr>
            </w:pPr>
            <w:r w:rsidRPr="00206792">
              <w:t>YTAC: examine same specifically for system-involved (juvenile justice, foster care), homeless, and out-of-school youth</w:t>
            </w:r>
          </w:p>
        </w:tc>
        <w:tc>
          <w:tcPr>
            <w:tcW w:w="2053" w:type="pct"/>
          </w:tcPr>
          <w:p w14:paraId="00E1AE72" w14:textId="77777777" w:rsidR="00C5068F" w:rsidRPr="00206792" w:rsidRDefault="00C5068F" w:rsidP="00076336">
            <w:pPr>
              <w:pStyle w:val="ListParagraph"/>
              <w:numPr>
                <w:ilvl w:val="0"/>
                <w:numId w:val="30"/>
              </w:numPr>
              <w:ind w:left="346"/>
            </w:pPr>
            <w:r w:rsidRPr="00206792">
              <w:t>Completed feasibility assessment.</w:t>
            </w:r>
          </w:p>
          <w:p w14:paraId="6CEDF6CC" w14:textId="77777777" w:rsidR="00C5068F" w:rsidRPr="00206792" w:rsidRDefault="00C5068F" w:rsidP="003B6148">
            <w:pPr>
              <w:ind w:left="346"/>
            </w:pPr>
          </w:p>
        </w:tc>
      </w:tr>
      <w:tr w:rsidR="00C5068F" w:rsidRPr="00206792" w14:paraId="0F6E15AA" w14:textId="77777777" w:rsidTr="003B6148">
        <w:trPr>
          <w:trHeight w:val="2686"/>
        </w:trPr>
        <w:tc>
          <w:tcPr>
            <w:tcW w:w="2947" w:type="pct"/>
          </w:tcPr>
          <w:p w14:paraId="2C47613D" w14:textId="77777777" w:rsidR="00C5068F" w:rsidRPr="00206792" w:rsidRDefault="00C5068F" w:rsidP="00076336">
            <w:pPr>
              <w:pStyle w:val="ListParagraph"/>
              <w:numPr>
                <w:ilvl w:val="0"/>
                <w:numId w:val="27"/>
              </w:numPr>
            </w:pPr>
            <w:r w:rsidRPr="00206792">
              <w:t>WINTAC: Conduct a survey of VR staff and CRPs/vendors to determine CE experience and capacity.</w:t>
            </w:r>
          </w:p>
          <w:p w14:paraId="496A2C3D" w14:textId="77777777" w:rsidR="00C5068F" w:rsidRPr="00206792" w:rsidRDefault="00C5068F" w:rsidP="00076336">
            <w:pPr>
              <w:pStyle w:val="ListParagraph"/>
              <w:numPr>
                <w:ilvl w:val="1"/>
                <w:numId w:val="27"/>
              </w:numPr>
            </w:pPr>
            <w:r w:rsidRPr="00206792">
              <w:t>NTACT: survey SEAs and LEAs on past and current engagement in CE training and implementation.</w:t>
            </w:r>
          </w:p>
          <w:p w14:paraId="0930088A" w14:textId="77777777" w:rsidR="00C5068F" w:rsidRPr="00206792" w:rsidRDefault="00C5068F" w:rsidP="00076336">
            <w:pPr>
              <w:pStyle w:val="ListParagraph"/>
              <w:numPr>
                <w:ilvl w:val="1"/>
                <w:numId w:val="27"/>
              </w:numPr>
            </w:pPr>
            <w:r w:rsidRPr="00206792">
              <w:t>YTAC: add to VR/CRPs/vendors survey to determine same for system-involved (juvenile justice, foster care), homeless, and out-of-school youth.</w:t>
            </w:r>
          </w:p>
        </w:tc>
        <w:tc>
          <w:tcPr>
            <w:tcW w:w="2053" w:type="pct"/>
          </w:tcPr>
          <w:p w14:paraId="12C44A96" w14:textId="77777777" w:rsidR="00C5068F" w:rsidRPr="00206792" w:rsidRDefault="00C5068F" w:rsidP="00076336">
            <w:pPr>
              <w:pStyle w:val="ListParagraph"/>
              <w:numPr>
                <w:ilvl w:val="0"/>
                <w:numId w:val="30"/>
              </w:numPr>
              <w:ind w:left="346"/>
            </w:pPr>
            <w:r w:rsidRPr="00206792">
              <w:t>Survey Report.</w:t>
            </w:r>
          </w:p>
        </w:tc>
      </w:tr>
      <w:tr w:rsidR="00C5068F" w:rsidRPr="00206792" w14:paraId="118C5AE9" w14:textId="77777777" w:rsidTr="003B6148">
        <w:trPr>
          <w:trHeight w:val="2417"/>
        </w:trPr>
        <w:tc>
          <w:tcPr>
            <w:tcW w:w="2947" w:type="pct"/>
          </w:tcPr>
          <w:p w14:paraId="0D41E4F1" w14:textId="77777777" w:rsidR="00C5068F" w:rsidRPr="00206792" w:rsidRDefault="00C5068F" w:rsidP="00076336">
            <w:pPr>
              <w:pStyle w:val="ListParagraph"/>
              <w:numPr>
                <w:ilvl w:val="0"/>
                <w:numId w:val="27"/>
              </w:numPr>
            </w:pPr>
            <w:r w:rsidRPr="00206792">
              <w:t>WINTAC: Conduct a review of existing system (VR and State Partners) history, knowledge, policies, procedures, fee structures, and MOUs relevant to the implementation of CE.</w:t>
            </w:r>
          </w:p>
          <w:p w14:paraId="33F89E49" w14:textId="77777777" w:rsidR="00C5068F" w:rsidRPr="00206792" w:rsidRDefault="00C5068F" w:rsidP="00076336">
            <w:pPr>
              <w:pStyle w:val="ListParagraph"/>
              <w:numPr>
                <w:ilvl w:val="1"/>
                <w:numId w:val="27"/>
              </w:numPr>
            </w:pPr>
            <w:r w:rsidRPr="00206792">
              <w:t>NTACT: focus on SEAs and LEAs.</w:t>
            </w:r>
          </w:p>
          <w:p w14:paraId="63DD1ADA" w14:textId="77777777" w:rsidR="00C5068F" w:rsidRPr="00206792" w:rsidRDefault="00C5068F" w:rsidP="00076336">
            <w:pPr>
              <w:pStyle w:val="ListParagraph"/>
              <w:numPr>
                <w:ilvl w:val="1"/>
                <w:numId w:val="27"/>
              </w:numPr>
            </w:pPr>
            <w:r w:rsidRPr="00206792">
              <w:t>YTAC: assist VR, SEAs, and LEAs to conduct a community resource mapping exercise to identify youth serving organizations for CE referrals and services.</w:t>
            </w:r>
          </w:p>
        </w:tc>
        <w:tc>
          <w:tcPr>
            <w:tcW w:w="2053" w:type="pct"/>
          </w:tcPr>
          <w:p w14:paraId="345C1036" w14:textId="77777777" w:rsidR="00C5068F" w:rsidRPr="00206792" w:rsidRDefault="00C5068F" w:rsidP="00076336">
            <w:pPr>
              <w:pStyle w:val="ListParagraph"/>
              <w:numPr>
                <w:ilvl w:val="0"/>
                <w:numId w:val="30"/>
              </w:numPr>
              <w:ind w:left="346"/>
            </w:pPr>
            <w:r w:rsidRPr="00206792">
              <w:t>Completed review of areas in need of development and enhancement for sustainable CE implementation.</w:t>
            </w:r>
          </w:p>
          <w:p w14:paraId="4AE6BA7D" w14:textId="77777777" w:rsidR="00C5068F" w:rsidRPr="00206792" w:rsidRDefault="00C5068F" w:rsidP="00076336">
            <w:pPr>
              <w:pStyle w:val="ListParagraph"/>
              <w:numPr>
                <w:ilvl w:val="1"/>
                <w:numId w:val="36"/>
              </w:numPr>
              <w:ind w:left="796"/>
            </w:pPr>
            <w:r w:rsidRPr="00206792">
              <w:t>NTACT: completed mapping of LEA alignment of current transition activities / services and CE implementation.</w:t>
            </w:r>
          </w:p>
          <w:p w14:paraId="108D2335" w14:textId="77777777" w:rsidR="00C5068F" w:rsidRPr="00206792" w:rsidRDefault="00C5068F" w:rsidP="00076336">
            <w:pPr>
              <w:pStyle w:val="ListParagraph"/>
              <w:numPr>
                <w:ilvl w:val="1"/>
                <w:numId w:val="36"/>
              </w:numPr>
              <w:ind w:left="796"/>
            </w:pPr>
            <w:r w:rsidRPr="00206792">
              <w:t>YTAC: list of youth serving organizations that could provide CE referrals and CE services.</w:t>
            </w:r>
          </w:p>
        </w:tc>
      </w:tr>
      <w:tr w:rsidR="00C5068F" w:rsidRPr="00206792" w14:paraId="63732977" w14:textId="77777777" w:rsidTr="003B6148">
        <w:trPr>
          <w:trHeight w:val="3223"/>
        </w:trPr>
        <w:tc>
          <w:tcPr>
            <w:tcW w:w="2947" w:type="pct"/>
          </w:tcPr>
          <w:p w14:paraId="50884807" w14:textId="77777777" w:rsidR="00C5068F" w:rsidRPr="00206792" w:rsidRDefault="00C5068F" w:rsidP="00076336">
            <w:pPr>
              <w:pStyle w:val="ListParagraph"/>
              <w:numPr>
                <w:ilvl w:val="0"/>
                <w:numId w:val="27"/>
              </w:numPr>
            </w:pPr>
            <w:r w:rsidRPr="00206792">
              <w:lastRenderedPageBreak/>
              <w:t>WINTAC: Develop a Pilot Implementation Plan for CE (roadmap), including the identification of sites and CRPs and resources.</w:t>
            </w:r>
          </w:p>
          <w:p w14:paraId="174014E7" w14:textId="77777777" w:rsidR="00C5068F" w:rsidRPr="00206792" w:rsidRDefault="00C5068F" w:rsidP="00076336">
            <w:pPr>
              <w:pStyle w:val="ListParagraph"/>
              <w:numPr>
                <w:ilvl w:val="1"/>
                <w:numId w:val="27"/>
              </w:numPr>
            </w:pPr>
            <w:r w:rsidRPr="00206792">
              <w:t>NTACT: identify potential LEA partner sites and resources and monitor LEA(s)’ engagement in the pilot CE site(s)</w:t>
            </w:r>
          </w:p>
          <w:p w14:paraId="106EAC06" w14:textId="77777777" w:rsidR="00C5068F" w:rsidRPr="00206792" w:rsidRDefault="00C5068F" w:rsidP="00076336">
            <w:pPr>
              <w:pStyle w:val="ListParagraph"/>
              <w:numPr>
                <w:ilvl w:val="1"/>
                <w:numId w:val="27"/>
              </w:numPr>
            </w:pPr>
            <w:r w:rsidRPr="00206792">
              <w:t>YTAC: assist in development of comprehensive outreach plan to increase the engagement and enrollment of system-involved (juvenile justice, foster care), homeless, and out-of-school youth in customized employment.</w:t>
            </w:r>
          </w:p>
        </w:tc>
        <w:tc>
          <w:tcPr>
            <w:tcW w:w="2053" w:type="pct"/>
          </w:tcPr>
          <w:p w14:paraId="00CA2E50" w14:textId="77777777" w:rsidR="00C5068F" w:rsidRPr="00206792" w:rsidRDefault="00C5068F" w:rsidP="00076336">
            <w:pPr>
              <w:pStyle w:val="ListParagraph"/>
              <w:numPr>
                <w:ilvl w:val="0"/>
                <w:numId w:val="30"/>
              </w:numPr>
              <w:ind w:left="346"/>
            </w:pPr>
            <w:r w:rsidRPr="00206792">
              <w:t>Completed project implementation plan (roadmap) including pilot site identification, partner identification, and resources.</w:t>
            </w:r>
          </w:p>
          <w:p w14:paraId="675F5527" w14:textId="77777777" w:rsidR="00C5068F" w:rsidRPr="00206792" w:rsidRDefault="00C5068F" w:rsidP="00076336">
            <w:pPr>
              <w:pStyle w:val="ListParagraph"/>
              <w:numPr>
                <w:ilvl w:val="1"/>
                <w:numId w:val="30"/>
              </w:numPr>
              <w:ind w:left="796"/>
            </w:pPr>
            <w:r w:rsidRPr="00206792">
              <w:t>NTACT: LEA engagement and monitoring plan.</w:t>
            </w:r>
          </w:p>
          <w:p w14:paraId="3196060F" w14:textId="30184543" w:rsidR="00C5068F" w:rsidRPr="00206792" w:rsidRDefault="00C5068F" w:rsidP="00574844">
            <w:pPr>
              <w:pStyle w:val="ListParagraph"/>
              <w:numPr>
                <w:ilvl w:val="1"/>
                <w:numId w:val="30"/>
              </w:numPr>
              <w:ind w:left="796"/>
            </w:pPr>
            <w:r w:rsidRPr="00206792">
              <w:t>YTAC: comprehensive outreach plan to increase the engagement and enrollment of system-involved (juvenile justice, foster care), homeless, and out-of-school youth.</w:t>
            </w:r>
          </w:p>
        </w:tc>
      </w:tr>
      <w:tr w:rsidR="00C5068F" w:rsidRPr="00206792" w14:paraId="333340DF" w14:textId="77777777" w:rsidTr="003B6148">
        <w:trPr>
          <w:trHeight w:val="2686"/>
        </w:trPr>
        <w:tc>
          <w:tcPr>
            <w:tcW w:w="2947" w:type="pct"/>
          </w:tcPr>
          <w:p w14:paraId="540AA707" w14:textId="77777777" w:rsidR="00C5068F" w:rsidRPr="00206792" w:rsidRDefault="00C5068F" w:rsidP="00076336">
            <w:pPr>
              <w:pStyle w:val="ListParagraph"/>
              <w:numPr>
                <w:ilvl w:val="0"/>
                <w:numId w:val="27"/>
              </w:numPr>
            </w:pPr>
            <w:r w:rsidRPr="00206792">
              <w:t>WINTAC: Assist the agency in revising policies, procedures, fee structures, and MOUs relevant to the implementation of CE as needed.</w:t>
            </w:r>
          </w:p>
          <w:p w14:paraId="37B6877E" w14:textId="77777777" w:rsidR="00C5068F" w:rsidRPr="00206792" w:rsidRDefault="00C5068F" w:rsidP="00076336">
            <w:pPr>
              <w:pStyle w:val="ListParagraph"/>
              <w:numPr>
                <w:ilvl w:val="1"/>
                <w:numId w:val="27"/>
              </w:numPr>
            </w:pPr>
            <w:r w:rsidRPr="00206792">
              <w:t>NTACT: facilitate discussion and coordination with pilot LEAs regarding alignment of current transition activities/services and CE implementation.</w:t>
            </w:r>
          </w:p>
          <w:p w14:paraId="7078BF57" w14:textId="77777777" w:rsidR="00C5068F" w:rsidRPr="00206792" w:rsidRDefault="00C5068F" w:rsidP="00076336">
            <w:pPr>
              <w:pStyle w:val="ListParagraph"/>
              <w:numPr>
                <w:ilvl w:val="1"/>
                <w:numId w:val="27"/>
              </w:numPr>
            </w:pPr>
            <w:r w:rsidRPr="00206792">
              <w:t>YTAC: include braided funding to serve out-of-school youth, and MOUs relevant to the implementation of CE as needed</w:t>
            </w:r>
          </w:p>
        </w:tc>
        <w:tc>
          <w:tcPr>
            <w:tcW w:w="2053" w:type="pct"/>
          </w:tcPr>
          <w:p w14:paraId="63517340" w14:textId="77777777" w:rsidR="00C5068F" w:rsidRPr="00206792" w:rsidRDefault="00C5068F" w:rsidP="00076336">
            <w:pPr>
              <w:pStyle w:val="ListParagraph"/>
              <w:numPr>
                <w:ilvl w:val="0"/>
                <w:numId w:val="30"/>
              </w:numPr>
              <w:ind w:left="346"/>
            </w:pPr>
            <w:r w:rsidRPr="00206792">
              <w:t>Drafted policies, procedures, and fee structures governing the provision of CE.</w:t>
            </w:r>
          </w:p>
          <w:p w14:paraId="46BF47D3" w14:textId="77777777" w:rsidR="00C5068F" w:rsidRPr="00206792" w:rsidRDefault="00C5068F" w:rsidP="003B6148">
            <w:pPr>
              <w:ind w:left="346"/>
            </w:pPr>
          </w:p>
        </w:tc>
      </w:tr>
      <w:tr w:rsidR="00C5068F" w:rsidRPr="00206792" w14:paraId="2418A8A7" w14:textId="77777777" w:rsidTr="003B6148">
        <w:tc>
          <w:tcPr>
            <w:tcW w:w="2947" w:type="pct"/>
          </w:tcPr>
          <w:p w14:paraId="504C6EF9" w14:textId="77777777" w:rsidR="00C5068F" w:rsidRPr="00206792" w:rsidRDefault="00C5068F" w:rsidP="00076336">
            <w:pPr>
              <w:pStyle w:val="ListParagraph"/>
              <w:numPr>
                <w:ilvl w:val="0"/>
                <w:numId w:val="27"/>
              </w:numPr>
            </w:pPr>
            <w:r w:rsidRPr="00206792">
              <w:t>WINTAC: Assist in development of a RFP for VR to disseminate to vendors so they can apply to receive training in the Essential Elements of CE and become CE service providers.</w:t>
            </w:r>
          </w:p>
        </w:tc>
        <w:tc>
          <w:tcPr>
            <w:tcW w:w="2053" w:type="pct"/>
          </w:tcPr>
          <w:p w14:paraId="785305F6" w14:textId="21BAF50F" w:rsidR="00C5068F" w:rsidRPr="00206792" w:rsidRDefault="00C5068F" w:rsidP="00574844">
            <w:pPr>
              <w:pStyle w:val="ListParagraph"/>
              <w:numPr>
                <w:ilvl w:val="0"/>
                <w:numId w:val="30"/>
              </w:numPr>
              <w:ind w:left="346"/>
            </w:pPr>
            <w:r w:rsidRPr="00206792">
              <w:t>Drafted RFP for VR to disseminate to vendors so they can apply to receive training in the Essential Elements of CE and/or become contractors for the provision of CE.</w:t>
            </w:r>
          </w:p>
        </w:tc>
      </w:tr>
      <w:tr w:rsidR="00C5068F" w:rsidRPr="00206792" w14:paraId="3CCBD231" w14:textId="77777777" w:rsidTr="003B6148">
        <w:trPr>
          <w:trHeight w:val="2954"/>
        </w:trPr>
        <w:tc>
          <w:tcPr>
            <w:tcW w:w="2947" w:type="pct"/>
          </w:tcPr>
          <w:p w14:paraId="610AD2ED" w14:textId="77777777" w:rsidR="00C5068F" w:rsidRPr="00206792" w:rsidRDefault="00C5068F" w:rsidP="00076336">
            <w:pPr>
              <w:pStyle w:val="ListParagraph"/>
              <w:numPr>
                <w:ilvl w:val="0"/>
                <w:numId w:val="27"/>
              </w:numPr>
            </w:pPr>
            <w:r w:rsidRPr="00206792">
              <w:t>WINTAC: Conduct training of the VR agency staff regarding the Essential Elements of CE, emphasizing appropriate referrals and implementation of quality CE programs and services.</w:t>
            </w:r>
          </w:p>
          <w:p w14:paraId="774ABA24" w14:textId="77777777" w:rsidR="00C5068F" w:rsidRPr="00206792" w:rsidRDefault="00C5068F" w:rsidP="00076336">
            <w:pPr>
              <w:pStyle w:val="ListParagraph"/>
              <w:numPr>
                <w:ilvl w:val="1"/>
                <w:numId w:val="27"/>
              </w:numPr>
            </w:pPr>
            <w:r w:rsidRPr="00206792">
              <w:t>NTACT: facilitate participation of targeted SEA and LEA staff.</w:t>
            </w:r>
          </w:p>
          <w:p w14:paraId="08D3F470" w14:textId="77777777" w:rsidR="00C5068F" w:rsidRPr="00206792" w:rsidRDefault="00C5068F" w:rsidP="00076336">
            <w:pPr>
              <w:pStyle w:val="ListParagraph"/>
              <w:numPr>
                <w:ilvl w:val="1"/>
                <w:numId w:val="27"/>
              </w:numPr>
            </w:pPr>
            <w:r w:rsidRPr="00206792">
              <w:t>YTAC: conduct additional training of the VR agency staff around supporting system-involved (juvenile justice, foster care), homeless, and out-of-school youth in the CE process.</w:t>
            </w:r>
          </w:p>
        </w:tc>
        <w:tc>
          <w:tcPr>
            <w:tcW w:w="2053" w:type="pct"/>
          </w:tcPr>
          <w:p w14:paraId="46551BD1" w14:textId="77777777" w:rsidR="00C5068F" w:rsidRPr="00206792" w:rsidRDefault="00C5068F" w:rsidP="00076336">
            <w:pPr>
              <w:pStyle w:val="ListParagraph"/>
              <w:numPr>
                <w:ilvl w:val="0"/>
                <w:numId w:val="30"/>
              </w:numPr>
              <w:ind w:left="346"/>
            </w:pPr>
            <w:r w:rsidRPr="00206792">
              <w:t>Number of agency staff/CRPs/providers who completed CE training.</w:t>
            </w:r>
          </w:p>
          <w:p w14:paraId="4A19046E" w14:textId="77777777" w:rsidR="00C5068F" w:rsidRPr="00206792" w:rsidRDefault="00C5068F" w:rsidP="003B6148">
            <w:pPr>
              <w:ind w:left="346"/>
            </w:pPr>
          </w:p>
        </w:tc>
      </w:tr>
      <w:tr w:rsidR="00C5068F" w:rsidRPr="00206792" w14:paraId="7F66A341" w14:textId="77777777" w:rsidTr="003B6148">
        <w:tc>
          <w:tcPr>
            <w:tcW w:w="2947" w:type="pct"/>
          </w:tcPr>
          <w:p w14:paraId="724B80A8" w14:textId="77777777" w:rsidR="00C5068F" w:rsidRPr="00206792" w:rsidRDefault="00C5068F" w:rsidP="00076336">
            <w:pPr>
              <w:pStyle w:val="ListParagraph"/>
              <w:numPr>
                <w:ilvl w:val="0"/>
                <w:numId w:val="27"/>
              </w:numPr>
            </w:pPr>
            <w:r w:rsidRPr="00206792">
              <w:t>WINTAC: Conduct training (performance-based) of direct service providers engaged in the Pilot Project regarding the provision of CE, following the Essential Elements model.</w:t>
            </w:r>
          </w:p>
        </w:tc>
        <w:tc>
          <w:tcPr>
            <w:tcW w:w="2053" w:type="pct"/>
          </w:tcPr>
          <w:p w14:paraId="1D2A6B64" w14:textId="5AAFD795" w:rsidR="00C5068F" w:rsidRPr="00206792" w:rsidRDefault="00C5068F" w:rsidP="00574844">
            <w:pPr>
              <w:pStyle w:val="ListParagraph"/>
              <w:numPr>
                <w:ilvl w:val="0"/>
                <w:numId w:val="30"/>
              </w:numPr>
              <w:ind w:left="346"/>
            </w:pPr>
            <w:r w:rsidRPr="00206792">
              <w:t>Number of agency staff/CRPs/providers who are authorized by the agency to receive referrals.</w:t>
            </w:r>
          </w:p>
        </w:tc>
      </w:tr>
      <w:tr w:rsidR="00C5068F" w:rsidRPr="00206792" w14:paraId="368B1B61" w14:textId="77777777" w:rsidTr="003B6148">
        <w:trPr>
          <w:trHeight w:val="547"/>
        </w:trPr>
        <w:tc>
          <w:tcPr>
            <w:tcW w:w="2947" w:type="pct"/>
          </w:tcPr>
          <w:p w14:paraId="1F920334" w14:textId="77777777" w:rsidR="00C5068F" w:rsidRPr="00206792" w:rsidRDefault="00C5068F" w:rsidP="00076336">
            <w:pPr>
              <w:pStyle w:val="ListParagraph"/>
              <w:numPr>
                <w:ilvl w:val="0"/>
                <w:numId w:val="27"/>
              </w:numPr>
            </w:pPr>
            <w:r w:rsidRPr="00206792">
              <w:t>WINTAC: Develop a plan to expand and sustain CE.</w:t>
            </w:r>
          </w:p>
          <w:p w14:paraId="3F91AED8" w14:textId="77777777" w:rsidR="00C5068F" w:rsidRPr="00206792" w:rsidRDefault="00C5068F" w:rsidP="00076336">
            <w:pPr>
              <w:pStyle w:val="ListParagraph"/>
              <w:numPr>
                <w:ilvl w:val="1"/>
                <w:numId w:val="27"/>
              </w:numPr>
            </w:pPr>
            <w:r w:rsidRPr="00206792">
              <w:t>NTACT: include SEAs and LEAs.</w:t>
            </w:r>
          </w:p>
        </w:tc>
        <w:tc>
          <w:tcPr>
            <w:tcW w:w="2053" w:type="pct"/>
          </w:tcPr>
          <w:p w14:paraId="52ED5CD9" w14:textId="77777777" w:rsidR="00C5068F" w:rsidRPr="00206792" w:rsidRDefault="00C5068F" w:rsidP="00076336">
            <w:pPr>
              <w:pStyle w:val="ListParagraph"/>
              <w:numPr>
                <w:ilvl w:val="0"/>
                <w:numId w:val="30"/>
              </w:numPr>
              <w:ind w:left="346"/>
            </w:pPr>
            <w:r w:rsidRPr="00206792">
              <w:t>Completed sustainability plan.</w:t>
            </w:r>
          </w:p>
          <w:p w14:paraId="770FDC80" w14:textId="77777777" w:rsidR="00C5068F" w:rsidRPr="00206792" w:rsidRDefault="00C5068F" w:rsidP="003B6148">
            <w:pPr>
              <w:ind w:left="346"/>
            </w:pPr>
          </w:p>
        </w:tc>
      </w:tr>
      <w:tr w:rsidR="00C5068F" w:rsidRPr="00206792" w14:paraId="23CC32F1" w14:textId="77777777" w:rsidTr="003B6148">
        <w:trPr>
          <w:trHeight w:val="547"/>
        </w:trPr>
        <w:tc>
          <w:tcPr>
            <w:tcW w:w="2947" w:type="pct"/>
          </w:tcPr>
          <w:p w14:paraId="11A61BE7" w14:textId="77777777" w:rsidR="00C5068F" w:rsidRPr="00206792" w:rsidRDefault="00C5068F" w:rsidP="00076336">
            <w:pPr>
              <w:pStyle w:val="ListParagraph"/>
              <w:numPr>
                <w:ilvl w:val="0"/>
                <w:numId w:val="27"/>
              </w:numPr>
            </w:pPr>
            <w:r w:rsidRPr="00206792">
              <w:t>NTACT: Monitor LEA(s) engagement in pilot site.</w:t>
            </w:r>
          </w:p>
        </w:tc>
        <w:tc>
          <w:tcPr>
            <w:tcW w:w="2053" w:type="pct"/>
          </w:tcPr>
          <w:p w14:paraId="2C892138" w14:textId="77777777" w:rsidR="00C5068F" w:rsidRPr="00206792" w:rsidRDefault="00C5068F" w:rsidP="00076336">
            <w:pPr>
              <w:pStyle w:val="ListParagraph"/>
              <w:numPr>
                <w:ilvl w:val="0"/>
                <w:numId w:val="30"/>
              </w:numPr>
              <w:ind w:left="346"/>
            </w:pPr>
            <w:r w:rsidRPr="00206792">
              <w:t>Additional NTACT Output: A completed monitoring summary of LEA(s) engagement in the pilot CE site(s).</w:t>
            </w:r>
          </w:p>
        </w:tc>
      </w:tr>
      <w:bookmarkEnd w:id="97"/>
      <w:tr w:rsidR="00C5068F" w:rsidRPr="00206792" w14:paraId="5B64A59E" w14:textId="77777777" w:rsidTr="003B6148">
        <w:trPr>
          <w:trHeight w:val="7298"/>
        </w:trPr>
        <w:tc>
          <w:tcPr>
            <w:tcW w:w="5000" w:type="pct"/>
            <w:gridSpan w:val="2"/>
            <w:shd w:val="clear" w:color="auto" w:fill="D9E2F3" w:themeFill="accent1" w:themeFillTint="33"/>
            <w:vAlign w:val="center"/>
          </w:tcPr>
          <w:p w14:paraId="6BCB19F8" w14:textId="77777777" w:rsidR="00C5068F" w:rsidRPr="00206792" w:rsidRDefault="00C5068F" w:rsidP="003B6148">
            <w:pPr>
              <w:jc w:val="center"/>
              <w:rPr>
                <w:b/>
              </w:rPr>
            </w:pPr>
            <w:r w:rsidRPr="00206792">
              <w:rPr>
                <w:b/>
              </w:rPr>
              <w:lastRenderedPageBreak/>
              <w:t>Short-Term Outcomes</w:t>
            </w:r>
          </w:p>
          <w:p w14:paraId="69B037CD" w14:textId="77777777" w:rsidR="00C5068F" w:rsidRPr="00206792" w:rsidRDefault="00C5068F" w:rsidP="003B6148">
            <w:pPr>
              <w:jc w:val="center"/>
            </w:pPr>
          </w:p>
          <w:p w14:paraId="2859A54A" w14:textId="77777777" w:rsidR="00C5068F" w:rsidRPr="00206792" w:rsidRDefault="00C5068F" w:rsidP="00076336">
            <w:pPr>
              <w:pStyle w:val="ListParagraph"/>
              <w:numPr>
                <w:ilvl w:val="0"/>
                <w:numId w:val="28"/>
              </w:numPr>
            </w:pPr>
            <w:r w:rsidRPr="00206792">
              <w:t>Increased number of clients, including those with the most significant disabilities (NTACT: and/or students; YTAC: and/or system-involved, homeless, and/or out-of-school youth)</w:t>
            </w:r>
          </w:p>
          <w:p w14:paraId="1226DE5A" w14:textId="77777777" w:rsidR="00C5068F" w:rsidRPr="00206792" w:rsidRDefault="00C5068F" w:rsidP="00076336">
            <w:pPr>
              <w:pStyle w:val="ListParagraph"/>
              <w:numPr>
                <w:ilvl w:val="1"/>
                <w:numId w:val="31"/>
              </w:numPr>
            </w:pPr>
            <w:r w:rsidRPr="00206792">
              <w:t>Referred for CE services</w:t>
            </w:r>
          </w:p>
          <w:p w14:paraId="782CEDB2" w14:textId="77777777" w:rsidR="00C5068F" w:rsidRPr="00206792" w:rsidRDefault="00C5068F" w:rsidP="00076336">
            <w:pPr>
              <w:pStyle w:val="ListParagraph"/>
              <w:numPr>
                <w:ilvl w:val="1"/>
                <w:numId w:val="31"/>
              </w:numPr>
            </w:pPr>
            <w:r w:rsidRPr="00206792">
              <w:t>With IPE that includes CE or CIE goals (NTACT: or IEP for LEAs and SEAs, which should include in Summary of Performance detailed information of CE experiences)</w:t>
            </w:r>
          </w:p>
          <w:p w14:paraId="6EA7BF0C" w14:textId="77777777" w:rsidR="00C5068F" w:rsidRPr="00206792" w:rsidRDefault="00C5068F" w:rsidP="00076336">
            <w:pPr>
              <w:pStyle w:val="ListParagraph"/>
              <w:numPr>
                <w:ilvl w:val="1"/>
                <w:numId w:val="31"/>
              </w:numPr>
            </w:pPr>
            <w:r w:rsidRPr="00206792">
              <w:t xml:space="preserve">Receiving customized employment as a service. </w:t>
            </w:r>
            <w:r w:rsidRPr="00206792">
              <w:rPr>
                <w:i/>
              </w:rPr>
              <w:t>Measurement: # individuals receiving CE annually, compared to baseline – case management system, 911 data, competency review data</w:t>
            </w:r>
          </w:p>
          <w:p w14:paraId="34591317" w14:textId="77777777" w:rsidR="00C5068F" w:rsidRPr="00206792" w:rsidRDefault="00C5068F" w:rsidP="00076336">
            <w:pPr>
              <w:pStyle w:val="ListParagraph"/>
              <w:numPr>
                <w:ilvl w:val="2"/>
                <w:numId w:val="32"/>
              </w:numPr>
            </w:pPr>
            <w:r w:rsidRPr="00206792">
              <w:t xml:space="preserve">Increased evidence of implementation of Essential Elements in client service files (e.g., increased exploration of jobs with the individual, work with employers to facilitate and customize placements, development of job duties, logistics, etc., client representation, provision of supports). </w:t>
            </w:r>
            <w:r w:rsidRPr="00206792">
              <w:rPr>
                <w:i/>
              </w:rPr>
              <w:t>Measurement: Competency review data</w:t>
            </w:r>
          </w:p>
          <w:p w14:paraId="583E2A34" w14:textId="77777777" w:rsidR="00C5068F" w:rsidRPr="00206792" w:rsidRDefault="00C5068F" w:rsidP="00076336">
            <w:pPr>
              <w:pStyle w:val="ListParagraph"/>
              <w:numPr>
                <w:ilvl w:val="2"/>
                <w:numId w:val="32"/>
              </w:numPr>
            </w:pPr>
            <w:r w:rsidRPr="00206792">
              <w:t xml:space="preserve">Practitioners providing quality services according to agency’s service performance measures and/or protocols. </w:t>
            </w:r>
            <w:r w:rsidRPr="00206792">
              <w:rPr>
                <w:i/>
              </w:rPr>
              <w:t>Measurement: Agency protocol data</w:t>
            </w:r>
          </w:p>
          <w:p w14:paraId="63E5E65A" w14:textId="77777777" w:rsidR="00C5068F" w:rsidRPr="00206792" w:rsidRDefault="00C5068F" w:rsidP="00076336">
            <w:pPr>
              <w:pStyle w:val="ListParagraph"/>
              <w:numPr>
                <w:ilvl w:val="1"/>
                <w:numId w:val="28"/>
              </w:numPr>
            </w:pPr>
            <w:r w:rsidRPr="00206792">
              <w:t>Increase in work-based learning experiences for clients with the most significant disabilities.</w:t>
            </w:r>
          </w:p>
          <w:p w14:paraId="05C30642" w14:textId="77777777" w:rsidR="00C5068F" w:rsidRPr="00206792" w:rsidRDefault="00C5068F" w:rsidP="00076336">
            <w:pPr>
              <w:pStyle w:val="ListParagraph"/>
              <w:numPr>
                <w:ilvl w:val="0"/>
                <w:numId w:val="28"/>
              </w:numPr>
              <w:rPr>
                <w:i/>
              </w:rPr>
            </w:pPr>
            <w:r w:rsidRPr="00206792">
              <w:t xml:space="preserve">Increased statewide capacity and infrastructure to provide CE (systems change) [can specify populations, e.g., youth, blind]. </w:t>
            </w:r>
            <w:r w:rsidRPr="00206792">
              <w:rPr>
                <w:i/>
              </w:rPr>
              <w:t>Measurement: number of service providers offering CE, and number of clients served, pre- and post-WINTAC TA and training</w:t>
            </w:r>
          </w:p>
          <w:p w14:paraId="25D3B33F" w14:textId="77777777" w:rsidR="00C5068F" w:rsidRPr="00206792" w:rsidRDefault="00C5068F" w:rsidP="00076336">
            <w:pPr>
              <w:pStyle w:val="ListParagraph"/>
              <w:numPr>
                <w:ilvl w:val="1"/>
                <w:numId w:val="33"/>
              </w:numPr>
              <w:rPr>
                <w:i/>
              </w:rPr>
            </w:pPr>
            <w:r w:rsidRPr="00206792">
              <w:rPr>
                <w:i/>
              </w:rPr>
              <w:t>VR staff capable of making appropriate referrals</w:t>
            </w:r>
          </w:p>
          <w:p w14:paraId="4590443D" w14:textId="77777777" w:rsidR="00C5068F" w:rsidRPr="00206792" w:rsidRDefault="00C5068F" w:rsidP="00076336">
            <w:pPr>
              <w:pStyle w:val="ListParagraph"/>
              <w:numPr>
                <w:ilvl w:val="1"/>
                <w:numId w:val="33"/>
              </w:numPr>
            </w:pPr>
            <w:r w:rsidRPr="00206792">
              <w:t>VR staff capable of evaluating competency of CE providers in implementing CE according to Essential Elements model</w:t>
            </w:r>
          </w:p>
          <w:p w14:paraId="4A96B585" w14:textId="77777777" w:rsidR="00C5068F" w:rsidRPr="00206792" w:rsidRDefault="00C5068F" w:rsidP="00076336">
            <w:pPr>
              <w:pStyle w:val="ListParagraph"/>
              <w:numPr>
                <w:ilvl w:val="1"/>
                <w:numId w:val="33"/>
              </w:numPr>
              <w:rPr>
                <w:i/>
              </w:rPr>
            </w:pPr>
            <w:r w:rsidRPr="00206792">
              <w:t xml:space="preserve">Service providers capable of providing competent CE services according to Essential Elements model. </w:t>
            </w:r>
            <w:r w:rsidRPr="00206792">
              <w:rPr>
                <w:i/>
              </w:rPr>
              <w:t>Measurement:</w:t>
            </w:r>
          </w:p>
          <w:p w14:paraId="12BE9599" w14:textId="77777777" w:rsidR="00C5068F" w:rsidRPr="00206792" w:rsidRDefault="00C5068F" w:rsidP="00076336">
            <w:pPr>
              <w:pStyle w:val="ListParagraph"/>
              <w:numPr>
                <w:ilvl w:val="2"/>
                <w:numId w:val="34"/>
              </w:numPr>
              <w:rPr>
                <w:i/>
              </w:rPr>
            </w:pPr>
            <w:r w:rsidRPr="00206792">
              <w:rPr>
                <w:i/>
              </w:rPr>
              <w:t>practitioner knowledge pre-/post-training</w:t>
            </w:r>
          </w:p>
          <w:p w14:paraId="347DBFBC" w14:textId="77777777" w:rsidR="00C5068F" w:rsidRPr="00206792" w:rsidRDefault="00C5068F" w:rsidP="00076336">
            <w:pPr>
              <w:pStyle w:val="ListParagraph"/>
              <w:numPr>
                <w:ilvl w:val="2"/>
                <w:numId w:val="34"/>
              </w:numPr>
              <w:rPr>
                <w:i/>
              </w:rPr>
            </w:pPr>
            <w:r w:rsidRPr="00206792">
              <w:rPr>
                <w:i/>
              </w:rPr>
              <w:t>current # of certified CE providers, compared to baseline</w:t>
            </w:r>
          </w:p>
          <w:p w14:paraId="57316F21" w14:textId="77777777" w:rsidR="00C5068F" w:rsidRPr="00206792" w:rsidRDefault="00C5068F" w:rsidP="00076336">
            <w:pPr>
              <w:pStyle w:val="ListParagraph"/>
              <w:numPr>
                <w:ilvl w:val="1"/>
                <w:numId w:val="28"/>
              </w:numPr>
            </w:pPr>
            <w:r w:rsidRPr="00206792">
              <w:t xml:space="preserve">All partners actively implementing CE according to their respective roles, in alignment with the implementation plan and Essential Elements model. </w:t>
            </w:r>
            <w:r w:rsidRPr="00206792">
              <w:rPr>
                <w:i/>
              </w:rPr>
              <w:t>Measurement: Quantitative assessment based on data from competency reviews or other agency protocols; qualitative assessment based on implementation plan, MOUs or other agreements</w:t>
            </w:r>
            <w:r w:rsidRPr="00206792">
              <w:t xml:space="preserve"> </w:t>
            </w:r>
          </w:p>
          <w:p w14:paraId="1E812B0B" w14:textId="77777777" w:rsidR="00C5068F" w:rsidRPr="00206792" w:rsidRDefault="00C5068F" w:rsidP="00076336">
            <w:pPr>
              <w:pStyle w:val="ListParagraph"/>
              <w:numPr>
                <w:ilvl w:val="2"/>
                <w:numId w:val="28"/>
              </w:numPr>
            </w:pPr>
            <w:r w:rsidRPr="00206792">
              <w:t>NTACT: LEAs engaged in CE in collaboration with state and/or local VR, ID/DD, MH, CMS</w:t>
            </w:r>
          </w:p>
          <w:p w14:paraId="411B86CB" w14:textId="77777777" w:rsidR="00C5068F" w:rsidRPr="00206792" w:rsidRDefault="00C5068F" w:rsidP="003B6148"/>
          <w:p w14:paraId="580EE6FF" w14:textId="77777777" w:rsidR="00C5068F" w:rsidRPr="00206792" w:rsidRDefault="00C5068F" w:rsidP="003B6148">
            <w:pPr>
              <w:jc w:val="center"/>
              <w:rPr>
                <w:b/>
              </w:rPr>
            </w:pPr>
            <w:r w:rsidRPr="00206792">
              <w:rPr>
                <w:b/>
              </w:rPr>
              <w:t>Long-Term Outcomes</w:t>
            </w:r>
          </w:p>
          <w:p w14:paraId="4EC0A8E4" w14:textId="77777777" w:rsidR="00C5068F" w:rsidRPr="00206792" w:rsidRDefault="00C5068F" w:rsidP="00076336">
            <w:pPr>
              <w:pStyle w:val="ListParagraph"/>
              <w:numPr>
                <w:ilvl w:val="0"/>
                <w:numId w:val="29"/>
              </w:numPr>
            </w:pPr>
            <w:r w:rsidRPr="00206792">
              <w:t xml:space="preserve">Decrease in unsuccessful closures due to severity of disability. </w:t>
            </w:r>
            <w:r w:rsidRPr="00206792">
              <w:rPr>
                <w:i/>
              </w:rPr>
              <w:t>Measurement: Case management system and 911 data</w:t>
            </w:r>
          </w:p>
          <w:p w14:paraId="501C0E04" w14:textId="77777777" w:rsidR="00C5068F" w:rsidRPr="00206792" w:rsidRDefault="00C5068F" w:rsidP="00076336">
            <w:pPr>
              <w:pStyle w:val="ListParagraph"/>
              <w:numPr>
                <w:ilvl w:val="0"/>
                <w:numId w:val="29"/>
              </w:numPr>
            </w:pPr>
            <w:r w:rsidRPr="00206792">
              <w:t xml:space="preserve">Increase in Competitive Integrated Employment for individuals as a result of CE, including those with the most significant disabilities [can specify other populations, e.g., youth, blind, co-enrolled, or “who would have otherwise been in subminimum wage employment”] YTAC: and/or system-involved, homeless, and out-of-school youth. </w:t>
            </w:r>
            <w:r w:rsidRPr="00206792">
              <w:rPr>
                <w:i/>
              </w:rPr>
              <w:t>Measurement: Case management system and 911 data compared with baseline year</w:t>
            </w:r>
          </w:p>
          <w:p w14:paraId="5F528B77" w14:textId="77777777" w:rsidR="00C5068F" w:rsidRPr="00206792" w:rsidRDefault="00C5068F" w:rsidP="00076336">
            <w:pPr>
              <w:pStyle w:val="ListParagraph"/>
              <w:numPr>
                <w:ilvl w:val="1"/>
                <w:numId w:val="35"/>
              </w:numPr>
            </w:pPr>
            <w:r w:rsidRPr="00206792">
              <w:t>Placement, e.g., number of jobs in high demand areas as identified by the local workforce development system</w:t>
            </w:r>
          </w:p>
          <w:p w14:paraId="7CBD302A" w14:textId="77777777" w:rsidR="00C5068F" w:rsidRPr="00206792" w:rsidRDefault="00C5068F" w:rsidP="00076336">
            <w:pPr>
              <w:pStyle w:val="ListParagraph"/>
              <w:numPr>
                <w:ilvl w:val="1"/>
                <w:numId w:val="35"/>
              </w:numPr>
            </w:pPr>
            <w:r w:rsidRPr="00206792">
              <w:lastRenderedPageBreak/>
              <w:t>Retention, e.g., consumers retain employment in 2nd and 4th quarter after exit from VR program</w:t>
            </w:r>
          </w:p>
          <w:p w14:paraId="00EDB698" w14:textId="77777777" w:rsidR="00C5068F" w:rsidRPr="00206792" w:rsidRDefault="00C5068F" w:rsidP="00076336">
            <w:pPr>
              <w:pStyle w:val="ListParagraph"/>
              <w:numPr>
                <w:ilvl w:val="1"/>
                <w:numId w:val="35"/>
              </w:numPr>
            </w:pPr>
            <w:r w:rsidRPr="00206792">
              <w:t>Advancement, e.g., engaged in a recognized career pathway as identified by VR and other core workforce partners</w:t>
            </w:r>
          </w:p>
          <w:p w14:paraId="3A829819" w14:textId="77777777" w:rsidR="00C5068F" w:rsidRPr="00206792" w:rsidRDefault="00C5068F" w:rsidP="00076336">
            <w:pPr>
              <w:pStyle w:val="ListParagraph"/>
              <w:numPr>
                <w:ilvl w:val="1"/>
                <w:numId w:val="35"/>
              </w:numPr>
            </w:pPr>
            <w:r w:rsidRPr="00206792">
              <w:t>Self-sufficiency, e.g., average earnings from one year to the next in addition to number who moved from public support to earnings as their primary source of income at application vs. closure</w:t>
            </w:r>
          </w:p>
          <w:p w14:paraId="3F11B75F" w14:textId="77777777" w:rsidR="00C5068F" w:rsidRPr="00206792" w:rsidRDefault="00C5068F" w:rsidP="00076336">
            <w:pPr>
              <w:pStyle w:val="ListParagraph"/>
              <w:numPr>
                <w:ilvl w:val="0"/>
                <w:numId w:val="29"/>
              </w:numPr>
            </w:pPr>
            <w:r w:rsidRPr="00206792">
              <w:t xml:space="preserve">Increase in diversity of employment outcomes for individuals with most significant disabilities. </w:t>
            </w:r>
          </w:p>
          <w:p w14:paraId="25B496F9" w14:textId="77777777" w:rsidR="00C5068F" w:rsidRPr="00206792" w:rsidRDefault="00C5068F" w:rsidP="00076336">
            <w:pPr>
              <w:pStyle w:val="ListParagraph"/>
              <w:numPr>
                <w:ilvl w:val="0"/>
                <w:numId w:val="29"/>
              </w:numPr>
              <w:rPr>
                <w:i/>
              </w:rPr>
            </w:pPr>
            <w:r w:rsidRPr="00206792">
              <w:t xml:space="preserve">Increase in number of employers willing to provide customized employment opportunities. </w:t>
            </w:r>
            <w:r w:rsidRPr="00206792">
              <w:rPr>
                <w:i/>
              </w:rPr>
              <w:t>Measurement: Activities and Outputs that link results to WINTAC TA</w:t>
            </w:r>
          </w:p>
          <w:p w14:paraId="1C1091AC" w14:textId="77777777" w:rsidR="00C5068F" w:rsidRPr="00206792" w:rsidRDefault="00C5068F" w:rsidP="00076336">
            <w:pPr>
              <w:pStyle w:val="ListParagraph"/>
              <w:numPr>
                <w:ilvl w:val="0"/>
                <w:numId w:val="29"/>
              </w:numPr>
              <w:rPr>
                <w:i/>
              </w:rPr>
            </w:pPr>
            <w:r w:rsidRPr="00206792">
              <w:rPr>
                <w:i/>
              </w:rPr>
              <w:t>Increase in the Return-on-Investment for VR agencies.</w:t>
            </w:r>
          </w:p>
          <w:p w14:paraId="42B12456" w14:textId="77777777" w:rsidR="00C5068F" w:rsidRPr="00206792" w:rsidRDefault="00C5068F" w:rsidP="00076336">
            <w:pPr>
              <w:pStyle w:val="ListParagraph"/>
              <w:numPr>
                <w:ilvl w:val="0"/>
                <w:numId w:val="29"/>
              </w:numPr>
            </w:pPr>
            <w:r w:rsidRPr="00206792">
              <w:t xml:space="preserve">Increased leveraging of fiscal and other resources of partner agencies (systems change). </w:t>
            </w:r>
            <w:r w:rsidRPr="00206792">
              <w:rPr>
                <w:i/>
              </w:rPr>
              <w:t>Measurement: Agency budget data</w:t>
            </w:r>
          </w:p>
          <w:p w14:paraId="20CBE191" w14:textId="77777777" w:rsidR="00C5068F" w:rsidRPr="00206792" w:rsidRDefault="00C5068F" w:rsidP="00076336">
            <w:pPr>
              <w:pStyle w:val="ListParagraph"/>
              <w:numPr>
                <w:ilvl w:val="0"/>
                <w:numId w:val="29"/>
              </w:numPr>
            </w:pPr>
            <w:r w:rsidRPr="00206792">
              <w:t xml:space="preserve">Increase in level of integration with workforce agencies; increase in number of individuals served in AJCs. </w:t>
            </w:r>
            <w:r w:rsidRPr="00206792">
              <w:rPr>
                <w:i/>
              </w:rPr>
              <w:t>Measurement: Rate of co-enrollments</w:t>
            </w:r>
            <w:r w:rsidRPr="00206792">
              <w:t xml:space="preserve"> </w:t>
            </w:r>
          </w:p>
          <w:p w14:paraId="489947D9" w14:textId="77777777" w:rsidR="00C5068F" w:rsidRPr="00206792" w:rsidRDefault="00C5068F" w:rsidP="00076336">
            <w:pPr>
              <w:pStyle w:val="ListParagraph"/>
              <w:numPr>
                <w:ilvl w:val="0"/>
                <w:numId w:val="29"/>
              </w:numPr>
            </w:pPr>
            <w:r w:rsidRPr="00206792">
              <w:t xml:space="preserve">Increased capacity to sustain CE as a practice after the pilot phase. </w:t>
            </w:r>
            <w:r w:rsidRPr="00206792">
              <w:rPr>
                <w:i/>
              </w:rPr>
              <w:t>Measurement: Sustainability plan</w:t>
            </w:r>
          </w:p>
          <w:p w14:paraId="3B66374F" w14:textId="77777777" w:rsidR="00C5068F" w:rsidRPr="00206792" w:rsidRDefault="00C5068F" w:rsidP="00076336">
            <w:pPr>
              <w:pStyle w:val="ListParagraph"/>
              <w:numPr>
                <w:ilvl w:val="0"/>
                <w:numId w:val="29"/>
              </w:numPr>
            </w:pPr>
            <w:r w:rsidRPr="00206792">
              <w:t>Additional NTACT Outcome: Increase in the number of former students reporting that they are engaged in CIE based upon LEA’s IDEA Ind. 14 data.</w:t>
            </w:r>
          </w:p>
        </w:tc>
      </w:tr>
    </w:tbl>
    <w:p w14:paraId="3F328906" w14:textId="2E25D94F" w:rsidR="00C5068F" w:rsidRDefault="00C5068F" w:rsidP="00C5068F"/>
    <w:p w14:paraId="567C6A25" w14:textId="77777777" w:rsidR="00574844" w:rsidRDefault="00574844" w:rsidP="00C5068F">
      <w:pPr>
        <w:sectPr w:rsidR="00574844" w:rsidSect="00D27D05">
          <w:headerReference w:type="even" r:id="rId340"/>
          <w:headerReference w:type="default" r:id="rId341"/>
          <w:footerReference w:type="even" r:id="rId342"/>
          <w:footerReference w:type="default" r:id="rId343"/>
          <w:headerReference w:type="first" r:id="rId344"/>
          <w:footerReference w:type="first" r:id="rId345"/>
          <w:pgSz w:w="12240" w:h="15840"/>
          <w:pgMar w:top="720" w:right="1440" w:bottom="720" w:left="1440" w:header="720" w:footer="720" w:gutter="0"/>
          <w:pgBorders w:offsetFrom="page">
            <w:top w:val="thinThickSmallGap" w:sz="24" w:space="24" w:color="2F5496" w:themeColor="accent1" w:themeShade="BF"/>
            <w:left w:val="thinThickSmallGap" w:sz="24" w:space="24" w:color="2F5496" w:themeColor="accent1" w:themeShade="BF"/>
            <w:bottom w:val="thickThinSmallGap" w:sz="24" w:space="24" w:color="2F5496" w:themeColor="accent1" w:themeShade="BF"/>
            <w:right w:val="thickThinSmallGap" w:sz="24" w:space="24" w:color="2F5496" w:themeColor="accent1" w:themeShade="BF"/>
          </w:pgBorders>
          <w:cols w:space="720"/>
          <w:docGrid w:linePitch="360"/>
        </w:sectPr>
      </w:pPr>
    </w:p>
    <w:p w14:paraId="7D0E677D" w14:textId="2CA524AA" w:rsidR="00574844" w:rsidRPr="00206792" w:rsidRDefault="00574844" w:rsidP="00C5068F"/>
    <w:p w14:paraId="59266A36" w14:textId="77777777" w:rsidR="00C5068F" w:rsidRDefault="00C5068F" w:rsidP="00C5068F">
      <w:pPr>
        <w:spacing w:after="120"/>
      </w:pPr>
      <w:r>
        <w:rPr>
          <w:noProof/>
          <w:lang w:eastAsia="ko-KR"/>
        </w:rPr>
        <w:drawing>
          <wp:inline distT="0" distB="0" distL="0" distR="0" wp14:anchorId="51E08108" wp14:editId="2CC2EC85">
            <wp:extent cx="5943600" cy="2190877"/>
            <wp:effectExtent l="0" t="0" r="0" b="0"/>
            <wp:docPr id="134" name="Chart 134" descr="chart showing activities progress customized employment. Not started 8%, 25% completed 25%, 50% completed 5%, 75% completed 5%, 90% completed 1%, 100% completed 55%.">
              <a:extLst xmlns:a="http://schemas.openxmlformats.org/drawingml/2006/main">
                <a:ext uri="{FF2B5EF4-FFF2-40B4-BE49-F238E27FC236}">
                  <a16:creationId xmlns:a16="http://schemas.microsoft.com/office/drawing/2014/main" id="{08C215FA-B300-410C-AF3F-2F7A81DD5A9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6"/>
              </a:graphicData>
            </a:graphic>
          </wp:inline>
        </w:drawing>
      </w:r>
    </w:p>
    <w:p w14:paraId="31C57628" w14:textId="77777777" w:rsidR="00C5068F" w:rsidRDefault="00C5068F" w:rsidP="00C5068F">
      <w:pPr>
        <w:tabs>
          <w:tab w:val="left" w:pos="360"/>
        </w:tabs>
      </w:pPr>
      <w:r>
        <w:rPr>
          <w:szCs w:val="14"/>
        </w:rPr>
        <w:tab/>
        <w:t>Across the topic area of Customized Employment we see that as many as 61% are nearing or have reached completion (with completion rates of 75% or more). Another 5% are half way to completion, with another third of activities being 25% under way.</w:t>
      </w:r>
    </w:p>
    <w:p w14:paraId="7F529C84" w14:textId="77777777" w:rsidR="00C5068F" w:rsidRDefault="00C5068F" w:rsidP="00C5068F">
      <w:pPr>
        <w:rPr>
          <w:b/>
          <w:color w:val="FF0000"/>
        </w:rPr>
      </w:pPr>
      <w:r>
        <w:rPr>
          <w:b/>
          <w:color w:val="FF0000"/>
        </w:rPr>
        <w:br w:type="page"/>
      </w:r>
    </w:p>
    <w:p w14:paraId="1F4B78CE" w14:textId="77777777" w:rsidR="00C5068F" w:rsidRDefault="00C5068F" w:rsidP="00C5068F">
      <w:pPr>
        <w:spacing w:after="0" w:line="240" w:lineRule="auto"/>
        <w:rPr>
          <w:rFonts w:cstheme="minorHAnsi"/>
        </w:rPr>
        <w:sectPr w:rsidR="00C5068F" w:rsidSect="00D27D05">
          <w:pgSz w:w="12240" w:h="15840"/>
          <w:pgMar w:top="1440" w:right="1440" w:bottom="1440" w:left="1440" w:header="720" w:footer="720" w:gutter="0"/>
          <w:pgBorders w:offsetFrom="page">
            <w:top w:val="thinThickSmallGap" w:sz="24" w:space="24" w:color="2F5496" w:themeColor="accent1" w:themeShade="BF"/>
            <w:left w:val="thinThickSmallGap" w:sz="24" w:space="24" w:color="2F5496" w:themeColor="accent1" w:themeShade="BF"/>
            <w:bottom w:val="thickThinSmallGap" w:sz="24" w:space="24" w:color="2F5496" w:themeColor="accent1" w:themeShade="BF"/>
            <w:right w:val="thickThinSmallGap" w:sz="24" w:space="24" w:color="2F5496" w:themeColor="accent1" w:themeShade="BF"/>
          </w:pgBorders>
          <w:cols w:space="720"/>
          <w:docGrid w:linePitch="360"/>
        </w:sectPr>
      </w:pPr>
    </w:p>
    <w:p w14:paraId="2D662C43" w14:textId="77777777" w:rsidR="00C5068F" w:rsidRPr="007F2530" w:rsidRDefault="00C5068F" w:rsidP="00BA0D82">
      <w:pPr>
        <w:pStyle w:val="Heading2"/>
        <w:numPr>
          <w:ilvl w:val="0"/>
          <w:numId w:val="0"/>
        </w:numPr>
      </w:pPr>
      <w:bookmarkStart w:id="98" w:name="_Toc27904611"/>
      <w:bookmarkStart w:id="99" w:name="_Toc28011441"/>
      <w:r w:rsidRPr="007F2530">
        <w:lastRenderedPageBreak/>
        <w:t xml:space="preserve">PROGRESS BY ACTIVITY/OUTPUT: </w:t>
      </w:r>
      <w:r>
        <w:t>CUSTOMIZED EMPLOYMENT</w:t>
      </w:r>
      <w:bookmarkEnd w:id="98"/>
      <w:bookmarkEnd w:id="99"/>
    </w:p>
    <w:p w14:paraId="43BCCD5F" w14:textId="77777777" w:rsidR="00C5068F" w:rsidRPr="00CA090F" w:rsidRDefault="00C5068F" w:rsidP="00C5068F">
      <w:pPr>
        <w:tabs>
          <w:tab w:val="left" w:pos="360"/>
        </w:tabs>
        <w:spacing w:after="0"/>
        <w:rPr>
          <w:rFonts w:cstheme="minorHAnsi"/>
          <w:highlight w:val="lightGray"/>
        </w:rPr>
      </w:pPr>
      <w:r>
        <w:rPr>
          <w:rFonts w:cstheme="minorHAnsi"/>
        </w:rPr>
        <w:tab/>
        <w:t xml:space="preserve">In the following “thermometer charts” the overall progress rate is broken out by specific activity with the linked outputs’ progress rates provided side-by-side. As is illustrated in these charts, there is </w:t>
      </w:r>
      <w:r w:rsidRPr="00867954">
        <w:rPr>
          <w:rFonts w:cstheme="minorHAnsi"/>
        </w:rPr>
        <w:t xml:space="preserve">a one-to-one </w:t>
      </w:r>
      <w:r w:rsidRPr="00867954">
        <w:rPr>
          <w:szCs w:val="14"/>
        </w:rPr>
        <w:t>correspondence</w:t>
      </w:r>
      <w:r w:rsidRPr="00867954">
        <w:rPr>
          <w:rFonts w:cstheme="minorHAnsi"/>
        </w:rPr>
        <w:t xml:space="preserve"> between the rate of completion for eight of the 13 CE activities and their associated outputs as presented in the logic model.</w:t>
      </w:r>
      <w:r>
        <w:rPr>
          <w:rFonts w:cstheme="minorHAnsi"/>
        </w:rPr>
        <w:t xml:space="preserve"> In the other five, the rates at which outputs are generated differ from the corresponding activities’ completion rates.</w:t>
      </w:r>
      <w:r w:rsidRPr="00867954">
        <w:rPr>
          <w:rFonts w:cstheme="minorHAnsi"/>
        </w:rPr>
        <w:t xml:space="preserve"> </w:t>
      </w:r>
      <w:r>
        <w:rPr>
          <w:rFonts w:cstheme="minorHAnsi"/>
        </w:rPr>
        <w:t>Possible explanations for these differences are addressed in the narrative section of this chapter. Eight</w:t>
      </w:r>
      <w:r w:rsidRPr="00554398">
        <w:rPr>
          <w:rFonts w:cstheme="minorHAnsi"/>
        </w:rPr>
        <w:t xml:space="preserve"> Customized Employment </w:t>
      </w:r>
      <w:r>
        <w:rPr>
          <w:rFonts w:cstheme="minorHAnsi"/>
        </w:rPr>
        <w:t>activities and their corresponding outputs were 75-100% completed (</w:t>
      </w:r>
      <w:r w:rsidRPr="00554398">
        <w:rPr>
          <w:rFonts w:cstheme="minorHAnsi"/>
        </w:rPr>
        <w:t xml:space="preserve">four </w:t>
      </w:r>
      <w:r>
        <w:rPr>
          <w:rFonts w:cstheme="minorHAnsi"/>
        </w:rPr>
        <w:t>of them 100% complete) for all sites requesting those activities.</w:t>
      </w:r>
    </w:p>
    <w:p w14:paraId="3D1F96D8" w14:textId="77777777" w:rsidR="00C5068F" w:rsidRDefault="00C5068F" w:rsidP="00C5068F">
      <w:pPr>
        <w:tabs>
          <w:tab w:val="left" w:pos="360"/>
        </w:tabs>
        <w:spacing w:after="0"/>
        <w:rPr>
          <w:rFonts w:cstheme="minorHAnsi"/>
        </w:rPr>
      </w:pPr>
    </w:p>
    <w:p w14:paraId="7FEAB46E" w14:textId="77777777" w:rsidR="00C5068F" w:rsidRDefault="00C5068F" w:rsidP="00C5068F">
      <w:pPr>
        <w:tabs>
          <w:tab w:val="left" w:pos="360"/>
        </w:tabs>
        <w:spacing w:after="0"/>
        <w:rPr>
          <w:rFonts w:cstheme="minorHAnsi"/>
        </w:rPr>
        <w:sectPr w:rsidR="00C5068F" w:rsidSect="00D27D05">
          <w:type w:val="continuous"/>
          <w:pgSz w:w="12240" w:h="15840"/>
          <w:pgMar w:top="1440" w:right="1440" w:bottom="1440" w:left="1440" w:header="720" w:footer="720" w:gutter="0"/>
          <w:pgBorders w:offsetFrom="page">
            <w:top w:val="thinThickSmallGap" w:sz="24" w:space="24" w:color="2F5496" w:themeColor="accent1" w:themeShade="BF"/>
            <w:left w:val="thinThickSmallGap" w:sz="24" w:space="24" w:color="2F5496" w:themeColor="accent1" w:themeShade="BF"/>
            <w:bottom w:val="thickThinSmallGap" w:sz="24" w:space="24" w:color="2F5496" w:themeColor="accent1" w:themeShade="BF"/>
            <w:right w:val="thickThinSmallGap" w:sz="24" w:space="24" w:color="2F5496" w:themeColor="accent1" w:themeShade="BF"/>
          </w:pgBorders>
          <w:cols w:space="720"/>
          <w:docGrid w:linePitch="360"/>
        </w:sectPr>
      </w:pPr>
    </w:p>
    <w:p w14:paraId="6A18E99A" w14:textId="77777777" w:rsidR="00C5068F" w:rsidRPr="00BB2098" w:rsidRDefault="00C5068F" w:rsidP="00C5068F">
      <w:pPr>
        <w:rPr>
          <w:rFonts w:cstheme="minorHAnsi"/>
        </w:rPr>
      </w:pPr>
      <w:r w:rsidRPr="00BB2098">
        <w:rPr>
          <w:rFonts w:cstheme="minorHAnsi"/>
          <w:noProof/>
          <w:lang w:eastAsia="ko-KR"/>
        </w:rPr>
        <w:drawing>
          <wp:inline distT="0" distB="0" distL="0" distR="0" wp14:anchorId="4CF87146" wp14:editId="0167F8B9">
            <wp:extent cx="2728634" cy="5038726"/>
            <wp:effectExtent l="0" t="0" r="14605" b="9525"/>
            <wp:docPr id="135" name="Chart 135" descr="Activity #1 82% completed activity , 18% completed 50%and 82% completed outputs, 18% completed 50%">
              <a:extLst xmlns:a="http://schemas.openxmlformats.org/drawingml/2006/main">
                <a:ext uri="{FF2B5EF4-FFF2-40B4-BE49-F238E27FC236}">
                  <a16:creationId xmlns:a16="http://schemas.microsoft.com/office/drawing/2014/main" id="{51A236B7-F2D1-447F-9C7A-871E061502D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7"/>
              </a:graphicData>
            </a:graphic>
          </wp:inline>
        </w:drawing>
      </w:r>
    </w:p>
    <w:p w14:paraId="58C6ACB5" w14:textId="77777777" w:rsidR="00C5068F" w:rsidRPr="00BB2098" w:rsidRDefault="00C5068F" w:rsidP="00C5068F">
      <w:pPr>
        <w:spacing w:after="0" w:line="240" w:lineRule="auto"/>
        <w:rPr>
          <w:rFonts w:cstheme="minorHAnsi"/>
        </w:rPr>
      </w:pPr>
      <w:r>
        <w:rPr>
          <w:rFonts w:cstheme="minorHAnsi"/>
          <w:b/>
          <w:bCs/>
        </w:rPr>
        <w:br w:type="column"/>
      </w:r>
      <w:r w:rsidRPr="00B65379">
        <w:rPr>
          <w:rFonts w:cstheme="minorHAnsi"/>
          <w:b/>
          <w:bCs/>
        </w:rPr>
        <w:t>Activity 1:</w:t>
      </w:r>
      <w:r>
        <w:rPr>
          <w:rFonts w:cstheme="minorHAnsi"/>
        </w:rPr>
        <w:t xml:space="preserve"> </w:t>
      </w:r>
      <w:r w:rsidRPr="00BB2098">
        <w:rPr>
          <w:rFonts w:cstheme="minorHAnsi"/>
        </w:rPr>
        <w:t>WINTAC: Analyze system’s (VR and State Partners) readiness and capacity to implement CE.</w:t>
      </w:r>
    </w:p>
    <w:p w14:paraId="58DC8DF2" w14:textId="77777777" w:rsidR="00C5068F" w:rsidRPr="002A31D0" w:rsidRDefault="00C5068F" w:rsidP="00076336">
      <w:pPr>
        <w:pStyle w:val="ListParagraph"/>
        <w:numPr>
          <w:ilvl w:val="0"/>
          <w:numId w:val="38"/>
        </w:numPr>
        <w:spacing w:after="0" w:line="240" w:lineRule="auto"/>
        <w:ind w:left="360"/>
        <w:rPr>
          <w:rFonts w:cstheme="minorHAnsi"/>
          <w:sz w:val="20"/>
          <w:szCs w:val="20"/>
        </w:rPr>
      </w:pPr>
      <w:r w:rsidRPr="002A31D0">
        <w:rPr>
          <w:rFonts w:cstheme="minorHAnsi"/>
          <w:sz w:val="20"/>
          <w:szCs w:val="20"/>
        </w:rPr>
        <w:t>NTACT: examine same, including current systems collaboration, for students and youth with disabilities between SEAs, LEAs, VR, ID/DD, MH, CMS, and other key partners</w:t>
      </w:r>
    </w:p>
    <w:p w14:paraId="203E4FDD" w14:textId="77777777" w:rsidR="00C5068F" w:rsidRPr="002A31D0" w:rsidRDefault="00C5068F" w:rsidP="00076336">
      <w:pPr>
        <w:pStyle w:val="ListParagraph"/>
        <w:numPr>
          <w:ilvl w:val="0"/>
          <w:numId w:val="38"/>
        </w:numPr>
        <w:spacing w:after="0" w:line="240" w:lineRule="auto"/>
        <w:ind w:left="360"/>
        <w:rPr>
          <w:rFonts w:cstheme="minorHAnsi"/>
          <w:sz w:val="20"/>
          <w:szCs w:val="20"/>
        </w:rPr>
      </w:pPr>
      <w:r w:rsidRPr="002A31D0">
        <w:rPr>
          <w:rFonts w:cstheme="minorHAnsi"/>
          <w:sz w:val="20"/>
          <w:szCs w:val="20"/>
        </w:rPr>
        <w:t>YTAC: examine same, specifically for system-involved (juvenile justice, foster care), homeless, and out-of-school youth</w:t>
      </w:r>
    </w:p>
    <w:p w14:paraId="118A87B0" w14:textId="77777777" w:rsidR="00C5068F" w:rsidRDefault="00C5068F" w:rsidP="00C5068F">
      <w:pPr>
        <w:spacing w:after="0" w:line="240" w:lineRule="auto"/>
        <w:rPr>
          <w:rFonts w:cstheme="minorHAnsi"/>
        </w:rPr>
      </w:pPr>
      <w:r w:rsidRPr="00EE7BF2">
        <w:rPr>
          <w:rFonts w:cstheme="minorHAnsi"/>
          <w:b/>
          <w:bCs/>
        </w:rPr>
        <w:t>Output A:</w:t>
      </w:r>
      <w:r>
        <w:rPr>
          <w:rFonts w:cstheme="minorHAnsi"/>
        </w:rPr>
        <w:t xml:space="preserve"> </w:t>
      </w:r>
      <w:r w:rsidRPr="00BB2098">
        <w:rPr>
          <w:rFonts w:cstheme="minorHAnsi"/>
        </w:rPr>
        <w:t>Completed readiness and capacity assessment.</w:t>
      </w:r>
    </w:p>
    <w:p w14:paraId="0A841979" w14:textId="77777777" w:rsidR="00C5068F" w:rsidRPr="00BB2098" w:rsidRDefault="00C5068F" w:rsidP="00C5068F">
      <w:pPr>
        <w:spacing w:after="0" w:line="240" w:lineRule="auto"/>
        <w:rPr>
          <w:rFonts w:cstheme="minorHAnsi"/>
        </w:rPr>
      </w:pPr>
      <w:r w:rsidRPr="00BB2098">
        <w:rPr>
          <w:rFonts w:cstheme="minorHAnsi"/>
          <w:noProof/>
          <w:lang w:eastAsia="ko-KR"/>
        </w:rPr>
        <w:lastRenderedPageBreak/>
        <w:drawing>
          <wp:inline distT="0" distB="0" distL="0" distR="0" wp14:anchorId="130D9BD6" wp14:editId="50B10111">
            <wp:extent cx="2728636" cy="5038726"/>
            <wp:effectExtent l="0" t="0" r="14605" b="9525"/>
            <wp:docPr id="136" name="Chart 136" descr="Activity #2 100% completed activity and 100% completed outputs">
              <a:extLst xmlns:a="http://schemas.openxmlformats.org/drawingml/2006/main">
                <a:ext uri="{FF2B5EF4-FFF2-40B4-BE49-F238E27FC236}">
                  <a16:creationId xmlns:a16="http://schemas.microsoft.com/office/drawing/2014/main" id="{C8348AD9-1395-47D7-8320-EEE97E6AA6B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8"/>
              </a:graphicData>
            </a:graphic>
          </wp:inline>
        </w:drawing>
      </w:r>
    </w:p>
    <w:p w14:paraId="08D1E2B8" w14:textId="77777777" w:rsidR="00C5068F" w:rsidRPr="00BB2098" w:rsidRDefault="00C5068F" w:rsidP="00C5068F">
      <w:pPr>
        <w:spacing w:after="0" w:line="240" w:lineRule="auto"/>
        <w:rPr>
          <w:rFonts w:cstheme="minorHAnsi"/>
        </w:rPr>
      </w:pPr>
      <w:r w:rsidRPr="00B65379">
        <w:rPr>
          <w:rFonts w:cstheme="minorHAnsi"/>
          <w:b/>
          <w:bCs/>
        </w:rPr>
        <w:t>Activity 2:</w:t>
      </w:r>
      <w:r>
        <w:rPr>
          <w:rFonts w:cstheme="minorHAnsi"/>
        </w:rPr>
        <w:t xml:space="preserve"> </w:t>
      </w:r>
      <w:r w:rsidRPr="00BB2098">
        <w:rPr>
          <w:rFonts w:cstheme="minorHAnsi"/>
        </w:rPr>
        <w:t>WINTAC: Analyze feasibility of system (VR and State Partners) to implement CE.</w:t>
      </w:r>
    </w:p>
    <w:p w14:paraId="76F36350" w14:textId="77777777" w:rsidR="00C5068F" w:rsidRPr="00D32E1A" w:rsidRDefault="00C5068F" w:rsidP="00076336">
      <w:pPr>
        <w:pStyle w:val="ListParagraph"/>
        <w:numPr>
          <w:ilvl w:val="0"/>
          <w:numId w:val="47"/>
        </w:numPr>
        <w:spacing w:after="0" w:line="240" w:lineRule="auto"/>
        <w:ind w:left="360"/>
        <w:rPr>
          <w:rFonts w:cstheme="minorHAnsi"/>
          <w:sz w:val="20"/>
          <w:szCs w:val="20"/>
        </w:rPr>
      </w:pPr>
      <w:r w:rsidRPr="00D32E1A">
        <w:rPr>
          <w:rFonts w:cstheme="minorHAnsi"/>
          <w:sz w:val="20"/>
          <w:szCs w:val="20"/>
        </w:rPr>
        <w:t>NTACT: examine same, including current systems collaboration, for students and youth with disabilities between SEAs, LEAs, VR, ID/DD, MH, CMS, and other key partners</w:t>
      </w:r>
    </w:p>
    <w:p w14:paraId="7235F649" w14:textId="77777777" w:rsidR="00C5068F" w:rsidRPr="00D32E1A" w:rsidRDefault="00C5068F" w:rsidP="00076336">
      <w:pPr>
        <w:pStyle w:val="ListParagraph"/>
        <w:numPr>
          <w:ilvl w:val="0"/>
          <w:numId w:val="47"/>
        </w:numPr>
        <w:spacing w:after="0" w:line="240" w:lineRule="auto"/>
        <w:ind w:left="360"/>
        <w:rPr>
          <w:rFonts w:cstheme="minorHAnsi"/>
          <w:sz w:val="20"/>
          <w:szCs w:val="20"/>
        </w:rPr>
      </w:pPr>
      <w:r w:rsidRPr="00D32E1A">
        <w:rPr>
          <w:rFonts w:cstheme="minorHAnsi"/>
          <w:sz w:val="20"/>
          <w:szCs w:val="20"/>
        </w:rPr>
        <w:t>YTAC: examine same specifically for system-involved (juvenile justice, foster care), homeless, and out-of-school youth</w:t>
      </w:r>
    </w:p>
    <w:p w14:paraId="1B364309" w14:textId="77777777" w:rsidR="00C5068F" w:rsidRPr="00BB2098" w:rsidRDefault="00C5068F" w:rsidP="00C5068F">
      <w:pPr>
        <w:spacing w:after="0" w:line="240" w:lineRule="auto"/>
        <w:rPr>
          <w:rFonts w:cstheme="minorHAnsi"/>
        </w:rPr>
      </w:pPr>
      <w:r w:rsidRPr="00EE7BF2">
        <w:rPr>
          <w:rFonts w:cstheme="minorHAnsi"/>
          <w:b/>
          <w:bCs/>
        </w:rPr>
        <w:t>Output B:</w:t>
      </w:r>
      <w:r>
        <w:rPr>
          <w:rFonts w:cstheme="minorHAnsi"/>
        </w:rPr>
        <w:t xml:space="preserve"> </w:t>
      </w:r>
      <w:r w:rsidRPr="00BB2098">
        <w:rPr>
          <w:rFonts w:cstheme="minorHAnsi"/>
        </w:rPr>
        <w:t>Completed feasibility assessment.</w:t>
      </w:r>
    </w:p>
    <w:p w14:paraId="0BB67522" w14:textId="77777777" w:rsidR="00C5068F" w:rsidRPr="00BB2098" w:rsidRDefault="00C5068F" w:rsidP="00C5068F">
      <w:pPr>
        <w:spacing w:after="0" w:line="240" w:lineRule="auto"/>
        <w:rPr>
          <w:rFonts w:cstheme="minorHAnsi"/>
        </w:rPr>
      </w:pPr>
      <w:r w:rsidRPr="00BB2098">
        <w:rPr>
          <w:rFonts w:cstheme="minorHAnsi"/>
          <w:noProof/>
          <w:lang w:eastAsia="ko-KR"/>
        </w:rPr>
        <w:drawing>
          <wp:inline distT="0" distB="0" distL="0" distR="0" wp14:anchorId="47132A3D" wp14:editId="4F7CB871">
            <wp:extent cx="2728634" cy="5038726"/>
            <wp:effectExtent l="0" t="0" r="14605" b="9525"/>
            <wp:docPr id="137" name="Chart 137" descr="Activity #3 100% completed activity and 100% completed outputs">
              <a:extLst xmlns:a="http://schemas.openxmlformats.org/drawingml/2006/main">
                <a:ext uri="{FF2B5EF4-FFF2-40B4-BE49-F238E27FC236}">
                  <a16:creationId xmlns:a16="http://schemas.microsoft.com/office/drawing/2014/main" id="{D4C23898-EAB9-4A17-931B-A0EAC7FE7C7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9"/>
              </a:graphicData>
            </a:graphic>
          </wp:inline>
        </w:drawing>
      </w:r>
    </w:p>
    <w:p w14:paraId="71B84A0D" w14:textId="77777777" w:rsidR="00C5068F" w:rsidRPr="00BB2098" w:rsidRDefault="00C5068F" w:rsidP="00C5068F">
      <w:pPr>
        <w:spacing w:after="0" w:line="240" w:lineRule="auto"/>
        <w:rPr>
          <w:rFonts w:cstheme="minorHAnsi"/>
        </w:rPr>
      </w:pPr>
      <w:r w:rsidRPr="00B65379">
        <w:rPr>
          <w:rFonts w:cstheme="minorHAnsi"/>
          <w:b/>
          <w:bCs/>
        </w:rPr>
        <w:t>Activity 3:</w:t>
      </w:r>
      <w:r>
        <w:rPr>
          <w:rFonts w:cstheme="minorHAnsi"/>
        </w:rPr>
        <w:t xml:space="preserve"> </w:t>
      </w:r>
      <w:r w:rsidRPr="00BB2098">
        <w:rPr>
          <w:rFonts w:cstheme="minorHAnsi"/>
        </w:rPr>
        <w:t>WINTAC: Conduct a survey of VR staff and CRPs/vendors to determine CE experience and capacity.</w:t>
      </w:r>
    </w:p>
    <w:p w14:paraId="45FDD779" w14:textId="77777777" w:rsidR="00C5068F" w:rsidRPr="00D32E1A" w:rsidRDefault="00C5068F" w:rsidP="00076336">
      <w:pPr>
        <w:pStyle w:val="ListParagraph"/>
        <w:numPr>
          <w:ilvl w:val="0"/>
          <w:numId w:val="39"/>
        </w:numPr>
        <w:spacing w:after="0" w:line="240" w:lineRule="auto"/>
        <w:ind w:left="360"/>
        <w:rPr>
          <w:rFonts w:cstheme="minorHAnsi"/>
          <w:sz w:val="20"/>
          <w:szCs w:val="20"/>
        </w:rPr>
      </w:pPr>
      <w:r w:rsidRPr="00D32E1A">
        <w:rPr>
          <w:rFonts w:cstheme="minorHAnsi"/>
          <w:sz w:val="20"/>
          <w:szCs w:val="20"/>
        </w:rPr>
        <w:t>NTACT: survey SEAs and LEAs on past and current engagement in CE training and implementation.</w:t>
      </w:r>
    </w:p>
    <w:p w14:paraId="36401573" w14:textId="77777777" w:rsidR="00C5068F" w:rsidRPr="00D32E1A" w:rsidRDefault="00C5068F" w:rsidP="00076336">
      <w:pPr>
        <w:pStyle w:val="ListParagraph"/>
        <w:numPr>
          <w:ilvl w:val="0"/>
          <w:numId w:val="39"/>
        </w:numPr>
        <w:spacing w:after="0" w:line="240" w:lineRule="auto"/>
        <w:ind w:left="360"/>
        <w:rPr>
          <w:rFonts w:cstheme="minorHAnsi"/>
          <w:sz w:val="20"/>
          <w:szCs w:val="20"/>
        </w:rPr>
      </w:pPr>
      <w:r w:rsidRPr="00D32E1A">
        <w:rPr>
          <w:rFonts w:cstheme="minorHAnsi"/>
          <w:sz w:val="20"/>
          <w:szCs w:val="20"/>
        </w:rPr>
        <w:t>YTAC: add to VR/CRPs/vendors survey to determine same for system-involved (juvenile justice, foster care), homeless, and out-of-school youth.</w:t>
      </w:r>
    </w:p>
    <w:p w14:paraId="5383A41C" w14:textId="77777777" w:rsidR="00C5068F" w:rsidRPr="00BB2098" w:rsidRDefault="00C5068F" w:rsidP="00C5068F">
      <w:pPr>
        <w:spacing w:after="0" w:line="240" w:lineRule="auto"/>
        <w:rPr>
          <w:rFonts w:cstheme="minorHAnsi"/>
        </w:rPr>
      </w:pPr>
      <w:r>
        <w:rPr>
          <w:rFonts w:cstheme="minorHAnsi"/>
          <w:b/>
          <w:bCs/>
        </w:rPr>
        <w:t>Output</w:t>
      </w:r>
      <w:r w:rsidRPr="00BB2098">
        <w:rPr>
          <w:rFonts w:cstheme="minorHAnsi"/>
        </w:rPr>
        <w:t xml:space="preserve"> </w:t>
      </w:r>
      <w:r w:rsidRPr="00EE7BF2">
        <w:rPr>
          <w:rFonts w:cstheme="minorHAnsi"/>
          <w:b/>
          <w:bCs/>
        </w:rPr>
        <w:t>C:</w:t>
      </w:r>
      <w:r>
        <w:rPr>
          <w:rFonts w:cstheme="minorHAnsi"/>
        </w:rPr>
        <w:t xml:space="preserve"> </w:t>
      </w:r>
      <w:r w:rsidRPr="00BB2098">
        <w:rPr>
          <w:rFonts w:cstheme="minorHAnsi"/>
        </w:rPr>
        <w:t>Survey Report.</w:t>
      </w:r>
    </w:p>
    <w:p w14:paraId="7C3B9D03" w14:textId="77777777" w:rsidR="00C5068F" w:rsidRPr="00BB2098" w:rsidRDefault="00C5068F" w:rsidP="00C5068F">
      <w:pPr>
        <w:spacing w:after="0" w:line="240" w:lineRule="auto"/>
        <w:rPr>
          <w:rFonts w:cstheme="minorHAnsi"/>
        </w:rPr>
      </w:pPr>
      <w:r w:rsidRPr="00BB2098">
        <w:rPr>
          <w:rFonts w:cstheme="minorHAnsi"/>
          <w:noProof/>
          <w:lang w:eastAsia="ko-KR"/>
        </w:rPr>
        <w:lastRenderedPageBreak/>
        <w:drawing>
          <wp:inline distT="0" distB="0" distL="0" distR="0" wp14:anchorId="7F1F996E" wp14:editId="07F17796">
            <wp:extent cx="2728635" cy="5038726"/>
            <wp:effectExtent l="0" t="0" r="14605" b="9525"/>
            <wp:docPr id="138" name="Chart 138" descr="Activity #4 20% completed100% activity, 80% completed 50% activity and 20% completed 100% output, 80% completed 50% outputs">
              <a:extLst xmlns:a="http://schemas.openxmlformats.org/drawingml/2006/main">
                <a:ext uri="{FF2B5EF4-FFF2-40B4-BE49-F238E27FC236}">
                  <a16:creationId xmlns:a16="http://schemas.microsoft.com/office/drawing/2014/main" id="{B4C78BDC-AF53-439E-9E28-3212298B74F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0"/>
              </a:graphicData>
            </a:graphic>
          </wp:inline>
        </w:drawing>
      </w:r>
    </w:p>
    <w:p w14:paraId="160369F0" w14:textId="77777777" w:rsidR="00C5068F" w:rsidRPr="00BB2098" w:rsidRDefault="00C5068F" w:rsidP="00C5068F">
      <w:pPr>
        <w:spacing w:after="0" w:line="240" w:lineRule="auto"/>
        <w:rPr>
          <w:rFonts w:cstheme="minorHAnsi"/>
        </w:rPr>
      </w:pPr>
      <w:r w:rsidRPr="00B65379">
        <w:rPr>
          <w:rFonts w:cstheme="minorHAnsi"/>
          <w:b/>
          <w:bCs/>
        </w:rPr>
        <w:t>Activity 4:</w:t>
      </w:r>
      <w:r>
        <w:rPr>
          <w:rFonts w:cstheme="minorHAnsi"/>
        </w:rPr>
        <w:t xml:space="preserve"> </w:t>
      </w:r>
      <w:r w:rsidRPr="00BB2098">
        <w:rPr>
          <w:rFonts w:cstheme="minorHAnsi"/>
        </w:rPr>
        <w:t>WINTAC: Conduct review of existing system (VR and State Partners) history, know</w:t>
      </w:r>
      <w:r>
        <w:rPr>
          <w:rFonts w:cstheme="minorHAnsi"/>
        </w:rPr>
        <w:t>-</w:t>
      </w:r>
      <w:r w:rsidRPr="00BB2098">
        <w:rPr>
          <w:rFonts w:cstheme="minorHAnsi"/>
        </w:rPr>
        <w:t>ledge, policies, procedures, fee structures, and MOUs relevant to the implementation of CE.</w:t>
      </w:r>
    </w:p>
    <w:p w14:paraId="1C03DAC1" w14:textId="77777777" w:rsidR="00C5068F" w:rsidRPr="002A31D0" w:rsidRDefault="00C5068F" w:rsidP="00076336">
      <w:pPr>
        <w:pStyle w:val="ListParagraph"/>
        <w:numPr>
          <w:ilvl w:val="0"/>
          <w:numId w:val="40"/>
        </w:numPr>
        <w:spacing w:after="0" w:line="240" w:lineRule="auto"/>
        <w:ind w:left="360"/>
        <w:rPr>
          <w:rFonts w:cstheme="minorHAnsi"/>
          <w:sz w:val="20"/>
          <w:szCs w:val="20"/>
        </w:rPr>
      </w:pPr>
      <w:r w:rsidRPr="002A31D0">
        <w:rPr>
          <w:rFonts w:cstheme="minorHAnsi"/>
          <w:sz w:val="20"/>
          <w:szCs w:val="20"/>
        </w:rPr>
        <w:t>NTACT: focus on SEAs and LEAs.</w:t>
      </w:r>
    </w:p>
    <w:p w14:paraId="5AEBEB4A" w14:textId="77777777" w:rsidR="00C5068F" w:rsidRPr="002A31D0" w:rsidRDefault="00C5068F" w:rsidP="00076336">
      <w:pPr>
        <w:pStyle w:val="ListParagraph"/>
        <w:numPr>
          <w:ilvl w:val="0"/>
          <w:numId w:val="40"/>
        </w:numPr>
        <w:spacing w:after="0" w:line="240" w:lineRule="auto"/>
        <w:ind w:left="360"/>
        <w:rPr>
          <w:rFonts w:cstheme="minorHAnsi"/>
          <w:sz w:val="20"/>
          <w:szCs w:val="20"/>
        </w:rPr>
      </w:pPr>
      <w:r w:rsidRPr="002A31D0">
        <w:rPr>
          <w:rFonts w:cstheme="minorHAnsi"/>
          <w:sz w:val="20"/>
          <w:szCs w:val="20"/>
        </w:rPr>
        <w:t>YTAC: assist VR, SEAs, and LEAs to conduct a community resource mapping exercise to identify youth serving organizations for CE referrals and services.</w:t>
      </w:r>
    </w:p>
    <w:p w14:paraId="27AE532C" w14:textId="77777777" w:rsidR="00C5068F" w:rsidRPr="00B65379" w:rsidRDefault="00C5068F" w:rsidP="00C5068F">
      <w:pPr>
        <w:spacing w:after="0" w:line="240" w:lineRule="auto"/>
        <w:rPr>
          <w:rFonts w:cstheme="minorHAnsi"/>
        </w:rPr>
      </w:pPr>
      <w:r>
        <w:rPr>
          <w:rFonts w:cstheme="minorHAnsi"/>
          <w:b/>
          <w:bCs/>
        </w:rPr>
        <w:t>Output</w:t>
      </w:r>
      <w:r w:rsidRPr="00B65379">
        <w:rPr>
          <w:rFonts w:cstheme="minorHAnsi"/>
        </w:rPr>
        <w:t xml:space="preserve"> </w:t>
      </w:r>
      <w:r w:rsidRPr="00EE7BF2">
        <w:rPr>
          <w:rFonts w:cstheme="minorHAnsi"/>
          <w:b/>
          <w:bCs/>
        </w:rPr>
        <w:t>D:</w:t>
      </w:r>
      <w:r>
        <w:rPr>
          <w:rFonts w:cstheme="minorHAnsi"/>
        </w:rPr>
        <w:t xml:space="preserve"> </w:t>
      </w:r>
      <w:r w:rsidRPr="00B65379">
        <w:rPr>
          <w:rFonts w:cstheme="minorHAnsi"/>
        </w:rPr>
        <w:t>Completed review of areas in need of development and enhancement for sustainable CE implementation.</w:t>
      </w:r>
    </w:p>
    <w:p w14:paraId="65B977EE" w14:textId="77777777" w:rsidR="00C5068F" w:rsidRPr="002A31D0" w:rsidRDefault="00C5068F" w:rsidP="00076336">
      <w:pPr>
        <w:pStyle w:val="ListParagraph"/>
        <w:numPr>
          <w:ilvl w:val="0"/>
          <w:numId w:val="41"/>
        </w:numPr>
        <w:spacing w:after="0" w:line="240" w:lineRule="auto"/>
        <w:ind w:left="360"/>
        <w:rPr>
          <w:rFonts w:cstheme="minorHAnsi"/>
          <w:sz w:val="20"/>
          <w:szCs w:val="20"/>
        </w:rPr>
      </w:pPr>
      <w:r w:rsidRPr="002A31D0">
        <w:rPr>
          <w:rFonts w:cstheme="minorHAnsi"/>
          <w:sz w:val="20"/>
          <w:szCs w:val="20"/>
        </w:rPr>
        <w:t>NTACT: completed mapping of LEA alignment of current transition activities / services and CE implementation.</w:t>
      </w:r>
    </w:p>
    <w:p w14:paraId="173AC11A" w14:textId="77777777" w:rsidR="00C5068F" w:rsidRPr="002A31D0" w:rsidRDefault="00C5068F" w:rsidP="00076336">
      <w:pPr>
        <w:pStyle w:val="ListParagraph"/>
        <w:numPr>
          <w:ilvl w:val="0"/>
          <w:numId w:val="41"/>
        </w:numPr>
        <w:spacing w:after="0" w:line="240" w:lineRule="auto"/>
        <w:ind w:left="360"/>
        <w:rPr>
          <w:rFonts w:cstheme="minorHAnsi"/>
          <w:sz w:val="20"/>
          <w:szCs w:val="20"/>
        </w:rPr>
      </w:pPr>
      <w:r w:rsidRPr="002A31D0">
        <w:rPr>
          <w:rFonts w:cstheme="minorHAnsi"/>
          <w:sz w:val="20"/>
          <w:szCs w:val="20"/>
        </w:rPr>
        <w:t>YTAC: list of youth serving organizations that could provide CE referrals and CE services.</w:t>
      </w:r>
    </w:p>
    <w:p w14:paraId="440EBB8A" w14:textId="77777777" w:rsidR="00C5068F" w:rsidRPr="00BB2098" w:rsidRDefault="00C5068F" w:rsidP="00C5068F">
      <w:pPr>
        <w:spacing w:after="0" w:line="240" w:lineRule="auto"/>
        <w:rPr>
          <w:rFonts w:cstheme="minorHAnsi"/>
        </w:rPr>
      </w:pPr>
      <w:r w:rsidRPr="00BB2098">
        <w:rPr>
          <w:rFonts w:cstheme="minorHAnsi"/>
          <w:noProof/>
          <w:lang w:eastAsia="ko-KR"/>
        </w:rPr>
        <w:drawing>
          <wp:inline distT="0" distB="0" distL="0" distR="0" wp14:anchorId="1CB3AF83" wp14:editId="254A9E33">
            <wp:extent cx="2728634" cy="5038726"/>
            <wp:effectExtent l="0" t="0" r="14605" b="9525"/>
            <wp:docPr id="139" name="Chart 139" descr="Activity #5 69% completed100% activity, 15% completed 50% activity. 15% completed 25% activity and 69% completed 100% output, 8% completed 50% outputs, 23% completed 25% output">
              <a:extLst xmlns:a="http://schemas.openxmlformats.org/drawingml/2006/main">
                <a:ext uri="{FF2B5EF4-FFF2-40B4-BE49-F238E27FC236}">
                  <a16:creationId xmlns:a16="http://schemas.microsoft.com/office/drawing/2014/main" id="{C2B8C9D9-9AA4-4295-970A-1093DFC9019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1"/>
              </a:graphicData>
            </a:graphic>
          </wp:inline>
        </w:drawing>
      </w:r>
    </w:p>
    <w:p w14:paraId="043D86B6" w14:textId="77777777" w:rsidR="00C5068F" w:rsidRPr="00BB2098" w:rsidRDefault="00C5068F" w:rsidP="00C5068F">
      <w:pPr>
        <w:spacing w:after="0" w:line="240" w:lineRule="auto"/>
        <w:rPr>
          <w:rFonts w:cstheme="minorHAnsi"/>
        </w:rPr>
      </w:pPr>
      <w:r w:rsidRPr="00B65379">
        <w:rPr>
          <w:rFonts w:cstheme="minorHAnsi"/>
          <w:b/>
          <w:bCs/>
        </w:rPr>
        <w:t>Activity 5:</w:t>
      </w:r>
      <w:r>
        <w:rPr>
          <w:rFonts w:cstheme="minorHAnsi"/>
        </w:rPr>
        <w:t xml:space="preserve"> </w:t>
      </w:r>
      <w:r w:rsidRPr="00BB2098">
        <w:rPr>
          <w:rFonts w:cstheme="minorHAnsi"/>
        </w:rPr>
        <w:t xml:space="preserve">WINTAC: Develop a Pilot </w:t>
      </w:r>
      <w:r>
        <w:rPr>
          <w:rFonts w:cstheme="minorHAnsi"/>
        </w:rPr>
        <w:t>Roadmap</w:t>
      </w:r>
      <w:r w:rsidRPr="00BB2098">
        <w:rPr>
          <w:rFonts w:cstheme="minorHAnsi"/>
        </w:rPr>
        <w:t>, including the identification of sites</w:t>
      </w:r>
      <w:r>
        <w:rPr>
          <w:rFonts w:cstheme="minorHAnsi"/>
        </w:rPr>
        <w:t xml:space="preserve">, </w:t>
      </w:r>
      <w:r w:rsidRPr="00BB2098">
        <w:rPr>
          <w:rFonts w:cstheme="minorHAnsi"/>
        </w:rPr>
        <w:t>CRPs and resources.</w:t>
      </w:r>
    </w:p>
    <w:p w14:paraId="4765A4F8" w14:textId="77777777" w:rsidR="00C5068F" w:rsidRPr="006C54A6" w:rsidRDefault="00C5068F" w:rsidP="00076336">
      <w:pPr>
        <w:pStyle w:val="ListParagraph"/>
        <w:numPr>
          <w:ilvl w:val="0"/>
          <w:numId w:val="42"/>
        </w:numPr>
        <w:spacing w:after="0" w:line="240" w:lineRule="auto"/>
        <w:ind w:left="360"/>
        <w:rPr>
          <w:rFonts w:cstheme="minorHAnsi"/>
          <w:sz w:val="20"/>
          <w:szCs w:val="20"/>
        </w:rPr>
      </w:pPr>
      <w:r w:rsidRPr="006C54A6">
        <w:rPr>
          <w:rFonts w:cstheme="minorHAnsi"/>
          <w:sz w:val="20"/>
          <w:szCs w:val="20"/>
        </w:rPr>
        <w:t>NTACT: identify potential LEA partner sites and resources and monitor LEA(s)’ engagement in the pilot CE site(s)</w:t>
      </w:r>
    </w:p>
    <w:p w14:paraId="2176A86B" w14:textId="77777777" w:rsidR="00C5068F" w:rsidRPr="006C54A6" w:rsidRDefault="00C5068F" w:rsidP="00076336">
      <w:pPr>
        <w:pStyle w:val="ListParagraph"/>
        <w:numPr>
          <w:ilvl w:val="0"/>
          <w:numId w:val="42"/>
        </w:numPr>
        <w:spacing w:after="0" w:line="240" w:lineRule="auto"/>
        <w:ind w:left="360"/>
        <w:rPr>
          <w:rFonts w:cstheme="minorHAnsi"/>
          <w:sz w:val="20"/>
          <w:szCs w:val="20"/>
        </w:rPr>
      </w:pPr>
      <w:r w:rsidRPr="006C54A6">
        <w:rPr>
          <w:rFonts w:cstheme="minorHAnsi"/>
          <w:sz w:val="20"/>
          <w:szCs w:val="20"/>
        </w:rPr>
        <w:t>YTAC: assist in development of comprehensive outreach plan to increase the engagement and enrollment of system-involved (juvenile justice, foster care), homeless, and out-of-school youth in customized employment.</w:t>
      </w:r>
    </w:p>
    <w:p w14:paraId="6027E10B" w14:textId="77777777" w:rsidR="00C5068F" w:rsidRPr="00BB2098" w:rsidRDefault="00C5068F" w:rsidP="00C5068F">
      <w:pPr>
        <w:spacing w:after="0" w:line="240" w:lineRule="auto"/>
        <w:rPr>
          <w:rFonts w:cstheme="minorHAnsi"/>
        </w:rPr>
      </w:pPr>
      <w:r>
        <w:rPr>
          <w:rFonts w:cstheme="minorHAnsi"/>
          <w:b/>
          <w:bCs/>
        </w:rPr>
        <w:t>Output</w:t>
      </w:r>
      <w:r w:rsidRPr="00BB2098">
        <w:rPr>
          <w:rFonts w:cstheme="minorHAnsi"/>
        </w:rPr>
        <w:t xml:space="preserve"> </w:t>
      </w:r>
      <w:r w:rsidRPr="00EE7BF2">
        <w:rPr>
          <w:rFonts w:cstheme="minorHAnsi"/>
          <w:b/>
          <w:bCs/>
        </w:rPr>
        <w:t>E:</w:t>
      </w:r>
      <w:r>
        <w:rPr>
          <w:rFonts w:cstheme="minorHAnsi"/>
        </w:rPr>
        <w:t xml:space="preserve"> </w:t>
      </w:r>
      <w:r w:rsidRPr="00BB2098">
        <w:rPr>
          <w:rFonts w:cstheme="minorHAnsi"/>
        </w:rPr>
        <w:t xml:space="preserve">Completed project implementation plan (roadmap) including pilot site </w:t>
      </w:r>
      <w:r>
        <w:rPr>
          <w:rFonts w:cstheme="minorHAnsi"/>
        </w:rPr>
        <w:t>and</w:t>
      </w:r>
      <w:r w:rsidRPr="00BB2098">
        <w:rPr>
          <w:rFonts w:cstheme="minorHAnsi"/>
        </w:rPr>
        <w:t xml:space="preserve"> partner identification, and resources.</w:t>
      </w:r>
    </w:p>
    <w:p w14:paraId="74F14A78" w14:textId="77777777" w:rsidR="00C5068F" w:rsidRPr="006C54A6" w:rsidRDefault="00C5068F" w:rsidP="00076336">
      <w:pPr>
        <w:pStyle w:val="ListParagraph"/>
        <w:numPr>
          <w:ilvl w:val="0"/>
          <w:numId w:val="43"/>
        </w:numPr>
        <w:spacing w:after="0" w:line="240" w:lineRule="auto"/>
        <w:ind w:left="360"/>
        <w:rPr>
          <w:rFonts w:cstheme="minorHAnsi"/>
          <w:sz w:val="20"/>
          <w:szCs w:val="20"/>
        </w:rPr>
      </w:pPr>
      <w:r w:rsidRPr="006C54A6">
        <w:rPr>
          <w:rFonts w:cstheme="minorHAnsi"/>
          <w:sz w:val="20"/>
          <w:szCs w:val="20"/>
        </w:rPr>
        <w:t>NTACT: LEA engagement and monitoring plan.</w:t>
      </w:r>
    </w:p>
    <w:p w14:paraId="67C2D7E0" w14:textId="77777777" w:rsidR="00C5068F" w:rsidRPr="006C54A6" w:rsidRDefault="00C5068F" w:rsidP="00076336">
      <w:pPr>
        <w:pStyle w:val="ListParagraph"/>
        <w:numPr>
          <w:ilvl w:val="0"/>
          <w:numId w:val="43"/>
        </w:numPr>
        <w:spacing w:after="0" w:line="240" w:lineRule="auto"/>
        <w:ind w:left="360"/>
        <w:rPr>
          <w:rFonts w:cstheme="minorHAnsi"/>
          <w:sz w:val="20"/>
          <w:szCs w:val="20"/>
        </w:rPr>
      </w:pPr>
      <w:r w:rsidRPr="006C54A6">
        <w:rPr>
          <w:rFonts w:cstheme="minorHAnsi"/>
          <w:sz w:val="20"/>
          <w:szCs w:val="20"/>
        </w:rPr>
        <w:t xml:space="preserve">YTAC: comprehensive outreach plan </w:t>
      </w:r>
      <w:r>
        <w:rPr>
          <w:rFonts w:cstheme="minorHAnsi"/>
          <w:sz w:val="20"/>
          <w:szCs w:val="20"/>
        </w:rPr>
        <w:t xml:space="preserve">for </w:t>
      </w:r>
      <w:r w:rsidRPr="006C54A6">
        <w:rPr>
          <w:rFonts w:cstheme="minorHAnsi"/>
          <w:sz w:val="20"/>
          <w:szCs w:val="20"/>
        </w:rPr>
        <w:t>justice, foster care, homeless, and out-of-school youth.</w:t>
      </w:r>
    </w:p>
    <w:p w14:paraId="38E09700" w14:textId="77777777" w:rsidR="00C5068F" w:rsidRPr="00B65379" w:rsidRDefault="00C5068F" w:rsidP="00C5068F">
      <w:pPr>
        <w:spacing w:after="0" w:line="240" w:lineRule="auto"/>
        <w:rPr>
          <w:rFonts w:cstheme="minorHAnsi"/>
        </w:rPr>
      </w:pPr>
      <w:r w:rsidRPr="00B65379">
        <w:rPr>
          <w:rFonts w:cstheme="minorHAnsi"/>
          <w:noProof/>
          <w:lang w:eastAsia="ko-KR"/>
        </w:rPr>
        <w:lastRenderedPageBreak/>
        <w:drawing>
          <wp:inline distT="0" distB="0" distL="0" distR="0" wp14:anchorId="0690D062" wp14:editId="29643A3E">
            <wp:extent cx="2728636" cy="5038726"/>
            <wp:effectExtent l="0" t="0" r="14605" b="9525"/>
            <wp:docPr id="140" name="Chart 140" descr="Activity #6 60% completed100% activity, 10% completed 50% activity. 30% completed 25% activity, 10% Not started and 50% completed 100% output,40% completed 25% outputs, 10% not started outputs">
              <a:extLst xmlns:a="http://schemas.openxmlformats.org/drawingml/2006/main">
                <a:ext uri="{FF2B5EF4-FFF2-40B4-BE49-F238E27FC236}">
                  <a16:creationId xmlns:a16="http://schemas.microsoft.com/office/drawing/2014/main" id="{1DBD74DD-ED80-47C4-AD90-9CEFE4D34D4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2"/>
              </a:graphicData>
            </a:graphic>
          </wp:inline>
        </w:drawing>
      </w:r>
    </w:p>
    <w:p w14:paraId="1B0DA0B0" w14:textId="77777777" w:rsidR="00C5068F" w:rsidRPr="00B65379" w:rsidRDefault="00C5068F" w:rsidP="00C5068F">
      <w:pPr>
        <w:spacing w:after="0" w:line="240" w:lineRule="auto"/>
        <w:rPr>
          <w:rFonts w:cstheme="minorHAnsi"/>
        </w:rPr>
      </w:pPr>
      <w:r w:rsidRPr="00B65379">
        <w:rPr>
          <w:rFonts w:cstheme="minorHAnsi"/>
          <w:b/>
          <w:bCs/>
        </w:rPr>
        <w:t>Activity 6:</w:t>
      </w:r>
      <w:r>
        <w:rPr>
          <w:rFonts w:cstheme="minorHAnsi"/>
        </w:rPr>
        <w:t xml:space="preserve"> </w:t>
      </w:r>
      <w:r w:rsidRPr="00B65379">
        <w:rPr>
          <w:rFonts w:cstheme="minorHAnsi"/>
        </w:rPr>
        <w:t>WINTAC: Assist the agency in revising policies, procedures, fee structures, and MOUs relevant to the implementation of CE as needed.</w:t>
      </w:r>
    </w:p>
    <w:p w14:paraId="74DA3090" w14:textId="77777777" w:rsidR="00C5068F" w:rsidRPr="006C54A6" w:rsidRDefault="00C5068F" w:rsidP="00076336">
      <w:pPr>
        <w:pStyle w:val="ListParagraph"/>
        <w:numPr>
          <w:ilvl w:val="0"/>
          <w:numId w:val="44"/>
        </w:numPr>
        <w:spacing w:after="0" w:line="240" w:lineRule="auto"/>
        <w:ind w:left="360"/>
        <w:rPr>
          <w:rFonts w:cstheme="minorHAnsi"/>
          <w:sz w:val="20"/>
          <w:szCs w:val="20"/>
        </w:rPr>
      </w:pPr>
      <w:r w:rsidRPr="006C54A6">
        <w:rPr>
          <w:rFonts w:cstheme="minorHAnsi"/>
          <w:sz w:val="20"/>
          <w:szCs w:val="20"/>
        </w:rPr>
        <w:t>NTACT: facilitate discussion and coordination with pilot LEAs regarding alignment of current transition activities/services and CE implementation.</w:t>
      </w:r>
    </w:p>
    <w:p w14:paraId="71860017" w14:textId="77777777" w:rsidR="00C5068F" w:rsidRPr="00B65379" w:rsidRDefault="00C5068F" w:rsidP="00076336">
      <w:pPr>
        <w:pStyle w:val="ListParagraph"/>
        <w:numPr>
          <w:ilvl w:val="0"/>
          <w:numId w:val="44"/>
        </w:numPr>
        <w:spacing w:after="0" w:line="240" w:lineRule="auto"/>
        <w:ind w:left="360"/>
        <w:rPr>
          <w:rFonts w:cstheme="minorHAnsi"/>
        </w:rPr>
      </w:pPr>
      <w:r w:rsidRPr="00B65379">
        <w:rPr>
          <w:rFonts w:cstheme="minorHAnsi"/>
        </w:rPr>
        <w:t>YTAC: include braided funding to serve out-of-school youth, and MOUs relevant to the implementation of CE as needed</w:t>
      </w:r>
    </w:p>
    <w:p w14:paraId="3CBE7541" w14:textId="77777777" w:rsidR="00C5068F" w:rsidRPr="00B65379" w:rsidRDefault="00C5068F" w:rsidP="00C5068F">
      <w:pPr>
        <w:spacing w:after="0" w:line="240" w:lineRule="auto"/>
        <w:rPr>
          <w:rFonts w:cstheme="minorHAnsi"/>
        </w:rPr>
      </w:pPr>
      <w:r w:rsidRPr="00EE7BF2">
        <w:rPr>
          <w:rFonts w:cstheme="minorHAnsi"/>
          <w:b/>
          <w:bCs/>
        </w:rPr>
        <w:t>Output F:</w:t>
      </w:r>
      <w:r>
        <w:rPr>
          <w:rFonts w:cstheme="minorHAnsi"/>
        </w:rPr>
        <w:t xml:space="preserve"> </w:t>
      </w:r>
      <w:r w:rsidRPr="00B65379">
        <w:rPr>
          <w:rFonts w:cstheme="minorHAnsi"/>
        </w:rPr>
        <w:t>Drafted policies, procedures, and fee structures governing the provision of CE.</w:t>
      </w:r>
    </w:p>
    <w:p w14:paraId="71A5250A" w14:textId="77777777" w:rsidR="00C5068F" w:rsidRPr="00B65379" w:rsidRDefault="00C5068F" w:rsidP="00C5068F">
      <w:pPr>
        <w:spacing w:after="0" w:line="240" w:lineRule="auto"/>
        <w:rPr>
          <w:rFonts w:cstheme="minorHAnsi"/>
        </w:rPr>
      </w:pPr>
      <w:r w:rsidRPr="00B65379">
        <w:rPr>
          <w:rFonts w:cstheme="minorHAnsi"/>
          <w:noProof/>
          <w:lang w:eastAsia="ko-KR"/>
        </w:rPr>
        <w:drawing>
          <wp:inline distT="0" distB="0" distL="0" distR="0" wp14:anchorId="46DE0D97" wp14:editId="26AE7949">
            <wp:extent cx="2728634" cy="5038726"/>
            <wp:effectExtent l="0" t="0" r="14605" b="9525"/>
            <wp:docPr id="141" name="Chart 141" descr="Activity #7 75% completed100% activity, 25% completed 25% activity and75% completed 100% output, 25% completed 25% output">
              <a:extLst xmlns:a="http://schemas.openxmlformats.org/drawingml/2006/main">
                <a:ext uri="{FF2B5EF4-FFF2-40B4-BE49-F238E27FC236}">
                  <a16:creationId xmlns:a16="http://schemas.microsoft.com/office/drawing/2014/main" id="{D9D19EA2-6C3F-477D-A2E3-2DEC1BF67F1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3"/>
              </a:graphicData>
            </a:graphic>
          </wp:inline>
        </w:drawing>
      </w:r>
    </w:p>
    <w:p w14:paraId="678AD615" w14:textId="77777777" w:rsidR="00C5068F" w:rsidRPr="00B65379" w:rsidRDefault="00C5068F" w:rsidP="00C5068F">
      <w:pPr>
        <w:spacing w:after="0" w:line="240" w:lineRule="auto"/>
        <w:rPr>
          <w:rFonts w:cstheme="minorHAnsi"/>
        </w:rPr>
      </w:pPr>
      <w:r w:rsidRPr="00B65379">
        <w:rPr>
          <w:rFonts w:cstheme="minorHAnsi"/>
          <w:b/>
          <w:bCs/>
        </w:rPr>
        <w:t>Activity 7:</w:t>
      </w:r>
      <w:r>
        <w:rPr>
          <w:rFonts w:cstheme="minorHAnsi"/>
        </w:rPr>
        <w:t xml:space="preserve"> </w:t>
      </w:r>
      <w:r w:rsidRPr="00B65379">
        <w:rPr>
          <w:rFonts w:cstheme="minorHAnsi"/>
        </w:rPr>
        <w:t>WINTAC: Assist in development of a RFP for VR to disseminate to vendors so they can apply to receive training in the Essential Elements of CE and become CE service providers.</w:t>
      </w:r>
    </w:p>
    <w:p w14:paraId="5443E1BB" w14:textId="77777777" w:rsidR="00C5068F" w:rsidRPr="00B65379" w:rsidRDefault="00C5068F" w:rsidP="00C5068F">
      <w:pPr>
        <w:spacing w:after="0" w:line="240" w:lineRule="auto"/>
        <w:rPr>
          <w:rFonts w:cstheme="minorHAnsi"/>
        </w:rPr>
      </w:pPr>
      <w:r w:rsidRPr="0004723B">
        <w:rPr>
          <w:rFonts w:cstheme="minorHAnsi"/>
          <w:b/>
          <w:bCs/>
        </w:rPr>
        <w:t>Output G:</w:t>
      </w:r>
      <w:r>
        <w:rPr>
          <w:rFonts w:cstheme="minorHAnsi"/>
        </w:rPr>
        <w:t xml:space="preserve"> </w:t>
      </w:r>
      <w:r w:rsidRPr="00B65379">
        <w:rPr>
          <w:rFonts w:cstheme="minorHAnsi"/>
        </w:rPr>
        <w:t>Drafted RFP for VR to disseminate to vendors so they can apply to receive training in the Essential Elements of CE and/or become contractors for the provision of CE.</w:t>
      </w:r>
    </w:p>
    <w:p w14:paraId="4B37B7AC" w14:textId="77777777" w:rsidR="00C5068F" w:rsidRPr="00B65379" w:rsidRDefault="00C5068F" w:rsidP="00C5068F">
      <w:pPr>
        <w:spacing w:after="0" w:line="240" w:lineRule="auto"/>
        <w:rPr>
          <w:rFonts w:cstheme="minorHAnsi"/>
        </w:rPr>
      </w:pPr>
      <w:r w:rsidRPr="00B65379">
        <w:rPr>
          <w:rFonts w:cstheme="minorHAnsi"/>
          <w:noProof/>
          <w:lang w:eastAsia="ko-KR"/>
        </w:rPr>
        <w:lastRenderedPageBreak/>
        <w:drawing>
          <wp:inline distT="0" distB="0" distL="0" distR="0" wp14:anchorId="04626AF5" wp14:editId="402C981B">
            <wp:extent cx="2728635" cy="5038726"/>
            <wp:effectExtent l="0" t="0" r="14605" b="9525"/>
            <wp:docPr id="142" name="Chart 142" descr="Activity #8 29% completed100% activity, 14% completed 75% activity. 14% completed 50% activity, 43% completed 25% activity and 29% completed 100% output, 43% completed 65% outputs, 14% completed 50% output 14% completed 25%">
              <a:extLst xmlns:a="http://schemas.openxmlformats.org/drawingml/2006/main">
                <a:ext uri="{FF2B5EF4-FFF2-40B4-BE49-F238E27FC236}">
                  <a16:creationId xmlns:a16="http://schemas.microsoft.com/office/drawing/2014/main" id="{AB281B06-9391-4CE8-A988-B39748A7787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4"/>
              </a:graphicData>
            </a:graphic>
          </wp:inline>
        </w:drawing>
      </w:r>
    </w:p>
    <w:p w14:paraId="338E1B2D" w14:textId="77777777" w:rsidR="00C5068F" w:rsidRPr="00B65379" w:rsidRDefault="00C5068F" w:rsidP="00C5068F">
      <w:pPr>
        <w:spacing w:after="0" w:line="240" w:lineRule="auto"/>
        <w:rPr>
          <w:rFonts w:cstheme="minorHAnsi"/>
        </w:rPr>
      </w:pPr>
      <w:r w:rsidRPr="00B65379">
        <w:rPr>
          <w:rFonts w:cstheme="minorHAnsi"/>
          <w:b/>
          <w:bCs/>
        </w:rPr>
        <w:t>Activity 8:</w:t>
      </w:r>
      <w:r>
        <w:rPr>
          <w:rFonts w:cstheme="minorHAnsi"/>
        </w:rPr>
        <w:t xml:space="preserve"> </w:t>
      </w:r>
      <w:r w:rsidRPr="00B65379">
        <w:rPr>
          <w:rFonts w:cstheme="minorHAnsi"/>
        </w:rPr>
        <w:t>WINTAC: Conduct training of the VR agency staff regarding the Essential Elements of CE, emphasizing appropriate referrals and implementation of quality CE programs and services.</w:t>
      </w:r>
    </w:p>
    <w:p w14:paraId="6DB55115" w14:textId="77777777" w:rsidR="00C5068F" w:rsidRPr="006C54A6" w:rsidRDefault="00C5068F" w:rsidP="00076336">
      <w:pPr>
        <w:pStyle w:val="ListParagraph"/>
        <w:numPr>
          <w:ilvl w:val="0"/>
          <w:numId w:val="45"/>
        </w:numPr>
        <w:spacing w:after="0" w:line="240" w:lineRule="auto"/>
        <w:ind w:left="360"/>
        <w:rPr>
          <w:rFonts w:cstheme="minorHAnsi"/>
          <w:sz w:val="20"/>
          <w:szCs w:val="20"/>
        </w:rPr>
      </w:pPr>
      <w:r w:rsidRPr="006C54A6">
        <w:rPr>
          <w:rFonts w:cstheme="minorHAnsi"/>
          <w:sz w:val="20"/>
          <w:szCs w:val="20"/>
        </w:rPr>
        <w:t>NTACT: facilitate participation of targeted SEA and LEA staff.</w:t>
      </w:r>
    </w:p>
    <w:p w14:paraId="5FF47442" w14:textId="77777777" w:rsidR="00C5068F" w:rsidRPr="006C54A6" w:rsidRDefault="00C5068F" w:rsidP="00076336">
      <w:pPr>
        <w:pStyle w:val="ListParagraph"/>
        <w:numPr>
          <w:ilvl w:val="0"/>
          <w:numId w:val="45"/>
        </w:numPr>
        <w:spacing w:after="0" w:line="240" w:lineRule="auto"/>
        <w:ind w:left="360"/>
        <w:rPr>
          <w:rFonts w:cstheme="minorHAnsi"/>
          <w:sz w:val="20"/>
          <w:szCs w:val="20"/>
        </w:rPr>
      </w:pPr>
      <w:r w:rsidRPr="006C54A6">
        <w:rPr>
          <w:rFonts w:cstheme="minorHAnsi"/>
          <w:sz w:val="20"/>
          <w:szCs w:val="20"/>
        </w:rPr>
        <w:t>YTAC: conduct additional training of the VR agency staff around supporting system-involved (juvenile justice, foster care), homeless, and out-of-school youth in the CE process.</w:t>
      </w:r>
    </w:p>
    <w:p w14:paraId="401CFBE4" w14:textId="77777777" w:rsidR="00C5068F" w:rsidRPr="00B65379" w:rsidRDefault="00C5068F" w:rsidP="00C5068F">
      <w:pPr>
        <w:spacing w:after="0" w:line="240" w:lineRule="auto"/>
        <w:rPr>
          <w:rFonts w:cstheme="minorHAnsi"/>
        </w:rPr>
      </w:pPr>
      <w:r w:rsidRPr="0004723B">
        <w:rPr>
          <w:rFonts w:cstheme="minorHAnsi"/>
          <w:b/>
          <w:bCs/>
        </w:rPr>
        <w:t>Output H:</w:t>
      </w:r>
      <w:r>
        <w:rPr>
          <w:rFonts w:cstheme="minorHAnsi"/>
          <w:b/>
          <w:bCs/>
        </w:rPr>
        <w:t xml:space="preserve"> </w:t>
      </w:r>
      <w:r w:rsidRPr="00B65379">
        <w:rPr>
          <w:rFonts w:cstheme="minorHAnsi"/>
        </w:rPr>
        <w:t>Number of agency staff/CRPs/providers who completed CE training.</w:t>
      </w:r>
    </w:p>
    <w:p w14:paraId="32F83398" w14:textId="77777777" w:rsidR="00C5068F" w:rsidRPr="00B65379" w:rsidRDefault="00C5068F" w:rsidP="00C5068F">
      <w:pPr>
        <w:spacing w:after="0" w:line="240" w:lineRule="auto"/>
        <w:rPr>
          <w:rFonts w:cstheme="minorHAnsi"/>
        </w:rPr>
      </w:pPr>
      <w:r w:rsidRPr="00B65379">
        <w:rPr>
          <w:rFonts w:cstheme="minorHAnsi"/>
          <w:noProof/>
          <w:lang w:eastAsia="ko-KR"/>
        </w:rPr>
        <w:drawing>
          <wp:inline distT="0" distB="0" distL="0" distR="0" wp14:anchorId="01C33772" wp14:editId="73ED4687">
            <wp:extent cx="2728634" cy="5038726"/>
            <wp:effectExtent l="0" t="0" r="14605" b="9525"/>
            <wp:docPr id="143" name="Chart 143" descr="Activity #7 75% completed100% activity, 25% completed 75% activity and75% completed 100% output, 25% completed 75% output">
              <a:extLst xmlns:a="http://schemas.openxmlformats.org/drawingml/2006/main">
                <a:ext uri="{FF2B5EF4-FFF2-40B4-BE49-F238E27FC236}">
                  <a16:creationId xmlns:a16="http://schemas.microsoft.com/office/drawing/2014/main" id="{A04C3CE8-B47B-4AFF-A3ED-178091D312D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5"/>
              </a:graphicData>
            </a:graphic>
          </wp:inline>
        </w:drawing>
      </w:r>
    </w:p>
    <w:p w14:paraId="76E018EB" w14:textId="77777777" w:rsidR="00C5068F" w:rsidRPr="00B65379" w:rsidRDefault="00C5068F" w:rsidP="00C5068F">
      <w:pPr>
        <w:spacing w:after="0" w:line="240" w:lineRule="auto"/>
        <w:rPr>
          <w:rFonts w:cstheme="minorHAnsi"/>
        </w:rPr>
      </w:pPr>
      <w:r w:rsidRPr="00B65379">
        <w:rPr>
          <w:rFonts w:cstheme="minorHAnsi"/>
          <w:b/>
          <w:bCs/>
        </w:rPr>
        <w:t>Activity 9:</w:t>
      </w:r>
      <w:r>
        <w:rPr>
          <w:rFonts w:cstheme="minorHAnsi"/>
        </w:rPr>
        <w:t xml:space="preserve"> </w:t>
      </w:r>
      <w:r w:rsidRPr="00B65379">
        <w:rPr>
          <w:rFonts w:cstheme="minorHAnsi"/>
        </w:rPr>
        <w:t>WINTAC: Conduct training (performance-based) of direct service providers engaged in the Pilot Project regarding the provision of CE, following the Essential Elements model.</w:t>
      </w:r>
    </w:p>
    <w:p w14:paraId="0E28F340" w14:textId="77777777" w:rsidR="00C5068F" w:rsidRPr="0004723B" w:rsidRDefault="00C5068F" w:rsidP="00C5068F">
      <w:pPr>
        <w:spacing w:after="0" w:line="240" w:lineRule="auto"/>
        <w:rPr>
          <w:rFonts w:cstheme="minorHAnsi"/>
        </w:rPr>
      </w:pPr>
      <w:r w:rsidRPr="0004723B">
        <w:rPr>
          <w:rFonts w:cstheme="minorHAnsi"/>
          <w:b/>
          <w:bCs/>
        </w:rPr>
        <w:t>Output I:</w:t>
      </w:r>
      <w:r>
        <w:rPr>
          <w:rFonts w:cstheme="minorHAnsi"/>
        </w:rPr>
        <w:t xml:space="preserve"> </w:t>
      </w:r>
      <w:r w:rsidRPr="0004723B">
        <w:rPr>
          <w:rFonts w:cstheme="minorHAnsi"/>
        </w:rPr>
        <w:t>Number of agency staff/CRPs/providers who are authorized by the agency to receive referrals.</w:t>
      </w:r>
    </w:p>
    <w:p w14:paraId="540885BC" w14:textId="77777777" w:rsidR="00C5068F" w:rsidRPr="00B65379" w:rsidRDefault="00C5068F" w:rsidP="00C5068F">
      <w:pPr>
        <w:spacing w:after="0" w:line="240" w:lineRule="auto"/>
        <w:rPr>
          <w:rFonts w:cstheme="minorHAnsi"/>
        </w:rPr>
      </w:pPr>
      <w:r w:rsidRPr="00B65379">
        <w:rPr>
          <w:rFonts w:cstheme="minorHAnsi"/>
          <w:noProof/>
          <w:lang w:eastAsia="ko-KR"/>
        </w:rPr>
        <w:lastRenderedPageBreak/>
        <w:drawing>
          <wp:inline distT="0" distB="0" distL="0" distR="0" wp14:anchorId="6B07D9B5" wp14:editId="1552765A">
            <wp:extent cx="2728595" cy="5229225"/>
            <wp:effectExtent l="0" t="0" r="14605" b="9525"/>
            <wp:docPr id="144" name="Chart 144" descr="Activity #10 9% completed 75% activity, 45% completed 50% activity. 45% not started activity and 9% completed 75% output, 45% completed 50% outputs, 45% not started outputs">
              <a:extLst xmlns:a="http://schemas.openxmlformats.org/drawingml/2006/main">
                <a:ext uri="{FF2B5EF4-FFF2-40B4-BE49-F238E27FC236}">
                  <a16:creationId xmlns:a16="http://schemas.microsoft.com/office/drawing/2014/main" id="{BC5D3903-5E40-463A-9D1D-1394F57FE0B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6"/>
              </a:graphicData>
            </a:graphic>
          </wp:inline>
        </w:drawing>
      </w:r>
    </w:p>
    <w:p w14:paraId="65FF72EF" w14:textId="77777777" w:rsidR="00C5068F" w:rsidRPr="00B65379" w:rsidRDefault="00C5068F" w:rsidP="00C5068F">
      <w:pPr>
        <w:spacing w:after="0" w:line="240" w:lineRule="auto"/>
        <w:rPr>
          <w:rFonts w:cstheme="minorHAnsi"/>
        </w:rPr>
      </w:pPr>
      <w:r w:rsidRPr="00B65379">
        <w:rPr>
          <w:rFonts w:cstheme="minorHAnsi"/>
          <w:b/>
          <w:bCs/>
        </w:rPr>
        <w:t>Activity 10:</w:t>
      </w:r>
      <w:r>
        <w:rPr>
          <w:rFonts w:cstheme="minorHAnsi"/>
        </w:rPr>
        <w:t xml:space="preserve"> </w:t>
      </w:r>
      <w:r w:rsidRPr="00B65379">
        <w:rPr>
          <w:rFonts w:cstheme="minorHAnsi"/>
        </w:rPr>
        <w:t>WINTAC: Develop a plan to expand and sustain CE.</w:t>
      </w:r>
    </w:p>
    <w:p w14:paraId="13E91B69" w14:textId="77777777" w:rsidR="00C5068F" w:rsidRPr="006C54A6" w:rsidRDefault="00C5068F" w:rsidP="00076336">
      <w:pPr>
        <w:pStyle w:val="ListParagraph"/>
        <w:numPr>
          <w:ilvl w:val="0"/>
          <w:numId w:val="46"/>
        </w:numPr>
        <w:spacing w:after="0" w:line="240" w:lineRule="auto"/>
        <w:ind w:left="360"/>
        <w:rPr>
          <w:rFonts w:cstheme="minorHAnsi"/>
          <w:sz w:val="20"/>
          <w:szCs w:val="20"/>
        </w:rPr>
      </w:pPr>
      <w:r w:rsidRPr="006C54A6">
        <w:rPr>
          <w:rFonts w:cstheme="minorHAnsi"/>
          <w:sz w:val="20"/>
          <w:szCs w:val="20"/>
        </w:rPr>
        <w:t>NTACT: include SEAs and LEAs.</w:t>
      </w:r>
    </w:p>
    <w:p w14:paraId="70CD43CA" w14:textId="77777777" w:rsidR="00C5068F" w:rsidRPr="00B65379" w:rsidRDefault="00C5068F" w:rsidP="00C5068F">
      <w:pPr>
        <w:spacing w:after="0" w:line="240" w:lineRule="auto"/>
        <w:rPr>
          <w:rFonts w:cstheme="minorHAnsi"/>
        </w:rPr>
      </w:pPr>
      <w:r w:rsidRPr="0004723B">
        <w:rPr>
          <w:rFonts w:cstheme="minorHAnsi"/>
          <w:b/>
          <w:bCs/>
        </w:rPr>
        <w:t>Output J:</w:t>
      </w:r>
      <w:r>
        <w:rPr>
          <w:rFonts w:cstheme="minorHAnsi"/>
        </w:rPr>
        <w:t xml:space="preserve"> </w:t>
      </w:r>
      <w:r w:rsidRPr="00B65379">
        <w:rPr>
          <w:rFonts w:cstheme="minorHAnsi"/>
        </w:rPr>
        <w:t>Completed sustainability plan.</w:t>
      </w:r>
    </w:p>
    <w:p w14:paraId="0DAE8283" w14:textId="77777777" w:rsidR="00C5068F" w:rsidRDefault="00C5068F" w:rsidP="00C5068F">
      <w:pPr>
        <w:spacing w:after="0" w:line="240" w:lineRule="auto"/>
        <w:rPr>
          <w:rFonts w:cstheme="minorHAnsi"/>
        </w:rPr>
      </w:pPr>
    </w:p>
    <w:p w14:paraId="7AD1A53E" w14:textId="77777777" w:rsidR="00C5068F" w:rsidRDefault="00C5068F" w:rsidP="00C5068F">
      <w:pPr>
        <w:spacing w:after="0" w:line="240" w:lineRule="auto"/>
        <w:rPr>
          <w:rFonts w:cstheme="minorHAnsi"/>
        </w:rPr>
      </w:pPr>
      <w:r>
        <w:rPr>
          <w:noProof/>
          <w:lang w:eastAsia="ko-KR"/>
        </w:rPr>
        <mc:AlternateContent>
          <mc:Choice Requires="wps">
            <w:drawing>
              <wp:anchor distT="0" distB="0" distL="114300" distR="114300" simplePos="0" relativeHeight="251675648" behindDoc="0" locked="0" layoutInCell="1" allowOverlap="1" wp14:anchorId="27449D9F" wp14:editId="273E37DF">
                <wp:simplePos x="0" y="0"/>
                <wp:positionH relativeFrom="column">
                  <wp:posOffset>1856740</wp:posOffset>
                </wp:positionH>
                <wp:positionV relativeFrom="paragraph">
                  <wp:posOffset>1203960</wp:posOffset>
                </wp:positionV>
                <wp:extent cx="443865" cy="3142615"/>
                <wp:effectExtent l="0" t="0" r="13335" b="19685"/>
                <wp:wrapNone/>
                <wp:docPr id="125" name="Rectangle 1" descr="Vertical bar chart">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43865" cy="3142615"/>
                        </a:xfrm>
                        <a:prstGeom prst="rect">
                          <a:avLst/>
                        </a:prstGeom>
                      </wps:spPr>
                      <wps:style>
                        <a:lnRef idx="2">
                          <a:schemeClr val="dk1"/>
                        </a:lnRef>
                        <a:fillRef idx="1">
                          <a:schemeClr val="lt1"/>
                        </a:fillRef>
                        <a:effectRef idx="0">
                          <a:schemeClr val="dk1"/>
                        </a:effectRef>
                        <a:fontRef idx="minor">
                          <a:schemeClr val="dk1"/>
                        </a:fontRef>
                      </wps:style>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74974D3E" id="Rectangle 1" o:spid="_x0000_s1026" alt="Vertical bar chart" style="position:absolute;margin-left:146.2pt;margin-top:94.8pt;width:34.95pt;height:247.45pt;z-index:2516756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" fillcolor="white [3201]" strokecolor="black [3200]" strokeweight="1pt"/>
            </w:pict>
          </mc:Fallback>
        </mc:AlternateContent>
      </w:r>
      <w:r>
        <w:rPr>
          <w:noProof/>
          <w:lang w:eastAsia="ko-KR"/>
        </w:rPr>
        <mc:AlternateContent>
          <mc:Choice Requires="wps">
            <w:drawing>
              <wp:anchor distT="0" distB="0" distL="114300" distR="114300" simplePos="0" relativeHeight="251676672" behindDoc="0" locked="0" layoutInCell="1" allowOverlap="1" wp14:anchorId="038661D4" wp14:editId="738C638C">
                <wp:simplePos x="0" y="0"/>
                <wp:positionH relativeFrom="column">
                  <wp:posOffset>1765935</wp:posOffset>
                </wp:positionH>
                <wp:positionV relativeFrom="paragraph">
                  <wp:posOffset>4100195</wp:posOffset>
                </wp:positionV>
                <wp:extent cx="626745" cy="666750"/>
                <wp:effectExtent l="0" t="0" r="1905" b="0"/>
                <wp:wrapNone/>
                <wp:docPr id="126" name="Flowchart: Connector 2" descr="Circle figure at the end of the thermometer picture">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26745" cy="666750"/>
                        </a:xfrm>
                        <a:prstGeom prst="flowChartConnector">
                          <a:avLst/>
                        </a:prstGeom>
                        <a:solidFill>
                          <a:srgbClr val="FFE6E6"/>
                        </a:solidFill>
                        <a:ln>
                          <a:noFill/>
                        </a:ln>
                      </wps:spPr>
                      <wps:style>
                        <a:lnRef idx="2">
                          <a:schemeClr val="dk1"/>
                        </a:lnRef>
                        <a:fillRef idx="1">
                          <a:schemeClr val="lt1"/>
                        </a:fillRef>
                        <a:effectRef idx="0">
                          <a:schemeClr val="dk1"/>
                        </a:effectRef>
                        <a:fontRef idx="minor">
                          <a:schemeClr val="dk1"/>
                        </a:fontRef>
                      </wps:style>
                      <wps:bodyPr rtlCol="0" anchor="t"/>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3FCE886A" id="Flowchart: Connector 2" o:spid="_x0000_s1026" type="#_x0000_t120" alt="Circle figure at the end of the thermometer picture" style="position:absolute;margin-left:139.05pt;margin-top:322.85pt;width:49.35pt;height:52.5pt;z-index:2516766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" fillcolor="#ffe6e6" stroked="f" strokeweight="1pt">
                <v:stroke joinstyle="miter"/>
              </v:shape>
            </w:pict>
          </mc:Fallback>
        </mc:AlternateContent>
      </w:r>
      <w:r>
        <w:rPr>
          <w:noProof/>
          <w:lang w:eastAsia="ko-KR"/>
        </w:rPr>
        <mc:AlternateContent>
          <mc:Choice Requires="wps">
            <w:drawing>
              <wp:anchor distT="0" distB="0" distL="114300" distR="114300" simplePos="0" relativeHeight="251677696" behindDoc="0" locked="0" layoutInCell="1" allowOverlap="1" wp14:anchorId="6B3F6B13" wp14:editId="778884F2">
                <wp:simplePos x="0" y="0"/>
                <wp:positionH relativeFrom="column">
                  <wp:posOffset>735965</wp:posOffset>
                </wp:positionH>
                <wp:positionV relativeFrom="paragraph">
                  <wp:posOffset>1193165</wp:posOffset>
                </wp:positionV>
                <wp:extent cx="443865" cy="3142615"/>
                <wp:effectExtent l="0" t="0" r="13335" b="6985"/>
                <wp:wrapNone/>
                <wp:docPr id="127" name="Rectangle 3" descr="Vertical bar chart">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43865" cy="3142615"/>
                        </a:xfrm>
                        <a:prstGeom prst="rect">
                          <a:avLst/>
                        </a:prstGeom>
                      </wps:spPr>
                      <wps:style>
                        <a:lnRef idx="2">
                          <a:schemeClr val="dk1"/>
                        </a:lnRef>
                        <a:fillRef idx="1">
                          <a:schemeClr val="lt1"/>
                        </a:fillRef>
                        <a:effectRef idx="0">
                          <a:schemeClr val="dk1"/>
                        </a:effectRef>
                        <a:fontRef idx="minor">
                          <a:schemeClr val="dk1"/>
                        </a:fontRef>
                      </wps:style>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774113ED" id="Rectangle 3" o:spid="_x0000_s1026" alt="Vertical bar chart" style="position:absolute;margin-left:57.95pt;margin-top:93.95pt;width:34.95pt;height:247.45pt;z-index:2516776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" fillcolor="white [3201]" strokecolor="black [3200]" strokeweight="1pt"/>
            </w:pict>
          </mc:Fallback>
        </mc:AlternateContent>
      </w:r>
      <w:r>
        <w:rPr>
          <w:noProof/>
          <w:lang w:eastAsia="ko-KR"/>
        </w:rPr>
        <mc:AlternateContent>
          <mc:Choice Requires="wps">
            <w:drawing>
              <wp:anchor distT="0" distB="0" distL="114300" distR="114300" simplePos="0" relativeHeight="251678720" behindDoc="0" locked="0" layoutInCell="1" allowOverlap="1" wp14:anchorId="249963BB" wp14:editId="48B0FF31">
                <wp:simplePos x="0" y="0"/>
                <wp:positionH relativeFrom="column">
                  <wp:posOffset>645160</wp:posOffset>
                </wp:positionH>
                <wp:positionV relativeFrom="paragraph">
                  <wp:posOffset>4089960</wp:posOffset>
                </wp:positionV>
                <wp:extent cx="626745" cy="666750"/>
                <wp:effectExtent l="0" t="0" r="0" b="6350"/>
                <wp:wrapNone/>
                <wp:docPr id="128" name="Flowchart: Connector 2" descr="Circle figure at the end of the thermometer picture">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26745" cy="666750"/>
                        </a:xfrm>
                        <a:prstGeom prst="flowChartConnector">
                          <a:avLst/>
                        </a:prstGeom>
                        <a:solidFill>
                          <a:srgbClr val="FFE6E6"/>
                        </a:solidFill>
                        <a:ln>
                          <a:noFill/>
                        </a:ln>
                      </wps:spPr>
                      <wps:style>
                        <a:lnRef idx="2">
                          <a:schemeClr val="dk1"/>
                        </a:lnRef>
                        <a:fillRef idx="1">
                          <a:schemeClr val="lt1"/>
                        </a:fillRef>
                        <a:effectRef idx="0">
                          <a:schemeClr val="dk1"/>
                        </a:effectRef>
                        <a:fontRef idx="minor">
                          <a:schemeClr val="dk1"/>
                        </a:fontRef>
                      </wps:style>
                      <wps:bodyPr rtlCol="0" anchor="t"/>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1DAF1F31" id="Flowchart: Connector 2" o:spid="_x0000_s1026" type="#_x0000_t120" alt="Circle figure at the end of the thermometer picture" style="position:absolute;margin-left:50.8pt;margin-top:322.05pt;width:49.35pt;height:52.5pt;z-index:2516787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" fillcolor="#ffe6e6" stroked="f" strokeweight="1pt">
                <v:stroke joinstyle="miter"/>
              </v:shape>
            </w:pict>
          </mc:Fallback>
        </mc:AlternateContent>
      </w:r>
      <w:r>
        <w:rPr>
          <w:noProof/>
          <w:lang w:eastAsia="ko-KR"/>
        </w:rPr>
        <w:drawing>
          <wp:inline distT="0" distB="0" distL="0" distR="0" wp14:anchorId="5C3F79AD" wp14:editId="0A2BD0D2">
            <wp:extent cx="2791842" cy="5145242"/>
            <wp:effectExtent l="0" t="0" r="15240" b="11430"/>
            <wp:docPr id="145" name="Chart 145" descr="No activities or outputs reported">
              <a:extLst xmlns:a="http://schemas.openxmlformats.org/drawingml/2006/main">
                <a:ext uri="{FF2B5EF4-FFF2-40B4-BE49-F238E27FC236}">
                  <a16:creationId xmlns:a16="http://schemas.microsoft.com/office/drawing/2014/main" id="{B2482CFB-1964-44F8-8556-F2FCDE36675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7"/>
              </a:graphicData>
            </a:graphic>
          </wp:inline>
        </w:drawing>
      </w:r>
      <w:r w:rsidRPr="0004723B">
        <w:rPr>
          <w:rFonts w:cstheme="minorHAnsi"/>
          <w:b/>
          <w:bCs/>
        </w:rPr>
        <w:t>Activity 11:</w:t>
      </w:r>
      <w:r>
        <w:rPr>
          <w:rFonts w:cstheme="minorHAnsi"/>
        </w:rPr>
        <w:t xml:space="preserve"> </w:t>
      </w:r>
      <w:r w:rsidRPr="006C54A6">
        <w:rPr>
          <w:rFonts w:cstheme="minorHAnsi"/>
          <w:sz w:val="20"/>
          <w:szCs w:val="20"/>
        </w:rPr>
        <w:t>NTACT: Monitor LEA(s) engagement in pilot site.</w:t>
      </w:r>
    </w:p>
    <w:p w14:paraId="57BD2A91" w14:textId="77777777" w:rsidR="00C5068F" w:rsidRDefault="00C5068F" w:rsidP="00C5068F">
      <w:pPr>
        <w:spacing w:after="0" w:line="240" w:lineRule="auto"/>
        <w:rPr>
          <w:rFonts w:cstheme="minorHAnsi"/>
        </w:rPr>
      </w:pPr>
      <w:r>
        <w:rPr>
          <w:rFonts w:cstheme="minorHAnsi"/>
          <w:b/>
          <w:bCs/>
        </w:rPr>
        <w:t xml:space="preserve">Output </w:t>
      </w:r>
      <w:r w:rsidRPr="0004723B">
        <w:rPr>
          <w:rFonts w:cstheme="minorHAnsi"/>
          <w:b/>
          <w:bCs/>
        </w:rPr>
        <w:t>K:</w:t>
      </w:r>
      <w:r>
        <w:rPr>
          <w:rFonts w:cstheme="minorHAnsi"/>
        </w:rPr>
        <w:t xml:space="preserve"> </w:t>
      </w:r>
      <w:r w:rsidRPr="006C54A6">
        <w:rPr>
          <w:rFonts w:cstheme="minorHAnsi"/>
          <w:sz w:val="20"/>
          <w:szCs w:val="20"/>
        </w:rPr>
        <w:t>Additional NTACT Output: A completed monitoring summary of LEA(s) engagement in the pilot CE site(s).</w:t>
      </w:r>
    </w:p>
    <w:p w14:paraId="0F16DE03" w14:textId="77777777" w:rsidR="00C5068F" w:rsidRDefault="00C5068F" w:rsidP="00C5068F">
      <w:pPr>
        <w:spacing w:after="0" w:line="240" w:lineRule="auto"/>
        <w:rPr>
          <w:rFonts w:cstheme="minorHAnsi"/>
        </w:rPr>
      </w:pPr>
    </w:p>
    <w:p w14:paraId="7B4FCAB0" w14:textId="77777777" w:rsidR="00C5068F" w:rsidRPr="00B65379" w:rsidRDefault="00C5068F" w:rsidP="00C5068F">
      <w:pPr>
        <w:spacing w:after="0" w:line="240" w:lineRule="auto"/>
        <w:rPr>
          <w:rFonts w:cstheme="minorHAnsi"/>
        </w:rPr>
      </w:pPr>
      <w:r w:rsidRPr="00237C9C">
        <w:rPr>
          <w:rFonts w:cstheme="minorHAnsi"/>
          <w:i/>
        </w:rPr>
        <w:t xml:space="preserve">[Note: None of the </w:t>
      </w:r>
      <w:r>
        <w:rPr>
          <w:rFonts w:cstheme="minorHAnsi"/>
          <w:i/>
        </w:rPr>
        <w:t>current</w:t>
      </w:r>
      <w:r w:rsidRPr="00237C9C">
        <w:rPr>
          <w:rFonts w:cstheme="minorHAnsi"/>
          <w:i/>
        </w:rPr>
        <w:t xml:space="preserve"> </w:t>
      </w:r>
      <w:r>
        <w:rPr>
          <w:rFonts w:cstheme="minorHAnsi"/>
          <w:i/>
        </w:rPr>
        <w:t>CE Pilots</w:t>
      </w:r>
      <w:r w:rsidRPr="00237C9C">
        <w:rPr>
          <w:rFonts w:cstheme="minorHAnsi"/>
          <w:i/>
        </w:rPr>
        <w:t xml:space="preserve"> requested TA on this activity.]</w:t>
      </w:r>
    </w:p>
    <w:p w14:paraId="3F1FCB95" w14:textId="77777777" w:rsidR="00C5068F" w:rsidRDefault="00C5068F" w:rsidP="00C5068F">
      <w:pPr>
        <w:spacing w:after="0" w:line="240" w:lineRule="auto"/>
      </w:pPr>
      <w:r>
        <w:rPr>
          <w:noProof/>
          <w:lang w:eastAsia="ko-KR"/>
        </w:rPr>
        <w:lastRenderedPageBreak/>
        <w:drawing>
          <wp:inline distT="0" distB="0" distL="0" distR="0" wp14:anchorId="4DF6BC24" wp14:editId="13091DFB">
            <wp:extent cx="2728634" cy="5038726"/>
            <wp:effectExtent l="0" t="0" r="14605" b="9525"/>
            <wp:docPr id="146" name="Chart 146" descr="Activity Unique 100% completed activity and 100% completed outputs">
              <a:extLst xmlns:a="http://schemas.openxmlformats.org/drawingml/2006/main">
                <a:ext uri="{FF2B5EF4-FFF2-40B4-BE49-F238E27FC236}">
                  <a16:creationId xmlns:a16="http://schemas.microsoft.com/office/drawing/2014/main" id="{FA858B39-B26E-45C6-A550-21187EDB81E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8"/>
              </a:graphicData>
            </a:graphic>
          </wp:inline>
        </w:drawing>
      </w:r>
    </w:p>
    <w:p w14:paraId="41D1E088" w14:textId="77777777" w:rsidR="00C5068F" w:rsidRPr="0004723B" w:rsidRDefault="00C5068F" w:rsidP="00C5068F">
      <w:pPr>
        <w:spacing w:after="0" w:line="240" w:lineRule="auto"/>
        <w:rPr>
          <w:rFonts w:cstheme="minorHAnsi"/>
        </w:rPr>
      </w:pPr>
      <w:r w:rsidRPr="0004723B">
        <w:rPr>
          <w:rFonts w:cstheme="minorHAnsi"/>
          <w:b/>
          <w:bCs/>
        </w:rPr>
        <w:t xml:space="preserve">Activity </w:t>
      </w:r>
      <w:r>
        <w:rPr>
          <w:rFonts w:cstheme="minorHAnsi"/>
          <w:b/>
          <w:bCs/>
        </w:rPr>
        <w:t>Unique 1</w:t>
      </w:r>
      <w:r w:rsidRPr="0004723B">
        <w:rPr>
          <w:rFonts w:cstheme="minorHAnsi"/>
          <w:b/>
          <w:bCs/>
        </w:rPr>
        <w:t>:</w:t>
      </w:r>
      <w:r w:rsidRPr="0004723B">
        <w:t xml:space="preserve"> </w:t>
      </w:r>
      <w:r w:rsidRPr="0004723B">
        <w:rPr>
          <w:rFonts w:cstheme="minorHAnsi"/>
        </w:rPr>
        <w:t>Research CE models nationally.</w:t>
      </w:r>
    </w:p>
    <w:p w14:paraId="2B9F8D3C" w14:textId="77777777" w:rsidR="00C5068F" w:rsidRPr="0004723B" w:rsidRDefault="00C5068F" w:rsidP="00C5068F">
      <w:pPr>
        <w:spacing w:after="0" w:line="240" w:lineRule="auto"/>
        <w:rPr>
          <w:rFonts w:cstheme="minorHAnsi"/>
        </w:rPr>
      </w:pPr>
      <w:r>
        <w:rPr>
          <w:rFonts w:cstheme="minorHAnsi"/>
          <w:b/>
          <w:bCs/>
        </w:rPr>
        <w:t>Activity Unique 2</w:t>
      </w:r>
      <w:r w:rsidRPr="0004723B">
        <w:rPr>
          <w:rFonts w:cstheme="minorHAnsi"/>
          <w:b/>
          <w:bCs/>
        </w:rPr>
        <w:t>:</w:t>
      </w:r>
      <w:r w:rsidRPr="0004723B">
        <w:t xml:space="preserve"> </w:t>
      </w:r>
      <w:r w:rsidRPr="0004723B">
        <w:rPr>
          <w:rFonts w:cstheme="minorHAnsi"/>
        </w:rPr>
        <w:t>Research rates paid for the provision of CE by other VR programs.</w:t>
      </w:r>
    </w:p>
    <w:p w14:paraId="22FA09BF" w14:textId="77777777" w:rsidR="00C5068F" w:rsidRPr="0004723B" w:rsidRDefault="00C5068F" w:rsidP="00C5068F">
      <w:pPr>
        <w:spacing w:after="0" w:line="240" w:lineRule="auto"/>
        <w:rPr>
          <w:rFonts w:cstheme="minorHAnsi"/>
        </w:rPr>
      </w:pPr>
      <w:r>
        <w:rPr>
          <w:rFonts w:cstheme="minorHAnsi"/>
          <w:b/>
          <w:bCs/>
        </w:rPr>
        <w:t>Output 1</w:t>
      </w:r>
      <w:r w:rsidRPr="0004723B">
        <w:rPr>
          <w:rFonts w:cstheme="minorHAnsi"/>
          <w:b/>
          <w:bCs/>
        </w:rPr>
        <w:t>:</w:t>
      </w:r>
      <w:r w:rsidRPr="0004723B">
        <w:t xml:space="preserve"> </w:t>
      </w:r>
      <w:r w:rsidRPr="0004723B">
        <w:rPr>
          <w:rFonts w:cstheme="minorHAnsi"/>
        </w:rPr>
        <w:t>Number of CE models provided to DOR.</w:t>
      </w:r>
    </w:p>
    <w:p w14:paraId="6D549AC8" w14:textId="77777777" w:rsidR="00C5068F" w:rsidRDefault="00C5068F" w:rsidP="00C5068F">
      <w:pPr>
        <w:rPr>
          <w:rFonts w:cstheme="minorHAnsi"/>
        </w:rPr>
        <w:sectPr w:rsidR="00C5068F" w:rsidSect="00D27D05">
          <w:type w:val="continuous"/>
          <w:pgSz w:w="12240" w:h="15840"/>
          <w:pgMar w:top="1440" w:right="1440" w:bottom="1440" w:left="1440" w:header="720" w:footer="720" w:gutter="0"/>
          <w:pgBorders w:offsetFrom="page">
            <w:top w:val="thinThickSmallGap" w:sz="24" w:space="24" w:color="2F5496" w:themeColor="accent1" w:themeShade="BF"/>
            <w:left w:val="thinThickSmallGap" w:sz="24" w:space="24" w:color="2F5496" w:themeColor="accent1" w:themeShade="BF"/>
            <w:bottom w:val="thickThinSmallGap" w:sz="24" w:space="24" w:color="2F5496" w:themeColor="accent1" w:themeShade="BF"/>
            <w:right w:val="thickThinSmallGap" w:sz="24" w:space="24" w:color="2F5496" w:themeColor="accent1" w:themeShade="BF"/>
          </w:pgBorders>
          <w:cols w:num="2" w:space="720"/>
          <w:docGrid w:linePitch="360"/>
        </w:sectPr>
      </w:pPr>
      <w:r>
        <w:rPr>
          <w:rFonts w:cstheme="minorHAnsi"/>
          <w:b/>
          <w:bCs/>
        </w:rPr>
        <w:t>Output 2</w:t>
      </w:r>
      <w:r w:rsidRPr="0004723B">
        <w:rPr>
          <w:rFonts w:cstheme="minorHAnsi"/>
          <w:b/>
          <w:bCs/>
        </w:rPr>
        <w:t>:</w:t>
      </w:r>
      <w:r w:rsidRPr="0004723B">
        <w:t xml:space="preserve"> </w:t>
      </w:r>
      <w:r w:rsidRPr="0004723B">
        <w:rPr>
          <w:rFonts w:cstheme="minorHAnsi"/>
        </w:rPr>
        <w:t>Rate structure provided to DOR</w:t>
      </w:r>
    </w:p>
    <w:p w14:paraId="61C2E5E9" w14:textId="77777777" w:rsidR="00C5068F" w:rsidRDefault="00C5068F" w:rsidP="00C5068F">
      <w:pPr>
        <w:spacing w:after="0"/>
        <w:jc w:val="center"/>
        <w:rPr>
          <w:b/>
          <w:color w:val="FF0000"/>
        </w:rPr>
      </w:pPr>
      <w:r>
        <w:rPr>
          <w:noProof/>
          <w:lang w:eastAsia="ko-KR"/>
        </w:rPr>
        <w:lastRenderedPageBreak/>
        <w:drawing>
          <wp:inline distT="0" distB="0" distL="0" distR="0" wp14:anchorId="47C9BF38" wp14:editId="21B99772">
            <wp:extent cx="4532923" cy="3029756"/>
            <wp:effectExtent l="0" t="0" r="1270" b="5715"/>
            <wp:docPr id="147" name="Picture 147" descr="chart showing outcomes progress customized employment. Not started 14%, 43% completed 25%, 7% completed 50%, 5% completed 75%, 5% completed 90%, 25% completed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359">
                      <a:extLst>
                        <a:ext uri="{28A0092B-C50C-407E-A947-70E740481C1C}">
                          <a14:useLocalDpi xmlns:a14="http://schemas.microsoft.com/office/drawing/2010/main" val="0"/>
                        </a:ext>
                      </a:extLst>
                    </a:blip>
                    <a:srcRect l="19867" t="1466" r="21598" b="32713"/>
                    <a:stretch/>
                  </pic:blipFill>
                  <pic:spPr bwMode="auto">
                    <a:xfrm>
                      <a:off x="0" y="0"/>
                      <a:ext cx="4546585" cy="3038887"/>
                    </a:xfrm>
                    <a:prstGeom prst="rect">
                      <a:avLst/>
                    </a:prstGeom>
                    <a:noFill/>
                    <a:ln>
                      <a:noFill/>
                    </a:ln>
                    <a:extLst>
                      <a:ext uri="{53640926-AAD7-44D8-BBD7-CCE9431645EC}">
                        <a14:shadowObscured xmlns:a14="http://schemas.microsoft.com/office/drawing/2010/main"/>
                      </a:ext>
                    </a:extLst>
                  </pic:spPr>
                </pic:pic>
              </a:graphicData>
            </a:graphic>
          </wp:inline>
        </w:drawing>
      </w:r>
    </w:p>
    <w:p w14:paraId="0CFB1435" w14:textId="77777777" w:rsidR="00C5068F" w:rsidRDefault="00C5068F" w:rsidP="00C5068F">
      <w:pPr>
        <w:tabs>
          <w:tab w:val="left" w:pos="360"/>
        </w:tabs>
        <w:spacing w:after="80"/>
      </w:pPr>
      <w:r>
        <w:rPr>
          <w:b/>
          <w:color w:val="FF0000"/>
        </w:rPr>
        <w:tab/>
      </w:r>
      <w:r w:rsidRPr="00FA3678">
        <w:t>This infographic</w:t>
      </w:r>
      <w:r>
        <w:t xml:space="preserve"> shows that over one-third of anticipated CE outcomes are at least 75% achieved. These include measurable increases for seven SVRAs in one or more of the following: </w:t>
      </w:r>
    </w:p>
    <w:p w14:paraId="1742F2B3" w14:textId="77777777" w:rsidR="00C5068F" w:rsidRDefault="00C5068F" w:rsidP="00076336">
      <w:pPr>
        <w:pStyle w:val="ListParagraph"/>
        <w:numPr>
          <w:ilvl w:val="0"/>
          <w:numId w:val="23"/>
        </w:numPr>
        <w:spacing w:after="100" w:afterAutospacing="1"/>
        <w:ind w:left="1080"/>
      </w:pPr>
      <w:r>
        <w:t>Individuals achieving CIE outcomes</w:t>
      </w:r>
    </w:p>
    <w:p w14:paraId="7E656E67" w14:textId="77777777" w:rsidR="00C5068F" w:rsidRPr="00FA3678" w:rsidRDefault="00C5068F" w:rsidP="00076336">
      <w:pPr>
        <w:pStyle w:val="ListParagraph"/>
        <w:numPr>
          <w:ilvl w:val="0"/>
          <w:numId w:val="23"/>
        </w:numPr>
        <w:spacing w:before="100" w:beforeAutospacing="1" w:after="100" w:afterAutospacing="1"/>
        <w:ind w:left="1080"/>
      </w:pPr>
      <w:r>
        <w:t>Individuals receiving CE services</w:t>
      </w:r>
    </w:p>
    <w:p w14:paraId="14495A29" w14:textId="77777777" w:rsidR="00C5068F" w:rsidRDefault="00C5068F" w:rsidP="00076336">
      <w:pPr>
        <w:pStyle w:val="ListParagraph"/>
        <w:numPr>
          <w:ilvl w:val="0"/>
          <w:numId w:val="23"/>
        </w:numPr>
        <w:spacing w:before="100" w:beforeAutospacing="1" w:after="100" w:afterAutospacing="1"/>
        <w:ind w:left="1080"/>
      </w:pPr>
      <w:r>
        <w:t>Statewide capacity to deliver CE services</w:t>
      </w:r>
    </w:p>
    <w:p w14:paraId="5D148A5E" w14:textId="77777777" w:rsidR="00C5068F" w:rsidRDefault="00C5068F" w:rsidP="00076336">
      <w:pPr>
        <w:pStyle w:val="ListParagraph"/>
        <w:numPr>
          <w:ilvl w:val="0"/>
          <w:numId w:val="23"/>
        </w:numPr>
        <w:spacing w:before="100" w:beforeAutospacing="1" w:after="100" w:afterAutospacing="1"/>
        <w:ind w:left="1080"/>
      </w:pPr>
      <w:r>
        <w:t>VR capacity to leverage partner resources</w:t>
      </w:r>
    </w:p>
    <w:p w14:paraId="780D302E" w14:textId="77777777" w:rsidR="00C5068F" w:rsidRDefault="00C5068F" w:rsidP="00076336">
      <w:pPr>
        <w:pStyle w:val="ListParagraph"/>
        <w:numPr>
          <w:ilvl w:val="0"/>
          <w:numId w:val="23"/>
        </w:numPr>
        <w:spacing w:before="100" w:beforeAutospacing="1" w:after="100" w:afterAutospacing="1"/>
        <w:ind w:left="1080"/>
      </w:pPr>
      <w:r>
        <w:t xml:space="preserve">VR staff </w:t>
      </w:r>
      <w:r w:rsidRPr="007E7B08">
        <w:rPr>
          <w:sz w:val="24"/>
          <w:szCs w:val="24"/>
        </w:rPr>
        <w:t>understanding</w:t>
      </w:r>
      <w:r>
        <w:t xml:space="preserve"> of when CE is an appropriate service for individuals with disabilities</w:t>
      </w:r>
    </w:p>
    <w:p w14:paraId="2CFE5477" w14:textId="77777777" w:rsidR="00C5068F" w:rsidRPr="005436FE" w:rsidRDefault="00C5068F" w:rsidP="00BA0D82">
      <w:pPr>
        <w:pStyle w:val="Heading2"/>
        <w:numPr>
          <w:ilvl w:val="0"/>
          <w:numId w:val="0"/>
        </w:numPr>
        <w:shd w:val="clear" w:color="auto" w:fill="FFE599" w:themeFill="accent4" w:themeFillTint="66"/>
      </w:pPr>
      <w:bookmarkStart w:id="100" w:name="_Toc27904612"/>
      <w:bookmarkStart w:id="101" w:name="_Toc28011442"/>
      <w:r w:rsidRPr="005436FE">
        <w:t>Customized Employment Pilot Data Dashboards</w:t>
      </w:r>
      <w:bookmarkEnd w:id="100"/>
      <w:bookmarkEnd w:id="101"/>
    </w:p>
    <w:p w14:paraId="33FB2788" w14:textId="3FDA7814" w:rsidR="00C5068F" w:rsidRDefault="00C5068F" w:rsidP="00C5068F">
      <w:pPr>
        <w:tabs>
          <w:tab w:val="left" w:pos="360"/>
        </w:tabs>
        <w:spacing w:after="0"/>
        <w:rPr>
          <w:rFonts w:cstheme="minorHAnsi"/>
        </w:rPr>
      </w:pPr>
      <w:r>
        <w:tab/>
        <w:t xml:space="preserve">SVRAs report quarterly to WINTAC on </w:t>
      </w:r>
      <w:r>
        <w:rPr>
          <w:rFonts w:cstheme="minorHAnsi"/>
        </w:rPr>
        <w:t>six core data elements. They can view their entries on a dashboard. Initial reports seen here cover the period from pilot start-up through September 2019. Aggregate dashboard data for all 13 SVRAs* is displayed below</w:t>
      </w:r>
      <w:r w:rsidR="00CC2509" w:rsidRPr="00CC2509">
        <w:rPr>
          <w:rFonts w:cstheme="minorHAnsi"/>
        </w:rPr>
        <w:t xml:space="preserve"> </w:t>
      </w:r>
      <w:r w:rsidR="00CC2509">
        <w:rPr>
          <w:rFonts w:cstheme="minorHAnsi"/>
        </w:rPr>
        <w:t>A sample online report form appears in Appendix B</w:t>
      </w:r>
      <w:r w:rsidR="00C36EE2">
        <w:rPr>
          <w:rFonts w:cstheme="minorHAnsi"/>
        </w:rPr>
        <w:t>.</w:t>
      </w:r>
      <w:r>
        <w:rPr>
          <w:rFonts w:cstheme="minorHAnsi"/>
        </w:rPr>
        <w:t xml:space="preserve"> </w:t>
      </w:r>
    </w:p>
    <w:p w14:paraId="45285F21" w14:textId="77777777" w:rsidR="00C5068F" w:rsidRPr="000F3D12" w:rsidRDefault="00C5068F" w:rsidP="00C5068F">
      <w:pPr>
        <w:shd w:val="clear" w:color="auto" w:fill="FFE599" w:themeFill="accent4" w:themeFillTint="66"/>
        <w:tabs>
          <w:tab w:val="left" w:pos="360"/>
        </w:tabs>
        <w:spacing w:after="0"/>
        <w:ind w:left="1710" w:right="1710"/>
        <w:jc w:val="center"/>
        <w:rPr>
          <w:rFonts w:cstheme="minorHAnsi"/>
          <w:b/>
        </w:rPr>
      </w:pPr>
      <w:r w:rsidRPr="000F3D12">
        <w:rPr>
          <w:rFonts w:cstheme="minorHAnsi"/>
          <w:b/>
        </w:rPr>
        <w:t>-</w:t>
      </w:r>
      <w:r>
        <w:rPr>
          <w:rFonts w:cstheme="minorHAnsi"/>
          <w:b/>
        </w:rPr>
        <w:t xml:space="preserve">CE DASHBOARD: PILOT </w:t>
      </w:r>
      <w:r w:rsidRPr="000F3D12">
        <w:rPr>
          <w:rFonts w:cstheme="minorHAnsi"/>
          <w:b/>
        </w:rPr>
        <w:t>INPUTS-</w:t>
      </w:r>
    </w:p>
    <w:p w14:paraId="38D63CD8" w14:textId="77777777" w:rsidR="00C5068F" w:rsidRPr="005436FE" w:rsidRDefault="00C5068F" w:rsidP="00C5068F">
      <w:pPr>
        <w:tabs>
          <w:tab w:val="left" w:pos="360"/>
        </w:tabs>
        <w:jc w:val="center"/>
      </w:pPr>
      <w:r>
        <w:rPr>
          <w:noProof/>
          <w:lang w:eastAsia="ko-KR"/>
        </w:rPr>
        <w:drawing>
          <wp:inline distT="0" distB="0" distL="0" distR="0" wp14:anchorId="67F3AA8E" wp14:editId="09E307FE">
            <wp:extent cx="3727450" cy="2175289"/>
            <wp:effectExtent l="38100" t="38100" r="44450" b="34925"/>
            <wp:docPr id="148" name="Picture 148" descr="chart showing number of sites and Partners involved in pil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0"/>
                    <a:srcRect t="2187" r="945"/>
                    <a:stretch/>
                  </pic:blipFill>
                  <pic:spPr bwMode="auto">
                    <a:xfrm>
                      <a:off x="0" y="0"/>
                      <a:ext cx="3751986" cy="2189608"/>
                    </a:xfrm>
                    <a:prstGeom prst="rect">
                      <a:avLst/>
                    </a:prstGeom>
                    <a:ln w="28575">
                      <a:solidFill>
                        <a:schemeClr val="tx1"/>
                      </a:solidFill>
                    </a:ln>
                    <a:extLst>
                      <a:ext uri="{53640926-AAD7-44D8-BBD7-CCE9431645EC}">
                        <a14:shadowObscured xmlns:a14="http://schemas.microsoft.com/office/drawing/2010/main"/>
                      </a:ext>
                    </a:extLst>
                  </pic:spPr>
                </pic:pic>
              </a:graphicData>
            </a:graphic>
          </wp:inline>
        </w:drawing>
      </w:r>
    </w:p>
    <w:p w14:paraId="0DE90BBB" w14:textId="77777777" w:rsidR="00C5068F" w:rsidRDefault="00C5068F" w:rsidP="00C5068F">
      <w:pPr>
        <w:tabs>
          <w:tab w:val="left" w:pos="360"/>
        </w:tabs>
        <w:spacing w:after="0"/>
        <w:ind w:left="1710" w:right="1710"/>
        <w:jc w:val="center"/>
        <w:rPr>
          <w:b/>
        </w:rPr>
      </w:pPr>
    </w:p>
    <w:p w14:paraId="4073AF91" w14:textId="77777777" w:rsidR="00C5068F" w:rsidRDefault="00C5068F" w:rsidP="00C5068F">
      <w:pPr>
        <w:shd w:val="clear" w:color="auto" w:fill="FFE599" w:themeFill="accent4" w:themeFillTint="66"/>
        <w:tabs>
          <w:tab w:val="left" w:pos="360"/>
        </w:tabs>
        <w:spacing w:after="0"/>
        <w:ind w:left="1710" w:right="1710"/>
        <w:jc w:val="center"/>
        <w:rPr>
          <w:b/>
        </w:rPr>
      </w:pPr>
      <w:r w:rsidRPr="004C5DD3">
        <w:rPr>
          <w:b/>
        </w:rPr>
        <w:t>-</w:t>
      </w:r>
      <w:r>
        <w:rPr>
          <w:b/>
        </w:rPr>
        <w:t xml:space="preserve">CE DASHBOARD: PILOT </w:t>
      </w:r>
      <w:r w:rsidRPr="000F3D12">
        <w:rPr>
          <w:rFonts w:cstheme="minorHAnsi"/>
          <w:b/>
        </w:rPr>
        <w:t>OUTPUTS</w:t>
      </w:r>
      <w:r w:rsidRPr="004C5DD3">
        <w:rPr>
          <w:b/>
        </w:rPr>
        <w:t>-</w:t>
      </w:r>
    </w:p>
    <w:p w14:paraId="31233514" w14:textId="77777777" w:rsidR="00C5068F" w:rsidRPr="004C5DD3" w:rsidRDefault="00C5068F" w:rsidP="00C5068F">
      <w:pPr>
        <w:shd w:val="clear" w:color="auto" w:fill="FFF2CC" w:themeFill="accent4" w:themeFillTint="33"/>
        <w:tabs>
          <w:tab w:val="left" w:pos="360"/>
        </w:tabs>
        <w:spacing w:after="0"/>
        <w:ind w:left="1710" w:right="1710"/>
        <w:jc w:val="center"/>
        <w:rPr>
          <w:b/>
        </w:rPr>
      </w:pPr>
      <w:r>
        <w:rPr>
          <w:b/>
        </w:rPr>
        <w:t>TRAINING COHORTS</w:t>
      </w:r>
    </w:p>
    <w:p w14:paraId="2EB80D38" w14:textId="77777777" w:rsidR="00C5068F" w:rsidRDefault="00C5068F" w:rsidP="00C5068F">
      <w:pPr>
        <w:spacing w:after="0"/>
        <w:jc w:val="center"/>
        <w:rPr>
          <w:b/>
          <w:color w:val="FF0000"/>
        </w:rPr>
      </w:pPr>
      <w:r>
        <w:rPr>
          <w:noProof/>
          <w:lang w:eastAsia="ko-KR"/>
        </w:rPr>
        <w:drawing>
          <wp:inline distT="0" distB="0" distL="0" distR="0" wp14:anchorId="65B65F28" wp14:editId="206D711A">
            <wp:extent cx="3851275" cy="2350410"/>
            <wp:effectExtent l="38100" t="38100" r="34925" b="31115"/>
            <wp:docPr id="149" name="Picture 149" descr="chart showing number of cohorts training completed/in prog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1">
                      <a:extLst>
                        <a:ext uri="{28A0092B-C50C-407E-A947-70E740481C1C}">
                          <a14:useLocalDpi xmlns:a14="http://schemas.microsoft.com/office/drawing/2010/main" val="0"/>
                        </a:ext>
                      </a:extLst>
                    </a:blip>
                    <a:srcRect l="2599" t="3189" r="1998" b="3342"/>
                    <a:stretch/>
                  </pic:blipFill>
                  <pic:spPr bwMode="auto">
                    <a:xfrm>
                      <a:off x="0" y="0"/>
                      <a:ext cx="3873770" cy="2364139"/>
                    </a:xfrm>
                    <a:prstGeom prst="rect">
                      <a:avLst/>
                    </a:prstGeom>
                    <a:ln w="28575">
                      <a:solidFill>
                        <a:schemeClr val="tx1"/>
                      </a:solidFill>
                    </a:ln>
                    <a:extLst>
                      <a:ext uri="{53640926-AAD7-44D8-BBD7-CCE9431645EC}">
                        <a14:shadowObscured xmlns:a14="http://schemas.microsoft.com/office/drawing/2010/main"/>
                      </a:ext>
                    </a:extLst>
                  </pic:spPr>
                </pic:pic>
              </a:graphicData>
            </a:graphic>
          </wp:inline>
        </w:drawing>
      </w:r>
    </w:p>
    <w:p w14:paraId="65DFE5B9" w14:textId="77777777" w:rsidR="00C5068F" w:rsidRPr="006466FD" w:rsidRDefault="00C5068F" w:rsidP="00C5068F">
      <w:pPr>
        <w:shd w:val="clear" w:color="auto" w:fill="FFF2CC" w:themeFill="accent4" w:themeFillTint="33"/>
        <w:spacing w:after="0"/>
        <w:ind w:left="1710" w:right="1710"/>
        <w:jc w:val="center"/>
        <w:rPr>
          <w:b/>
        </w:rPr>
      </w:pPr>
      <w:r w:rsidRPr="006466FD">
        <w:rPr>
          <w:b/>
        </w:rPr>
        <w:t>TRAINING COMPLETIONS</w:t>
      </w:r>
    </w:p>
    <w:p w14:paraId="597CD5E1" w14:textId="77777777" w:rsidR="00C5068F" w:rsidRDefault="00C5068F" w:rsidP="00C5068F">
      <w:pPr>
        <w:spacing w:after="0"/>
        <w:jc w:val="center"/>
        <w:rPr>
          <w:b/>
          <w:color w:val="FF0000"/>
        </w:rPr>
      </w:pPr>
      <w:r>
        <w:rPr>
          <w:noProof/>
          <w:lang w:eastAsia="ko-KR"/>
        </w:rPr>
        <w:drawing>
          <wp:inline distT="0" distB="0" distL="0" distR="0" wp14:anchorId="2198B7AE" wp14:editId="7ACB61C1">
            <wp:extent cx="3975100" cy="2261675"/>
            <wp:effectExtent l="38100" t="38100" r="44450" b="43815"/>
            <wp:docPr id="150" name="Picture 150" descr="chart showing participants completed CE training by organiz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2"/>
                    <a:srcRect l="1486" t="3200" r="2485" b="3262"/>
                    <a:stretch/>
                  </pic:blipFill>
                  <pic:spPr bwMode="auto">
                    <a:xfrm>
                      <a:off x="0" y="0"/>
                      <a:ext cx="4039289" cy="2298196"/>
                    </a:xfrm>
                    <a:prstGeom prst="rect">
                      <a:avLst/>
                    </a:prstGeom>
                    <a:ln w="28575">
                      <a:solidFill>
                        <a:schemeClr val="tx1"/>
                      </a:solidFill>
                    </a:ln>
                    <a:extLst>
                      <a:ext uri="{53640926-AAD7-44D8-BBD7-CCE9431645EC}">
                        <a14:shadowObscured xmlns:a14="http://schemas.microsoft.com/office/drawing/2010/main"/>
                      </a:ext>
                    </a:extLst>
                  </pic:spPr>
                </pic:pic>
              </a:graphicData>
            </a:graphic>
          </wp:inline>
        </w:drawing>
      </w:r>
    </w:p>
    <w:p w14:paraId="2525F341" w14:textId="77777777" w:rsidR="00C5068F" w:rsidRDefault="00C5068F" w:rsidP="00C5068F">
      <w:pPr>
        <w:jc w:val="center"/>
        <w:rPr>
          <w:b/>
          <w:color w:val="FF0000"/>
        </w:rPr>
      </w:pPr>
      <w:r>
        <w:rPr>
          <w:noProof/>
          <w:lang w:eastAsia="ko-KR"/>
        </w:rPr>
        <w:drawing>
          <wp:inline distT="0" distB="0" distL="0" distR="0" wp14:anchorId="67721741" wp14:editId="1EF3196B">
            <wp:extent cx="3963363" cy="2279650"/>
            <wp:effectExtent l="38100" t="38100" r="37465" b="44450"/>
            <wp:docPr id="151" name="Picture 151" descr="chart showing participants completed CE training by modal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3"/>
                    <a:srcRect l="2596" t="3428" r="4012" b="5380"/>
                    <a:stretch/>
                  </pic:blipFill>
                  <pic:spPr bwMode="auto">
                    <a:xfrm>
                      <a:off x="0" y="0"/>
                      <a:ext cx="3993920" cy="2297226"/>
                    </a:xfrm>
                    <a:prstGeom prst="rect">
                      <a:avLst/>
                    </a:prstGeom>
                    <a:ln w="28575" cap="flat" cmpd="sng" algn="ctr">
                      <a:solidFill>
                        <a:sysClr val="windowText" lastClr="000000"/>
                      </a:solidFill>
                      <a:prstDash val="solid"/>
                      <a:round/>
                      <a:headEnd type="none" w="med" len="med"/>
                      <a:tailEnd type="none" w="med" len="med"/>
                      <a:extLst>
                        <a:ext uri="{C807C97D-BFC1-408E-A445-0C87EB9F89A2}">
                          <ask:lineSketchStyleProps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3BF1C846" w14:textId="77777777" w:rsidR="00C5068F" w:rsidRDefault="00C5068F" w:rsidP="00C5068F">
      <w:pPr>
        <w:rPr>
          <w:b/>
          <w:color w:val="FF0000"/>
        </w:rPr>
      </w:pPr>
    </w:p>
    <w:p w14:paraId="459D0018" w14:textId="77777777" w:rsidR="00C5068F" w:rsidRDefault="00C5068F" w:rsidP="00C5068F">
      <w:pPr>
        <w:shd w:val="clear" w:color="auto" w:fill="FFE599" w:themeFill="accent4" w:themeFillTint="66"/>
        <w:tabs>
          <w:tab w:val="left" w:pos="360"/>
        </w:tabs>
        <w:spacing w:after="0"/>
        <w:ind w:left="720" w:right="720"/>
        <w:jc w:val="center"/>
        <w:rPr>
          <w:b/>
        </w:rPr>
      </w:pPr>
      <w:r>
        <w:rPr>
          <w:b/>
        </w:rPr>
        <w:lastRenderedPageBreak/>
        <w:t xml:space="preserve">-CE DASHBOARD: PILOT </w:t>
      </w:r>
      <w:r w:rsidRPr="000F3D12">
        <w:rPr>
          <w:rFonts w:cstheme="minorHAnsi"/>
          <w:b/>
        </w:rPr>
        <w:t>OUTCOMES</w:t>
      </w:r>
      <w:r>
        <w:rPr>
          <w:b/>
        </w:rPr>
        <w:t>-</w:t>
      </w:r>
    </w:p>
    <w:p w14:paraId="33196A51" w14:textId="77777777" w:rsidR="00C5068F" w:rsidRDefault="00C5068F" w:rsidP="00C5068F">
      <w:pPr>
        <w:shd w:val="clear" w:color="auto" w:fill="FFF2CC" w:themeFill="accent4" w:themeFillTint="33"/>
        <w:spacing w:after="0"/>
        <w:ind w:left="720" w:right="720"/>
        <w:jc w:val="center"/>
        <w:rPr>
          <w:b/>
        </w:rPr>
      </w:pPr>
      <w:r>
        <w:rPr>
          <w:b/>
        </w:rPr>
        <w:t>CONSUMERS SERVED</w:t>
      </w:r>
    </w:p>
    <w:p w14:paraId="711077D8" w14:textId="77777777" w:rsidR="00C5068F" w:rsidRPr="00B639EB" w:rsidRDefault="00C5068F" w:rsidP="00C5068F">
      <w:pPr>
        <w:shd w:val="clear" w:color="auto" w:fill="FFF2CC" w:themeFill="accent4" w:themeFillTint="33"/>
        <w:spacing w:after="0"/>
        <w:ind w:left="720" w:right="720"/>
        <w:jc w:val="center"/>
        <w:rPr>
          <w:sz w:val="20"/>
          <w:szCs w:val="20"/>
        </w:rPr>
      </w:pPr>
      <w:r>
        <w:rPr>
          <w:sz w:val="20"/>
          <w:szCs w:val="20"/>
        </w:rPr>
        <w:t>*12</w:t>
      </w:r>
      <w:r w:rsidRPr="00B639EB">
        <w:rPr>
          <w:sz w:val="20"/>
          <w:szCs w:val="20"/>
        </w:rPr>
        <w:t xml:space="preserve"> </w:t>
      </w:r>
      <w:r>
        <w:rPr>
          <w:sz w:val="20"/>
          <w:szCs w:val="20"/>
        </w:rPr>
        <w:t>of 13 SVRAs</w:t>
      </w:r>
      <w:r w:rsidRPr="00B639EB">
        <w:rPr>
          <w:sz w:val="20"/>
          <w:szCs w:val="20"/>
        </w:rPr>
        <w:t xml:space="preserve"> reporting</w:t>
      </w:r>
    </w:p>
    <w:p w14:paraId="1FD2922E" w14:textId="77777777" w:rsidR="00C5068F" w:rsidRDefault="00C5068F" w:rsidP="00C5068F">
      <w:pPr>
        <w:shd w:val="clear" w:color="auto" w:fill="FFF2CC" w:themeFill="accent4" w:themeFillTint="33"/>
        <w:spacing w:after="0"/>
        <w:ind w:left="720" w:right="720"/>
        <w:jc w:val="center"/>
        <w:rPr>
          <w:b/>
          <w:color w:val="FF0000"/>
        </w:rPr>
      </w:pPr>
      <w:r w:rsidRPr="00CD77E1">
        <w:rPr>
          <w:noProof/>
          <w:shd w:val="clear" w:color="auto" w:fill="FFF2CC" w:themeFill="accent4" w:themeFillTint="33"/>
          <w:lang w:eastAsia="ko-KR"/>
        </w:rPr>
        <w:drawing>
          <wp:inline distT="0" distB="0" distL="0" distR="0" wp14:anchorId="6F22DA8F" wp14:editId="2727A519">
            <wp:extent cx="3484179" cy="2317177"/>
            <wp:effectExtent l="25400" t="25400" r="21590" b="19685"/>
            <wp:docPr id="152" name="Picture 152" descr="chart showing consumers serv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4"/>
                    <a:srcRect l="2538" t="2220" r="2869" b="2946"/>
                    <a:stretch/>
                  </pic:blipFill>
                  <pic:spPr bwMode="auto">
                    <a:xfrm>
                      <a:off x="0" y="0"/>
                      <a:ext cx="3500080" cy="2327752"/>
                    </a:xfrm>
                    <a:prstGeom prst="rect">
                      <a:avLst/>
                    </a:prstGeom>
                    <a:ln w="28575" cap="flat" cmpd="sng" algn="ctr">
                      <a:solidFill>
                        <a:sysClr val="windowText" lastClr="000000"/>
                      </a:solidFill>
                      <a:prstDash val="solid"/>
                      <a:round/>
                      <a:headEnd type="none" w="med" len="med"/>
                      <a:tailEnd type="none" w="med" len="med"/>
                      <a:extLst>
                        <a:ext uri="{C807C97D-BFC1-408E-A445-0C87EB9F89A2}">
                          <ask:lineSketchStyleProps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6C3EBA29" w14:textId="77777777" w:rsidR="00C5068F" w:rsidRPr="000F3D12" w:rsidRDefault="00C5068F" w:rsidP="00C5068F">
      <w:pPr>
        <w:shd w:val="clear" w:color="auto" w:fill="FFF2CC" w:themeFill="accent4" w:themeFillTint="33"/>
        <w:spacing w:after="0"/>
        <w:ind w:left="720" w:right="720"/>
        <w:jc w:val="center"/>
        <w:rPr>
          <w:b/>
        </w:rPr>
      </w:pPr>
      <w:r>
        <w:rPr>
          <w:b/>
        </w:rPr>
        <w:t>CAPACITY</w:t>
      </w:r>
    </w:p>
    <w:p w14:paraId="3D78B3BA" w14:textId="77777777" w:rsidR="00C5068F" w:rsidRDefault="00C5068F" w:rsidP="00C5068F">
      <w:pPr>
        <w:shd w:val="clear" w:color="auto" w:fill="FFF2CC" w:themeFill="accent4" w:themeFillTint="33"/>
        <w:spacing w:after="0"/>
        <w:ind w:left="720" w:right="720"/>
        <w:jc w:val="center"/>
        <w:rPr>
          <w:b/>
          <w:color w:val="FF0000"/>
        </w:rPr>
      </w:pPr>
      <w:r>
        <w:rPr>
          <w:noProof/>
          <w:lang w:eastAsia="ko-KR"/>
        </w:rPr>
        <w:drawing>
          <wp:inline distT="0" distB="0" distL="0" distR="0" wp14:anchorId="36F58161" wp14:editId="03714327">
            <wp:extent cx="2034540" cy="2034540"/>
            <wp:effectExtent l="0" t="0" r="0" b="0"/>
            <wp:docPr id="153" name="Picture 153" descr="chart showing number of organizations with certified, active, direct service sta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5"/>
                    <a:stretch>
                      <a:fillRect/>
                    </a:stretch>
                  </pic:blipFill>
                  <pic:spPr>
                    <a:xfrm>
                      <a:off x="0" y="0"/>
                      <a:ext cx="2045981" cy="2045981"/>
                    </a:xfrm>
                    <a:prstGeom prst="rect">
                      <a:avLst/>
                    </a:prstGeom>
                  </pic:spPr>
                </pic:pic>
              </a:graphicData>
            </a:graphic>
          </wp:inline>
        </w:drawing>
      </w:r>
    </w:p>
    <w:p w14:paraId="5A93B1B9" w14:textId="77777777" w:rsidR="00C5068F" w:rsidRDefault="00C5068F" w:rsidP="00C5068F">
      <w:pPr>
        <w:jc w:val="center"/>
        <w:rPr>
          <w:b/>
          <w:color w:val="FF0000"/>
        </w:rPr>
      </w:pPr>
      <w:r>
        <w:rPr>
          <w:noProof/>
          <w:lang w:eastAsia="ko-KR"/>
        </w:rPr>
        <w:drawing>
          <wp:inline distT="0" distB="0" distL="0" distR="0" wp14:anchorId="2B29EBA3" wp14:editId="02419619">
            <wp:extent cx="4958255" cy="2710362"/>
            <wp:effectExtent l="25400" t="25400" r="20320" b="20320"/>
            <wp:docPr id="154" name="Picture 154" descr="Chart showing staff involved in customized employment servi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6"/>
                    <a:srcRect l="1057" t="2820" r="2722" b="3649"/>
                    <a:stretch/>
                  </pic:blipFill>
                  <pic:spPr bwMode="auto">
                    <a:xfrm>
                      <a:off x="0" y="0"/>
                      <a:ext cx="4958255" cy="2710362"/>
                    </a:xfrm>
                    <a:prstGeom prst="rect">
                      <a:avLst/>
                    </a:prstGeom>
                    <a:ln w="28575">
                      <a:solidFill>
                        <a:schemeClr val="tx1"/>
                      </a:solidFill>
                    </a:ln>
                    <a:extLst>
                      <a:ext uri="{53640926-AAD7-44D8-BBD7-CCE9431645EC}">
                        <a14:shadowObscured xmlns:a14="http://schemas.microsoft.com/office/drawing/2010/main"/>
                      </a:ext>
                    </a:extLst>
                  </pic:spPr>
                </pic:pic>
              </a:graphicData>
            </a:graphic>
          </wp:inline>
        </w:drawing>
      </w:r>
      <w:r>
        <w:rPr>
          <w:b/>
          <w:color w:val="FF0000"/>
        </w:rPr>
        <w:br w:type="page"/>
      </w:r>
    </w:p>
    <w:p w14:paraId="6F15E729" w14:textId="77777777" w:rsidR="00C5068F" w:rsidRPr="00096C71" w:rsidRDefault="00C5068F" w:rsidP="00BA0D82">
      <w:pPr>
        <w:pStyle w:val="Heading2"/>
        <w:numPr>
          <w:ilvl w:val="0"/>
          <w:numId w:val="0"/>
        </w:numPr>
      </w:pPr>
      <w:bookmarkStart w:id="102" w:name="_Toc27904613"/>
      <w:bookmarkStart w:id="103" w:name="_Toc28011443"/>
      <w:r w:rsidRPr="00096C71">
        <w:lastRenderedPageBreak/>
        <w:t>Customized Employment: RESOURCES</w:t>
      </w:r>
      <w:bookmarkEnd w:id="102"/>
      <w:bookmarkEnd w:id="103"/>
    </w:p>
    <w:p w14:paraId="365211BF" w14:textId="77777777" w:rsidR="00C5068F" w:rsidRPr="00F57B5E" w:rsidRDefault="00C5068F" w:rsidP="00C5068F">
      <w:pPr>
        <w:spacing w:before="240" w:after="240" w:line="240" w:lineRule="auto"/>
        <w:rPr>
          <w:rFonts w:eastAsia="Times New Roman" w:cstheme="minorHAnsi"/>
          <w:sz w:val="24"/>
          <w:szCs w:val="24"/>
        </w:rPr>
      </w:pPr>
      <w:r>
        <w:rPr>
          <w:rFonts w:eastAsia="Times New Roman" w:cstheme="minorHAnsi"/>
          <w:sz w:val="24"/>
          <w:szCs w:val="24"/>
        </w:rPr>
        <w:t>The CE team has developed or facilitated the development of a number of resources to support TA and training and provide guidance to SVRAs as they develop pilots or other strategies to meet the requirements for customized</w:t>
      </w:r>
      <w:r w:rsidRPr="00F57B5E">
        <w:rPr>
          <w:rFonts w:eastAsia="Times New Roman" w:cstheme="minorHAnsi"/>
          <w:sz w:val="24"/>
          <w:szCs w:val="24"/>
        </w:rPr>
        <w:t xml:space="preserve"> employment under WIOA:</w:t>
      </w:r>
    </w:p>
    <w:p w14:paraId="057F9DFD" w14:textId="77777777" w:rsidR="00C5068F" w:rsidRPr="00F57B5E" w:rsidRDefault="00366D34" w:rsidP="00076336">
      <w:pPr>
        <w:pStyle w:val="ListParagraph"/>
        <w:numPr>
          <w:ilvl w:val="0"/>
          <w:numId w:val="23"/>
        </w:numPr>
        <w:spacing w:before="100" w:beforeAutospacing="1" w:after="100" w:afterAutospacing="1"/>
        <w:rPr>
          <w:sz w:val="24"/>
          <w:szCs w:val="24"/>
        </w:rPr>
      </w:pPr>
      <w:hyperlink r:id="rId367" w:history="1">
        <w:r w:rsidR="00C5068F" w:rsidRPr="00F57B5E">
          <w:rPr>
            <w:rStyle w:val="Hyperlink"/>
            <w:sz w:val="24"/>
            <w:szCs w:val="24"/>
          </w:rPr>
          <w:t>Essential Elements of Customized Employment for Universal Application</w:t>
        </w:r>
      </w:hyperlink>
    </w:p>
    <w:p w14:paraId="0BDC9EF9" w14:textId="77777777" w:rsidR="00C5068F" w:rsidRPr="00F57B5E" w:rsidRDefault="00C5068F" w:rsidP="00076336">
      <w:pPr>
        <w:pStyle w:val="ListParagraph"/>
        <w:numPr>
          <w:ilvl w:val="0"/>
          <w:numId w:val="23"/>
        </w:numPr>
        <w:spacing w:before="100" w:beforeAutospacing="1" w:after="100" w:afterAutospacing="1"/>
        <w:rPr>
          <w:sz w:val="24"/>
          <w:szCs w:val="24"/>
        </w:rPr>
      </w:pPr>
      <w:r w:rsidRPr="00F57B5E">
        <w:rPr>
          <w:sz w:val="24"/>
          <w:szCs w:val="24"/>
        </w:rPr>
        <w:t>CE Logic Model (Integrated With N</w:t>
      </w:r>
      <w:r>
        <w:rPr>
          <w:sz w:val="24"/>
          <w:szCs w:val="24"/>
        </w:rPr>
        <w:t>TACT</w:t>
      </w:r>
      <w:r w:rsidRPr="00F57B5E">
        <w:rPr>
          <w:sz w:val="24"/>
          <w:szCs w:val="24"/>
        </w:rPr>
        <w:t xml:space="preserve"> &amp; Y-T</w:t>
      </w:r>
      <w:r>
        <w:rPr>
          <w:sz w:val="24"/>
          <w:szCs w:val="24"/>
        </w:rPr>
        <w:t>AC</w:t>
      </w:r>
      <w:r w:rsidRPr="00F57B5E">
        <w:rPr>
          <w:sz w:val="24"/>
          <w:szCs w:val="24"/>
        </w:rPr>
        <w:t xml:space="preserve"> CE Logic Models)  </w:t>
      </w:r>
    </w:p>
    <w:p w14:paraId="29CB6271" w14:textId="77777777" w:rsidR="00C5068F" w:rsidRPr="00F57B5E" w:rsidRDefault="00366D34" w:rsidP="00076336">
      <w:pPr>
        <w:pStyle w:val="ListParagraph"/>
        <w:numPr>
          <w:ilvl w:val="0"/>
          <w:numId w:val="23"/>
        </w:numPr>
        <w:spacing w:before="100" w:beforeAutospacing="1" w:after="100" w:afterAutospacing="1"/>
        <w:rPr>
          <w:sz w:val="24"/>
          <w:szCs w:val="24"/>
        </w:rPr>
      </w:pPr>
      <w:hyperlink r:id="rId368" w:history="1">
        <w:r w:rsidR="00C5068F" w:rsidRPr="00F57B5E">
          <w:rPr>
            <w:rStyle w:val="Hyperlink"/>
            <w:sz w:val="24"/>
            <w:szCs w:val="24"/>
          </w:rPr>
          <w:t>Customized Employment Implementation Roadmap</w:t>
        </w:r>
      </w:hyperlink>
    </w:p>
    <w:p w14:paraId="7A8C546D" w14:textId="77777777" w:rsidR="00C5068F" w:rsidRDefault="00C5068F" w:rsidP="00076336">
      <w:pPr>
        <w:pStyle w:val="ListParagraph"/>
        <w:numPr>
          <w:ilvl w:val="0"/>
          <w:numId w:val="23"/>
        </w:numPr>
        <w:spacing w:before="100" w:beforeAutospacing="1" w:after="100" w:afterAutospacing="1"/>
        <w:rPr>
          <w:sz w:val="24"/>
          <w:szCs w:val="24"/>
        </w:rPr>
      </w:pPr>
      <w:r w:rsidRPr="00F57B5E">
        <w:rPr>
          <w:sz w:val="24"/>
          <w:szCs w:val="24"/>
        </w:rPr>
        <w:t xml:space="preserve">CE Readiness Assessment </w:t>
      </w:r>
      <w:r>
        <w:rPr>
          <w:sz w:val="24"/>
          <w:szCs w:val="24"/>
        </w:rPr>
        <w:t xml:space="preserve">Self-Rating Survey </w:t>
      </w:r>
    </w:p>
    <w:p w14:paraId="748FCF75" w14:textId="77777777" w:rsidR="00C5068F" w:rsidRDefault="00C5068F" w:rsidP="00076336">
      <w:pPr>
        <w:pStyle w:val="ListParagraph"/>
        <w:numPr>
          <w:ilvl w:val="0"/>
          <w:numId w:val="23"/>
        </w:numPr>
        <w:spacing w:before="100" w:beforeAutospacing="1" w:after="100" w:afterAutospacing="1"/>
        <w:rPr>
          <w:sz w:val="24"/>
          <w:szCs w:val="24"/>
        </w:rPr>
      </w:pPr>
      <w:r>
        <w:rPr>
          <w:sz w:val="24"/>
          <w:szCs w:val="24"/>
        </w:rPr>
        <w:t xml:space="preserve">CE Readiness </w:t>
      </w:r>
      <w:r w:rsidRPr="00F57B5E">
        <w:rPr>
          <w:sz w:val="24"/>
          <w:szCs w:val="24"/>
        </w:rPr>
        <w:t>Gap Analysis</w:t>
      </w:r>
    </w:p>
    <w:p w14:paraId="4C16B111" w14:textId="5014A56A" w:rsidR="00C5068F" w:rsidRPr="00F57B5E" w:rsidRDefault="00366D34" w:rsidP="00076336">
      <w:pPr>
        <w:pStyle w:val="ListParagraph"/>
        <w:numPr>
          <w:ilvl w:val="0"/>
          <w:numId w:val="23"/>
        </w:numPr>
        <w:spacing w:before="100" w:beforeAutospacing="1" w:after="100" w:afterAutospacing="1"/>
        <w:rPr>
          <w:sz w:val="24"/>
          <w:szCs w:val="24"/>
        </w:rPr>
      </w:pPr>
      <w:hyperlink r:id="rId369" w:history="1">
        <w:r w:rsidR="00C5068F" w:rsidRPr="00D97869">
          <w:rPr>
            <w:rStyle w:val="Hyperlink"/>
            <w:sz w:val="24"/>
            <w:szCs w:val="24"/>
          </w:rPr>
          <w:t>CE Delivery Checklist</w:t>
        </w:r>
      </w:hyperlink>
    </w:p>
    <w:p w14:paraId="1D93B2DE" w14:textId="77777777" w:rsidR="00C5068F" w:rsidRPr="00F57B5E" w:rsidRDefault="00C5068F" w:rsidP="00076336">
      <w:pPr>
        <w:pStyle w:val="ListParagraph"/>
        <w:numPr>
          <w:ilvl w:val="0"/>
          <w:numId w:val="23"/>
        </w:numPr>
        <w:spacing w:before="100" w:beforeAutospacing="1" w:after="100" w:afterAutospacing="1"/>
        <w:rPr>
          <w:sz w:val="24"/>
          <w:szCs w:val="24"/>
        </w:rPr>
      </w:pPr>
      <w:r w:rsidRPr="00F57B5E">
        <w:rPr>
          <w:sz w:val="24"/>
          <w:szCs w:val="24"/>
        </w:rPr>
        <w:t>CE Overview/Orientation For V</w:t>
      </w:r>
      <w:r>
        <w:rPr>
          <w:sz w:val="24"/>
          <w:szCs w:val="24"/>
        </w:rPr>
        <w:t>R</w:t>
      </w:r>
      <w:r w:rsidRPr="00F57B5E">
        <w:rPr>
          <w:sz w:val="24"/>
          <w:szCs w:val="24"/>
        </w:rPr>
        <w:t xml:space="preserve"> Agencies </w:t>
      </w:r>
      <w:r>
        <w:rPr>
          <w:sz w:val="24"/>
          <w:szCs w:val="24"/>
        </w:rPr>
        <w:t>a</w:t>
      </w:r>
      <w:r w:rsidRPr="00F57B5E">
        <w:rPr>
          <w:sz w:val="24"/>
          <w:szCs w:val="24"/>
        </w:rPr>
        <w:t>nd Partners (Day-Long Session)</w:t>
      </w:r>
    </w:p>
    <w:p w14:paraId="4641B262" w14:textId="77777777" w:rsidR="00C5068F" w:rsidRPr="00F57B5E" w:rsidRDefault="00C5068F" w:rsidP="00076336">
      <w:pPr>
        <w:pStyle w:val="ListParagraph"/>
        <w:numPr>
          <w:ilvl w:val="0"/>
          <w:numId w:val="23"/>
        </w:numPr>
        <w:spacing w:before="100" w:beforeAutospacing="1" w:after="100" w:afterAutospacing="1"/>
        <w:rPr>
          <w:sz w:val="24"/>
          <w:szCs w:val="24"/>
        </w:rPr>
      </w:pPr>
      <w:r w:rsidRPr="00F57B5E">
        <w:rPr>
          <w:sz w:val="24"/>
          <w:szCs w:val="24"/>
        </w:rPr>
        <w:t>Discovery/Pre-ETS Cross Walk (Revised Draft Under Review By R</w:t>
      </w:r>
      <w:r>
        <w:rPr>
          <w:sz w:val="24"/>
          <w:szCs w:val="24"/>
        </w:rPr>
        <w:t>SA</w:t>
      </w:r>
      <w:r w:rsidRPr="00F57B5E">
        <w:rPr>
          <w:sz w:val="24"/>
          <w:szCs w:val="24"/>
        </w:rPr>
        <w:t>)</w:t>
      </w:r>
    </w:p>
    <w:p w14:paraId="61653B3B" w14:textId="77777777" w:rsidR="00C5068F" w:rsidRPr="00F57B5E" w:rsidRDefault="00C5068F" w:rsidP="00076336">
      <w:pPr>
        <w:pStyle w:val="ListParagraph"/>
        <w:numPr>
          <w:ilvl w:val="0"/>
          <w:numId w:val="23"/>
        </w:numPr>
        <w:spacing w:before="100" w:beforeAutospacing="1" w:after="100" w:afterAutospacing="1"/>
        <w:rPr>
          <w:sz w:val="24"/>
          <w:szCs w:val="24"/>
        </w:rPr>
      </w:pPr>
      <w:r w:rsidRPr="00F57B5E">
        <w:rPr>
          <w:sz w:val="24"/>
          <w:szCs w:val="24"/>
        </w:rPr>
        <w:t>Templates</w:t>
      </w:r>
    </w:p>
    <w:p w14:paraId="039E3A47" w14:textId="77777777" w:rsidR="00C5068F" w:rsidRPr="00F57B5E" w:rsidRDefault="00C5068F" w:rsidP="00076336">
      <w:pPr>
        <w:pStyle w:val="ListParagraph"/>
        <w:numPr>
          <w:ilvl w:val="1"/>
          <w:numId w:val="37"/>
        </w:numPr>
        <w:spacing w:before="100" w:beforeAutospacing="1" w:after="100" w:afterAutospacing="1"/>
        <w:rPr>
          <w:sz w:val="24"/>
          <w:szCs w:val="24"/>
        </w:rPr>
      </w:pPr>
      <w:r w:rsidRPr="00F57B5E">
        <w:rPr>
          <w:sz w:val="24"/>
          <w:szCs w:val="24"/>
        </w:rPr>
        <w:t>CE Milestone Fee Structure</w:t>
      </w:r>
    </w:p>
    <w:p w14:paraId="682E6239" w14:textId="77777777" w:rsidR="00C5068F" w:rsidRPr="00F57B5E" w:rsidRDefault="00C5068F" w:rsidP="00076336">
      <w:pPr>
        <w:pStyle w:val="ListParagraph"/>
        <w:numPr>
          <w:ilvl w:val="1"/>
          <w:numId w:val="37"/>
        </w:numPr>
        <w:spacing w:before="100" w:beforeAutospacing="1" w:after="100" w:afterAutospacing="1"/>
        <w:rPr>
          <w:sz w:val="24"/>
          <w:szCs w:val="24"/>
        </w:rPr>
      </w:pPr>
      <w:r w:rsidRPr="00F57B5E">
        <w:rPr>
          <w:sz w:val="24"/>
          <w:szCs w:val="24"/>
        </w:rPr>
        <w:t>CE Milestones Activity Log</w:t>
      </w:r>
    </w:p>
    <w:p w14:paraId="567B19E5" w14:textId="77777777" w:rsidR="00C5068F" w:rsidRPr="00F57B5E" w:rsidRDefault="00C5068F" w:rsidP="00076336">
      <w:pPr>
        <w:pStyle w:val="ListParagraph"/>
        <w:numPr>
          <w:ilvl w:val="1"/>
          <w:numId w:val="37"/>
        </w:numPr>
        <w:spacing w:before="100" w:beforeAutospacing="1" w:after="100" w:afterAutospacing="1"/>
        <w:rPr>
          <w:sz w:val="24"/>
          <w:szCs w:val="24"/>
        </w:rPr>
      </w:pPr>
      <w:r w:rsidRPr="00F57B5E">
        <w:rPr>
          <w:sz w:val="24"/>
          <w:szCs w:val="24"/>
        </w:rPr>
        <w:t xml:space="preserve">CE Policies </w:t>
      </w:r>
      <w:r>
        <w:rPr>
          <w:sz w:val="24"/>
          <w:szCs w:val="24"/>
        </w:rPr>
        <w:t>a</w:t>
      </w:r>
      <w:r w:rsidRPr="00F57B5E">
        <w:rPr>
          <w:sz w:val="24"/>
          <w:szCs w:val="24"/>
        </w:rPr>
        <w:t>nd Procedures</w:t>
      </w:r>
    </w:p>
    <w:p w14:paraId="4B9D4354" w14:textId="77777777" w:rsidR="00C5068F" w:rsidRPr="00F57B5E" w:rsidRDefault="00C5068F" w:rsidP="00076336">
      <w:pPr>
        <w:pStyle w:val="ListParagraph"/>
        <w:numPr>
          <w:ilvl w:val="1"/>
          <w:numId w:val="37"/>
        </w:numPr>
        <w:spacing w:before="100" w:beforeAutospacing="1" w:after="100" w:afterAutospacing="1"/>
        <w:rPr>
          <w:sz w:val="24"/>
          <w:szCs w:val="24"/>
        </w:rPr>
      </w:pPr>
      <w:r w:rsidRPr="00F57B5E">
        <w:rPr>
          <w:sz w:val="24"/>
          <w:szCs w:val="24"/>
        </w:rPr>
        <w:t xml:space="preserve">Request </w:t>
      </w:r>
      <w:r>
        <w:rPr>
          <w:sz w:val="24"/>
          <w:szCs w:val="24"/>
        </w:rPr>
        <w:t>for</w:t>
      </w:r>
      <w:r w:rsidRPr="00F57B5E">
        <w:rPr>
          <w:sz w:val="24"/>
          <w:szCs w:val="24"/>
        </w:rPr>
        <w:t xml:space="preserve"> Proposals </w:t>
      </w:r>
      <w:r>
        <w:rPr>
          <w:sz w:val="24"/>
          <w:szCs w:val="24"/>
        </w:rPr>
        <w:t>f</w:t>
      </w:r>
      <w:r w:rsidRPr="00F57B5E">
        <w:rPr>
          <w:sz w:val="24"/>
          <w:szCs w:val="24"/>
        </w:rPr>
        <w:t>or CE Training</w:t>
      </w:r>
    </w:p>
    <w:p w14:paraId="6B2CBEE3" w14:textId="77777777" w:rsidR="00C5068F" w:rsidRPr="00F57B5E" w:rsidRDefault="00C5068F" w:rsidP="00076336">
      <w:pPr>
        <w:pStyle w:val="ListParagraph"/>
        <w:numPr>
          <w:ilvl w:val="1"/>
          <w:numId w:val="37"/>
        </w:numPr>
        <w:spacing w:before="100" w:beforeAutospacing="1" w:after="100" w:afterAutospacing="1"/>
        <w:rPr>
          <w:sz w:val="24"/>
          <w:szCs w:val="24"/>
        </w:rPr>
      </w:pPr>
      <w:r w:rsidRPr="00F57B5E">
        <w:rPr>
          <w:sz w:val="24"/>
          <w:szCs w:val="24"/>
        </w:rPr>
        <w:t xml:space="preserve">Guidance </w:t>
      </w:r>
      <w:r>
        <w:rPr>
          <w:sz w:val="24"/>
          <w:szCs w:val="24"/>
        </w:rPr>
        <w:t>f</w:t>
      </w:r>
      <w:r w:rsidRPr="00F57B5E">
        <w:rPr>
          <w:sz w:val="24"/>
          <w:szCs w:val="24"/>
        </w:rPr>
        <w:t xml:space="preserve">or Explaining CE </w:t>
      </w:r>
      <w:r>
        <w:rPr>
          <w:sz w:val="24"/>
          <w:szCs w:val="24"/>
        </w:rPr>
        <w:t>t</w:t>
      </w:r>
      <w:r w:rsidRPr="00F57B5E">
        <w:rPr>
          <w:sz w:val="24"/>
          <w:szCs w:val="24"/>
        </w:rPr>
        <w:t>o Families</w:t>
      </w:r>
    </w:p>
    <w:p w14:paraId="2EA3EE58" w14:textId="77777777" w:rsidR="00C5068F" w:rsidRDefault="00C5068F" w:rsidP="00076336">
      <w:pPr>
        <w:pStyle w:val="ListParagraph"/>
        <w:numPr>
          <w:ilvl w:val="1"/>
          <w:numId w:val="37"/>
        </w:numPr>
        <w:spacing w:before="100" w:beforeAutospacing="1" w:after="100" w:afterAutospacing="1"/>
        <w:rPr>
          <w:sz w:val="24"/>
          <w:szCs w:val="24"/>
        </w:rPr>
      </w:pPr>
      <w:r w:rsidRPr="00F57B5E">
        <w:rPr>
          <w:sz w:val="24"/>
          <w:szCs w:val="24"/>
        </w:rPr>
        <w:t>Local Site Selection Rating Sheet</w:t>
      </w:r>
    </w:p>
    <w:p w14:paraId="61FB84C0" w14:textId="77777777" w:rsidR="00C5068F" w:rsidRDefault="00C5068F" w:rsidP="00076336">
      <w:pPr>
        <w:pStyle w:val="ListParagraph"/>
        <w:numPr>
          <w:ilvl w:val="1"/>
          <w:numId w:val="37"/>
        </w:numPr>
        <w:spacing w:before="100" w:beforeAutospacing="1" w:after="100" w:afterAutospacing="1"/>
        <w:rPr>
          <w:sz w:val="24"/>
          <w:szCs w:val="24"/>
        </w:rPr>
      </w:pPr>
      <w:r>
        <w:rPr>
          <w:sz w:val="24"/>
          <w:szCs w:val="24"/>
        </w:rPr>
        <w:t>CE Rate-setting Guide, Methodology and Samples</w:t>
      </w:r>
    </w:p>
    <w:p w14:paraId="0920B157" w14:textId="77777777" w:rsidR="00C5068F" w:rsidRPr="00F57B5E" w:rsidRDefault="00C5068F" w:rsidP="00076336">
      <w:pPr>
        <w:pStyle w:val="ListParagraph"/>
        <w:numPr>
          <w:ilvl w:val="1"/>
          <w:numId w:val="37"/>
        </w:numPr>
        <w:spacing w:before="100" w:beforeAutospacing="1" w:after="100" w:afterAutospacing="1"/>
        <w:rPr>
          <w:sz w:val="24"/>
          <w:szCs w:val="24"/>
        </w:rPr>
      </w:pPr>
      <w:r>
        <w:rPr>
          <w:sz w:val="24"/>
          <w:szCs w:val="24"/>
        </w:rPr>
        <w:t>CE Credentialing Guidance (draft)</w:t>
      </w:r>
    </w:p>
    <w:p w14:paraId="4640062F" w14:textId="77777777" w:rsidR="00C5068F" w:rsidRPr="00F57B5E" w:rsidRDefault="00C5068F" w:rsidP="00076336">
      <w:pPr>
        <w:pStyle w:val="ListParagraph"/>
        <w:numPr>
          <w:ilvl w:val="0"/>
          <w:numId w:val="23"/>
        </w:numPr>
        <w:spacing w:before="100" w:beforeAutospacing="1" w:after="100" w:afterAutospacing="1"/>
        <w:rPr>
          <w:sz w:val="24"/>
          <w:szCs w:val="24"/>
        </w:rPr>
      </w:pPr>
      <w:r w:rsidRPr="00F57B5E">
        <w:rPr>
          <w:sz w:val="24"/>
          <w:szCs w:val="24"/>
        </w:rPr>
        <w:t xml:space="preserve">CE Training </w:t>
      </w:r>
      <w:r>
        <w:rPr>
          <w:sz w:val="24"/>
          <w:szCs w:val="24"/>
        </w:rPr>
        <w:t xml:space="preserve">Participant </w:t>
      </w:r>
      <w:r w:rsidRPr="00F57B5E">
        <w:rPr>
          <w:sz w:val="24"/>
          <w:szCs w:val="24"/>
        </w:rPr>
        <w:t>Surveys</w:t>
      </w:r>
    </w:p>
    <w:p w14:paraId="213A2007" w14:textId="77777777" w:rsidR="00C5068F" w:rsidRPr="00F57B5E" w:rsidRDefault="00C5068F" w:rsidP="00076336">
      <w:pPr>
        <w:pStyle w:val="ListParagraph"/>
        <w:numPr>
          <w:ilvl w:val="0"/>
          <w:numId w:val="23"/>
        </w:numPr>
        <w:spacing w:before="100" w:beforeAutospacing="1" w:after="100" w:afterAutospacing="1"/>
        <w:rPr>
          <w:sz w:val="24"/>
          <w:szCs w:val="24"/>
        </w:rPr>
      </w:pPr>
      <w:r w:rsidRPr="00F57B5E">
        <w:rPr>
          <w:sz w:val="24"/>
          <w:szCs w:val="24"/>
        </w:rPr>
        <w:t>CE Vendor Competency Review – Sample Protocol</w:t>
      </w:r>
    </w:p>
    <w:p w14:paraId="4DEB760C" w14:textId="77777777" w:rsidR="00C5068F" w:rsidRPr="00F57B5E" w:rsidRDefault="00C5068F" w:rsidP="00076336">
      <w:pPr>
        <w:pStyle w:val="ListParagraph"/>
        <w:numPr>
          <w:ilvl w:val="0"/>
          <w:numId w:val="23"/>
        </w:numPr>
        <w:spacing w:before="100" w:beforeAutospacing="1" w:after="100" w:afterAutospacing="1"/>
        <w:rPr>
          <w:sz w:val="24"/>
          <w:szCs w:val="24"/>
        </w:rPr>
      </w:pPr>
      <w:r w:rsidRPr="00F57B5E">
        <w:rPr>
          <w:sz w:val="24"/>
          <w:szCs w:val="24"/>
        </w:rPr>
        <w:t>CE Pilot Narratives</w:t>
      </w:r>
    </w:p>
    <w:p w14:paraId="5D1C8B77" w14:textId="77777777" w:rsidR="00C5068F" w:rsidRPr="00F57B5E" w:rsidRDefault="00C5068F" w:rsidP="00076336">
      <w:pPr>
        <w:pStyle w:val="ListParagraph"/>
        <w:numPr>
          <w:ilvl w:val="0"/>
          <w:numId w:val="23"/>
        </w:numPr>
        <w:spacing w:before="100" w:beforeAutospacing="1" w:after="100" w:afterAutospacing="1"/>
        <w:rPr>
          <w:sz w:val="24"/>
          <w:szCs w:val="24"/>
        </w:rPr>
      </w:pPr>
      <w:r w:rsidRPr="00F57B5E">
        <w:rPr>
          <w:sz w:val="24"/>
          <w:szCs w:val="24"/>
        </w:rPr>
        <w:t>CE Pilot Implementation Plan</w:t>
      </w:r>
    </w:p>
    <w:p w14:paraId="2B1F3DA8" w14:textId="77777777" w:rsidR="00C5068F" w:rsidRPr="00F57B5E" w:rsidRDefault="00C5068F" w:rsidP="00076336">
      <w:pPr>
        <w:pStyle w:val="ListParagraph"/>
        <w:numPr>
          <w:ilvl w:val="0"/>
          <w:numId w:val="23"/>
        </w:numPr>
        <w:spacing w:before="100" w:beforeAutospacing="1" w:after="100" w:afterAutospacing="1"/>
        <w:rPr>
          <w:sz w:val="24"/>
          <w:szCs w:val="24"/>
        </w:rPr>
      </w:pPr>
      <w:r w:rsidRPr="00F57B5E">
        <w:rPr>
          <w:sz w:val="24"/>
          <w:szCs w:val="24"/>
        </w:rPr>
        <w:t xml:space="preserve">CE </w:t>
      </w:r>
      <w:r>
        <w:rPr>
          <w:sz w:val="24"/>
          <w:szCs w:val="24"/>
        </w:rPr>
        <w:t xml:space="preserve">Pilot Data </w:t>
      </w:r>
      <w:r w:rsidRPr="00F57B5E">
        <w:rPr>
          <w:sz w:val="24"/>
          <w:szCs w:val="24"/>
        </w:rPr>
        <w:t>Dashboard</w:t>
      </w:r>
      <w:r>
        <w:rPr>
          <w:sz w:val="24"/>
          <w:szCs w:val="24"/>
        </w:rPr>
        <w:t>s</w:t>
      </w:r>
    </w:p>
    <w:p w14:paraId="688D1F4F" w14:textId="77777777" w:rsidR="00C5068F" w:rsidRPr="00F57B5E" w:rsidRDefault="00C5068F" w:rsidP="00076336">
      <w:pPr>
        <w:pStyle w:val="ListParagraph"/>
        <w:numPr>
          <w:ilvl w:val="0"/>
          <w:numId w:val="23"/>
        </w:numPr>
        <w:spacing w:before="100" w:beforeAutospacing="1" w:after="100" w:afterAutospacing="1"/>
        <w:rPr>
          <w:sz w:val="24"/>
          <w:szCs w:val="24"/>
        </w:rPr>
      </w:pPr>
      <w:r w:rsidRPr="00F57B5E">
        <w:rPr>
          <w:sz w:val="24"/>
          <w:szCs w:val="24"/>
        </w:rPr>
        <w:t>CE End Of Pilot Survey</w:t>
      </w:r>
    </w:p>
    <w:p w14:paraId="08F70C45" w14:textId="77777777" w:rsidR="00C5068F" w:rsidRPr="00F57B5E" w:rsidRDefault="00C5068F" w:rsidP="00076336">
      <w:pPr>
        <w:pStyle w:val="ListParagraph"/>
        <w:numPr>
          <w:ilvl w:val="0"/>
          <w:numId w:val="23"/>
        </w:numPr>
        <w:spacing w:before="100" w:beforeAutospacing="1" w:after="100" w:afterAutospacing="1"/>
        <w:rPr>
          <w:sz w:val="24"/>
          <w:szCs w:val="24"/>
        </w:rPr>
      </w:pPr>
      <w:r w:rsidRPr="00F57B5E">
        <w:rPr>
          <w:sz w:val="24"/>
          <w:szCs w:val="24"/>
        </w:rPr>
        <w:t xml:space="preserve">CE Sustainability Analysis </w:t>
      </w:r>
      <w:r>
        <w:rPr>
          <w:sz w:val="24"/>
          <w:szCs w:val="24"/>
        </w:rPr>
        <w:t>a</w:t>
      </w:r>
      <w:r w:rsidRPr="00F57B5E">
        <w:rPr>
          <w:sz w:val="24"/>
          <w:szCs w:val="24"/>
        </w:rPr>
        <w:t>nd Plan</w:t>
      </w:r>
    </w:p>
    <w:p w14:paraId="089E5C21" w14:textId="77777777" w:rsidR="00C5068F" w:rsidRDefault="00C5068F" w:rsidP="00C5068F">
      <w:pPr>
        <w:rPr>
          <w:b/>
          <w:sz w:val="36"/>
        </w:rPr>
      </w:pPr>
      <w:r>
        <w:rPr>
          <w:b/>
          <w:sz w:val="36"/>
        </w:rPr>
        <w:br w:type="page"/>
      </w:r>
    </w:p>
    <w:p w14:paraId="3E412625" w14:textId="77777777" w:rsidR="00C5068F" w:rsidRPr="00DD08B6" w:rsidRDefault="00C5068F" w:rsidP="00BA0D82">
      <w:pPr>
        <w:pStyle w:val="Heading2"/>
        <w:numPr>
          <w:ilvl w:val="0"/>
          <w:numId w:val="0"/>
        </w:numPr>
        <w:pBdr>
          <w:bottom w:val="single" w:sz="24" w:space="1" w:color="auto"/>
        </w:pBdr>
        <w:spacing w:after="240"/>
      </w:pPr>
      <w:bookmarkStart w:id="104" w:name="_Toc27904614"/>
      <w:bookmarkStart w:id="105" w:name="_Toc28011444"/>
      <w:r>
        <w:lastRenderedPageBreak/>
        <w:t>Customized Employment: PROGRESS N</w:t>
      </w:r>
      <w:r w:rsidRPr="00DD08B6">
        <w:t>ARRATIVE</w:t>
      </w:r>
      <w:bookmarkEnd w:id="104"/>
      <w:bookmarkEnd w:id="105"/>
    </w:p>
    <w:p w14:paraId="64613035" w14:textId="77777777" w:rsidR="00C5068F" w:rsidRPr="00DD08B6" w:rsidRDefault="00C5068F" w:rsidP="00C22384">
      <w:pPr>
        <w:pStyle w:val="Heading3"/>
        <w:numPr>
          <w:ilvl w:val="0"/>
          <w:numId w:val="0"/>
        </w:numPr>
        <w:ind w:left="810" w:hanging="810"/>
        <w:rPr>
          <w:szCs w:val="24"/>
        </w:rPr>
      </w:pPr>
      <w:bookmarkStart w:id="106" w:name="_Toc27904615"/>
      <w:r w:rsidRPr="00DD08B6">
        <w:rPr>
          <w:szCs w:val="24"/>
        </w:rPr>
        <w:t>National Lens</w:t>
      </w:r>
      <w:bookmarkEnd w:id="106"/>
    </w:p>
    <w:p w14:paraId="7F834820" w14:textId="77777777" w:rsidR="00C5068F" w:rsidRPr="008D5E5C" w:rsidRDefault="00C5068F" w:rsidP="00C5068F">
      <w:pPr>
        <w:tabs>
          <w:tab w:val="left" w:pos="360"/>
        </w:tabs>
      </w:pPr>
      <w:r>
        <w:tab/>
        <w:t>As noted in the previous chapter, c</w:t>
      </w:r>
      <w:r w:rsidRPr="008D5E5C">
        <w:t xml:space="preserve">ompetitive </w:t>
      </w:r>
      <w:r>
        <w:t>i</w:t>
      </w:r>
      <w:r w:rsidRPr="008D5E5C">
        <w:t xml:space="preserve">ntegrated </w:t>
      </w:r>
      <w:r>
        <w:t>e</w:t>
      </w:r>
      <w:r w:rsidRPr="008D5E5C">
        <w:t xml:space="preserve">mployment </w:t>
      </w:r>
      <w:r>
        <w:t xml:space="preserve">(CIE) </w:t>
      </w:r>
      <w:r w:rsidRPr="008D5E5C">
        <w:t>is the foundation of the Workforce Innovation and Opportunity Act (WIOA) and regulations</w:t>
      </w:r>
      <w:r>
        <w:t xml:space="preserve"> (Wehman et al., 2018)</w:t>
      </w:r>
      <w:r w:rsidRPr="008D5E5C">
        <w:t>. It is the common theme in all of the WINTAC topical areas, as well as the work of other technical assistance centers. Successful competitive integrated employment outcomes for people with disabilities correspond with effective VR engagement with a wide range of businesses and workforce development partners.</w:t>
      </w:r>
    </w:p>
    <w:p w14:paraId="6A7302E3" w14:textId="77777777" w:rsidR="00C5068F" w:rsidRDefault="00C5068F" w:rsidP="00C5068F">
      <w:pPr>
        <w:tabs>
          <w:tab w:val="left" w:pos="360"/>
        </w:tabs>
      </w:pPr>
      <w:r>
        <w:tab/>
        <w:t xml:space="preserve">Customized Employment (CE) is one strategy promoted in </w:t>
      </w:r>
      <w:r w:rsidRPr="008D5E5C">
        <w:t xml:space="preserve">WIOA and final regulations for VR agencies to </w:t>
      </w:r>
      <w:r>
        <w:t>adopt as a means of increasing</w:t>
      </w:r>
      <w:r w:rsidRPr="008D5E5C">
        <w:t xml:space="preserve"> successful competitive integrated employment </w:t>
      </w:r>
      <w:r>
        <w:t>outcomes</w:t>
      </w:r>
      <w:r w:rsidRPr="008D5E5C">
        <w:t xml:space="preserve"> for individuals with the most significant disabilitie</w:t>
      </w:r>
      <w:r>
        <w:t>s. Contemporary research from national project evaluations demonstrate that every state can chart a path to successful outcomes despite different contexts or approaches (Tucker, Feng, Gruman, &amp; Crossen, 2017).</w:t>
      </w:r>
    </w:p>
    <w:p w14:paraId="5942A3B1" w14:textId="77777777" w:rsidR="00C5068F" w:rsidRDefault="00C5068F" w:rsidP="00C5068F">
      <w:pPr>
        <w:tabs>
          <w:tab w:val="left" w:pos="360"/>
        </w:tabs>
      </w:pPr>
      <w:r>
        <w:tab/>
        <w:t>On a national scale, WINTAC has been in a unique position to identify the need for and take a leadership role in building consensus around the foundational principles of CIE practices, starting with Customized Employment. One product of this effort, the “</w:t>
      </w:r>
      <w:r w:rsidRPr="00D57A4B">
        <w:t>Essential Elements of Customized Employment for Universal Application</w:t>
      </w:r>
      <w:r>
        <w:t>” document, is now widely recognized and cited in setting standards for excellence, building capacity, measuring performance in VR practice and promoting sustainability. WINTAC continues to provide a platform for ongoing dialogue and leveraging of resources</w:t>
      </w:r>
      <w:r w:rsidRPr="00722F85">
        <w:t xml:space="preserve"> </w:t>
      </w:r>
      <w:r>
        <w:t xml:space="preserve">among a growing network of experts, certification entities and technical assistance centers to refine national standards and promote and support their practical application in Customized Employment service delivery. </w:t>
      </w:r>
    </w:p>
    <w:p w14:paraId="6C8EA659" w14:textId="77777777" w:rsidR="00C5068F" w:rsidRDefault="00C5068F" w:rsidP="00C5068F">
      <w:pPr>
        <w:tabs>
          <w:tab w:val="left" w:pos="360"/>
        </w:tabs>
      </w:pPr>
      <w:r>
        <w:tab/>
        <w:t>Also impacting CE at the national level, WINTAC’s TA approach has significantly altered the nature of the CE training model. Where training typically had been a “train and leave” transaction, often for one provider or agency, and often with little VR involvement, it is now integrated into a systems strategy with VR among (or leading) a collaborative of multiple stakeholders committing to a comprehensive and sustainable capacity-building plan. As a result, VR and partners are investing in infrastructure, and capacity to provide quality CE services is growing appreciably.</w:t>
      </w:r>
    </w:p>
    <w:p w14:paraId="3790977F" w14:textId="77777777" w:rsidR="00C5068F" w:rsidRPr="00450DDD" w:rsidRDefault="00C5068F" w:rsidP="00C22384">
      <w:pPr>
        <w:pStyle w:val="Heading3"/>
        <w:numPr>
          <w:ilvl w:val="0"/>
          <w:numId w:val="0"/>
        </w:numPr>
        <w:ind w:left="810" w:hanging="810"/>
        <w:rPr>
          <w:szCs w:val="24"/>
        </w:rPr>
      </w:pPr>
      <w:bookmarkStart w:id="107" w:name="_Toc27904616"/>
      <w:r w:rsidRPr="00450DDD">
        <w:rPr>
          <w:szCs w:val="24"/>
        </w:rPr>
        <w:t>WINTAC Lens</w:t>
      </w:r>
      <w:bookmarkEnd w:id="107"/>
    </w:p>
    <w:p w14:paraId="4110C405" w14:textId="77777777" w:rsidR="00C5068F" w:rsidRDefault="00C5068F" w:rsidP="00C5068F">
      <w:pPr>
        <w:tabs>
          <w:tab w:val="left" w:pos="360"/>
        </w:tabs>
      </w:pPr>
      <w:r>
        <w:tab/>
        <w:t>In the first few years of this project, WINTAC entered into Intensive TA agreements to assist 31 SVRAs in improving their understanding of the rationale, concepts, implications and WIOA requirements associated with CIE, as well as best practices in supported and customized employment services. Over time, this assistance resulted in changing TA needs and WINTAC adjusted accordingly. Customized Employment, in particular, played a role in other WINTAC domains, for example, Section 511 (as a viable alternative to sheltered work), Pre-ETS (Discovery in the schools as a Pre-ETS activity), Workforce Integration (partnering with education, developmental disabilities, workforce, Employment First) and Common Performance Measures (its potential to increase positive outcomes). These and other factors created high demand for technical assistance to SVRAs in adding Customized Employment to their service portfolios. For example, many SVRAs found CE to be a logical extension of their efforts to divert individuals from subminimum wage employment.</w:t>
      </w:r>
    </w:p>
    <w:p w14:paraId="3B3CC856" w14:textId="77777777" w:rsidR="00C5068F" w:rsidRPr="00527178" w:rsidRDefault="00C5068F" w:rsidP="00C5068F">
      <w:pPr>
        <w:tabs>
          <w:tab w:val="left" w:pos="360"/>
        </w:tabs>
      </w:pPr>
      <w:r>
        <w:lastRenderedPageBreak/>
        <w:tab/>
        <w:t>WINTAC determined that one way to address this increased demand was to maximize resources by partnering with other TACs – especially NTACT and Y-TAC, to the extent that their activities, outputs and outcomes are articulated in WINTAC’s CE Logic Model (above). Another way to address the increased demand was to invest more heavily in CE as a CIE strategy, carving it out of the CIE topic area and adopting a clearly defined pilot project structure. Highlights of WINTAC’s work with SVRAs implementing CE Pilot Projects are discussed below.</w:t>
      </w:r>
    </w:p>
    <w:p w14:paraId="25DE60E3" w14:textId="77777777" w:rsidR="00C5068F" w:rsidRDefault="00C5068F" w:rsidP="00C5068F">
      <w:pPr>
        <w:tabs>
          <w:tab w:val="left" w:pos="360"/>
        </w:tabs>
        <w:rPr>
          <w:rFonts w:cstheme="minorHAnsi"/>
        </w:rPr>
      </w:pPr>
      <w:r w:rsidRPr="003C1AA3">
        <w:rPr>
          <w:rFonts w:cstheme="minorHAnsi"/>
        </w:rPr>
        <w:tab/>
      </w:r>
      <w:r w:rsidRPr="003C1AA3">
        <w:rPr>
          <w:rFonts w:cstheme="minorHAnsi"/>
          <w:b/>
          <w:i/>
        </w:rPr>
        <w:t>TA Progress</w:t>
      </w:r>
      <w:r w:rsidRPr="003C1AA3">
        <w:rPr>
          <w:rFonts w:cstheme="minorHAnsi"/>
        </w:rPr>
        <w:t xml:space="preserve"> </w:t>
      </w:r>
      <w:r>
        <w:rPr>
          <w:rFonts w:cstheme="minorHAnsi"/>
        </w:rPr>
        <w:t>The Customized Employment team has worked with a growing number of SVRAs on CE strategies. Eighteen SVRAs have ITAAs for CE-related TA services. Thirteen of them are engaged in eleven official CE pilots in ten states. As noted in the logic model, the ITAAs plot out a range of activities intended to assist states in testing out the application of CE in their respective VR settings. Progress on ITAA activities has been steady, as noted in the above charts and detailed below.</w:t>
      </w:r>
    </w:p>
    <w:p w14:paraId="5F37AF8B" w14:textId="77777777" w:rsidR="00C5068F" w:rsidRDefault="00C5068F" w:rsidP="00C5068F">
      <w:pPr>
        <w:tabs>
          <w:tab w:val="left" w:pos="360"/>
        </w:tabs>
        <w:rPr>
          <w:rFonts w:cstheme="minorHAnsi"/>
        </w:rPr>
      </w:pPr>
      <w:r>
        <w:tab/>
        <w:t>Fully</w:t>
      </w:r>
      <w:r w:rsidRPr="003C1AA3">
        <w:t xml:space="preserve"> </w:t>
      </w:r>
      <w:r>
        <w:rPr>
          <w:szCs w:val="14"/>
        </w:rPr>
        <w:t xml:space="preserve">61% of CE-related activities are </w:t>
      </w:r>
      <w:r w:rsidRPr="003C1AA3">
        <w:rPr>
          <w:szCs w:val="14"/>
        </w:rPr>
        <w:t>already</w:t>
      </w:r>
      <w:r>
        <w:rPr>
          <w:szCs w:val="14"/>
        </w:rPr>
        <w:t xml:space="preserve"> nearing or have reached completion (completion rates of 75% or more). Five per cent are half way to completion, with another third of </w:t>
      </w:r>
      <w:r w:rsidRPr="005E5B52">
        <w:t>activities</w:t>
      </w:r>
      <w:r>
        <w:rPr>
          <w:szCs w:val="14"/>
        </w:rPr>
        <w:t xml:space="preserve"> being 25% under way. </w:t>
      </w:r>
      <w:r>
        <w:rPr>
          <w:rFonts w:cstheme="minorHAnsi"/>
        </w:rPr>
        <w:t xml:space="preserve">The thermometer charts show a </w:t>
      </w:r>
      <w:r w:rsidRPr="00867954">
        <w:rPr>
          <w:rFonts w:cstheme="minorHAnsi"/>
        </w:rPr>
        <w:t xml:space="preserve">one-to-one </w:t>
      </w:r>
      <w:r w:rsidRPr="00867954">
        <w:rPr>
          <w:szCs w:val="14"/>
        </w:rPr>
        <w:t>correspondence</w:t>
      </w:r>
      <w:r w:rsidRPr="00867954">
        <w:rPr>
          <w:rFonts w:cstheme="minorHAnsi"/>
        </w:rPr>
        <w:t xml:space="preserve"> between the rate of completion for eight of the 13 CE activities and their associated outputs as presented in the logic model.</w:t>
      </w:r>
      <w:r>
        <w:rPr>
          <w:rFonts w:cstheme="minorHAnsi"/>
        </w:rPr>
        <w:t xml:space="preserve"> In the other five, the rates at which outputs are generated differ from the corresponding activities’ completion rates.</w:t>
      </w:r>
      <w:r w:rsidRPr="00867954">
        <w:rPr>
          <w:rFonts w:cstheme="minorHAnsi"/>
        </w:rPr>
        <w:t xml:space="preserve"> </w:t>
      </w:r>
      <w:r>
        <w:rPr>
          <w:rFonts w:cstheme="minorHAnsi"/>
        </w:rPr>
        <w:t>Further inquiry will be required to understand these variations.</w:t>
      </w:r>
    </w:p>
    <w:p w14:paraId="7656417B" w14:textId="77777777" w:rsidR="00C5068F" w:rsidRPr="00315A1B" w:rsidRDefault="00C5068F" w:rsidP="00C5068F">
      <w:pPr>
        <w:tabs>
          <w:tab w:val="left" w:pos="360"/>
        </w:tabs>
        <w:rPr>
          <w:highlight w:val="lightGray"/>
        </w:rPr>
      </w:pPr>
      <w:r>
        <w:rPr>
          <w:rFonts w:cstheme="minorHAnsi"/>
        </w:rPr>
        <w:tab/>
        <w:t>Seven</w:t>
      </w:r>
      <w:r w:rsidRPr="00554398">
        <w:rPr>
          <w:rFonts w:cstheme="minorHAnsi"/>
        </w:rPr>
        <w:t xml:space="preserve"> Customized Employment </w:t>
      </w:r>
      <w:r>
        <w:rPr>
          <w:rFonts w:cstheme="minorHAnsi"/>
        </w:rPr>
        <w:t>activities and their corresponding outputs were 75-100% completed (</w:t>
      </w:r>
      <w:r w:rsidRPr="00554398">
        <w:rPr>
          <w:rFonts w:cstheme="minorHAnsi"/>
        </w:rPr>
        <w:t xml:space="preserve">four </w:t>
      </w:r>
      <w:r>
        <w:rPr>
          <w:rFonts w:cstheme="minorHAnsi"/>
        </w:rPr>
        <w:t>of them 100% complete) for all sites requesting those activities. The four fully completed activities tended to involve research and feasibility studies which naturally preceed launching into a pilot. One similar activity is only 20% completed but this is because the pilot is just starting. One high-intensity activity, involving the performance-</w:t>
      </w:r>
      <w:r w:rsidRPr="0014049F">
        <w:rPr>
          <w:rFonts w:cstheme="minorHAnsi"/>
        </w:rPr>
        <w:t>based</w:t>
      </w:r>
      <w:r>
        <w:rPr>
          <w:rFonts w:cstheme="minorHAnsi"/>
        </w:rPr>
        <w:t xml:space="preserve"> CE training, is very close to full completion, with three pilots having completed training, and one 90% complete. Lower rates of completion can be seen for training of VR staff (29%) and development of expansion and sustainability plans (0%). The latter activity is present in the ITAAs for 11 pilots. It is reported to be 25% under way</w:t>
      </w:r>
      <w:r w:rsidRPr="00871240">
        <w:rPr>
          <w:rFonts w:cstheme="minorHAnsi"/>
        </w:rPr>
        <w:t xml:space="preserve"> </w:t>
      </w:r>
      <w:r>
        <w:rPr>
          <w:rFonts w:cstheme="minorHAnsi"/>
        </w:rPr>
        <w:t>in six pilots and has not yet started in the other five. This is understandable as the pilot implementation experience will inform the expansion and sustainability plans, and most pilots are still in the implementation stage.</w:t>
      </w:r>
    </w:p>
    <w:p w14:paraId="661B11A7" w14:textId="564B1EA5" w:rsidR="00C5068F" w:rsidRDefault="00C5068F" w:rsidP="00C5068F">
      <w:pPr>
        <w:tabs>
          <w:tab w:val="left" w:pos="360"/>
        </w:tabs>
        <w:rPr>
          <w:rFonts w:cstheme="minorHAnsi"/>
        </w:rPr>
      </w:pPr>
      <w:r>
        <w:rPr>
          <w:rFonts w:cstheme="minorHAnsi"/>
        </w:rPr>
        <w:tab/>
        <w:t xml:space="preserve">All of this activity, over time, has resulted in refinement of WINTAC’s TA approach and CE Pilot framework, generating well-articulated pilot design and implementation steps and accompanying resources (see “Resources” section). The approach </w:t>
      </w:r>
      <w:r w:rsidRPr="005E5B52">
        <w:t>involves</w:t>
      </w:r>
      <w:r>
        <w:rPr>
          <w:rFonts w:cstheme="minorHAnsi"/>
        </w:rPr>
        <w:t xml:space="preserve"> a sequence of orientation, readiness assessment, planning and design steps, followed by infrastructure development, training and pilot implementation – with provisions for evaluation, expansion and sustainability. All recommended pilot actions are guided by a flexible “Roadmap” and various tools and templates. An example of an</w:t>
      </w:r>
      <w:r w:rsidRPr="00E36508">
        <w:rPr>
          <w:rFonts w:cstheme="minorHAnsi"/>
        </w:rPr>
        <w:t xml:space="preserve"> </w:t>
      </w:r>
      <w:r>
        <w:rPr>
          <w:rFonts w:cstheme="minorHAnsi"/>
        </w:rPr>
        <w:t>infrastructure tool, the “</w:t>
      </w:r>
      <w:hyperlink r:id="rId370" w:history="1">
        <w:r w:rsidRPr="00D97869">
          <w:rPr>
            <w:rStyle w:val="Hyperlink"/>
            <w:rFonts w:cstheme="minorHAnsi"/>
          </w:rPr>
          <w:t xml:space="preserve">CE Delivery Checklist,” is </w:t>
        </w:r>
        <w:r w:rsidR="00D97869" w:rsidRPr="00D97869">
          <w:rPr>
            <w:rStyle w:val="Hyperlink"/>
            <w:rFonts w:cstheme="minorHAnsi"/>
          </w:rPr>
          <w:t>on the WINTAC website</w:t>
        </w:r>
      </w:hyperlink>
      <w:r w:rsidR="00C36EE2">
        <w:rPr>
          <w:rFonts w:cstheme="minorHAnsi"/>
        </w:rPr>
        <w:t>.</w:t>
      </w:r>
      <w:r>
        <w:rPr>
          <w:rFonts w:cstheme="minorHAnsi"/>
        </w:rPr>
        <w:t xml:space="preserve">  The Checklist evolved from early work by WINTAC and was refined and finalized in collaboration with Y-TAC and NTACT. </w:t>
      </w:r>
    </w:p>
    <w:p w14:paraId="37812B2E" w14:textId="77777777" w:rsidR="00C5068F" w:rsidRDefault="00C5068F" w:rsidP="00C5068F">
      <w:pPr>
        <w:tabs>
          <w:tab w:val="left" w:pos="360"/>
        </w:tabs>
        <w:rPr>
          <w:rFonts w:cstheme="minorHAnsi"/>
        </w:rPr>
      </w:pPr>
      <w:r>
        <w:rPr>
          <w:rFonts w:cstheme="minorHAnsi"/>
        </w:rPr>
        <w:tab/>
        <w:t xml:space="preserve">WINTAC also convened and now facilitates a CE Community of Practice (CoP) consisting of SVRAs actively involved in CE implementation, all but one member being engaged in a WINTAC pilot. There have been nine CoP sessions with 130 attendees representing 15 SVRAs. Discussions have focused on strategies to address shared challenges </w:t>
      </w:r>
      <w:r w:rsidRPr="005E5B52">
        <w:t>relating</w:t>
      </w:r>
      <w:r>
        <w:rPr>
          <w:rFonts w:cstheme="minorHAnsi"/>
        </w:rPr>
        <w:t xml:space="preserve"> to staff turnover, fee structures, sustainable training and explaining CE to clients and families.</w:t>
      </w:r>
    </w:p>
    <w:p w14:paraId="716252AF" w14:textId="7197A422" w:rsidR="00C5068F" w:rsidRPr="00315A1B" w:rsidRDefault="00C5068F" w:rsidP="00C5068F">
      <w:pPr>
        <w:tabs>
          <w:tab w:val="left" w:pos="360"/>
        </w:tabs>
        <w:rPr>
          <w:rFonts w:cstheme="minorHAnsi"/>
        </w:rPr>
      </w:pPr>
      <w:r>
        <w:rPr>
          <w:rFonts w:cstheme="minorHAnsi"/>
        </w:rPr>
        <w:lastRenderedPageBreak/>
        <w:tab/>
        <w:t>Finally, WINTAC’s evaluation team developed and recently launched a simple reporting protocol using the CE Pilot Dashboards included earlier in this chapter, to show pilot progress. Progress on six core data elements is reported by the SVRA via an online report form. The reported data is then automatically translated to the dashboard. Pilots can view their own respective dashboard and an aggregate dashboard. A sample report form, as well as site-specific dashboards, appear in Appendix</w:t>
      </w:r>
      <w:r w:rsidR="00C36EE2">
        <w:rPr>
          <w:rFonts w:cstheme="minorHAnsi"/>
        </w:rPr>
        <w:t xml:space="preserve"> B.</w:t>
      </w:r>
      <w:r>
        <w:rPr>
          <w:rFonts w:cstheme="minorHAnsi"/>
        </w:rPr>
        <w:t xml:space="preserve"> </w:t>
      </w:r>
    </w:p>
    <w:p w14:paraId="640AEEA5" w14:textId="77777777" w:rsidR="00C5068F" w:rsidRPr="00C74A4E" w:rsidRDefault="00C5068F" w:rsidP="00C5068F">
      <w:pPr>
        <w:tabs>
          <w:tab w:val="left" w:pos="360"/>
        </w:tabs>
        <w:rPr>
          <w:rFonts w:cstheme="minorHAnsi"/>
        </w:rPr>
      </w:pPr>
      <w:r w:rsidRPr="00C74A4E">
        <w:rPr>
          <w:rFonts w:cstheme="minorHAnsi"/>
        </w:rPr>
        <w:tab/>
      </w:r>
      <w:r w:rsidRPr="00C74A4E">
        <w:rPr>
          <w:rFonts w:cstheme="minorHAnsi"/>
          <w:b/>
          <w:i/>
        </w:rPr>
        <w:t>Challenges Overcome</w:t>
      </w:r>
      <w:r w:rsidRPr="00C74A4E">
        <w:rPr>
          <w:rFonts w:cstheme="minorHAnsi"/>
        </w:rPr>
        <w:t xml:space="preserve"> </w:t>
      </w:r>
      <w:r>
        <w:rPr>
          <w:rFonts w:cstheme="minorHAnsi"/>
        </w:rPr>
        <w:t>WINTAC’s pilot strategy is helping SVRAs address issues as big as culture change (attitudes about employability, organizational barriers, lack of buy-in) or siloed service delivery and as focused as finding qualified trainers or tracking outcomes. A frequently cited challenge to successful pilot implementation is the VR field’s perennial issue of staff turnover which results in a diminished return on the considerable investment of time and money in CE training. A related challenge is lack of providers altogether. These are not barriers SVRAs or even WINTAC can overcome alone, but bringing recognition and resources to bear has already been fruitful, and WINTAC is working with SVRAs and national partners on cost-effective and comprehensive solutions. Another barrier relates to failures of interagency communication and collaboration. Services to most potential CE consumers cut across systems and cannot be successful in isolation. WINTAC’s CE team has skillfully worked with SVRAs and partners to clarify roles and responsibilities, negotiate cost- and service-sharing agreements and find other win-win solutions that will promote service quality and continuity for shared clients.</w:t>
      </w:r>
    </w:p>
    <w:p w14:paraId="12721F83" w14:textId="77777777" w:rsidR="00C5068F" w:rsidRDefault="00C5068F" w:rsidP="00C5068F">
      <w:pPr>
        <w:tabs>
          <w:tab w:val="left" w:pos="360"/>
        </w:tabs>
        <w:rPr>
          <w:rFonts w:cstheme="minorHAnsi"/>
        </w:rPr>
      </w:pPr>
      <w:r w:rsidRPr="00816A39">
        <w:rPr>
          <w:rFonts w:cstheme="minorHAnsi"/>
        </w:rPr>
        <w:tab/>
      </w:r>
      <w:r w:rsidRPr="00816A39">
        <w:rPr>
          <w:rFonts w:cstheme="minorHAnsi"/>
          <w:b/>
          <w:i/>
        </w:rPr>
        <w:t>Impact</w:t>
      </w:r>
      <w:r w:rsidRPr="00816A39">
        <w:rPr>
          <w:rFonts w:cstheme="minorHAnsi"/>
        </w:rPr>
        <w:t xml:space="preserve"> </w:t>
      </w:r>
      <w:r>
        <w:rPr>
          <w:rFonts w:cstheme="minorHAnsi"/>
        </w:rPr>
        <w:t xml:space="preserve">The impact of WINTAC’s approach to Customized Employment TA can be viewed from the broader perspective as well as that of the overall pilot initiative (including the CoP) and finally the perspective of the individual pilots. From the broader perspective, in addition to observations made in the “National Lens” section of this narrative, it can be noted that the CE Pilot project has served as a laboratory for positive interactions across the WINTAC teams. The CE Team has factored inter-team relationships into its TA model: On one hand, leveraging other teams’ resources and on the other providing a template for TA delivery that other teams can use. For example, as complex as it can be to adopt CE, the relationship with the CE Team can sometimes be overwhelming. So, for SVRAs that aren’t ready to come aboard or are taking a pause, the CE Team stays in the loop on the coattails of other WINTAC teams that are working with the same SVRA – still able to track how things are going and make its availability known without pressuring them or disappearing altogether. In turn, the CE Pilot template provides the rest of the WINTAC teams resources to shape their own TA or design and implement pilots using logic models, roadmaps, readiness tools, etc.  </w:t>
      </w:r>
    </w:p>
    <w:p w14:paraId="3F2FA9D3" w14:textId="77777777" w:rsidR="00C5068F" w:rsidRDefault="00C5068F" w:rsidP="00C5068F">
      <w:pPr>
        <w:tabs>
          <w:tab w:val="left" w:pos="360"/>
        </w:tabs>
        <w:rPr>
          <w:rFonts w:cstheme="minorHAnsi"/>
        </w:rPr>
      </w:pPr>
      <w:r>
        <w:rPr>
          <w:rFonts w:cstheme="minorHAnsi"/>
        </w:rPr>
        <w:tab/>
        <w:t>From the perspective of the overall pilot initiative, the following themes have been observed in multiple pilots and are important systems level impacts even though they are not specifically measured or articulated in the ITAAs as desired outcomes:</w:t>
      </w:r>
    </w:p>
    <w:p w14:paraId="2292D733" w14:textId="77777777" w:rsidR="00C5068F" w:rsidRDefault="00C5068F" w:rsidP="00076336">
      <w:pPr>
        <w:pStyle w:val="ListParagraph"/>
        <w:numPr>
          <w:ilvl w:val="0"/>
          <w:numId w:val="23"/>
        </w:numPr>
        <w:spacing w:after="100" w:afterAutospacing="1"/>
        <w:ind w:left="1080"/>
        <w:rPr>
          <w:rFonts w:cstheme="minorHAnsi"/>
        </w:rPr>
      </w:pPr>
      <w:r>
        <w:t>S</w:t>
      </w:r>
      <w:r w:rsidRPr="00CA7811">
        <w:t>ignificant</w:t>
      </w:r>
      <w:r w:rsidRPr="00CA7811">
        <w:rPr>
          <w:rFonts w:cstheme="minorHAnsi"/>
        </w:rPr>
        <w:t xml:space="preserve"> increases in partnering and leveraging resources, including braiding fund</w:t>
      </w:r>
      <w:r>
        <w:rPr>
          <w:rFonts w:cstheme="minorHAnsi"/>
        </w:rPr>
        <w:t>s</w:t>
      </w:r>
    </w:p>
    <w:p w14:paraId="7656874E" w14:textId="77777777" w:rsidR="00C5068F" w:rsidRDefault="00C5068F" w:rsidP="00076336">
      <w:pPr>
        <w:pStyle w:val="ListParagraph"/>
        <w:numPr>
          <w:ilvl w:val="0"/>
          <w:numId w:val="23"/>
        </w:numPr>
        <w:spacing w:after="100" w:afterAutospacing="1"/>
        <w:ind w:left="1080"/>
        <w:rPr>
          <w:rFonts w:cstheme="minorHAnsi"/>
        </w:rPr>
      </w:pPr>
      <w:r>
        <w:rPr>
          <w:rFonts w:cstheme="minorHAnsi"/>
        </w:rPr>
        <w:t>Positioning VR as a lead in interagency collaborations</w:t>
      </w:r>
    </w:p>
    <w:p w14:paraId="7091BBFC" w14:textId="77777777" w:rsidR="00C5068F" w:rsidRDefault="00C5068F" w:rsidP="00076336">
      <w:pPr>
        <w:pStyle w:val="ListParagraph"/>
        <w:numPr>
          <w:ilvl w:val="0"/>
          <w:numId w:val="23"/>
        </w:numPr>
        <w:spacing w:after="100" w:afterAutospacing="1"/>
        <w:ind w:left="1080"/>
        <w:rPr>
          <w:rFonts w:cstheme="minorHAnsi"/>
        </w:rPr>
      </w:pPr>
      <w:r>
        <w:rPr>
          <w:rFonts w:cstheme="minorHAnsi"/>
        </w:rPr>
        <w:t>Unprecedented partnering between the General and Blind agencies</w:t>
      </w:r>
    </w:p>
    <w:p w14:paraId="21E5AE1B" w14:textId="77777777" w:rsidR="00C5068F" w:rsidRDefault="00C5068F" w:rsidP="00076336">
      <w:pPr>
        <w:pStyle w:val="ListParagraph"/>
        <w:numPr>
          <w:ilvl w:val="0"/>
          <w:numId w:val="23"/>
        </w:numPr>
        <w:spacing w:after="100" w:afterAutospacing="1"/>
        <w:ind w:left="1080"/>
        <w:rPr>
          <w:rFonts w:cstheme="minorHAnsi"/>
        </w:rPr>
      </w:pPr>
      <w:r>
        <w:rPr>
          <w:rFonts w:cstheme="minorHAnsi"/>
        </w:rPr>
        <w:t>Paradigm shifts in staff view of employability</w:t>
      </w:r>
    </w:p>
    <w:p w14:paraId="03550985" w14:textId="77777777" w:rsidR="00C5068F" w:rsidRDefault="00C5068F" w:rsidP="00076336">
      <w:pPr>
        <w:pStyle w:val="ListParagraph"/>
        <w:numPr>
          <w:ilvl w:val="0"/>
          <w:numId w:val="23"/>
        </w:numPr>
        <w:spacing w:after="100" w:afterAutospacing="1"/>
        <w:ind w:left="1080"/>
        <w:rPr>
          <w:rFonts w:cstheme="minorHAnsi"/>
        </w:rPr>
      </w:pPr>
      <w:r>
        <w:rPr>
          <w:rFonts w:cstheme="minorHAnsi"/>
        </w:rPr>
        <w:t>Cross-agency alignment of policies and procedures</w:t>
      </w:r>
    </w:p>
    <w:p w14:paraId="705AE045" w14:textId="77777777" w:rsidR="00C5068F" w:rsidRPr="00CA7811" w:rsidRDefault="00C5068F" w:rsidP="00076336">
      <w:pPr>
        <w:pStyle w:val="ListParagraph"/>
        <w:numPr>
          <w:ilvl w:val="0"/>
          <w:numId w:val="23"/>
        </w:numPr>
        <w:spacing w:after="100" w:afterAutospacing="1"/>
        <w:ind w:left="1080"/>
        <w:rPr>
          <w:rFonts w:cstheme="minorHAnsi"/>
        </w:rPr>
      </w:pPr>
      <w:r>
        <w:rPr>
          <w:rFonts w:cstheme="minorHAnsi"/>
        </w:rPr>
        <w:t>National trainers’ adapting their models to emphasize sustainability</w:t>
      </w:r>
    </w:p>
    <w:p w14:paraId="695AB6AB" w14:textId="77777777" w:rsidR="00C5068F" w:rsidRDefault="00C5068F" w:rsidP="00C5068F">
      <w:pPr>
        <w:tabs>
          <w:tab w:val="left" w:pos="360"/>
        </w:tabs>
        <w:rPr>
          <w:rFonts w:cstheme="minorHAnsi"/>
        </w:rPr>
      </w:pPr>
      <w:r>
        <w:rPr>
          <w:rFonts w:cstheme="minorHAnsi"/>
        </w:rPr>
        <w:tab/>
        <w:t xml:space="preserve">Also, participants in WINTAC’s CE Community of Practice say they find value in the group dynamic: sharing experiences, learning from each other, and “knowing you’re not the only one!” The CoP also has </w:t>
      </w:r>
      <w:r>
        <w:rPr>
          <w:rFonts w:cstheme="minorHAnsi"/>
        </w:rPr>
        <w:lastRenderedPageBreak/>
        <w:t xml:space="preserve">been a catalyst for several participants’ arranging in-person exchanges about common issues and solutions. Finally, the CE Team has found that the CoP is another way to stay on an SVRA’s radar and still add value while they’re deciding on next steps or taking a break in their CE efforts. This continuity is important for a TA provider to maintain as the CE adoption process takes time and SVRAs are contending with other challenges and changes along the way. </w:t>
      </w:r>
    </w:p>
    <w:p w14:paraId="581EBBC6" w14:textId="77777777" w:rsidR="00C5068F" w:rsidRDefault="00C5068F" w:rsidP="00C5068F">
      <w:pPr>
        <w:tabs>
          <w:tab w:val="left" w:pos="360"/>
        </w:tabs>
      </w:pPr>
      <w:r>
        <w:rPr>
          <w:rFonts w:cstheme="minorHAnsi"/>
        </w:rPr>
        <w:tab/>
        <w:t>From the perspective of the individual ITAAs, the progress on projected outcomes is portrayed on</w:t>
      </w:r>
      <w:r w:rsidRPr="00816A39">
        <w:rPr>
          <w:rFonts w:cstheme="minorHAnsi"/>
        </w:rPr>
        <w:t xml:space="preserve"> the </w:t>
      </w:r>
      <w:r w:rsidRPr="00816A39">
        <w:t>speedometer infographic above</w:t>
      </w:r>
      <w:r>
        <w:t xml:space="preserve">. As noted, over one-third of anticipated CE outcomes are at least 75% achieved. These include measurable increases for seven SVRAs (half of those involved in CE Pilots) in one or more of the following: </w:t>
      </w:r>
    </w:p>
    <w:p w14:paraId="2E168C39" w14:textId="77777777" w:rsidR="00C5068F" w:rsidRDefault="00C5068F" w:rsidP="00076336">
      <w:pPr>
        <w:pStyle w:val="ListParagraph"/>
        <w:numPr>
          <w:ilvl w:val="0"/>
          <w:numId w:val="23"/>
        </w:numPr>
        <w:spacing w:after="100" w:afterAutospacing="1"/>
        <w:ind w:left="1080"/>
      </w:pPr>
      <w:r>
        <w:t>Individuals achieving CIE outcomes</w:t>
      </w:r>
    </w:p>
    <w:p w14:paraId="320E32C3" w14:textId="77777777" w:rsidR="00C5068F" w:rsidRPr="00FA3678" w:rsidRDefault="00C5068F" w:rsidP="00076336">
      <w:pPr>
        <w:pStyle w:val="ListParagraph"/>
        <w:numPr>
          <w:ilvl w:val="0"/>
          <w:numId w:val="23"/>
        </w:numPr>
        <w:spacing w:before="100" w:beforeAutospacing="1" w:after="100" w:afterAutospacing="1"/>
        <w:ind w:left="1080"/>
      </w:pPr>
      <w:r>
        <w:t>Individuals receiving CE services</w:t>
      </w:r>
    </w:p>
    <w:p w14:paraId="65BE2453" w14:textId="77777777" w:rsidR="00C5068F" w:rsidRDefault="00C5068F" w:rsidP="00076336">
      <w:pPr>
        <w:pStyle w:val="ListParagraph"/>
        <w:numPr>
          <w:ilvl w:val="0"/>
          <w:numId w:val="23"/>
        </w:numPr>
        <w:spacing w:before="100" w:beforeAutospacing="1" w:after="100" w:afterAutospacing="1"/>
        <w:ind w:left="1080"/>
      </w:pPr>
      <w:r>
        <w:t>Statewide capacity to deliver CE services</w:t>
      </w:r>
    </w:p>
    <w:p w14:paraId="4A847AEA" w14:textId="77777777" w:rsidR="00C5068F" w:rsidRPr="00801F34" w:rsidRDefault="00C5068F" w:rsidP="00076336">
      <w:pPr>
        <w:pStyle w:val="ListParagraph"/>
        <w:numPr>
          <w:ilvl w:val="0"/>
          <w:numId w:val="23"/>
        </w:numPr>
        <w:spacing w:before="100" w:beforeAutospacing="1" w:after="100" w:afterAutospacing="1"/>
        <w:ind w:left="1080"/>
      </w:pPr>
      <w:r w:rsidRPr="00801F34">
        <w:t>VR capacity to leverage partner resources</w:t>
      </w:r>
    </w:p>
    <w:p w14:paraId="576C3906" w14:textId="77777777" w:rsidR="00C5068F" w:rsidRPr="00801F34" w:rsidRDefault="00C5068F" w:rsidP="00076336">
      <w:pPr>
        <w:pStyle w:val="ListParagraph"/>
        <w:numPr>
          <w:ilvl w:val="0"/>
          <w:numId w:val="23"/>
        </w:numPr>
        <w:spacing w:before="100" w:beforeAutospacing="1"/>
        <w:ind w:left="1080"/>
      </w:pPr>
      <w:r w:rsidRPr="00801F34">
        <w:t>VR staff understanding of when CE is an appropriate service for individuals with disabilities</w:t>
      </w:r>
    </w:p>
    <w:p w14:paraId="6DD48919" w14:textId="77777777" w:rsidR="00C5068F" w:rsidRDefault="00C5068F" w:rsidP="00C5068F">
      <w:pPr>
        <w:tabs>
          <w:tab w:val="left" w:pos="360"/>
        </w:tabs>
      </w:pPr>
      <w:r>
        <w:t>For the other half of participating SVRAs, progress is slower (25-50%) in achieving these same outcomes. Some of this is explained by the fact that their pilots started later or have experienced major implementation challenges (agency reorganizations, staff reassignments or cutbacks, turnover) requiring them to pause or restart their projects.</w:t>
      </w:r>
    </w:p>
    <w:p w14:paraId="0D9C6FD5" w14:textId="77777777" w:rsidR="00C5068F" w:rsidRDefault="00C5068F" w:rsidP="00C5068F">
      <w:pPr>
        <w:tabs>
          <w:tab w:val="left" w:pos="360"/>
        </w:tabs>
        <w:rPr>
          <w:rFonts w:cstheme="minorHAnsi"/>
        </w:rPr>
      </w:pPr>
      <w:r>
        <w:rPr>
          <w:rFonts w:cstheme="minorHAnsi"/>
        </w:rPr>
        <w:tab/>
        <w:t>Finally, data reported by the SVRAs themselves for the CE Pilot Data dashboards quantifies their impact as measured by six core data elements: The number of sites within a pilot, the partners involved, the number of training cohorts conducted, training participants by affiliation and modality, consumers served and service delivery capacity. Currently, there are 13 SVRAs (eleven pilots) with sufficient pilot activity to report data. From the aggregate dashboard we can observe the following impacts:</w:t>
      </w:r>
    </w:p>
    <w:p w14:paraId="457AF9A6" w14:textId="77777777" w:rsidR="00C5068F" w:rsidRDefault="00C5068F" w:rsidP="00076336">
      <w:pPr>
        <w:pStyle w:val="ListParagraph"/>
        <w:numPr>
          <w:ilvl w:val="0"/>
          <w:numId w:val="23"/>
        </w:numPr>
        <w:spacing w:after="100" w:afterAutospacing="1"/>
        <w:ind w:left="1080"/>
        <w:rPr>
          <w:rFonts w:cstheme="minorHAnsi"/>
        </w:rPr>
      </w:pPr>
      <w:r w:rsidRPr="008B53E7">
        <w:rPr>
          <w:rFonts w:cstheme="minorHAnsi"/>
          <w:i/>
        </w:rPr>
        <w:t>Sites:</w:t>
      </w:r>
      <w:r>
        <w:rPr>
          <w:rFonts w:cstheme="minorHAnsi"/>
        </w:rPr>
        <w:t xml:space="preserve"> The eleven pilots account for 31 sites (local, regional or statewide) in which CE is being piloted.</w:t>
      </w:r>
    </w:p>
    <w:p w14:paraId="19C822C8" w14:textId="77777777" w:rsidR="00C5068F" w:rsidRDefault="00C5068F" w:rsidP="00076336">
      <w:pPr>
        <w:pStyle w:val="ListParagraph"/>
        <w:numPr>
          <w:ilvl w:val="0"/>
          <w:numId w:val="23"/>
        </w:numPr>
        <w:spacing w:after="100" w:afterAutospacing="1"/>
        <w:ind w:left="1080"/>
        <w:rPr>
          <w:rFonts w:cstheme="minorHAnsi"/>
        </w:rPr>
      </w:pPr>
      <w:r w:rsidRPr="008B53E7">
        <w:rPr>
          <w:rFonts w:cstheme="minorHAnsi"/>
          <w:i/>
        </w:rPr>
        <w:t>Partners:</w:t>
      </w:r>
      <w:r>
        <w:rPr>
          <w:rFonts w:cstheme="minorHAnsi"/>
        </w:rPr>
        <w:t xml:space="preserve"> In addition to the reporting VR agency, partners involved in the pilots include 8 sister VR agencies, 12 CRPs, 10 DD agencies, 6 Education agencies, 1 Workforce agency and 1 Other (Employment First collaborative).</w:t>
      </w:r>
    </w:p>
    <w:p w14:paraId="2DEB2574" w14:textId="77777777" w:rsidR="00C5068F" w:rsidRDefault="00C5068F" w:rsidP="00076336">
      <w:pPr>
        <w:pStyle w:val="ListParagraph"/>
        <w:numPr>
          <w:ilvl w:val="0"/>
          <w:numId w:val="23"/>
        </w:numPr>
        <w:spacing w:after="100" w:afterAutospacing="1"/>
        <w:ind w:left="1080"/>
        <w:rPr>
          <w:rFonts w:cstheme="minorHAnsi"/>
        </w:rPr>
      </w:pPr>
      <w:r>
        <w:rPr>
          <w:rFonts w:cstheme="minorHAnsi"/>
          <w:i/>
        </w:rPr>
        <w:t xml:space="preserve">Cohorts: </w:t>
      </w:r>
      <w:r>
        <w:rPr>
          <w:rFonts w:cstheme="minorHAnsi"/>
        </w:rPr>
        <w:t>16 cohorts of CE training have been completed; an additional 9 are in progress.</w:t>
      </w:r>
    </w:p>
    <w:p w14:paraId="3108A1F7" w14:textId="77777777" w:rsidR="00C5068F" w:rsidRPr="008B53E7" w:rsidRDefault="00C5068F" w:rsidP="00076336">
      <w:pPr>
        <w:pStyle w:val="ListParagraph"/>
        <w:numPr>
          <w:ilvl w:val="0"/>
          <w:numId w:val="23"/>
        </w:numPr>
        <w:spacing w:after="100" w:afterAutospacing="1"/>
        <w:ind w:left="1080"/>
        <w:rPr>
          <w:rFonts w:cstheme="minorHAnsi"/>
        </w:rPr>
      </w:pPr>
      <w:r>
        <w:rPr>
          <w:rFonts w:cstheme="minorHAnsi"/>
          <w:i/>
        </w:rPr>
        <w:t>Training completers</w:t>
      </w:r>
    </w:p>
    <w:p w14:paraId="333A5DDE" w14:textId="77777777" w:rsidR="00C5068F" w:rsidRDefault="00C5068F" w:rsidP="00076336">
      <w:pPr>
        <w:pStyle w:val="ListParagraph"/>
        <w:numPr>
          <w:ilvl w:val="2"/>
          <w:numId w:val="23"/>
        </w:numPr>
        <w:spacing w:after="100" w:afterAutospacing="1"/>
        <w:rPr>
          <w:rFonts w:cstheme="minorHAnsi"/>
        </w:rPr>
      </w:pPr>
      <w:r>
        <w:rPr>
          <w:rFonts w:cstheme="minorHAnsi"/>
        </w:rPr>
        <w:t>Nearly 600 individuals have completed CE training. 25% particated in classroom + mentoring; 75% in classroom only.</w:t>
      </w:r>
    </w:p>
    <w:p w14:paraId="612FDF05" w14:textId="77777777" w:rsidR="00C5068F" w:rsidRDefault="00C5068F" w:rsidP="00076336">
      <w:pPr>
        <w:pStyle w:val="ListParagraph"/>
        <w:numPr>
          <w:ilvl w:val="2"/>
          <w:numId w:val="23"/>
        </w:numPr>
        <w:spacing w:after="100" w:afterAutospacing="1"/>
        <w:rPr>
          <w:rFonts w:cstheme="minorHAnsi"/>
        </w:rPr>
      </w:pPr>
      <w:r w:rsidRPr="008B53E7">
        <w:rPr>
          <w:rFonts w:cstheme="minorHAnsi"/>
        </w:rPr>
        <w:t>60% of all training completers were from VR agencies; 31% were from CRPs. 6% were from DD agencies and 3% from Education.</w:t>
      </w:r>
    </w:p>
    <w:p w14:paraId="048BA6B3" w14:textId="77777777" w:rsidR="00C5068F" w:rsidRDefault="00C5068F" w:rsidP="00076336">
      <w:pPr>
        <w:pStyle w:val="ListParagraph"/>
        <w:numPr>
          <w:ilvl w:val="2"/>
          <w:numId w:val="23"/>
        </w:numPr>
        <w:spacing w:after="100" w:afterAutospacing="1"/>
        <w:rPr>
          <w:rFonts w:cstheme="minorHAnsi"/>
        </w:rPr>
      </w:pPr>
      <w:r w:rsidRPr="008B53E7">
        <w:rPr>
          <w:rFonts w:cstheme="minorHAnsi"/>
        </w:rPr>
        <w:t xml:space="preserve">71% of those who completed the classroom + mentoring </w:t>
      </w:r>
      <w:r>
        <w:rPr>
          <w:rFonts w:cstheme="minorHAnsi"/>
        </w:rPr>
        <w:t xml:space="preserve">components </w:t>
      </w:r>
      <w:r w:rsidRPr="008B53E7">
        <w:rPr>
          <w:rFonts w:cstheme="minorHAnsi"/>
        </w:rPr>
        <w:t>were from CRPs; 26% were from VR agencies.</w:t>
      </w:r>
    </w:p>
    <w:p w14:paraId="7C86D95F" w14:textId="77777777" w:rsidR="00C5068F" w:rsidRPr="008B53E7" w:rsidRDefault="00C5068F" w:rsidP="00076336">
      <w:pPr>
        <w:pStyle w:val="ListParagraph"/>
        <w:numPr>
          <w:ilvl w:val="0"/>
          <w:numId w:val="23"/>
        </w:numPr>
        <w:spacing w:after="100" w:afterAutospacing="1"/>
        <w:ind w:left="1080"/>
        <w:rPr>
          <w:rFonts w:cstheme="minorHAnsi"/>
        </w:rPr>
      </w:pPr>
      <w:r>
        <w:rPr>
          <w:rFonts w:cstheme="minorHAnsi"/>
          <w:i/>
        </w:rPr>
        <w:t xml:space="preserve">Consumers served: </w:t>
      </w:r>
      <w:r>
        <w:rPr>
          <w:rFonts w:cstheme="minorHAnsi"/>
        </w:rPr>
        <w:t>With 12 of 13 SVRAs reporting we can say that at least 102 individuals with disabilities received CE services as follows. 61</w:t>
      </w:r>
      <w:r w:rsidRPr="002D49DB">
        <w:rPr>
          <w:rFonts w:cstheme="minorHAnsi"/>
        </w:rPr>
        <w:t>%</w:t>
      </w:r>
      <w:r>
        <w:rPr>
          <w:rFonts w:cstheme="minorHAnsi"/>
        </w:rPr>
        <w:t xml:space="preserve"> were adults; the balance were youth under age 25. As of this reporting, these individuals were in various stages of the CE process: </w:t>
      </w:r>
    </w:p>
    <w:p w14:paraId="5C4E0221" w14:textId="77777777" w:rsidR="00C5068F" w:rsidRPr="002D49DB" w:rsidRDefault="00C5068F" w:rsidP="00076336">
      <w:pPr>
        <w:pStyle w:val="ListParagraph"/>
        <w:numPr>
          <w:ilvl w:val="2"/>
          <w:numId w:val="23"/>
        </w:numPr>
        <w:spacing w:after="100" w:afterAutospacing="1"/>
        <w:rPr>
          <w:rFonts w:cstheme="minorHAnsi"/>
        </w:rPr>
      </w:pPr>
      <w:r>
        <w:rPr>
          <w:rFonts w:cstheme="minorHAnsi"/>
        </w:rPr>
        <w:t>63 had s</w:t>
      </w:r>
      <w:r w:rsidRPr="002D49DB">
        <w:rPr>
          <w:rFonts w:cstheme="minorHAnsi"/>
        </w:rPr>
        <w:t>tarted CE</w:t>
      </w:r>
      <w:r>
        <w:rPr>
          <w:rFonts w:cstheme="minorHAnsi"/>
        </w:rPr>
        <w:t xml:space="preserve"> </w:t>
      </w:r>
    </w:p>
    <w:p w14:paraId="37B48621" w14:textId="77777777" w:rsidR="00C5068F" w:rsidRPr="002D49DB" w:rsidRDefault="00C5068F" w:rsidP="00076336">
      <w:pPr>
        <w:pStyle w:val="ListParagraph"/>
        <w:numPr>
          <w:ilvl w:val="2"/>
          <w:numId w:val="23"/>
        </w:numPr>
        <w:spacing w:after="100" w:afterAutospacing="1"/>
        <w:rPr>
          <w:rFonts w:cstheme="minorHAnsi"/>
        </w:rPr>
      </w:pPr>
      <w:r>
        <w:rPr>
          <w:rFonts w:cstheme="minorHAnsi"/>
        </w:rPr>
        <w:t>29 had c</w:t>
      </w:r>
      <w:r w:rsidRPr="002D49DB">
        <w:rPr>
          <w:rFonts w:cstheme="minorHAnsi"/>
        </w:rPr>
        <w:t>ompleted Discovery</w:t>
      </w:r>
    </w:p>
    <w:p w14:paraId="238A672C" w14:textId="77777777" w:rsidR="00C5068F" w:rsidRPr="002D49DB" w:rsidRDefault="00C5068F" w:rsidP="00076336">
      <w:pPr>
        <w:pStyle w:val="ListParagraph"/>
        <w:numPr>
          <w:ilvl w:val="2"/>
          <w:numId w:val="23"/>
        </w:numPr>
        <w:spacing w:after="100" w:afterAutospacing="1"/>
        <w:rPr>
          <w:rFonts w:cstheme="minorHAnsi"/>
        </w:rPr>
      </w:pPr>
      <w:r>
        <w:rPr>
          <w:rFonts w:cstheme="minorHAnsi"/>
        </w:rPr>
        <w:t>3 had c</w:t>
      </w:r>
      <w:r w:rsidRPr="002D49DB">
        <w:rPr>
          <w:rFonts w:cstheme="minorHAnsi"/>
        </w:rPr>
        <w:t>ompleted Job Development</w:t>
      </w:r>
    </w:p>
    <w:p w14:paraId="0FA4CBE5" w14:textId="77777777" w:rsidR="00C5068F" w:rsidRPr="002D49DB" w:rsidRDefault="00C5068F" w:rsidP="00076336">
      <w:pPr>
        <w:pStyle w:val="ListParagraph"/>
        <w:numPr>
          <w:ilvl w:val="2"/>
          <w:numId w:val="23"/>
        </w:numPr>
        <w:spacing w:after="100" w:afterAutospacing="1"/>
        <w:rPr>
          <w:rFonts w:cstheme="minorHAnsi"/>
        </w:rPr>
      </w:pPr>
      <w:r>
        <w:rPr>
          <w:rFonts w:cstheme="minorHAnsi"/>
        </w:rPr>
        <w:lastRenderedPageBreak/>
        <w:t>7 had completed the entire process and achieved</w:t>
      </w:r>
      <w:r w:rsidRPr="002D49DB">
        <w:rPr>
          <w:rFonts w:cstheme="minorHAnsi"/>
        </w:rPr>
        <w:t xml:space="preserve"> </w:t>
      </w:r>
      <w:r>
        <w:rPr>
          <w:rFonts w:cstheme="minorHAnsi"/>
        </w:rPr>
        <w:t>c</w:t>
      </w:r>
      <w:r w:rsidRPr="002D49DB">
        <w:rPr>
          <w:rFonts w:cstheme="minorHAnsi"/>
        </w:rPr>
        <w:t xml:space="preserve">ompetitive </w:t>
      </w:r>
      <w:r>
        <w:rPr>
          <w:rFonts w:cstheme="minorHAnsi"/>
        </w:rPr>
        <w:t>e</w:t>
      </w:r>
      <w:r w:rsidRPr="002D49DB">
        <w:rPr>
          <w:rFonts w:cstheme="minorHAnsi"/>
        </w:rPr>
        <w:t>mployment</w:t>
      </w:r>
    </w:p>
    <w:p w14:paraId="402EB98D" w14:textId="77777777" w:rsidR="00C5068F" w:rsidRDefault="00C5068F" w:rsidP="00076336">
      <w:pPr>
        <w:pStyle w:val="ListParagraph"/>
        <w:numPr>
          <w:ilvl w:val="0"/>
          <w:numId w:val="23"/>
        </w:numPr>
        <w:spacing w:after="100" w:afterAutospacing="1"/>
        <w:ind w:left="1080"/>
        <w:rPr>
          <w:rFonts w:cstheme="minorHAnsi"/>
        </w:rPr>
      </w:pPr>
      <w:r>
        <w:rPr>
          <w:rFonts w:cstheme="minorHAnsi"/>
          <w:i/>
        </w:rPr>
        <w:t xml:space="preserve">Service capacity: </w:t>
      </w:r>
      <w:r>
        <w:rPr>
          <w:rFonts w:cstheme="minorHAnsi"/>
        </w:rPr>
        <w:t>As a result of the 11 pilots, CE is available in the 13 SVRAs as follows:</w:t>
      </w:r>
    </w:p>
    <w:p w14:paraId="5B913A40" w14:textId="77777777" w:rsidR="00C5068F" w:rsidRDefault="00C5068F" w:rsidP="00076336">
      <w:pPr>
        <w:pStyle w:val="ListParagraph"/>
        <w:numPr>
          <w:ilvl w:val="2"/>
          <w:numId w:val="23"/>
        </w:numPr>
        <w:spacing w:after="100" w:afterAutospacing="1"/>
        <w:rPr>
          <w:rFonts w:cstheme="minorHAnsi"/>
        </w:rPr>
      </w:pPr>
      <w:r>
        <w:rPr>
          <w:rFonts w:cstheme="minorHAnsi"/>
        </w:rPr>
        <w:t>52 organizations with certified, active, direct CE service staff, 46 (89%) of these organizations are CRPs.</w:t>
      </w:r>
    </w:p>
    <w:p w14:paraId="6D7495E5" w14:textId="77777777" w:rsidR="00C5068F" w:rsidRDefault="00C5068F" w:rsidP="00076336">
      <w:pPr>
        <w:pStyle w:val="ListParagraph"/>
        <w:numPr>
          <w:ilvl w:val="2"/>
          <w:numId w:val="23"/>
        </w:numPr>
        <w:spacing w:after="100" w:afterAutospacing="1"/>
        <w:rPr>
          <w:rFonts w:cstheme="minorHAnsi"/>
        </w:rPr>
      </w:pPr>
      <w:r>
        <w:rPr>
          <w:rFonts w:cstheme="minorHAnsi"/>
        </w:rPr>
        <w:t>115 staff providing direct CE services to clients. Note: Members of the training cohorts that are “in progress” are not counted here.</w:t>
      </w:r>
    </w:p>
    <w:p w14:paraId="2CA75A91" w14:textId="77777777" w:rsidR="00C5068F" w:rsidRDefault="00C5068F" w:rsidP="00076336">
      <w:pPr>
        <w:pStyle w:val="ListParagraph"/>
        <w:numPr>
          <w:ilvl w:val="2"/>
          <w:numId w:val="23"/>
        </w:numPr>
        <w:spacing w:after="100" w:afterAutospacing="1"/>
        <w:rPr>
          <w:rFonts w:cstheme="minorHAnsi"/>
        </w:rPr>
      </w:pPr>
      <w:r>
        <w:rPr>
          <w:rFonts w:cstheme="minorHAnsi"/>
        </w:rPr>
        <w:t>84 administrators supporting, supervising or monitoring CE service delivery; 44% are with VR, 26% DD agencies, 24% CRPs and 6% Education.</w:t>
      </w:r>
    </w:p>
    <w:p w14:paraId="2B4A4791" w14:textId="77777777" w:rsidR="00C5068F" w:rsidRDefault="00C5068F" w:rsidP="00076336">
      <w:pPr>
        <w:pStyle w:val="ListParagraph"/>
        <w:numPr>
          <w:ilvl w:val="2"/>
          <w:numId w:val="23"/>
        </w:numPr>
        <w:spacing w:after="100" w:afterAutospacing="1"/>
        <w:rPr>
          <w:rFonts w:cstheme="minorHAnsi"/>
        </w:rPr>
      </w:pPr>
      <w:r>
        <w:rPr>
          <w:rFonts w:cstheme="minorHAnsi"/>
        </w:rPr>
        <w:t>9 staff participating as members of direct service teams only (8 CRPs, 1 VR).</w:t>
      </w:r>
    </w:p>
    <w:p w14:paraId="5BA845D0" w14:textId="77777777" w:rsidR="00C5068F" w:rsidRPr="008B53E7" w:rsidRDefault="00C5068F" w:rsidP="00076336">
      <w:pPr>
        <w:pStyle w:val="ListParagraph"/>
        <w:numPr>
          <w:ilvl w:val="2"/>
          <w:numId w:val="23"/>
        </w:numPr>
        <w:spacing w:after="100" w:afterAutospacing="1"/>
        <w:rPr>
          <w:rFonts w:cstheme="minorHAnsi"/>
        </w:rPr>
      </w:pPr>
      <w:r>
        <w:rPr>
          <w:rFonts w:cstheme="minorHAnsi"/>
        </w:rPr>
        <w:t>103 VR staff authorizing, referring and/or paying for CE service delivery.</w:t>
      </w:r>
    </w:p>
    <w:p w14:paraId="618B28FB" w14:textId="77777777" w:rsidR="00C5068F" w:rsidRPr="004A5B46" w:rsidRDefault="00C5068F" w:rsidP="00C5068F">
      <w:pPr>
        <w:shd w:val="clear" w:color="auto" w:fill="FFF2CC" w:themeFill="accent4" w:themeFillTint="33"/>
        <w:tabs>
          <w:tab w:val="left" w:pos="360"/>
        </w:tabs>
        <w:jc w:val="center"/>
        <w:rPr>
          <w:rFonts w:cstheme="minorHAnsi"/>
          <w:b/>
          <w:i/>
        </w:rPr>
      </w:pPr>
      <w:r w:rsidRPr="00C37067">
        <w:rPr>
          <w:rFonts w:cstheme="minorHAnsi"/>
          <w:b/>
          <w:i/>
        </w:rPr>
        <w:t xml:space="preserve">Sampling of Testimonials on the </w:t>
      </w:r>
      <w:r>
        <w:rPr>
          <w:rFonts w:cstheme="minorHAnsi"/>
          <w:b/>
          <w:i/>
        </w:rPr>
        <w:t>Customized</w:t>
      </w:r>
      <w:r w:rsidRPr="00C37067">
        <w:rPr>
          <w:rFonts w:cstheme="minorHAnsi"/>
          <w:b/>
          <w:i/>
        </w:rPr>
        <w:t xml:space="preserve"> Employment </w:t>
      </w:r>
      <w:r>
        <w:rPr>
          <w:rFonts w:cstheme="minorHAnsi"/>
          <w:b/>
          <w:i/>
        </w:rPr>
        <w:t>Pilot Project</w:t>
      </w:r>
      <w:r w:rsidRPr="00C37067">
        <w:rPr>
          <w:rFonts w:cstheme="minorHAnsi"/>
          <w:b/>
          <w:i/>
        </w:rPr>
        <w:t xml:space="preserve"> Experience/Impact</w:t>
      </w:r>
    </w:p>
    <w:p w14:paraId="32B01F05" w14:textId="77777777" w:rsidR="00C5068F" w:rsidRDefault="00C5068F" w:rsidP="00C5068F">
      <w:pPr>
        <w:tabs>
          <w:tab w:val="left" w:pos="360"/>
        </w:tabs>
        <w:spacing w:after="40"/>
        <w:rPr>
          <w:rFonts w:cstheme="minorHAnsi"/>
        </w:rPr>
      </w:pPr>
      <w:r w:rsidRPr="00C947E0">
        <w:rPr>
          <w:rFonts w:ascii="Times New Roman" w:hAnsi="Times New Roman" w:cs="Times New Roman"/>
          <w:noProof/>
          <w:sz w:val="24"/>
          <w:szCs w:val="24"/>
          <w:lang w:eastAsia="ko-KR"/>
        </w:rPr>
        <mc:AlternateContent>
          <mc:Choice Requires="wps">
            <w:drawing>
              <wp:inline distT="0" distB="0" distL="0" distR="0" wp14:anchorId="2927F44E" wp14:editId="7CD42927">
                <wp:extent cx="3383280" cy="1774141"/>
                <wp:effectExtent l="0" t="0" r="0" b="4445"/>
                <wp:docPr id="129" name="Snip Single Corner Rectangle 10"/>
                <wp:cNvGraphicFramePr/>
                <a:graphic xmlns:a="http://schemas.openxmlformats.org/drawingml/2006/main">
                  <a:graphicData uri="http://schemas.microsoft.com/office/word/2010/wordprocessingShape">
                    <wps:wsp>
                      <wps:cNvSpPr/>
                      <wps:spPr>
                        <a:xfrm>
                          <a:off x="0" y="0"/>
                          <a:ext cx="3383280" cy="1774141"/>
                        </a:xfrm>
                        <a:prstGeom prst="snip1Rect">
                          <a:avLst/>
                        </a:prstGeom>
                        <a:ln>
                          <a:noFill/>
                        </a:ln>
                      </wps:spPr>
                      <wps:style>
                        <a:lnRef idx="2">
                          <a:schemeClr val="accent1">
                            <a:shade val="50000"/>
                          </a:schemeClr>
                        </a:lnRef>
                        <a:fillRef idx="1003">
                          <a:schemeClr val="dk2"/>
                        </a:fillRef>
                        <a:effectRef idx="0">
                          <a:schemeClr val="accent1"/>
                        </a:effectRef>
                        <a:fontRef idx="minor">
                          <a:schemeClr val="lt1"/>
                        </a:fontRef>
                      </wps:style>
                      <wps:txbx>
                        <w:txbxContent>
                          <w:p w14:paraId="6FBC51EE" w14:textId="77777777" w:rsidR="00366D34" w:rsidRPr="00C54296" w:rsidRDefault="00366D34" w:rsidP="00C5068F">
                            <w:pPr>
                              <w:spacing w:after="0" w:line="276" w:lineRule="auto"/>
                              <w:ind w:left="1080"/>
                              <w:rPr>
                                <w:rFonts w:ascii="Times New Roman" w:hAnsi="Times New Roman" w:cs="Times New Roman"/>
                                <w:b/>
                                <w:bCs/>
                                <w:i/>
                                <w:iCs/>
                                <w:sz w:val="28"/>
                                <w:szCs w:val="28"/>
                              </w:rPr>
                            </w:pPr>
                            <w:r>
                              <w:rPr>
                                <w:rFonts w:ascii="Times New Roman" w:hAnsi="Times New Roman" w:cs="Times New Roman"/>
                                <w:b/>
                                <w:bCs/>
                                <w:i/>
                                <w:iCs/>
                                <w:sz w:val="24"/>
                                <w:szCs w:val="24"/>
                              </w:rPr>
                              <w:t>We struggled with finding common ground and respecting each other’s identity and territories; [WINTAC team] helped us realize we don’t have territories as opposed to common customers. Thanks [WINTAC] for doing the hard work and pulling things together.</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inline>
            </w:drawing>
          </mc:Choice>
          <mc:Fallback>
            <w:pict>
              <v:shape w14:anchorId="2927F44E" id="_x0000_s1051" style="width:266.4pt;height:139.7pt;visibility:visible;mso-wrap-style:square;mso-left-percent:-10001;mso-top-percent:-10001;mso-position-horizontal:absolute;mso-position-horizontal-relative:char;mso-position-vertical:absolute;mso-position-vertical-relative:line;mso-left-percent:-10001;mso-top-percent:-10001;v-text-anchor:middle" coordsize="3383280,1774141"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" adj="-11796480,,5400" path="m,l3087584,r295696,295696l3383280,1774141,,1774141,,xe" fillcolor="#4d5f78 [2994]" stroked="f" strokeweight="1pt">
                <v:fill color2="#2a3442 [2018]" rotate="t" colors="0 #5d6d85;.5 #485972;1 #334258" focus="100%" type="gradient">
                  <o:fill v:ext="view" type="gradientUnscaled"/>
                </v:fill>
                <v:stroke joinstyle="miter"/>
                <v:formulas/>
                <v:path arrowok="t" o:connecttype="custom" o:connectlocs="0,0;3087584,0;3383280,295696;3383280,1774141;0,1774141;0,0" o:connectangles="0,0,0,0,0,0" textboxrect="0,0,3383280,1774141"/>
                <v:textbox inset="0,0,0,0">
                  <w:txbxContent>
                    <w:p w14:paraId="6FBC51EE" w14:textId="77777777" w:rsidR="00366D34" w:rsidRPr="00C54296" w:rsidRDefault="00366D34" w:rsidP="00C5068F">
                      <w:pPr>
                        <w:spacing w:after="0" w:line="276" w:lineRule="auto"/>
                        <w:ind w:left="1080"/>
                        <w:rPr>
                          <w:rFonts w:ascii="Times New Roman" w:hAnsi="Times New Roman" w:cs="Times New Roman"/>
                          <w:b/>
                          <w:bCs/>
                          <w:i/>
                          <w:iCs/>
                          <w:sz w:val="28"/>
                          <w:szCs w:val="28"/>
                        </w:rPr>
                      </w:pPr>
                      <w:r>
                        <w:rPr>
                          <w:rFonts w:ascii="Times New Roman" w:hAnsi="Times New Roman" w:cs="Times New Roman"/>
                          <w:b/>
                          <w:bCs/>
                          <w:i/>
                          <w:iCs/>
                          <w:sz w:val="24"/>
                          <w:szCs w:val="24"/>
                        </w:rPr>
                        <w:t>We struggled with finding common ground and respecting each other’s identity and territories; [WINTAC team] helped us realize we don’t have territories as opposed to common customers. Thanks [WINTAC] for doing the hard work and pulling things together.</w:t>
                      </w:r>
                    </w:p>
                  </w:txbxContent>
                </v:textbox>
                <w10:anchorlock/>
              </v:shape>
            </w:pict>
          </mc:Fallback>
        </mc:AlternateContent>
      </w:r>
      <w:r>
        <w:rPr>
          <w:rFonts w:cstheme="minorHAnsi"/>
        </w:rPr>
        <w:t xml:space="preserve">     </w:t>
      </w:r>
      <w:r w:rsidRPr="00C947E0">
        <w:rPr>
          <w:rFonts w:ascii="Times New Roman" w:hAnsi="Times New Roman" w:cs="Times New Roman"/>
          <w:noProof/>
          <w:sz w:val="24"/>
          <w:szCs w:val="24"/>
          <w:lang w:eastAsia="ko-KR"/>
        </w:rPr>
        <mc:AlternateContent>
          <mc:Choice Requires="wps">
            <w:drawing>
              <wp:inline distT="0" distB="0" distL="0" distR="0" wp14:anchorId="723BC5AF" wp14:editId="7A1BC8FA">
                <wp:extent cx="2369429" cy="1222130"/>
                <wp:effectExtent l="0" t="0" r="5715" b="0"/>
                <wp:docPr id="130" name="Snip Single Corner Rectangle 11"/>
                <wp:cNvGraphicFramePr/>
                <a:graphic xmlns:a="http://schemas.openxmlformats.org/drawingml/2006/main">
                  <a:graphicData uri="http://schemas.microsoft.com/office/word/2010/wordprocessingShape">
                    <wps:wsp>
                      <wps:cNvSpPr/>
                      <wps:spPr>
                        <a:xfrm>
                          <a:off x="0" y="0"/>
                          <a:ext cx="2369429" cy="1222130"/>
                        </a:xfrm>
                        <a:prstGeom prst="snip1Rect">
                          <a:avLst/>
                        </a:prstGeom>
                        <a:ln>
                          <a:noFill/>
                        </a:ln>
                      </wps:spPr>
                      <wps:style>
                        <a:lnRef idx="2">
                          <a:schemeClr val="accent1">
                            <a:shade val="50000"/>
                          </a:schemeClr>
                        </a:lnRef>
                        <a:fillRef idx="1003">
                          <a:schemeClr val="dk2"/>
                        </a:fillRef>
                        <a:effectRef idx="0">
                          <a:schemeClr val="accent1"/>
                        </a:effectRef>
                        <a:fontRef idx="minor">
                          <a:schemeClr val="lt1"/>
                        </a:fontRef>
                      </wps:style>
                      <wps:txbx>
                        <w:txbxContent>
                          <w:p w14:paraId="66E3C4A3" w14:textId="77777777" w:rsidR="00366D34" w:rsidRPr="00D45DFC" w:rsidRDefault="00366D34" w:rsidP="00C5068F">
                            <w:pPr>
                              <w:spacing w:after="0" w:line="276" w:lineRule="auto"/>
                              <w:ind w:left="1080"/>
                              <w:rPr>
                                <w:rFonts w:ascii="Times New Roman" w:hAnsi="Times New Roman" w:cs="Times New Roman"/>
                                <w:b/>
                                <w:bCs/>
                                <w:i/>
                                <w:iCs/>
                                <w:sz w:val="24"/>
                                <w:szCs w:val="24"/>
                              </w:rPr>
                            </w:pPr>
                            <w:r>
                              <w:rPr>
                                <w:rFonts w:ascii="Times New Roman" w:hAnsi="Times New Roman" w:cs="Times New Roman"/>
                                <w:b/>
                                <w:bCs/>
                                <w:i/>
                                <w:iCs/>
                                <w:sz w:val="24"/>
                                <w:szCs w:val="24"/>
                              </w:rPr>
                              <w:t>[Partnership with WINTAC] helped us apply the knowledge and skills we learned [in the CE training].</w:t>
                            </w:r>
                          </w:p>
                        </w:txbxContent>
                      </wps:txbx>
                      <wps:bodyPr rot="0" spcFirstLastPara="0" vertOverflow="overflow" horzOverflow="overflow" vert="horz" wrap="square" lIns="0" tIns="0" rIns="91440" bIns="91440" numCol="1" spcCol="0" rtlCol="0" fromWordArt="0" anchor="ctr" anchorCtr="0" forceAA="0" compatLnSpc="1">
                        <a:prstTxWarp prst="textNoShape">
                          <a:avLst/>
                        </a:prstTxWarp>
                        <a:noAutofit/>
                      </wps:bodyPr>
                    </wps:wsp>
                  </a:graphicData>
                </a:graphic>
              </wp:inline>
            </w:drawing>
          </mc:Choice>
          <mc:Fallback>
            <w:pict>
              <v:shape w14:anchorId="723BC5AF" id="_x0000_s1052" style="width:186.55pt;height:96.25pt;visibility:visible;mso-wrap-style:square;mso-left-percent:-10001;mso-top-percent:-10001;mso-position-horizontal:absolute;mso-position-horizontal-relative:char;mso-position-vertical:absolute;mso-position-vertical-relative:line;mso-left-percent:-10001;mso-top-percent:-10001;v-text-anchor:middle" coordsize="2369429,122213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" adj="-11796480,,5400" path="m,l2165737,r203692,203692l2369429,1222130,,1222130,,xe" fillcolor="#4d5f78 [2994]" stroked="f" strokeweight="1pt">
                <v:fill color2="#2a3442 [2018]" rotate="t" colors="0 #5d6d85;.5 #485972;1 #334258" focus="100%" type="gradient">
                  <o:fill v:ext="view" type="gradientUnscaled"/>
                </v:fill>
                <v:stroke joinstyle="miter"/>
                <v:formulas/>
                <v:path arrowok="t" o:connecttype="custom" o:connectlocs="0,0;2165737,0;2369429,203692;2369429,1222130;0,1222130;0,0" o:connectangles="0,0,0,0,0,0" textboxrect="0,0,2369429,1222130"/>
                <v:textbox inset="0,0,,7.2pt">
                  <w:txbxContent>
                    <w:p w14:paraId="66E3C4A3" w14:textId="77777777" w:rsidR="00366D34" w:rsidRPr="00D45DFC" w:rsidRDefault="00366D34" w:rsidP="00C5068F">
                      <w:pPr>
                        <w:spacing w:after="0" w:line="276" w:lineRule="auto"/>
                        <w:ind w:left="1080"/>
                        <w:rPr>
                          <w:rFonts w:ascii="Times New Roman" w:hAnsi="Times New Roman" w:cs="Times New Roman"/>
                          <w:b/>
                          <w:bCs/>
                          <w:i/>
                          <w:iCs/>
                          <w:sz w:val="24"/>
                          <w:szCs w:val="24"/>
                        </w:rPr>
                      </w:pPr>
                      <w:r>
                        <w:rPr>
                          <w:rFonts w:ascii="Times New Roman" w:hAnsi="Times New Roman" w:cs="Times New Roman"/>
                          <w:b/>
                          <w:bCs/>
                          <w:i/>
                          <w:iCs/>
                          <w:sz w:val="24"/>
                          <w:szCs w:val="24"/>
                        </w:rPr>
                        <w:t>[Partnership with WINTAC] helped us apply the knowledge and skills we learned [in the CE training].</w:t>
                      </w:r>
                    </w:p>
                  </w:txbxContent>
                </v:textbox>
                <w10:anchorlock/>
              </v:shape>
            </w:pict>
          </mc:Fallback>
        </mc:AlternateContent>
      </w:r>
    </w:p>
    <w:p w14:paraId="29A2C3A2" w14:textId="77777777" w:rsidR="00C5068F" w:rsidRPr="00C1294B" w:rsidRDefault="00C5068F" w:rsidP="00C5068F">
      <w:pPr>
        <w:tabs>
          <w:tab w:val="left" w:pos="360"/>
        </w:tabs>
        <w:spacing w:after="40"/>
        <w:jc w:val="center"/>
        <w:rPr>
          <w:rFonts w:cstheme="minorHAnsi"/>
          <w:sz w:val="13"/>
          <w:szCs w:val="13"/>
        </w:rPr>
      </w:pPr>
    </w:p>
    <w:p w14:paraId="6437D5E5" w14:textId="77777777" w:rsidR="00C5068F" w:rsidRDefault="00C5068F" w:rsidP="00C5068F">
      <w:pPr>
        <w:tabs>
          <w:tab w:val="left" w:pos="360"/>
        </w:tabs>
        <w:spacing w:after="40"/>
        <w:jc w:val="right"/>
        <w:rPr>
          <w:rFonts w:cstheme="minorHAnsi"/>
        </w:rPr>
      </w:pPr>
      <w:r w:rsidRPr="00C947E0">
        <w:rPr>
          <w:rFonts w:ascii="Times New Roman" w:hAnsi="Times New Roman" w:cs="Times New Roman"/>
          <w:noProof/>
          <w:sz w:val="24"/>
          <w:szCs w:val="24"/>
          <w:lang w:eastAsia="ko-KR"/>
        </w:rPr>
        <mc:AlternateContent>
          <mc:Choice Requires="wps">
            <w:drawing>
              <wp:inline distT="0" distB="0" distL="0" distR="0" wp14:anchorId="16FA0925" wp14:editId="113DA0B1">
                <wp:extent cx="2479333" cy="1881114"/>
                <wp:effectExtent l="0" t="0" r="0" b="0"/>
                <wp:docPr id="131" name="Snip Single Corner Rectangle 117"/>
                <wp:cNvGraphicFramePr/>
                <a:graphic xmlns:a="http://schemas.openxmlformats.org/drawingml/2006/main">
                  <a:graphicData uri="http://schemas.microsoft.com/office/word/2010/wordprocessingShape">
                    <wps:wsp>
                      <wps:cNvSpPr/>
                      <wps:spPr>
                        <a:xfrm>
                          <a:off x="0" y="0"/>
                          <a:ext cx="2479333" cy="1881114"/>
                        </a:xfrm>
                        <a:prstGeom prst="snip1Rect">
                          <a:avLst/>
                        </a:prstGeom>
                        <a:ln>
                          <a:noFill/>
                        </a:ln>
                      </wps:spPr>
                      <wps:style>
                        <a:lnRef idx="2">
                          <a:schemeClr val="accent1">
                            <a:shade val="50000"/>
                          </a:schemeClr>
                        </a:lnRef>
                        <a:fillRef idx="1003">
                          <a:schemeClr val="dk2"/>
                        </a:fillRef>
                        <a:effectRef idx="0">
                          <a:schemeClr val="accent1"/>
                        </a:effectRef>
                        <a:fontRef idx="minor">
                          <a:schemeClr val="lt1"/>
                        </a:fontRef>
                      </wps:style>
                      <wps:txbx>
                        <w:txbxContent>
                          <w:p w14:paraId="30EE08BF" w14:textId="77777777" w:rsidR="00366D34" w:rsidRPr="00E65CF9" w:rsidRDefault="00366D34" w:rsidP="00C5068F">
                            <w:pPr>
                              <w:spacing w:after="0" w:line="276" w:lineRule="auto"/>
                              <w:ind w:left="1080"/>
                              <w:rPr>
                                <w:rFonts w:ascii="Times New Roman" w:hAnsi="Times New Roman" w:cs="Times New Roman"/>
                                <w:b/>
                                <w:bCs/>
                                <w:i/>
                                <w:iCs/>
                                <w:sz w:val="24"/>
                                <w:szCs w:val="24"/>
                              </w:rPr>
                            </w:pPr>
                            <w:r>
                              <w:rPr>
                                <w:rFonts w:ascii="Times New Roman" w:hAnsi="Times New Roman" w:cs="Times New Roman"/>
                                <w:b/>
                                <w:bCs/>
                                <w:i/>
                                <w:iCs/>
                                <w:sz w:val="24"/>
                                <w:szCs w:val="24"/>
                              </w:rPr>
                              <w:t>CE CoP: “It’s definitely working for me</w:t>
                            </w:r>
                            <w:r w:rsidRPr="00E65CF9">
                              <w:rPr>
                                <w:rFonts w:ascii="Times New Roman" w:hAnsi="Times New Roman" w:cs="Times New Roman"/>
                                <w:b/>
                                <w:bCs/>
                                <w:i/>
                                <w:iCs/>
                                <w:sz w:val="24"/>
                                <w:szCs w:val="24"/>
                              </w:rPr>
                              <w:t>.</w:t>
                            </w:r>
                            <w:r>
                              <w:rPr>
                                <w:rFonts w:ascii="Times New Roman" w:hAnsi="Times New Roman" w:cs="Times New Roman"/>
                                <w:b/>
                                <w:bCs/>
                                <w:i/>
                                <w:iCs/>
                                <w:sz w:val="24"/>
                                <w:szCs w:val="24"/>
                              </w:rPr>
                              <w:t xml:space="preserve"> I can’t remember the last time I brought something up and had such quick turnaround….It’s been wonderful for us..”</w:t>
                            </w:r>
                          </w:p>
                        </w:txbxContent>
                      </wps:txbx>
                      <wps:bodyPr rot="0" spcFirstLastPara="0" vertOverflow="overflow" horzOverflow="overflow" vert="horz" wrap="square" lIns="0" tIns="0" rIns="91440" bIns="91440" numCol="1" spcCol="0" rtlCol="0" fromWordArt="0" anchor="ctr" anchorCtr="0" forceAA="0" compatLnSpc="1">
                        <a:prstTxWarp prst="textNoShape">
                          <a:avLst/>
                        </a:prstTxWarp>
                        <a:noAutofit/>
                      </wps:bodyPr>
                    </wps:wsp>
                  </a:graphicData>
                </a:graphic>
              </wp:inline>
            </w:drawing>
          </mc:Choice>
          <mc:Fallback>
            <w:pict>
              <v:shape w14:anchorId="16FA0925" id="_x0000_s1053" style="width:195.2pt;height:148.1pt;visibility:visible;mso-wrap-style:square;mso-left-percent:-10001;mso-top-percent:-10001;mso-position-horizontal:absolute;mso-position-horizontal-relative:char;mso-position-vertical:absolute;mso-position-vertical-relative:line;mso-left-percent:-10001;mso-top-percent:-10001;v-text-anchor:middle" coordsize="2479333,188111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" adj="-11796480,,5400" path="m,l2165808,r313525,313525l2479333,1881114,,1881114,,xe" fillcolor="#4d5f78 [2994]" stroked="f" strokeweight="1pt">
                <v:fill color2="#2a3442 [2018]" rotate="t" colors="0 #5d6d85;.5 #485972;1 #334258" focus="100%" type="gradient">
                  <o:fill v:ext="view" type="gradientUnscaled"/>
                </v:fill>
                <v:stroke joinstyle="miter"/>
                <v:formulas/>
                <v:path arrowok="t" o:connecttype="custom" o:connectlocs="0,0;2165808,0;2479333,313525;2479333,1881114;0,1881114;0,0" o:connectangles="0,0,0,0,0,0" textboxrect="0,0,2479333,1881114"/>
                <v:textbox inset="0,0,,7.2pt">
                  <w:txbxContent>
                    <w:p w14:paraId="30EE08BF" w14:textId="77777777" w:rsidR="00366D34" w:rsidRPr="00E65CF9" w:rsidRDefault="00366D34" w:rsidP="00C5068F">
                      <w:pPr>
                        <w:spacing w:after="0" w:line="276" w:lineRule="auto"/>
                        <w:ind w:left="1080"/>
                        <w:rPr>
                          <w:rFonts w:ascii="Times New Roman" w:hAnsi="Times New Roman" w:cs="Times New Roman"/>
                          <w:b/>
                          <w:bCs/>
                          <w:i/>
                          <w:iCs/>
                          <w:sz w:val="24"/>
                          <w:szCs w:val="24"/>
                        </w:rPr>
                      </w:pPr>
                      <w:r>
                        <w:rPr>
                          <w:rFonts w:ascii="Times New Roman" w:hAnsi="Times New Roman" w:cs="Times New Roman"/>
                          <w:b/>
                          <w:bCs/>
                          <w:i/>
                          <w:iCs/>
                          <w:sz w:val="24"/>
                          <w:szCs w:val="24"/>
                        </w:rPr>
                        <w:t>CE CoP: “It’s definitely working for me</w:t>
                      </w:r>
                      <w:r w:rsidRPr="00E65CF9">
                        <w:rPr>
                          <w:rFonts w:ascii="Times New Roman" w:hAnsi="Times New Roman" w:cs="Times New Roman"/>
                          <w:b/>
                          <w:bCs/>
                          <w:i/>
                          <w:iCs/>
                          <w:sz w:val="24"/>
                          <w:szCs w:val="24"/>
                        </w:rPr>
                        <w:t>.</w:t>
                      </w:r>
                      <w:r>
                        <w:rPr>
                          <w:rFonts w:ascii="Times New Roman" w:hAnsi="Times New Roman" w:cs="Times New Roman"/>
                          <w:b/>
                          <w:bCs/>
                          <w:i/>
                          <w:iCs/>
                          <w:sz w:val="24"/>
                          <w:szCs w:val="24"/>
                        </w:rPr>
                        <w:t xml:space="preserve"> I can’t remember the last time I brought something up and had such quick turnaround….It’s been wonderful for us..”</w:t>
                      </w:r>
                    </w:p>
                  </w:txbxContent>
                </v:textbox>
                <w10:anchorlock/>
              </v:shape>
            </w:pict>
          </mc:Fallback>
        </mc:AlternateContent>
      </w:r>
      <w:r>
        <w:rPr>
          <w:rFonts w:cstheme="minorHAnsi"/>
        </w:rPr>
        <w:t xml:space="preserve">      </w:t>
      </w:r>
      <w:r w:rsidRPr="00C947E0">
        <w:rPr>
          <w:rFonts w:ascii="Times New Roman" w:hAnsi="Times New Roman" w:cs="Times New Roman"/>
          <w:noProof/>
          <w:sz w:val="24"/>
          <w:szCs w:val="24"/>
          <w:lang w:eastAsia="ko-KR"/>
        </w:rPr>
        <mc:AlternateContent>
          <mc:Choice Requires="wps">
            <w:drawing>
              <wp:inline distT="0" distB="0" distL="0" distR="0" wp14:anchorId="044A6E63" wp14:editId="36797567">
                <wp:extent cx="3182815" cy="2136482"/>
                <wp:effectExtent l="0" t="0" r="5080" b="0"/>
                <wp:docPr id="132" name="Snip Single Corner Rectangle 12"/>
                <wp:cNvGraphicFramePr/>
                <a:graphic xmlns:a="http://schemas.openxmlformats.org/drawingml/2006/main">
                  <a:graphicData uri="http://schemas.microsoft.com/office/word/2010/wordprocessingShape">
                    <wps:wsp>
                      <wps:cNvSpPr/>
                      <wps:spPr>
                        <a:xfrm>
                          <a:off x="0" y="0"/>
                          <a:ext cx="3182815" cy="2136482"/>
                        </a:xfrm>
                        <a:prstGeom prst="snip1Rect">
                          <a:avLst/>
                        </a:prstGeom>
                        <a:ln>
                          <a:noFill/>
                        </a:ln>
                      </wps:spPr>
                      <wps:style>
                        <a:lnRef idx="2">
                          <a:schemeClr val="accent1">
                            <a:shade val="50000"/>
                          </a:schemeClr>
                        </a:lnRef>
                        <a:fillRef idx="1003">
                          <a:schemeClr val="dk2"/>
                        </a:fillRef>
                        <a:effectRef idx="0">
                          <a:schemeClr val="accent1"/>
                        </a:effectRef>
                        <a:fontRef idx="minor">
                          <a:schemeClr val="lt1"/>
                        </a:fontRef>
                      </wps:style>
                      <wps:txbx>
                        <w:txbxContent>
                          <w:p w14:paraId="3BBE4FB9" w14:textId="77777777" w:rsidR="00366D34" w:rsidRPr="00D45DFC" w:rsidRDefault="00366D34" w:rsidP="00C5068F">
                            <w:pPr>
                              <w:spacing w:after="0" w:line="276" w:lineRule="auto"/>
                              <w:ind w:left="1080"/>
                              <w:rPr>
                                <w:rFonts w:ascii="Times New Roman" w:hAnsi="Times New Roman" w:cs="Times New Roman"/>
                                <w:b/>
                                <w:bCs/>
                                <w:i/>
                                <w:iCs/>
                                <w:sz w:val="24"/>
                                <w:szCs w:val="24"/>
                              </w:rPr>
                            </w:pPr>
                            <w:r>
                              <w:rPr>
                                <w:rFonts w:ascii="Times New Roman" w:hAnsi="Times New Roman" w:cs="Times New Roman"/>
                                <w:b/>
                                <w:bCs/>
                                <w:i/>
                                <w:iCs/>
                                <w:sz w:val="24"/>
                                <w:szCs w:val="24"/>
                              </w:rPr>
                              <w:t xml:space="preserve">[What has changed since the CE training]: </w:t>
                            </w:r>
                            <w:r>
                              <w:rPr>
                                <w:rFonts w:ascii="Times New Roman" w:hAnsi="Times New Roman" w:cs="Times New Roman"/>
                                <w:b/>
                                <w:bCs/>
                                <w:i/>
                                <w:iCs/>
                                <w:sz w:val="24"/>
                                <w:szCs w:val="24"/>
                                <w:lang w:bidi="en-US"/>
                              </w:rPr>
                              <w:t>W</w:t>
                            </w:r>
                            <w:r w:rsidRPr="004A5B46">
                              <w:rPr>
                                <w:rFonts w:ascii="Times New Roman" w:hAnsi="Times New Roman" w:cs="Times New Roman"/>
                                <w:b/>
                                <w:bCs/>
                                <w:i/>
                                <w:iCs/>
                                <w:sz w:val="24"/>
                                <w:szCs w:val="24"/>
                                <w:lang w:bidi="en-US"/>
                              </w:rPr>
                              <w:t>e are continually seeking WINTAC's assistance and guidance. In addition, the workgroup has been participating on the Community of Practice to learn about how other States' experiences in providing the service.</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inline>
            </w:drawing>
          </mc:Choice>
          <mc:Fallback>
            <w:pict>
              <v:shape w14:anchorId="044A6E63" id="_x0000_s1054" style="width:250.6pt;height:168.25pt;visibility:visible;mso-wrap-style:square;mso-left-percent:-10001;mso-top-percent:-10001;mso-position-horizontal:absolute;mso-position-horizontal-relative:char;mso-position-vertical:absolute;mso-position-vertical-relative:line;mso-left-percent:-10001;mso-top-percent:-10001;v-text-anchor:middle" coordsize="3182815,2136482"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" adj="-11796480,,5400" path="m,l2826728,r356087,356087l3182815,2136482,,2136482,,xe" fillcolor="#4d5f78 [2994]" stroked="f" strokeweight="1pt">
                <v:fill color2="#2a3442 [2018]" rotate="t" colors="0 #5d6d85;.5 #485972;1 #334258" focus="100%" type="gradient">
                  <o:fill v:ext="view" type="gradientUnscaled"/>
                </v:fill>
                <v:stroke joinstyle="miter"/>
                <v:formulas/>
                <v:path arrowok="t" o:connecttype="custom" o:connectlocs="0,0;2826728,0;3182815,356087;3182815,2136482;0,2136482;0,0" o:connectangles="0,0,0,0,0,0" textboxrect="0,0,3182815,2136482"/>
                <v:textbox inset="0,0,0,0">
                  <w:txbxContent>
                    <w:p w14:paraId="3BBE4FB9" w14:textId="77777777" w:rsidR="00366D34" w:rsidRPr="00D45DFC" w:rsidRDefault="00366D34" w:rsidP="00C5068F">
                      <w:pPr>
                        <w:spacing w:after="0" w:line="276" w:lineRule="auto"/>
                        <w:ind w:left="1080"/>
                        <w:rPr>
                          <w:rFonts w:ascii="Times New Roman" w:hAnsi="Times New Roman" w:cs="Times New Roman"/>
                          <w:b/>
                          <w:bCs/>
                          <w:i/>
                          <w:iCs/>
                          <w:sz w:val="24"/>
                          <w:szCs w:val="24"/>
                        </w:rPr>
                      </w:pPr>
                      <w:r>
                        <w:rPr>
                          <w:rFonts w:ascii="Times New Roman" w:hAnsi="Times New Roman" w:cs="Times New Roman"/>
                          <w:b/>
                          <w:bCs/>
                          <w:i/>
                          <w:iCs/>
                          <w:sz w:val="24"/>
                          <w:szCs w:val="24"/>
                        </w:rPr>
                        <w:t xml:space="preserve">[What has changed since the CE training]: </w:t>
                      </w:r>
                      <w:r>
                        <w:rPr>
                          <w:rFonts w:ascii="Times New Roman" w:hAnsi="Times New Roman" w:cs="Times New Roman"/>
                          <w:b/>
                          <w:bCs/>
                          <w:i/>
                          <w:iCs/>
                          <w:sz w:val="24"/>
                          <w:szCs w:val="24"/>
                          <w:lang w:bidi="en-US"/>
                        </w:rPr>
                        <w:t>W</w:t>
                      </w:r>
                      <w:r w:rsidRPr="004A5B46">
                        <w:rPr>
                          <w:rFonts w:ascii="Times New Roman" w:hAnsi="Times New Roman" w:cs="Times New Roman"/>
                          <w:b/>
                          <w:bCs/>
                          <w:i/>
                          <w:iCs/>
                          <w:sz w:val="24"/>
                          <w:szCs w:val="24"/>
                          <w:lang w:bidi="en-US"/>
                        </w:rPr>
                        <w:t>e are continually seeking WINTAC's assistance and guidance. In addition, the workgroup has been participating on the Community of Practice to learn about how other States' experiences in providing the service.</w:t>
                      </w:r>
                    </w:p>
                  </w:txbxContent>
                </v:textbox>
                <w10:anchorlock/>
              </v:shape>
            </w:pict>
          </mc:Fallback>
        </mc:AlternateContent>
      </w:r>
      <w:r>
        <w:rPr>
          <w:rFonts w:cstheme="minorHAnsi"/>
        </w:rPr>
        <w:t xml:space="preserve">            </w:t>
      </w:r>
    </w:p>
    <w:p w14:paraId="4D15AD4C" w14:textId="77777777" w:rsidR="00C5068F" w:rsidRDefault="00C5068F" w:rsidP="00C5068F">
      <w:pPr>
        <w:tabs>
          <w:tab w:val="left" w:pos="360"/>
        </w:tabs>
        <w:spacing w:after="40"/>
        <w:jc w:val="right"/>
        <w:rPr>
          <w:rFonts w:cstheme="minorHAnsi"/>
        </w:rPr>
      </w:pPr>
    </w:p>
    <w:p w14:paraId="53A62728" w14:textId="77777777" w:rsidR="00C5068F" w:rsidRDefault="00C5068F" w:rsidP="00C5068F">
      <w:pPr>
        <w:tabs>
          <w:tab w:val="left" w:pos="360"/>
        </w:tabs>
        <w:rPr>
          <w:rFonts w:cstheme="minorHAnsi"/>
        </w:rPr>
      </w:pPr>
      <w:r>
        <w:rPr>
          <w:rFonts w:cstheme="minorHAnsi"/>
        </w:rPr>
        <w:tab/>
      </w:r>
      <w:r>
        <w:rPr>
          <w:rFonts w:cstheme="minorHAnsi"/>
          <w:b/>
          <w:i/>
        </w:rPr>
        <w:t>Conclusions</w:t>
      </w:r>
      <w:r>
        <w:rPr>
          <w:rFonts w:cstheme="minorHAnsi"/>
        </w:rPr>
        <w:t xml:space="preserve"> </w:t>
      </w:r>
      <w:r w:rsidRPr="001615CE">
        <w:rPr>
          <w:rFonts w:cstheme="minorHAnsi"/>
        </w:rPr>
        <w:t xml:space="preserve">The CE Pilot team has made steady progress in </w:t>
      </w:r>
      <w:r>
        <w:rPr>
          <w:rFonts w:cstheme="minorHAnsi"/>
        </w:rPr>
        <w:t>helping</w:t>
      </w:r>
      <w:r w:rsidRPr="001615CE">
        <w:rPr>
          <w:rFonts w:cstheme="minorHAnsi"/>
        </w:rPr>
        <w:t xml:space="preserve"> SVRAs </w:t>
      </w:r>
      <w:r>
        <w:rPr>
          <w:rFonts w:cstheme="minorHAnsi"/>
        </w:rPr>
        <w:t>undertake</w:t>
      </w:r>
      <w:r w:rsidRPr="001615CE">
        <w:rPr>
          <w:rFonts w:cstheme="minorHAnsi"/>
        </w:rPr>
        <w:t xml:space="preserve"> </w:t>
      </w:r>
      <w:r>
        <w:rPr>
          <w:rFonts w:cstheme="minorHAnsi"/>
        </w:rPr>
        <w:t>significant</w:t>
      </w:r>
      <w:r w:rsidRPr="001615CE">
        <w:rPr>
          <w:rFonts w:cstheme="minorHAnsi"/>
        </w:rPr>
        <w:t xml:space="preserve"> systems change and ultimately </w:t>
      </w:r>
      <w:r>
        <w:rPr>
          <w:rFonts w:cstheme="minorHAnsi"/>
        </w:rPr>
        <w:t>bring about unprecedented increases</w:t>
      </w:r>
      <w:r w:rsidRPr="001615CE">
        <w:rPr>
          <w:rFonts w:cstheme="minorHAnsi"/>
        </w:rPr>
        <w:t xml:space="preserve"> in service and employment options for individuals with </w:t>
      </w:r>
      <w:r>
        <w:rPr>
          <w:rFonts w:cstheme="minorHAnsi"/>
        </w:rPr>
        <w:t xml:space="preserve">the </w:t>
      </w:r>
      <w:r w:rsidRPr="001615CE">
        <w:rPr>
          <w:rFonts w:cstheme="minorHAnsi"/>
        </w:rPr>
        <w:t xml:space="preserve">most significant disabilities. </w:t>
      </w:r>
      <w:r>
        <w:rPr>
          <w:rFonts w:cstheme="minorHAnsi"/>
        </w:rPr>
        <w:t xml:space="preserve">The numbers are already promising, in terms of partnerships, capacity and consumers served. The experiences behind the numbers tell more of the story, in terms of the degree of collaboration and cultural and systems change it has taken to get to this point, what it will take to sustain the effort and how intensive the TA will still need to be to support it all. It is complicated and multi-layered: Adopting and sustaining a new practice at the SVRA level; designing, implementing and evaluating a pilot at the TA level; bringing it all together in a way that CE is integral to </w:t>
      </w:r>
      <w:r>
        <w:rPr>
          <w:rFonts w:cstheme="minorHAnsi"/>
        </w:rPr>
        <w:lastRenderedPageBreak/>
        <w:t xml:space="preserve">VR service delivery at the systems level. There are challenges at every turn. But to WINTAC’s credit, as quickly as the lessons are learned they are cycled right back into the process and the overall body of work around Customized Employment – continuous quality improvement in real time. As is evident throughout this narrative, WINTAC has the expertise, the access, credibility and finesse to bring it together, and the track record to see it through going forward as time and resources permit.   </w:t>
      </w:r>
    </w:p>
    <w:p w14:paraId="28390E9C" w14:textId="77777777" w:rsidR="00C5068F" w:rsidRDefault="00C5068F" w:rsidP="00C5068F">
      <w:pPr>
        <w:tabs>
          <w:tab w:val="left" w:pos="360"/>
        </w:tabs>
        <w:rPr>
          <w:rFonts w:cstheme="minorHAnsi"/>
        </w:rPr>
      </w:pPr>
      <w:r>
        <w:rPr>
          <w:rFonts w:cstheme="minorHAnsi"/>
          <w:b/>
          <w:i/>
        </w:rPr>
        <w:tab/>
        <w:t>Evaluation Recommendations</w:t>
      </w:r>
      <w:r>
        <w:rPr>
          <w:rFonts w:cstheme="minorHAnsi"/>
          <w:i/>
        </w:rPr>
        <w:t xml:space="preserve"> </w:t>
      </w:r>
      <w:r>
        <w:rPr>
          <w:rFonts w:cstheme="minorHAnsi"/>
        </w:rPr>
        <w:t>As the progress charts demonstrate, pilots’ evaluation-related activities have not seen as much progress to date as might be desirable. For an effort of this magnitude, evidence of tangible gains is critical to ongoing support: What changes are being brought about by the pilot and the resulting CE services and – and is it worth the investment? Indeed, more focus on evaluation and sustainability is one of the CE Team’s expressed intentions in Year 5 of the project. This will require that SVRAs have the capacity – including time, resources and structures – not only to collaborate with WINTAC’s evaluation but for their own purposes as well. They will need to articulate</w:t>
      </w:r>
      <w:r w:rsidRPr="001615CE">
        <w:rPr>
          <w:rFonts w:cstheme="minorHAnsi"/>
        </w:rPr>
        <w:t xml:space="preserve"> </w:t>
      </w:r>
      <w:r>
        <w:rPr>
          <w:rFonts w:cstheme="minorHAnsi"/>
        </w:rPr>
        <w:t xml:space="preserve">targets and </w:t>
      </w:r>
      <w:r w:rsidRPr="001615CE">
        <w:rPr>
          <w:rFonts w:cstheme="minorHAnsi"/>
        </w:rPr>
        <w:t>pre-intervention baselines</w:t>
      </w:r>
      <w:r>
        <w:rPr>
          <w:rFonts w:cstheme="minorHAnsi"/>
        </w:rPr>
        <w:t>,</w:t>
      </w:r>
      <w:r w:rsidRPr="001615CE">
        <w:rPr>
          <w:rFonts w:cstheme="minorHAnsi"/>
        </w:rPr>
        <w:t xml:space="preserve"> </w:t>
      </w:r>
      <w:r>
        <w:rPr>
          <w:rFonts w:cstheme="minorHAnsi"/>
        </w:rPr>
        <w:t>and ensure they have structures and processes to t</w:t>
      </w:r>
      <w:r w:rsidRPr="001615CE">
        <w:rPr>
          <w:rFonts w:cstheme="minorHAnsi"/>
        </w:rPr>
        <w:t xml:space="preserve">rack and </w:t>
      </w:r>
      <w:r>
        <w:rPr>
          <w:rFonts w:cstheme="minorHAnsi"/>
        </w:rPr>
        <w:t xml:space="preserve">periodically review and report </w:t>
      </w:r>
      <w:r w:rsidRPr="001615CE">
        <w:rPr>
          <w:rFonts w:cstheme="minorHAnsi"/>
        </w:rPr>
        <w:t>results.</w:t>
      </w:r>
      <w:r>
        <w:rPr>
          <w:rFonts w:cstheme="minorHAnsi"/>
        </w:rPr>
        <w:t xml:space="preserve"> While the Evaluation Team will assume as much of the burden as possible, each site should commit to revisiting their projected ITAA outcomes, designating an evaluation or data management lead for their pilot, creating an evaluation plan and protocols, and identifying the time and resources needed to help answer basic questions about the pilot’s impact.</w:t>
      </w:r>
    </w:p>
    <w:p w14:paraId="2FF251C9" w14:textId="77777777" w:rsidR="00C5068F" w:rsidRDefault="00C5068F" w:rsidP="00C5068F">
      <w:pPr>
        <w:tabs>
          <w:tab w:val="left" w:pos="360"/>
        </w:tabs>
        <w:rPr>
          <w:rFonts w:cstheme="minorHAnsi"/>
        </w:rPr>
      </w:pPr>
      <w:r>
        <w:rPr>
          <w:rFonts w:cstheme="minorHAnsi"/>
        </w:rPr>
        <w:tab/>
        <w:t>As noted above, the WINTAC team has plenty of anecdotal evidence of the CE pilot initiative’s systems impact, but it is advisable to develop the capability to measure and document these gains to the extent possible. In particular, contributions to the state of the art, ongoing national dialog, and changes in :</w:t>
      </w:r>
    </w:p>
    <w:p w14:paraId="7E38610F" w14:textId="77777777" w:rsidR="00C5068F" w:rsidRDefault="00C5068F" w:rsidP="00076336">
      <w:pPr>
        <w:pStyle w:val="ListParagraph"/>
        <w:numPr>
          <w:ilvl w:val="0"/>
          <w:numId w:val="23"/>
        </w:numPr>
        <w:spacing w:after="100" w:afterAutospacing="1"/>
        <w:ind w:left="1080"/>
        <w:rPr>
          <w:rFonts w:cstheme="minorHAnsi"/>
        </w:rPr>
      </w:pPr>
      <w:r>
        <w:t>P</w:t>
      </w:r>
      <w:r w:rsidRPr="00CA7811">
        <w:rPr>
          <w:rFonts w:cstheme="minorHAnsi"/>
        </w:rPr>
        <w:t>artnering and leveraging resources, including braiding fund</w:t>
      </w:r>
      <w:r>
        <w:rPr>
          <w:rFonts w:cstheme="minorHAnsi"/>
        </w:rPr>
        <w:t>s</w:t>
      </w:r>
    </w:p>
    <w:p w14:paraId="53F082DF" w14:textId="77777777" w:rsidR="00C5068F" w:rsidRDefault="00C5068F" w:rsidP="00076336">
      <w:pPr>
        <w:pStyle w:val="ListParagraph"/>
        <w:numPr>
          <w:ilvl w:val="0"/>
          <w:numId w:val="23"/>
        </w:numPr>
        <w:spacing w:after="100" w:afterAutospacing="1"/>
        <w:ind w:left="1080"/>
        <w:rPr>
          <w:rFonts w:cstheme="minorHAnsi"/>
        </w:rPr>
      </w:pPr>
      <w:r>
        <w:rPr>
          <w:rFonts w:cstheme="minorHAnsi"/>
        </w:rPr>
        <w:t>VR assuming a lead role in interagency collaborations</w:t>
      </w:r>
    </w:p>
    <w:p w14:paraId="4CD979C1" w14:textId="77777777" w:rsidR="00C5068F" w:rsidRDefault="00C5068F" w:rsidP="00076336">
      <w:pPr>
        <w:pStyle w:val="ListParagraph"/>
        <w:numPr>
          <w:ilvl w:val="0"/>
          <w:numId w:val="23"/>
        </w:numPr>
        <w:spacing w:after="100" w:afterAutospacing="1"/>
        <w:ind w:left="1080"/>
        <w:rPr>
          <w:rFonts w:cstheme="minorHAnsi"/>
        </w:rPr>
      </w:pPr>
      <w:r>
        <w:rPr>
          <w:rFonts w:cstheme="minorHAnsi"/>
        </w:rPr>
        <w:t>Partnering between the General and Blind agencies</w:t>
      </w:r>
    </w:p>
    <w:p w14:paraId="4E20CBA9" w14:textId="77777777" w:rsidR="00C5068F" w:rsidRDefault="00C5068F" w:rsidP="00076336">
      <w:pPr>
        <w:pStyle w:val="ListParagraph"/>
        <w:numPr>
          <w:ilvl w:val="0"/>
          <w:numId w:val="23"/>
        </w:numPr>
        <w:spacing w:after="100" w:afterAutospacing="1"/>
        <w:ind w:left="1080"/>
        <w:rPr>
          <w:rFonts w:cstheme="minorHAnsi"/>
        </w:rPr>
      </w:pPr>
      <w:r>
        <w:rPr>
          <w:rFonts w:cstheme="minorHAnsi"/>
        </w:rPr>
        <w:t>Paradigm shifts in staff view of employability</w:t>
      </w:r>
    </w:p>
    <w:p w14:paraId="5B31F779" w14:textId="77777777" w:rsidR="00C5068F" w:rsidRPr="00F03E8A" w:rsidRDefault="00C5068F" w:rsidP="00076336">
      <w:pPr>
        <w:pStyle w:val="ListParagraph"/>
        <w:numPr>
          <w:ilvl w:val="0"/>
          <w:numId w:val="23"/>
        </w:numPr>
        <w:spacing w:after="100" w:afterAutospacing="1"/>
        <w:ind w:left="1080"/>
        <w:rPr>
          <w:rFonts w:cstheme="minorHAnsi"/>
        </w:rPr>
      </w:pPr>
      <w:r>
        <w:rPr>
          <w:rFonts w:cstheme="minorHAnsi"/>
        </w:rPr>
        <w:t>Cross-agency alignment of policies and procedures</w:t>
      </w:r>
    </w:p>
    <w:p w14:paraId="26EFB812" w14:textId="77777777" w:rsidR="00C5068F" w:rsidRPr="00CA090F" w:rsidRDefault="00C5068F" w:rsidP="00C5068F"/>
    <w:p w14:paraId="5A42EE73" w14:textId="46D7E89B" w:rsidR="00B10E8F" w:rsidRDefault="00B10E8F" w:rsidP="008810D5">
      <w:pPr>
        <w:tabs>
          <w:tab w:val="left" w:pos="360"/>
        </w:tabs>
        <w:rPr>
          <w:rFonts w:cstheme="minorHAnsi"/>
        </w:rPr>
        <w:sectPr w:rsidR="00B10E8F" w:rsidSect="00D27D05">
          <w:pgSz w:w="12240" w:h="15840"/>
          <w:pgMar w:top="1440" w:right="1440" w:bottom="1440" w:left="1440" w:header="720" w:footer="720" w:gutter="0"/>
          <w:pgBorders w:offsetFrom="page">
            <w:top w:val="thinThickSmallGap" w:sz="24" w:space="24" w:color="2F5496" w:themeColor="accent1" w:themeShade="BF"/>
            <w:left w:val="thinThickSmallGap" w:sz="24" w:space="24" w:color="2F5496" w:themeColor="accent1" w:themeShade="BF"/>
            <w:bottom w:val="thickThinSmallGap" w:sz="24" w:space="24" w:color="2F5496" w:themeColor="accent1" w:themeShade="BF"/>
            <w:right w:val="thickThinSmallGap" w:sz="24" w:space="24" w:color="2F5496" w:themeColor="accent1" w:themeShade="BF"/>
          </w:pgBorders>
          <w:cols w:space="720"/>
          <w:docGrid w:linePitch="360"/>
        </w:sectPr>
      </w:pPr>
    </w:p>
    <w:p w14:paraId="3E4DFDE0" w14:textId="0E2EE9F3" w:rsidR="00754A5F" w:rsidRPr="00574844" w:rsidRDefault="00754A5F" w:rsidP="00076336">
      <w:pPr>
        <w:pStyle w:val="Heading1"/>
        <w:numPr>
          <w:ilvl w:val="0"/>
          <w:numId w:val="59"/>
        </w:numPr>
        <w:pBdr>
          <w:bottom w:val="single" w:sz="18" w:space="1" w:color="auto"/>
        </w:pBdr>
        <w:shd w:val="clear" w:color="auto" w:fill="auto"/>
        <w:spacing w:before="1680"/>
        <w:rPr>
          <w:caps w:val="0"/>
          <w:szCs w:val="52"/>
        </w:rPr>
      </w:pPr>
      <w:bookmarkStart w:id="108" w:name="_Toc27904617"/>
      <w:bookmarkStart w:id="109" w:name="_Toc28011445"/>
      <w:r w:rsidRPr="00574844">
        <w:rPr>
          <w:caps w:val="0"/>
          <w:szCs w:val="52"/>
        </w:rPr>
        <w:lastRenderedPageBreak/>
        <w:t>SARA Pilot Projects</w:t>
      </w:r>
      <w:bookmarkEnd w:id="108"/>
      <w:bookmarkEnd w:id="109"/>
    </w:p>
    <w:p w14:paraId="16DF68C0" w14:textId="77777777" w:rsidR="00AF24CD" w:rsidRDefault="00AF24CD" w:rsidP="00AF24CD"/>
    <w:p w14:paraId="61A21DDD" w14:textId="77777777" w:rsidR="003F2FE8" w:rsidRDefault="00754A5F" w:rsidP="00AF24CD">
      <w:pPr>
        <w:ind w:hanging="360"/>
        <w:rPr>
          <w:noProof/>
        </w:rPr>
        <w:sectPr w:rsidR="003F2FE8" w:rsidSect="00D27D05">
          <w:pgSz w:w="12240" w:h="15840"/>
          <w:pgMar w:top="1440" w:right="1440" w:bottom="1440" w:left="1440" w:header="720" w:footer="720" w:gutter="0"/>
          <w:pgBorders w:offsetFrom="page">
            <w:top w:val="thinThickSmallGap" w:sz="24" w:space="24" w:color="2F5496" w:themeColor="accent1" w:themeShade="BF"/>
            <w:left w:val="thinThickSmallGap" w:sz="24" w:space="24" w:color="2F5496" w:themeColor="accent1" w:themeShade="BF"/>
            <w:bottom w:val="thickThinSmallGap" w:sz="24" w:space="24" w:color="2F5496" w:themeColor="accent1" w:themeShade="BF"/>
            <w:right w:val="thickThinSmallGap" w:sz="24" w:space="24" w:color="2F5496" w:themeColor="accent1" w:themeShade="BF"/>
          </w:pgBorders>
          <w:cols w:space="720"/>
          <w:vAlign w:val="center"/>
          <w:docGrid w:linePitch="360"/>
        </w:sectPr>
      </w:pPr>
      <w:r>
        <w:rPr>
          <w:noProof/>
          <w:lang w:eastAsia="ko-KR"/>
        </w:rPr>
        <w:drawing>
          <wp:inline distT="0" distB="0" distL="0" distR="0" wp14:anchorId="2750E1D9" wp14:editId="476F81A5">
            <wp:extent cx="5943600" cy="4320540"/>
            <wp:effectExtent l="323850" t="323850" r="323850" b="327660"/>
            <wp:docPr id="7" name="Picture 7" descr="Map of the United States depicting which states have SARA Pilots:  AK, KY, N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ARA Pilots Map Y4.png"/>
                    <pic:cNvPicPr/>
                  </pic:nvPicPr>
                  <pic:blipFill>
                    <a:blip r:embed="rId371" cstate="print">
                      <a:extLst>
                        <a:ext uri="{28A0092B-C50C-407E-A947-70E740481C1C}">
                          <a14:useLocalDpi xmlns:a14="http://schemas.microsoft.com/office/drawing/2010/main" val="0"/>
                        </a:ext>
                      </a:extLst>
                    </a:blip>
                    <a:stretch>
                      <a:fillRect/>
                    </a:stretch>
                  </pic:blipFill>
                  <pic:spPr>
                    <a:xfrm>
                      <a:off x="0" y="0"/>
                      <a:ext cx="5943600" cy="432054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p>
    <w:p w14:paraId="207E341D" w14:textId="66D25006" w:rsidR="00754A5F" w:rsidRPr="004448F9" w:rsidRDefault="00A816B4" w:rsidP="00BA0D82">
      <w:pPr>
        <w:pStyle w:val="Heading2"/>
        <w:numPr>
          <w:ilvl w:val="0"/>
          <w:numId w:val="0"/>
        </w:numPr>
        <w:shd w:val="clear" w:color="auto" w:fill="8EAADB" w:themeFill="accent1" w:themeFillTint="99"/>
      </w:pPr>
      <w:bookmarkStart w:id="110" w:name="_Toc27904618"/>
      <w:bookmarkStart w:id="111" w:name="_Toc28011446"/>
      <w:r>
        <w:lastRenderedPageBreak/>
        <w:t>S</w:t>
      </w:r>
      <w:r w:rsidR="00754A5F">
        <w:t>ARA PILOTS: LOGIC MODEL</w:t>
      </w:r>
      <w:bookmarkEnd w:id="110"/>
      <w:bookmarkEnd w:id="111"/>
    </w:p>
    <w:tbl>
      <w:tblPr>
        <w:tblStyle w:val="TableGrid"/>
        <w:tblW w:w="5000" w:type="pct"/>
        <w:tblLook w:val="04A0" w:firstRow="1" w:lastRow="0" w:firstColumn="1" w:lastColumn="0" w:noHBand="0" w:noVBand="1"/>
        <w:tblCaption w:val="SARA Pilots Logic Model"/>
        <w:tblDescription w:val="SARA Pilots Logic Model"/>
      </w:tblPr>
      <w:tblGrid>
        <w:gridCol w:w="5511"/>
        <w:gridCol w:w="3839"/>
      </w:tblGrid>
      <w:tr w:rsidR="00754A5F" w:rsidRPr="00206792" w14:paraId="0369C1DC" w14:textId="77777777" w:rsidTr="00366D34">
        <w:trPr>
          <w:tblHeader/>
        </w:trPr>
        <w:tc>
          <w:tcPr>
            <w:tcW w:w="2947" w:type="pct"/>
            <w:shd w:val="clear" w:color="auto" w:fill="D9E2F3" w:themeFill="accent1" w:themeFillTint="33"/>
          </w:tcPr>
          <w:p w14:paraId="24A1F303" w14:textId="77777777" w:rsidR="00754A5F" w:rsidRPr="00206792" w:rsidRDefault="00754A5F" w:rsidP="00C22384">
            <w:pPr>
              <w:pStyle w:val="Heading3"/>
              <w:numPr>
                <w:ilvl w:val="0"/>
                <w:numId w:val="0"/>
              </w:numPr>
              <w:ind w:left="810" w:hanging="810"/>
              <w:outlineLvl w:val="2"/>
            </w:pPr>
            <w:bookmarkStart w:id="112" w:name="_Toc27904619"/>
            <w:r w:rsidRPr="00206792">
              <w:t>Activities</w:t>
            </w:r>
            <w:bookmarkEnd w:id="112"/>
          </w:p>
        </w:tc>
        <w:tc>
          <w:tcPr>
            <w:tcW w:w="2053" w:type="pct"/>
            <w:shd w:val="clear" w:color="auto" w:fill="D9E2F3" w:themeFill="accent1" w:themeFillTint="33"/>
          </w:tcPr>
          <w:p w14:paraId="73F46F96" w14:textId="77777777" w:rsidR="00754A5F" w:rsidRPr="00206792" w:rsidRDefault="00754A5F" w:rsidP="00C22384">
            <w:pPr>
              <w:pStyle w:val="Heading3"/>
              <w:numPr>
                <w:ilvl w:val="0"/>
                <w:numId w:val="0"/>
              </w:numPr>
              <w:ind w:left="810" w:hanging="810"/>
              <w:outlineLvl w:val="2"/>
            </w:pPr>
            <w:bookmarkStart w:id="113" w:name="_Toc27904620"/>
            <w:r w:rsidRPr="00206792">
              <w:t>Outputs</w:t>
            </w:r>
            <w:bookmarkEnd w:id="113"/>
          </w:p>
        </w:tc>
      </w:tr>
      <w:tr w:rsidR="00754A5F" w:rsidRPr="00206792" w14:paraId="56D439EE" w14:textId="77777777" w:rsidTr="008810D5">
        <w:trPr>
          <w:trHeight w:val="692"/>
        </w:trPr>
        <w:tc>
          <w:tcPr>
            <w:tcW w:w="2947" w:type="pct"/>
          </w:tcPr>
          <w:p w14:paraId="0B3ECBD9" w14:textId="77777777" w:rsidR="00754A5F" w:rsidRPr="00206792" w:rsidRDefault="00754A5F" w:rsidP="00076336">
            <w:pPr>
              <w:pStyle w:val="ListParagraph"/>
              <w:numPr>
                <w:ilvl w:val="0"/>
                <w:numId w:val="18"/>
              </w:numPr>
            </w:pPr>
            <w:bookmarkStart w:id="114" w:name="_Hlk17794949"/>
            <w:r w:rsidRPr="00206792">
              <w:t>Development of MOUs between SVRAs and core partners.</w:t>
            </w:r>
          </w:p>
        </w:tc>
        <w:tc>
          <w:tcPr>
            <w:tcW w:w="2053" w:type="pct"/>
          </w:tcPr>
          <w:p w14:paraId="031EFCC8" w14:textId="77777777" w:rsidR="00754A5F" w:rsidRPr="00206792" w:rsidRDefault="00754A5F" w:rsidP="00076336">
            <w:pPr>
              <w:pStyle w:val="ListParagraph"/>
              <w:numPr>
                <w:ilvl w:val="0"/>
                <w:numId w:val="16"/>
              </w:numPr>
              <w:ind w:left="344"/>
            </w:pPr>
            <w:r w:rsidRPr="00206792">
              <w:t>Draft MOU developed.</w:t>
            </w:r>
          </w:p>
        </w:tc>
      </w:tr>
      <w:tr w:rsidR="00754A5F" w:rsidRPr="00206792" w14:paraId="02CCE16E" w14:textId="77777777" w:rsidTr="008810D5">
        <w:trPr>
          <w:trHeight w:val="710"/>
        </w:trPr>
        <w:tc>
          <w:tcPr>
            <w:tcW w:w="2947" w:type="pct"/>
          </w:tcPr>
          <w:p w14:paraId="26BF3EEC" w14:textId="77777777" w:rsidR="00754A5F" w:rsidRPr="00206792" w:rsidRDefault="00754A5F" w:rsidP="00076336">
            <w:pPr>
              <w:pStyle w:val="ListParagraph"/>
              <w:numPr>
                <w:ilvl w:val="0"/>
                <w:numId w:val="18"/>
              </w:numPr>
            </w:pPr>
            <w:r w:rsidRPr="00206792">
              <w:t>Development of plan with SVRA IT staff to integrate SARA with agency systems as needed (e.g., CMS).</w:t>
            </w:r>
          </w:p>
        </w:tc>
        <w:tc>
          <w:tcPr>
            <w:tcW w:w="2053" w:type="pct"/>
          </w:tcPr>
          <w:p w14:paraId="11DDBDF4" w14:textId="77777777" w:rsidR="00754A5F" w:rsidRPr="00206792" w:rsidRDefault="00754A5F" w:rsidP="00076336">
            <w:pPr>
              <w:pStyle w:val="ListParagraph"/>
              <w:numPr>
                <w:ilvl w:val="0"/>
                <w:numId w:val="16"/>
              </w:numPr>
              <w:ind w:left="344"/>
            </w:pPr>
            <w:r w:rsidRPr="00206792">
              <w:t>IT integration plan in place.</w:t>
            </w:r>
          </w:p>
        </w:tc>
      </w:tr>
      <w:tr w:rsidR="00754A5F" w:rsidRPr="00206792" w14:paraId="52A6848C" w14:textId="77777777" w:rsidTr="008810D5">
        <w:trPr>
          <w:trHeight w:val="440"/>
        </w:trPr>
        <w:tc>
          <w:tcPr>
            <w:tcW w:w="2947" w:type="pct"/>
          </w:tcPr>
          <w:p w14:paraId="08F0FDC0" w14:textId="77777777" w:rsidR="00754A5F" w:rsidRPr="00206792" w:rsidRDefault="00754A5F" w:rsidP="00076336">
            <w:pPr>
              <w:pStyle w:val="ListParagraph"/>
              <w:numPr>
                <w:ilvl w:val="0"/>
                <w:numId w:val="18"/>
              </w:numPr>
            </w:pPr>
            <w:r w:rsidRPr="00206792">
              <w:t>SVRA and partner training on SARA use.</w:t>
            </w:r>
          </w:p>
        </w:tc>
        <w:tc>
          <w:tcPr>
            <w:tcW w:w="2053" w:type="pct"/>
          </w:tcPr>
          <w:p w14:paraId="2043587D" w14:textId="77777777" w:rsidR="00754A5F" w:rsidRPr="00206792" w:rsidRDefault="00754A5F" w:rsidP="00076336">
            <w:pPr>
              <w:pStyle w:val="ListParagraph"/>
              <w:numPr>
                <w:ilvl w:val="0"/>
                <w:numId w:val="16"/>
              </w:numPr>
              <w:ind w:left="344"/>
            </w:pPr>
            <w:r w:rsidRPr="00206792">
              <w:t>Number trained.</w:t>
            </w:r>
          </w:p>
        </w:tc>
      </w:tr>
      <w:tr w:rsidR="00754A5F" w:rsidRPr="00206792" w14:paraId="3C54597A" w14:textId="77777777" w:rsidTr="008810D5">
        <w:trPr>
          <w:trHeight w:val="638"/>
        </w:trPr>
        <w:tc>
          <w:tcPr>
            <w:tcW w:w="2947" w:type="pct"/>
          </w:tcPr>
          <w:p w14:paraId="5937D4F3" w14:textId="77777777" w:rsidR="00754A5F" w:rsidRPr="00206792" w:rsidRDefault="00754A5F" w:rsidP="00076336">
            <w:pPr>
              <w:pStyle w:val="ListParagraph"/>
              <w:numPr>
                <w:ilvl w:val="0"/>
                <w:numId w:val="18"/>
              </w:numPr>
            </w:pPr>
            <w:r w:rsidRPr="00206792">
              <w:t>Adaptation of existing, or development of new, interview templates as required.</w:t>
            </w:r>
          </w:p>
        </w:tc>
        <w:tc>
          <w:tcPr>
            <w:tcW w:w="2053" w:type="pct"/>
          </w:tcPr>
          <w:p w14:paraId="4DF14797" w14:textId="77777777" w:rsidR="00754A5F" w:rsidRPr="00206792" w:rsidRDefault="00754A5F" w:rsidP="00076336">
            <w:pPr>
              <w:pStyle w:val="ListParagraph"/>
              <w:numPr>
                <w:ilvl w:val="0"/>
                <w:numId w:val="16"/>
              </w:numPr>
              <w:ind w:left="344"/>
            </w:pPr>
            <w:r w:rsidRPr="00206792">
              <w:t>Number and type of interview templates integrated for use.</w:t>
            </w:r>
          </w:p>
        </w:tc>
      </w:tr>
      <w:tr w:rsidR="00754A5F" w:rsidRPr="00206792" w14:paraId="0AAE5D9C" w14:textId="77777777" w:rsidTr="008810D5">
        <w:trPr>
          <w:trHeight w:val="881"/>
        </w:trPr>
        <w:tc>
          <w:tcPr>
            <w:tcW w:w="2947" w:type="pct"/>
          </w:tcPr>
          <w:p w14:paraId="0AF96D33" w14:textId="77777777" w:rsidR="00754A5F" w:rsidRPr="00206792" w:rsidRDefault="00754A5F" w:rsidP="00076336">
            <w:pPr>
              <w:pStyle w:val="ListParagraph"/>
              <w:numPr>
                <w:ilvl w:val="0"/>
                <w:numId w:val="18"/>
              </w:numPr>
            </w:pPr>
            <w:r w:rsidRPr="00206792">
              <w:t>Creation of customized reports generated by SARA to support Common Performance Measures reporting.</w:t>
            </w:r>
          </w:p>
        </w:tc>
        <w:tc>
          <w:tcPr>
            <w:tcW w:w="2053" w:type="pct"/>
          </w:tcPr>
          <w:p w14:paraId="1DDEE2C5" w14:textId="77777777" w:rsidR="00754A5F" w:rsidRPr="00206792" w:rsidRDefault="00754A5F" w:rsidP="00076336">
            <w:pPr>
              <w:pStyle w:val="ListParagraph"/>
              <w:numPr>
                <w:ilvl w:val="0"/>
                <w:numId w:val="16"/>
              </w:numPr>
              <w:ind w:left="344"/>
            </w:pPr>
            <w:r w:rsidRPr="00206792">
              <w:t>CPM reports generated.</w:t>
            </w:r>
          </w:p>
        </w:tc>
      </w:tr>
      <w:tr w:rsidR="00754A5F" w:rsidRPr="00206792" w14:paraId="038E9F69" w14:textId="77777777" w:rsidTr="008810D5">
        <w:tc>
          <w:tcPr>
            <w:tcW w:w="2947" w:type="pct"/>
          </w:tcPr>
          <w:p w14:paraId="5E49EC6E" w14:textId="77777777" w:rsidR="00754A5F" w:rsidRPr="00206792" w:rsidRDefault="00754A5F" w:rsidP="00076336">
            <w:pPr>
              <w:pStyle w:val="ListParagraph"/>
              <w:numPr>
                <w:ilvl w:val="0"/>
                <w:numId w:val="18"/>
              </w:numPr>
            </w:pPr>
            <w:r w:rsidRPr="00206792">
              <w:t>Creation of customized reports generated by SARA to support client outreach and follow-up.</w:t>
            </w:r>
          </w:p>
        </w:tc>
        <w:tc>
          <w:tcPr>
            <w:tcW w:w="2053" w:type="pct"/>
          </w:tcPr>
          <w:p w14:paraId="55003218" w14:textId="77777777" w:rsidR="00754A5F" w:rsidRPr="00206792" w:rsidRDefault="00754A5F" w:rsidP="00076336">
            <w:pPr>
              <w:pStyle w:val="ListParagraph"/>
              <w:numPr>
                <w:ilvl w:val="0"/>
                <w:numId w:val="16"/>
              </w:numPr>
              <w:ind w:left="344"/>
            </w:pPr>
            <w:r w:rsidRPr="00206792">
              <w:t>Client outreach and follow-up reports generated.  Client satisfaction survey data.</w:t>
            </w:r>
          </w:p>
        </w:tc>
      </w:tr>
      <w:tr w:rsidR="00754A5F" w:rsidRPr="00206792" w14:paraId="0D76EA1A" w14:textId="77777777" w:rsidTr="008810D5">
        <w:tc>
          <w:tcPr>
            <w:tcW w:w="2947" w:type="pct"/>
          </w:tcPr>
          <w:p w14:paraId="118626B6" w14:textId="77777777" w:rsidR="00754A5F" w:rsidRPr="00206792" w:rsidRDefault="00754A5F" w:rsidP="00076336">
            <w:pPr>
              <w:pStyle w:val="ListParagraph"/>
              <w:numPr>
                <w:ilvl w:val="0"/>
                <w:numId w:val="18"/>
              </w:numPr>
            </w:pPr>
            <w:r w:rsidRPr="00206792">
              <w:t>Creation of customized alert systems and reports generated and delivered by SARA to support continuous quality improvement efforts related to CPMs and client engagement.</w:t>
            </w:r>
          </w:p>
        </w:tc>
        <w:tc>
          <w:tcPr>
            <w:tcW w:w="2053" w:type="pct"/>
          </w:tcPr>
          <w:p w14:paraId="6287C3FF" w14:textId="77777777" w:rsidR="00754A5F" w:rsidRPr="00206792" w:rsidRDefault="00754A5F" w:rsidP="00076336">
            <w:pPr>
              <w:pStyle w:val="ListParagraph"/>
              <w:numPr>
                <w:ilvl w:val="0"/>
                <w:numId w:val="16"/>
              </w:numPr>
              <w:ind w:left="344"/>
            </w:pPr>
            <w:r w:rsidRPr="00206792">
              <w:t>Customized alerts in system; customized reports generated.</w:t>
            </w:r>
          </w:p>
        </w:tc>
      </w:tr>
      <w:bookmarkEnd w:id="114"/>
      <w:tr w:rsidR="00754A5F" w:rsidRPr="00206792" w14:paraId="5A039245" w14:textId="77777777" w:rsidTr="008810D5">
        <w:trPr>
          <w:trHeight w:val="2218"/>
        </w:trPr>
        <w:tc>
          <w:tcPr>
            <w:tcW w:w="5000" w:type="pct"/>
            <w:gridSpan w:val="2"/>
            <w:shd w:val="clear" w:color="auto" w:fill="D9E2F3" w:themeFill="accent1" w:themeFillTint="33"/>
          </w:tcPr>
          <w:p w14:paraId="25FFA078" w14:textId="77777777" w:rsidR="00754A5F" w:rsidRPr="00206792" w:rsidRDefault="00754A5F" w:rsidP="008810D5">
            <w:pPr>
              <w:jc w:val="center"/>
            </w:pPr>
            <w:r w:rsidRPr="00206792">
              <w:rPr>
                <w:b/>
              </w:rPr>
              <w:t>Short-Term Outcomes</w:t>
            </w:r>
          </w:p>
          <w:p w14:paraId="5ABBD7D6" w14:textId="77777777" w:rsidR="00754A5F" w:rsidRPr="00206792" w:rsidRDefault="00754A5F" w:rsidP="008810D5">
            <w:pPr>
              <w:rPr>
                <w:b/>
              </w:rPr>
            </w:pPr>
          </w:p>
          <w:p w14:paraId="73540814" w14:textId="77777777" w:rsidR="00754A5F" w:rsidRPr="00206792" w:rsidRDefault="00754A5F" w:rsidP="00076336">
            <w:pPr>
              <w:pStyle w:val="ListParagraph"/>
              <w:numPr>
                <w:ilvl w:val="0"/>
                <w:numId w:val="17"/>
              </w:numPr>
            </w:pPr>
            <w:r w:rsidRPr="00206792">
              <w:t>Increased interagency communication with Core Partners.</w:t>
            </w:r>
          </w:p>
          <w:p w14:paraId="79C6D136" w14:textId="77777777" w:rsidR="00754A5F" w:rsidRPr="00206792" w:rsidRDefault="00754A5F" w:rsidP="00076336">
            <w:pPr>
              <w:pStyle w:val="ListParagraph"/>
              <w:numPr>
                <w:ilvl w:val="0"/>
                <w:numId w:val="17"/>
              </w:numPr>
            </w:pPr>
            <w:r w:rsidRPr="00206792">
              <w:t>Increased and more accurate reporting of Common Performance Measures.</w:t>
            </w:r>
          </w:p>
          <w:p w14:paraId="5B54FED3" w14:textId="77777777" w:rsidR="00754A5F" w:rsidRPr="00206792" w:rsidRDefault="00754A5F" w:rsidP="00076336">
            <w:pPr>
              <w:pStyle w:val="ListParagraph"/>
              <w:numPr>
                <w:ilvl w:val="0"/>
                <w:numId w:val="17"/>
              </w:numPr>
            </w:pPr>
            <w:r w:rsidRPr="00206792">
              <w:t>Increased client engagement rates.</w:t>
            </w:r>
          </w:p>
          <w:p w14:paraId="66C0C861" w14:textId="77777777" w:rsidR="00754A5F" w:rsidRPr="00206792" w:rsidRDefault="00754A5F" w:rsidP="00076336">
            <w:pPr>
              <w:pStyle w:val="ListParagraph"/>
              <w:numPr>
                <w:ilvl w:val="0"/>
                <w:numId w:val="17"/>
              </w:numPr>
            </w:pPr>
            <w:r w:rsidRPr="00206792">
              <w:t>Decreased staff time in conducting reporting and documentation, more efficient client outreach.</w:t>
            </w:r>
          </w:p>
          <w:p w14:paraId="0CD42861" w14:textId="77777777" w:rsidR="00754A5F" w:rsidRPr="00206792" w:rsidRDefault="00754A5F" w:rsidP="00076336">
            <w:pPr>
              <w:pStyle w:val="ListParagraph"/>
              <w:numPr>
                <w:ilvl w:val="0"/>
                <w:numId w:val="17"/>
              </w:numPr>
            </w:pPr>
            <w:r w:rsidRPr="00206792">
              <w:t>Increased client satisfaction with SVRA.</w:t>
            </w:r>
          </w:p>
          <w:p w14:paraId="421DBD5F" w14:textId="77777777" w:rsidR="00754A5F" w:rsidRPr="00206792" w:rsidRDefault="00754A5F" w:rsidP="00076336">
            <w:pPr>
              <w:pStyle w:val="ListParagraph"/>
              <w:numPr>
                <w:ilvl w:val="0"/>
                <w:numId w:val="17"/>
              </w:numPr>
            </w:pPr>
            <w:r w:rsidRPr="00206792">
              <w:t>Increased client retention and training / service completion.</w:t>
            </w:r>
          </w:p>
          <w:p w14:paraId="09F6BED4" w14:textId="77777777" w:rsidR="00754A5F" w:rsidRPr="00206792" w:rsidRDefault="00754A5F" w:rsidP="008810D5">
            <w:pPr>
              <w:pStyle w:val="ListParagraph"/>
              <w:ind w:left="360"/>
              <w:rPr>
                <w:b/>
              </w:rPr>
            </w:pPr>
          </w:p>
        </w:tc>
      </w:tr>
    </w:tbl>
    <w:p w14:paraId="560F574D" w14:textId="77777777" w:rsidR="00754A5F" w:rsidRDefault="00754A5F" w:rsidP="00754A5F"/>
    <w:p w14:paraId="259516F1" w14:textId="77777777" w:rsidR="00754A5F" w:rsidRDefault="00754A5F" w:rsidP="00754A5F">
      <w:r>
        <w:br w:type="page"/>
      </w:r>
    </w:p>
    <w:p w14:paraId="639DD997" w14:textId="77777777" w:rsidR="00754A5F" w:rsidRDefault="00754A5F" w:rsidP="00BA0D82">
      <w:pPr>
        <w:pStyle w:val="Heading2"/>
        <w:numPr>
          <w:ilvl w:val="0"/>
          <w:numId w:val="0"/>
        </w:numPr>
      </w:pPr>
      <w:bookmarkStart w:id="115" w:name="_Toc27904621"/>
      <w:bookmarkStart w:id="116" w:name="_Toc28011447"/>
      <w:r>
        <w:lastRenderedPageBreak/>
        <w:t>SARA PILOTS CONTEXT</w:t>
      </w:r>
      <w:bookmarkEnd w:id="115"/>
      <w:bookmarkEnd w:id="116"/>
    </w:p>
    <w:p w14:paraId="649596F4" w14:textId="77777777" w:rsidR="00754A5F" w:rsidRPr="000B3ECC" w:rsidRDefault="00754A5F" w:rsidP="00754A5F">
      <w:pPr>
        <w:spacing w:before="360"/>
        <w:rPr>
          <w:u w:val="single"/>
        </w:rPr>
      </w:pPr>
      <w:r w:rsidRPr="000B3ECC">
        <w:rPr>
          <w:u w:val="single"/>
        </w:rPr>
        <w:t>Table 1. Pilot Implementation Information</w:t>
      </w:r>
    </w:p>
    <w:tbl>
      <w:tblPr>
        <w:tblStyle w:val="GridTable5Dark-Accent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SARA Pilot Implementation Information"/>
        <w:tblDescription w:val="SARA Pilot Implementation Information"/>
      </w:tblPr>
      <w:tblGrid>
        <w:gridCol w:w="2337"/>
        <w:gridCol w:w="2337"/>
        <w:gridCol w:w="2338"/>
        <w:gridCol w:w="2338"/>
      </w:tblGrid>
      <w:tr w:rsidR="00754A5F" w14:paraId="32E79024" w14:textId="77777777" w:rsidTr="00366D34">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337" w:type="dxa"/>
            <w:tcBorders>
              <w:top w:val="none" w:sz="0" w:space="0" w:color="auto"/>
              <w:left w:val="none" w:sz="0" w:space="0" w:color="auto"/>
              <w:right w:val="none" w:sz="0" w:space="0" w:color="auto"/>
            </w:tcBorders>
          </w:tcPr>
          <w:p w14:paraId="59CCEB53" w14:textId="77777777" w:rsidR="00754A5F" w:rsidRPr="00AF444E" w:rsidRDefault="00754A5F" w:rsidP="008810D5">
            <w:pPr>
              <w:jc w:val="center"/>
              <w:rPr>
                <w:b w:val="0"/>
              </w:rPr>
            </w:pPr>
          </w:p>
        </w:tc>
        <w:tc>
          <w:tcPr>
            <w:tcW w:w="2337" w:type="dxa"/>
            <w:tcBorders>
              <w:top w:val="none" w:sz="0" w:space="0" w:color="auto"/>
              <w:left w:val="none" w:sz="0" w:space="0" w:color="auto"/>
              <w:right w:val="none" w:sz="0" w:space="0" w:color="auto"/>
            </w:tcBorders>
          </w:tcPr>
          <w:p w14:paraId="256CC371" w14:textId="77777777" w:rsidR="00754A5F" w:rsidRPr="002B6541" w:rsidRDefault="00754A5F" w:rsidP="008810D5">
            <w:pPr>
              <w:jc w:val="center"/>
              <w:cnfStyle w:val="100000000000" w:firstRow="1" w:lastRow="0" w:firstColumn="0" w:lastColumn="0" w:oddVBand="0" w:evenVBand="0" w:oddHBand="0" w:evenHBand="0" w:firstRowFirstColumn="0" w:firstRowLastColumn="0" w:lastRowFirstColumn="0" w:lastRowLastColumn="0"/>
              <w:rPr>
                <w:b w:val="0"/>
              </w:rPr>
            </w:pPr>
            <w:r w:rsidRPr="002B6541">
              <w:t>Alaska</w:t>
            </w:r>
          </w:p>
        </w:tc>
        <w:tc>
          <w:tcPr>
            <w:tcW w:w="2338" w:type="dxa"/>
            <w:tcBorders>
              <w:top w:val="none" w:sz="0" w:space="0" w:color="auto"/>
              <w:left w:val="none" w:sz="0" w:space="0" w:color="auto"/>
              <w:right w:val="none" w:sz="0" w:space="0" w:color="auto"/>
            </w:tcBorders>
          </w:tcPr>
          <w:p w14:paraId="58929C4B" w14:textId="77777777" w:rsidR="00754A5F" w:rsidRPr="002B6541" w:rsidRDefault="00754A5F" w:rsidP="008810D5">
            <w:pPr>
              <w:jc w:val="center"/>
              <w:cnfStyle w:val="100000000000" w:firstRow="1" w:lastRow="0" w:firstColumn="0" w:lastColumn="0" w:oddVBand="0" w:evenVBand="0" w:oddHBand="0" w:evenHBand="0" w:firstRowFirstColumn="0" w:firstRowLastColumn="0" w:lastRowFirstColumn="0" w:lastRowLastColumn="0"/>
              <w:rPr>
                <w:b w:val="0"/>
              </w:rPr>
            </w:pPr>
            <w:r w:rsidRPr="002B6541">
              <w:t>Kentucky</w:t>
            </w:r>
          </w:p>
        </w:tc>
        <w:tc>
          <w:tcPr>
            <w:tcW w:w="2338" w:type="dxa"/>
            <w:tcBorders>
              <w:top w:val="none" w:sz="0" w:space="0" w:color="auto"/>
              <w:left w:val="none" w:sz="0" w:space="0" w:color="auto"/>
              <w:right w:val="none" w:sz="0" w:space="0" w:color="auto"/>
            </w:tcBorders>
          </w:tcPr>
          <w:p w14:paraId="0B82C5B6" w14:textId="77777777" w:rsidR="00754A5F" w:rsidRPr="002B6541" w:rsidRDefault="00754A5F" w:rsidP="008810D5">
            <w:pPr>
              <w:jc w:val="center"/>
              <w:cnfStyle w:val="100000000000" w:firstRow="1" w:lastRow="0" w:firstColumn="0" w:lastColumn="0" w:oddVBand="0" w:evenVBand="0" w:oddHBand="0" w:evenHBand="0" w:firstRowFirstColumn="0" w:firstRowLastColumn="0" w:lastRowFirstColumn="0" w:lastRowLastColumn="0"/>
              <w:rPr>
                <w:b w:val="0"/>
              </w:rPr>
            </w:pPr>
            <w:r w:rsidRPr="002B6541">
              <w:t>Nevada</w:t>
            </w:r>
          </w:p>
        </w:tc>
      </w:tr>
      <w:tr w:rsidR="00754A5F" w14:paraId="2EA78490" w14:textId="77777777" w:rsidTr="008810D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37" w:type="dxa"/>
            <w:tcBorders>
              <w:left w:val="none" w:sz="0" w:space="0" w:color="auto"/>
            </w:tcBorders>
          </w:tcPr>
          <w:p w14:paraId="78917151" w14:textId="77777777" w:rsidR="00754A5F" w:rsidRPr="00BB6B6B" w:rsidRDefault="00754A5F" w:rsidP="008810D5">
            <w:pPr>
              <w:rPr>
                <w:b w:val="0"/>
              </w:rPr>
            </w:pPr>
            <w:r>
              <w:t>Date ITA Signed</w:t>
            </w:r>
          </w:p>
        </w:tc>
        <w:tc>
          <w:tcPr>
            <w:tcW w:w="2337" w:type="dxa"/>
          </w:tcPr>
          <w:p w14:paraId="7EB53220" w14:textId="77777777" w:rsidR="00754A5F" w:rsidRDefault="00754A5F" w:rsidP="008810D5">
            <w:pPr>
              <w:cnfStyle w:val="000000100000" w:firstRow="0" w:lastRow="0" w:firstColumn="0" w:lastColumn="0" w:oddVBand="0" w:evenVBand="0" w:oddHBand="1" w:evenHBand="0" w:firstRowFirstColumn="0" w:firstRowLastColumn="0" w:lastRowFirstColumn="0" w:lastRowLastColumn="0"/>
            </w:pPr>
            <w:r>
              <w:t>10/20/2016</w:t>
            </w:r>
          </w:p>
        </w:tc>
        <w:tc>
          <w:tcPr>
            <w:tcW w:w="2338" w:type="dxa"/>
          </w:tcPr>
          <w:p w14:paraId="0850DFA7" w14:textId="77777777" w:rsidR="00754A5F" w:rsidRDefault="00754A5F" w:rsidP="008810D5">
            <w:pPr>
              <w:cnfStyle w:val="000000100000" w:firstRow="0" w:lastRow="0" w:firstColumn="0" w:lastColumn="0" w:oddVBand="0" w:evenVBand="0" w:oddHBand="1" w:evenHBand="0" w:firstRowFirstColumn="0" w:firstRowLastColumn="0" w:lastRowFirstColumn="0" w:lastRowLastColumn="0"/>
            </w:pPr>
            <w:r>
              <w:t>10/20/2016</w:t>
            </w:r>
          </w:p>
        </w:tc>
        <w:tc>
          <w:tcPr>
            <w:tcW w:w="2338" w:type="dxa"/>
          </w:tcPr>
          <w:p w14:paraId="21A0BE0C" w14:textId="77777777" w:rsidR="00754A5F" w:rsidRDefault="00754A5F" w:rsidP="008810D5">
            <w:pPr>
              <w:cnfStyle w:val="000000100000" w:firstRow="0" w:lastRow="0" w:firstColumn="0" w:lastColumn="0" w:oddVBand="0" w:evenVBand="0" w:oddHBand="1" w:evenHBand="0" w:firstRowFirstColumn="0" w:firstRowLastColumn="0" w:lastRowFirstColumn="0" w:lastRowLastColumn="0"/>
            </w:pPr>
            <w:r>
              <w:t>10/20/2016</w:t>
            </w:r>
          </w:p>
        </w:tc>
      </w:tr>
      <w:tr w:rsidR="00754A5F" w14:paraId="136592B7" w14:textId="77777777" w:rsidTr="008810D5">
        <w:tc>
          <w:tcPr>
            <w:cnfStyle w:val="001000000000" w:firstRow="0" w:lastRow="0" w:firstColumn="1" w:lastColumn="0" w:oddVBand="0" w:evenVBand="0" w:oddHBand="0" w:evenHBand="0" w:firstRowFirstColumn="0" w:firstRowLastColumn="0" w:lastRowFirstColumn="0" w:lastRowLastColumn="0"/>
            <w:tcW w:w="2337" w:type="dxa"/>
            <w:tcBorders>
              <w:left w:val="none" w:sz="0" w:space="0" w:color="auto"/>
            </w:tcBorders>
          </w:tcPr>
          <w:p w14:paraId="6B95569C" w14:textId="77777777" w:rsidR="00754A5F" w:rsidRDefault="00754A5F" w:rsidP="008810D5">
            <w:pPr>
              <w:rPr>
                <w:b w:val="0"/>
              </w:rPr>
            </w:pPr>
            <w:r>
              <w:t>Date Data Sharing Agreement was Signed</w:t>
            </w:r>
          </w:p>
        </w:tc>
        <w:tc>
          <w:tcPr>
            <w:tcW w:w="2337" w:type="dxa"/>
          </w:tcPr>
          <w:p w14:paraId="5B2897C1" w14:textId="77777777" w:rsidR="00754A5F" w:rsidRDefault="00754A5F" w:rsidP="008810D5">
            <w:pPr>
              <w:cnfStyle w:val="000000000000" w:firstRow="0" w:lastRow="0" w:firstColumn="0" w:lastColumn="0" w:oddVBand="0" w:evenVBand="0" w:oddHBand="0" w:evenHBand="0" w:firstRowFirstColumn="0" w:firstRowLastColumn="0" w:lastRowFirstColumn="0" w:lastRowLastColumn="0"/>
            </w:pPr>
            <w:r>
              <w:t>9/7/18</w:t>
            </w:r>
          </w:p>
        </w:tc>
        <w:tc>
          <w:tcPr>
            <w:tcW w:w="2338" w:type="dxa"/>
          </w:tcPr>
          <w:p w14:paraId="3F52B555" w14:textId="77777777" w:rsidR="00754A5F" w:rsidRDefault="00754A5F" w:rsidP="008810D5">
            <w:pPr>
              <w:cnfStyle w:val="000000000000" w:firstRow="0" w:lastRow="0" w:firstColumn="0" w:lastColumn="0" w:oddVBand="0" w:evenVBand="0" w:oddHBand="0" w:evenHBand="0" w:firstRowFirstColumn="0" w:firstRowLastColumn="0" w:lastRowFirstColumn="0" w:lastRowLastColumn="0"/>
            </w:pPr>
            <w:r>
              <w:t>4/17/17</w:t>
            </w:r>
          </w:p>
        </w:tc>
        <w:tc>
          <w:tcPr>
            <w:tcW w:w="2338" w:type="dxa"/>
          </w:tcPr>
          <w:p w14:paraId="63035F22" w14:textId="77777777" w:rsidR="00754A5F" w:rsidRDefault="00754A5F" w:rsidP="008810D5">
            <w:pPr>
              <w:cnfStyle w:val="000000000000" w:firstRow="0" w:lastRow="0" w:firstColumn="0" w:lastColumn="0" w:oddVBand="0" w:evenVBand="0" w:oddHBand="0" w:evenHBand="0" w:firstRowFirstColumn="0" w:firstRowLastColumn="0" w:lastRowFirstColumn="0" w:lastRowLastColumn="0"/>
            </w:pPr>
            <w:r>
              <w:t>TBD</w:t>
            </w:r>
          </w:p>
        </w:tc>
      </w:tr>
      <w:tr w:rsidR="00754A5F" w14:paraId="5A0A6894" w14:textId="77777777" w:rsidTr="008810D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37" w:type="dxa"/>
            <w:tcBorders>
              <w:left w:val="none" w:sz="0" w:space="0" w:color="auto"/>
            </w:tcBorders>
          </w:tcPr>
          <w:p w14:paraId="3ABA3785" w14:textId="77777777" w:rsidR="00754A5F" w:rsidRPr="00BB6B6B" w:rsidRDefault="00754A5F" w:rsidP="008810D5">
            <w:pPr>
              <w:rPr>
                <w:b w:val="0"/>
              </w:rPr>
            </w:pPr>
            <w:r>
              <w:t>Date SARA Went Live with VR</w:t>
            </w:r>
          </w:p>
        </w:tc>
        <w:tc>
          <w:tcPr>
            <w:tcW w:w="2337" w:type="dxa"/>
          </w:tcPr>
          <w:p w14:paraId="14F0B645" w14:textId="77777777" w:rsidR="00754A5F" w:rsidRDefault="00754A5F" w:rsidP="008810D5">
            <w:pPr>
              <w:cnfStyle w:val="000000100000" w:firstRow="0" w:lastRow="0" w:firstColumn="0" w:lastColumn="0" w:oddVBand="0" w:evenVBand="0" w:oddHBand="1" w:evenHBand="0" w:firstRowFirstColumn="0" w:firstRowLastColumn="0" w:lastRowFirstColumn="0" w:lastRowLastColumn="0"/>
            </w:pPr>
            <w:r>
              <w:t>10/3/17</w:t>
            </w:r>
          </w:p>
        </w:tc>
        <w:tc>
          <w:tcPr>
            <w:tcW w:w="2338" w:type="dxa"/>
          </w:tcPr>
          <w:p w14:paraId="718D3D72" w14:textId="77777777" w:rsidR="00754A5F" w:rsidRDefault="00754A5F" w:rsidP="008810D5">
            <w:pPr>
              <w:cnfStyle w:val="000000100000" w:firstRow="0" w:lastRow="0" w:firstColumn="0" w:lastColumn="0" w:oddVBand="0" w:evenVBand="0" w:oddHBand="1" w:evenHBand="0" w:firstRowFirstColumn="0" w:firstRowLastColumn="0" w:lastRowFirstColumn="0" w:lastRowLastColumn="0"/>
            </w:pPr>
            <w:r>
              <w:t>4/12/17</w:t>
            </w:r>
          </w:p>
        </w:tc>
        <w:tc>
          <w:tcPr>
            <w:tcW w:w="2338" w:type="dxa"/>
          </w:tcPr>
          <w:p w14:paraId="527B2A16" w14:textId="77777777" w:rsidR="00754A5F" w:rsidRDefault="00754A5F" w:rsidP="008810D5">
            <w:pPr>
              <w:cnfStyle w:val="000000100000" w:firstRow="0" w:lastRow="0" w:firstColumn="0" w:lastColumn="0" w:oddVBand="0" w:evenVBand="0" w:oddHBand="1" w:evenHBand="0" w:firstRowFirstColumn="0" w:firstRowLastColumn="0" w:lastRowFirstColumn="0" w:lastRowLastColumn="0"/>
            </w:pPr>
            <w:r>
              <w:t>1/25/18</w:t>
            </w:r>
          </w:p>
        </w:tc>
      </w:tr>
      <w:tr w:rsidR="00754A5F" w14:paraId="67AF9D89" w14:textId="77777777" w:rsidTr="008810D5">
        <w:tc>
          <w:tcPr>
            <w:cnfStyle w:val="001000000000" w:firstRow="0" w:lastRow="0" w:firstColumn="1" w:lastColumn="0" w:oddVBand="0" w:evenVBand="0" w:oddHBand="0" w:evenHBand="0" w:firstRowFirstColumn="0" w:firstRowLastColumn="0" w:lastRowFirstColumn="0" w:lastRowLastColumn="0"/>
            <w:tcW w:w="2337" w:type="dxa"/>
            <w:tcBorders>
              <w:left w:val="none" w:sz="0" w:space="0" w:color="auto"/>
            </w:tcBorders>
          </w:tcPr>
          <w:p w14:paraId="5C5AE6C2" w14:textId="77777777" w:rsidR="00754A5F" w:rsidRDefault="00754A5F" w:rsidP="008810D5">
            <w:pPr>
              <w:rPr>
                <w:b w:val="0"/>
              </w:rPr>
            </w:pPr>
            <w:r>
              <w:t>Dates of Staff Training with VR</w:t>
            </w:r>
          </w:p>
        </w:tc>
        <w:tc>
          <w:tcPr>
            <w:tcW w:w="2337" w:type="dxa"/>
          </w:tcPr>
          <w:p w14:paraId="26537705" w14:textId="77777777" w:rsidR="00754A5F" w:rsidRDefault="00754A5F" w:rsidP="008810D5">
            <w:pPr>
              <w:cnfStyle w:val="000000000000" w:firstRow="0" w:lastRow="0" w:firstColumn="0" w:lastColumn="0" w:oddVBand="0" w:evenVBand="0" w:oddHBand="0" w:evenHBand="0" w:firstRowFirstColumn="0" w:firstRowLastColumn="0" w:lastRowFirstColumn="0" w:lastRowLastColumn="0"/>
            </w:pPr>
            <w:r>
              <w:t>10/3/17 – 10/4/2017</w:t>
            </w:r>
          </w:p>
        </w:tc>
        <w:tc>
          <w:tcPr>
            <w:tcW w:w="2338" w:type="dxa"/>
          </w:tcPr>
          <w:p w14:paraId="6B09CCC9" w14:textId="77777777" w:rsidR="00754A5F" w:rsidRDefault="00754A5F" w:rsidP="008810D5">
            <w:pPr>
              <w:cnfStyle w:val="000000000000" w:firstRow="0" w:lastRow="0" w:firstColumn="0" w:lastColumn="0" w:oddVBand="0" w:evenVBand="0" w:oddHBand="0" w:evenHBand="0" w:firstRowFirstColumn="0" w:firstRowLastColumn="0" w:lastRowFirstColumn="0" w:lastRowLastColumn="0"/>
            </w:pPr>
            <w:r>
              <w:t>4/10/17 -4/11/17</w:t>
            </w:r>
          </w:p>
        </w:tc>
        <w:tc>
          <w:tcPr>
            <w:tcW w:w="2338" w:type="dxa"/>
          </w:tcPr>
          <w:p w14:paraId="72023048" w14:textId="77777777" w:rsidR="00754A5F" w:rsidRDefault="00754A5F" w:rsidP="008810D5">
            <w:pPr>
              <w:cnfStyle w:val="000000000000" w:firstRow="0" w:lastRow="0" w:firstColumn="0" w:lastColumn="0" w:oddVBand="0" w:evenVBand="0" w:oddHBand="0" w:evenHBand="0" w:firstRowFirstColumn="0" w:firstRowLastColumn="0" w:lastRowFirstColumn="0" w:lastRowLastColumn="0"/>
            </w:pPr>
            <w:r>
              <w:t>9/5/17 – 9/8/17</w:t>
            </w:r>
          </w:p>
          <w:p w14:paraId="59031E56" w14:textId="77777777" w:rsidR="00754A5F" w:rsidRDefault="00754A5F" w:rsidP="008810D5">
            <w:pPr>
              <w:cnfStyle w:val="000000000000" w:firstRow="0" w:lastRow="0" w:firstColumn="0" w:lastColumn="0" w:oddVBand="0" w:evenVBand="0" w:oddHBand="0" w:evenHBand="0" w:firstRowFirstColumn="0" w:firstRowLastColumn="0" w:lastRowFirstColumn="0" w:lastRowLastColumn="0"/>
            </w:pPr>
            <w:r>
              <w:t>1/22/18 – 1/25/18</w:t>
            </w:r>
          </w:p>
        </w:tc>
      </w:tr>
      <w:tr w:rsidR="00754A5F" w14:paraId="1670045F" w14:textId="77777777" w:rsidTr="008810D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37" w:type="dxa"/>
            <w:tcBorders>
              <w:left w:val="none" w:sz="0" w:space="0" w:color="auto"/>
            </w:tcBorders>
          </w:tcPr>
          <w:p w14:paraId="573B77DF" w14:textId="77777777" w:rsidR="00754A5F" w:rsidRDefault="00754A5F" w:rsidP="008810D5">
            <w:pPr>
              <w:rPr>
                <w:b w:val="0"/>
              </w:rPr>
            </w:pPr>
            <w:r>
              <w:t># of Onsite Visits with VR</w:t>
            </w:r>
          </w:p>
        </w:tc>
        <w:tc>
          <w:tcPr>
            <w:tcW w:w="2337" w:type="dxa"/>
          </w:tcPr>
          <w:p w14:paraId="1F727D75" w14:textId="77777777" w:rsidR="00754A5F" w:rsidRDefault="00754A5F" w:rsidP="008810D5">
            <w:pPr>
              <w:cnfStyle w:val="000000100000" w:firstRow="0" w:lastRow="0" w:firstColumn="0" w:lastColumn="0" w:oddVBand="0" w:evenVBand="0" w:oddHBand="1" w:evenHBand="0" w:firstRowFirstColumn="0" w:firstRowLastColumn="0" w:lastRowFirstColumn="0" w:lastRowLastColumn="0"/>
            </w:pPr>
            <w:r>
              <w:t>2</w:t>
            </w:r>
          </w:p>
        </w:tc>
        <w:tc>
          <w:tcPr>
            <w:tcW w:w="2338" w:type="dxa"/>
          </w:tcPr>
          <w:p w14:paraId="0643A402" w14:textId="77777777" w:rsidR="00754A5F" w:rsidRDefault="00754A5F" w:rsidP="008810D5">
            <w:pPr>
              <w:cnfStyle w:val="000000100000" w:firstRow="0" w:lastRow="0" w:firstColumn="0" w:lastColumn="0" w:oddVBand="0" w:evenVBand="0" w:oddHBand="1" w:evenHBand="0" w:firstRowFirstColumn="0" w:firstRowLastColumn="0" w:lastRowFirstColumn="0" w:lastRowLastColumn="0"/>
            </w:pPr>
            <w:r>
              <w:t>4</w:t>
            </w:r>
          </w:p>
        </w:tc>
        <w:tc>
          <w:tcPr>
            <w:tcW w:w="2338" w:type="dxa"/>
          </w:tcPr>
          <w:p w14:paraId="6BF7A489" w14:textId="77777777" w:rsidR="00754A5F" w:rsidRDefault="00754A5F" w:rsidP="008810D5">
            <w:pPr>
              <w:cnfStyle w:val="000000100000" w:firstRow="0" w:lastRow="0" w:firstColumn="0" w:lastColumn="0" w:oddVBand="0" w:evenVBand="0" w:oddHBand="1" w:evenHBand="0" w:firstRowFirstColumn="0" w:firstRowLastColumn="0" w:lastRowFirstColumn="0" w:lastRowLastColumn="0"/>
            </w:pPr>
            <w:r>
              <w:t>3</w:t>
            </w:r>
          </w:p>
        </w:tc>
      </w:tr>
      <w:tr w:rsidR="00754A5F" w14:paraId="75CF4A99" w14:textId="77777777" w:rsidTr="008810D5">
        <w:tc>
          <w:tcPr>
            <w:cnfStyle w:val="001000000000" w:firstRow="0" w:lastRow="0" w:firstColumn="1" w:lastColumn="0" w:oddVBand="0" w:evenVBand="0" w:oddHBand="0" w:evenHBand="0" w:firstRowFirstColumn="0" w:firstRowLastColumn="0" w:lastRowFirstColumn="0" w:lastRowLastColumn="0"/>
            <w:tcW w:w="2337" w:type="dxa"/>
            <w:tcBorders>
              <w:left w:val="none" w:sz="0" w:space="0" w:color="auto"/>
            </w:tcBorders>
          </w:tcPr>
          <w:p w14:paraId="626479DD" w14:textId="77777777" w:rsidR="00754A5F" w:rsidRPr="00BB6B6B" w:rsidRDefault="00754A5F" w:rsidP="008810D5">
            <w:pPr>
              <w:rPr>
                <w:b w:val="0"/>
              </w:rPr>
            </w:pPr>
            <w:r>
              <w:t>Date SARA Went Live with Partners</w:t>
            </w:r>
          </w:p>
        </w:tc>
        <w:tc>
          <w:tcPr>
            <w:tcW w:w="2337" w:type="dxa"/>
          </w:tcPr>
          <w:p w14:paraId="43A40CD2" w14:textId="77777777" w:rsidR="00754A5F" w:rsidRDefault="00754A5F" w:rsidP="008810D5">
            <w:pPr>
              <w:cnfStyle w:val="000000000000" w:firstRow="0" w:lastRow="0" w:firstColumn="0" w:lastColumn="0" w:oddVBand="0" w:evenVBand="0" w:oddHBand="0" w:evenHBand="0" w:firstRowFirstColumn="0" w:firstRowLastColumn="0" w:lastRowFirstColumn="0" w:lastRowLastColumn="0"/>
            </w:pPr>
            <w:r>
              <w:t>Title I: 2/22/17</w:t>
            </w:r>
          </w:p>
          <w:p w14:paraId="078C9F99" w14:textId="77777777" w:rsidR="00754A5F" w:rsidRDefault="00754A5F" w:rsidP="008810D5">
            <w:pPr>
              <w:cnfStyle w:val="000000000000" w:firstRow="0" w:lastRow="0" w:firstColumn="0" w:lastColumn="0" w:oddVBand="0" w:evenVBand="0" w:oddHBand="0" w:evenHBand="0" w:firstRowFirstColumn="0" w:firstRowLastColumn="0" w:lastRowFirstColumn="0" w:lastRowLastColumn="0"/>
            </w:pPr>
            <w:r>
              <w:t>Title III: 2/22/17</w:t>
            </w:r>
          </w:p>
          <w:p w14:paraId="38D352C0" w14:textId="77777777" w:rsidR="00754A5F" w:rsidRDefault="00754A5F" w:rsidP="008810D5">
            <w:pPr>
              <w:cnfStyle w:val="000000000000" w:firstRow="0" w:lastRow="0" w:firstColumn="0" w:lastColumn="0" w:oddVBand="0" w:evenVBand="0" w:oddHBand="0" w:evenHBand="0" w:firstRowFirstColumn="0" w:firstRowLastColumn="0" w:lastRowFirstColumn="0" w:lastRowLastColumn="0"/>
            </w:pPr>
            <w:r>
              <w:t>DEI: 2/22/17</w:t>
            </w:r>
          </w:p>
        </w:tc>
        <w:tc>
          <w:tcPr>
            <w:tcW w:w="2338" w:type="dxa"/>
          </w:tcPr>
          <w:p w14:paraId="1E1A62FF" w14:textId="77777777" w:rsidR="00754A5F" w:rsidRDefault="00754A5F" w:rsidP="008810D5">
            <w:pPr>
              <w:cnfStyle w:val="000000000000" w:firstRow="0" w:lastRow="0" w:firstColumn="0" w:lastColumn="0" w:oddVBand="0" w:evenVBand="0" w:oddHBand="0" w:evenHBand="0" w:firstRowFirstColumn="0" w:firstRowLastColumn="0" w:lastRowFirstColumn="0" w:lastRowLastColumn="0"/>
            </w:pPr>
            <w:r>
              <w:t>Title I &amp; III: 6/27/17</w:t>
            </w:r>
          </w:p>
          <w:p w14:paraId="7554A2E8" w14:textId="77777777" w:rsidR="00754A5F" w:rsidRDefault="00754A5F" w:rsidP="008810D5">
            <w:pPr>
              <w:cnfStyle w:val="000000000000" w:firstRow="0" w:lastRow="0" w:firstColumn="0" w:lastColumn="0" w:oddVBand="0" w:evenVBand="0" w:oddHBand="0" w:evenHBand="0" w:firstRowFirstColumn="0" w:firstRowLastColumn="0" w:lastRowFirstColumn="0" w:lastRowLastColumn="0"/>
            </w:pPr>
            <w:r>
              <w:t>Title II: 6/13/17</w:t>
            </w:r>
          </w:p>
          <w:p w14:paraId="4AFA890E" w14:textId="77777777" w:rsidR="00754A5F" w:rsidRDefault="00754A5F" w:rsidP="008810D5">
            <w:pPr>
              <w:cnfStyle w:val="000000000000" w:firstRow="0" w:lastRow="0" w:firstColumn="0" w:lastColumn="0" w:oddVBand="0" w:evenVBand="0" w:oddHBand="0" w:evenHBand="0" w:firstRowFirstColumn="0" w:firstRowLastColumn="0" w:lastRowFirstColumn="0" w:lastRowLastColumn="0"/>
            </w:pPr>
            <w:r>
              <w:t>TANF: 6/30/17</w:t>
            </w:r>
          </w:p>
        </w:tc>
        <w:tc>
          <w:tcPr>
            <w:tcW w:w="2338" w:type="dxa"/>
          </w:tcPr>
          <w:p w14:paraId="0868B1C9" w14:textId="77777777" w:rsidR="00754A5F" w:rsidRDefault="00754A5F" w:rsidP="008810D5">
            <w:pPr>
              <w:cnfStyle w:val="000000000000" w:firstRow="0" w:lastRow="0" w:firstColumn="0" w:lastColumn="0" w:oddVBand="0" w:evenVBand="0" w:oddHBand="0" w:evenHBand="0" w:firstRowFirstColumn="0" w:firstRowLastColumn="0" w:lastRowFirstColumn="0" w:lastRowLastColumn="0"/>
            </w:pPr>
            <w:r>
              <w:t>Title I &amp; III: 10/16/18</w:t>
            </w:r>
          </w:p>
          <w:p w14:paraId="33791B60" w14:textId="77777777" w:rsidR="00754A5F" w:rsidRDefault="00754A5F" w:rsidP="008810D5">
            <w:pPr>
              <w:cnfStyle w:val="000000000000" w:firstRow="0" w:lastRow="0" w:firstColumn="0" w:lastColumn="0" w:oddVBand="0" w:evenVBand="0" w:oddHBand="0" w:evenHBand="0" w:firstRowFirstColumn="0" w:firstRowLastColumn="0" w:lastRowFirstColumn="0" w:lastRowLastColumn="0"/>
            </w:pPr>
            <w:r>
              <w:t>Title II: 9/8/17</w:t>
            </w:r>
          </w:p>
          <w:p w14:paraId="481C03EC" w14:textId="77777777" w:rsidR="00754A5F" w:rsidRDefault="00754A5F" w:rsidP="008810D5">
            <w:pPr>
              <w:cnfStyle w:val="000000000000" w:firstRow="0" w:lastRow="0" w:firstColumn="0" w:lastColumn="0" w:oddVBand="0" w:evenVBand="0" w:oddHBand="0" w:evenHBand="0" w:firstRowFirstColumn="0" w:firstRowLastColumn="0" w:lastRowFirstColumn="0" w:lastRowLastColumn="0"/>
            </w:pPr>
            <w:r>
              <w:t>DWSS: 3/18/19</w:t>
            </w:r>
          </w:p>
        </w:tc>
      </w:tr>
      <w:tr w:rsidR="00754A5F" w14:paraId="19335580" w14:textId="77777777" w:rsidTr="008810D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37" w:type="dxa"/>
            <w:tcBorders>
              <w:left w:val="none" w:sz="0" w:space="0" w:color="auto"/>
            </w:tcBorders>
          </w:tcPr>
          <w:p w14:paraId="2C6DD5EE" w14:textId="77777777" w:rsidR="00754A5F" w:rsidRDefault="00754A5F" w:rsidP="008810D5">
            <w:pPr>
              <w:rPr>
                <w:b w:val="0"/>
              </w:rPr>
            </w:pPr>
            <w:r>
              <w:t xml:space="preserve">Dates of Staff Training with Partners </w:t>
            </w:r>
          </w:p>
        </w:tc>
        <w:tc>
          <w:tcPr>
            <w:tcW w:w="2337" w:type="dxa"/>
          </w:tcPr>
          <w:p w14:paraId="0CB4D92A" w14:textId="77777777" w:rsidR="00754A5F" w:rsidRDefault="00754A5F" w:rsidP="008810D5">
            <w:pPr>
              <w:cnfStyle w:val="000000100000" w:firstRow="0" w:lastRow="0" w:firstColumn="0" w:lastColumn="0" w:oddVBand="0" w:evenVBand="0" w:oddHBand="1" w:evenHBand="0" w:firstRowFirstColumn="0" w:firstRowLastColumn="0" w:lastRowFirstColumn="0" w:lastRowLastColumn="0"/>
            </w:pPr>
            <w:r>
              <w:t>Title I: 2/17/17</w:t>
            </w:r>
          </w:p>
          <w:p w14:paraId="10FBE199" w14:textId="77777777" w:rsidR="00754A5F" w:rsidRDefault="00754A5F" w:rsidP="008810D5">
            <w:pPr>
              <w:cnfStyle w:val="000000100000" w:firstRow="0" w:lastRow="0" w:firstColumn="0" w:lastColumn="0" w:oddVBand="0" w:evenVBand="0" w:oddHBand="1" w:evenHBand="0" w:firstRowFirstColumn="0" w:firstRowLastColumn="0" w:lastRowFirstColumn="0" w:lastRowLastColumn="0"/>
            </w:pPr>
            <w:r>
              <w:t>Title III: 2/17/17</w:t>
            </w:r>
          </w:p>
          <w:p w14:paraId="2A0A6D0C" w14:textId="77777777" w:rsidR="00754A5F" w:rsidRDefault="00754A5F" w:rsidP="008810D5">
            <w:pPr>
              <w:cnfStyle w:val="000000100000" w:firstRow="0" w:lastRow="0" w:firstColumn="0" w:lastColumn="0" w:oddVBand="0" w:evenVBand="0" w:oddHBand="1" w:evenHBand="0" w:firstRowFirstColumn="0" w:firstRowLastColumn="0" w:lastRowFirstColumn="0" w:lastRowLastColumn="0"/>
            </w:pPr>
            <w:r>
              <w:t>DEI: 2/17/17</w:t>
            </w:r>
          </w:p>
        </w:tc>
        <w:tc>
          <w:tcPr>
            <w:tcW w:w="2338" w:type="dxa"/>
          </w:tcPr>
          <w:p w14:paraId="6D061D41" w14:textId="77777777" w:rsidR="00754A5F" w:rsidRDefault="00754A5F" w:rsidP="008810D5">
            <w:pPr>
              <w:cnfStyle w:val="000000100000" w:firstRow="0" w:lastRow="0" w:firstColumn="0" w:lastColumn="0" w:oddVBand="0" w:evenVBand="0" w:oddHBand="1" w:evenHBand="0" w:firstRowFirstColumn="0" w:firstRowLastColumn="0" w:lastRowFirstColumn="0" w:lastRowLastColumn="0"/>
            </w:pPr>
            <w:r>
              <w:t>Title I &amp; III: 6/21/17</w:t>
            </w:r>
          </w:p>
          <w:p w14:paraId="1E9D33C9" w14:textId="77777777" w:rsidR="00754A5F" w:rsidRDefault="00754A5F" w:rsidP="008810D5">
            <w:pPr>
              <w:cnfStyle w:val="000000100000" w:firstRow="0" w:lastRow="0" w:firstColumn="0" w:lastColumn="0" w:oddVBand="0" w:evenVBand="0" w:oddHBand="1" w:evenHBand="0" w:firstRowFirstColumn="0" w:firstRowLastColumn="0" w:lastRowFirstColumn="0" w:lastRowLastColumn="0"/>
            </w:pPr>
            <w:r>
              <w:t>Title II: 6/12/17</w:t>
            </w:r>
          </w:p>
          <w:p w14:paraId="0FD87286" w14:textId="77777777" w:rsidR="00754A5F" w:rsidRDefault="00754A5F" w:rsidP="008810D5">
            <w:pPr>
              <w:cnfStyle w:val="000000100000" w:firstRow="0" w:lastRow="0" w:firstColumn="0" w:lastColumn="0" w:oddVBand="0" w:evenVBand="0" w:oddHBand="1" w:evenHBand="0" w:firstRowFirstColumn="0" w:firstRowLastColumn="0" w:lastRowFirstColumn="0" w:lastRowLastColumn="0"/>
            </w:pPr>
            <w:r>
              <w:t>TANF: 6/12/17</w:t>
            </w:r>
          </w:p>
        </w:tc>
        <w:tc>
          <w:tcPr>
            <w:tcW w:w="2338" w:type="dxa"/>
          </w:tcPr>
          <w:p w14:paraId="7DAE439C" w14:textId="77777777" w:rsidR="00754A5F" w:rsidRDefault="00754A5F" w:rsidP="008810D5">
            <w:pPr>
              <w:cnfStyle w:val="000000100000" w:firstRow="0" w:lastRow="0" w:firstColumn="0" w:lastColumn="0" w:oddVBand="0" w:evenVBand="0" w:oddHBand="1" w:evenHBand="0" w:firstRowFirstColumn="0" w:firstRowLastColumn="0" w:lastRowFirstColumn="0" w:lastRowLastColumn="0"/>
            </w:pPr>
            <w:r>
              <w:t>Title I &amp; III:10/9/18 – 10/12/18</w:t>
            </w:r>
          </w:p>
          <w:p w14:paraId="2164BC13" w14:textId="77777777" w:rsidR="00754A5F" w:rsidRDefault="00754A5F" w:rsidP="008810D5">
            <w:pPr>
              <w:cnfStyle w:val="000000100000" w:firstRow="0" w:lastRow="0" w:firstColumn="0" w:lastColumn="0" w:oddVBand="0" w:evenVBand="0" w:oddHBand="1" w:evenHBand="0" w:firstRowFirstColumn="0" w:firstRowLastColumn="0" w:lastRowFirstColumn="0" w:lastRowLastColumn="0"/>
            </w:pPr>
            <w:r>
              <w:t>Title II: 9/1/17</w:t>
            </w:r>
          </w:p>
          <w:p w14:paraId="308FD6E1" w14:textId="77777777" w:rsidR="00754A5F" w:rsidRDefault="00754A5F" w:rsidP="008810D5">
            <w:pPr>
              <w:cnfStyle w:val="000000100000" w:firstRow="0" w:lastRow="0" w:firstColumn="0" w:lastColumn="0" w:oddVBand="0" w:evenVBand="0" w:oddHBand="1" w:evenHBand="0" w:firstRowFirstColumn="0" w:firstRowLastColumn="0" w:lastRowFirstColumn="0" w:lastRowLastColumn="0"/>
            </w:pPr>
            <w:r>
              <w:t>DWSS: 3/12/19 – 3/15/19</w:t>
            </w:r>
          </w:p>
        </w:tc>
      </w:tr>
      <w:tr w:rsidR="00754A5F" w14:paraId="21E6EEF7" w14:textId="77777777" w:rsidTr="008810D5">
        <w:tc>
          <w:tcPr>
            <w:cnfStyle w:val="001000000000" w:firstRow="0" w:lastRow="0" w:firstColumn="1" w:lastColumn="0" w:oddVBand="0" w:evenVBand="0" w:oddHBand="0" w:evenHBand="0" w:firstRowFirstColumn="0" w:firstRowLastColumn="0" w:lastRowFirstColumn="0" w:lastRowLastColumn="0"/>
            <w:tcW w:w="2337" w:type="dxa"/>
            <w:tcBorders>
              <w:left w:val="none" w:sz="0" w:space="0" w:color="auto"/>
            </w:tcBorders>
          </w:tcPr>
          <w:p w14:paraId="6163C838" w14:textId="77777777" w:rsidR="00754A5F" w:rsidRDefault="00754A5F" w:rsidP="008810D5">
            <w:pPr>
              <w:rPr>
                <w:b w:val="0"/>
              </w:rPr>
            </w:pPr>
            <w:r>
              <w:t># of Onsite Visits with Partners</w:t>
            </w:r>
          </w:p>
        </w:tc>
        <w:tc>
          <w:tcPr>
            <w:tcW w:w="2337" w:type="dxa"/>
          </w:tcPr>
          <w:p w14:paraId="4C04F970" w14:textId="77777777" w:rsidR="00754A5F" w:rsidRDefault="00754A5F" w:rsidP="008810D5">
            <w:pPr>
              <w:cnfStyle w:val="000000000000" w:firstRow="0" w:lastRow="0" w:firstColumn="0" w:lastColumn="0" w:oddVBand="0" w:evenVBand="0" w:oddHBand="0" w:evenHBand="0" w:firstRowFirstColumn="0" w:firstRowLastColumn="0" w:lastRowFirstColumn="0" w:lastRowLastColumn="0"/>
            </w:pPr>
            <w:r>
              <w:t>Title I: 1</w:t>
            </w:r>
          </w:p>
          <w:p w14:paraId="75E22982" w14:textId="77777777" w:rsidR="00754A5F" w:rsidRDefault="00754A5F" w:rsidP="008810D5">
            <w:pPr>
              <w:cnfStyle w:val="000000000000" w:firstRow="0" w:lastRow="0" w:firstColumn="0" w:lastColumn="0" w:oddVBand="0" w:evenVBand="0" w:oddHBand="0" w:evenHBand="0" w:firstRowFirstColumn="0" w:firstRowLastColumn="0" w:lastRowFirstColumn="0" w:lastRowLastColumn="0"/>
            </w:pPr>
            <w:r>
              <w:t>Title III: 1</w:t>
            </w:r>
          </w:p>
          <w:p w14:paraId="005F48AE" w14:textId="77777777" w:rsidR="00754A5F" w:rsidRDefault="00754A5F" w:rsidP="008810D5">
            <w:pPr>
              <w:cnfStyle w:val="000000000000" w:firstRow="0" w:lastRow="0" w:firstColumn="0" w:lastColumn="0" w:oddVBand="0" w:evenVBand="0" w:oddHBand="0" w:evenHBand="0" w:firstRowFirstColumn="0" w:firstRowLastColumn="0" w:lastRowFirstColumn="0" w:lastRowLastColumn="0"/>
            </w:pPr>
            <w:r>
              <w:t>DEI: 1</w:t>
            </w:r>
          </w:p>
        </w:tc>
        <w:tc>
          <w:tcPr>
            <w:tcW w:w="2338" w:type="dxa"/>
          </w:tcPr>
          <w:p w14:paraId="6273F6C7" w14:textId="77777777" w:rsidR="00754A5F" w:rsidRDefault="00754A5F" w:rsidP="008810D5">
            <w:pPr>
              <w:cnfStyle w:val="000000000000" w:firstRow="0" w:lastRow="0" w:firstColumn="0" w:lastColumn="0" w:oddVBand="0" w:evenVBand="0" w:oddHBand="0" w:evenHBand="0" w:firstRowFirstColumn="0" w:firstRowLastColumn="0" w:lastRowFirstColumn="0" w:lastRowLastColumn="0"/>
            </w:pPr>
            <w:r>
              <w:t>Title I &amp; III: 3</w:t>
            </w:r>
          </w:p>
          <w:p w14:paraId="15CF19A6" w14:textId="77777777" w:rsidR="00754A5F" w:rsidRDefault="00754A5F" w:rsidP="008810D5">
            <w:pPr>
              <w:cnfStyle w:val="000000000000" w:firstRow="0" w:lastRow="0" w:firstColumn="0" w:lastColumn="0" w:oddVBand="0" w:evenVBand="0" w:oddHBand="0" w:evenHBand="0" w:firstRowFirstColumn="0" w:firstRowLastColumn="0" w:lastRowFirstColumn="0" w:lastRowLastColumn="0"/>
            </w:pPr>
            <w:r>
              <w:t>Title II: 2</w:t>
            </w:r>
          </w:p>
          <w:p w14:paraId="45179FA4" w14:textId="77777777" w:rsidR="00754A5F" w:rsidRDefault="00754A5F" w:rsidP="008810D5">
            <w:pPr>
              <w:cnfStyle w:val="000000000000" w:firstRow="0" w:lastRow="0" w:firstColumn="0" w:lastColumn="0" w:oddVBand="0" w:evenVBand="0" w:oddHBand="0" w:evenHBand="0" w:firstRowFirstColumn="0" w:firstRowLastColumn="0" w:lastRowFirstColumn="0" w:lastRowLastColumn="0"/>
            </w:pPr>
            <w:r>
              <w:t>TANF: 1</w:t>
            </w:r>
          </w:p>
        </w:tc>
        <w:tc>
          <w:tcPr>
            <w:tcW w:w="2338" w:type="dxa"/>
          </w:tcPr>
          <w:p w14:paraId="3654221B" w14:textId="77777777" w:rsidR="00754A5F" w:rsidRDefault="00754A5F" w:rsidP="008810D5">
            <w:pPr>
              <w:cnfStyle w:val="000000000000" w:firstRow="0" w:lastRow="0" w:firstColumn="0" w:lastColumn="0" w:oddVBand="0" w:evenVBand="0" w:oddHBand="0" w:evenHBand="0" w:firstRowFirstColumn="0" w:firstRowLastColumn="0" w:lastRowFirstColumn="0" w:lastRowLastColumn="0"/>
            </w:pPr>
            <w:r>
              <w:t>Title I &amp; III: 1</w:t>
            </w:r>
          </w:p>
          <w:p w14:paraId="54AD433E" w14:textId="77777777" w:rsidR="00754A5F" w:rsidRDefault="00754A5F" w:rsidP="008810D5">
            <w:pPr>
              <w:cnfStyle w:val="000000000000" w:firstRow="0" w:lastRow="0" w:firstColumn="0" w:lastColumn="0" w:oddVBand="0" w:evenVBand="0" w:oddHBand="0" w:evenHBand="0" w:firstRowFirstColumn="0" w:firstRowLastColumn="0" w:lastRowFirstColumn="0" w:lastRowLastColumn="0"/>
            </w:pPr>
            <w:r>
              <w:t>Title II: 2</w:t>
            </w:r>
          </w:p>
          <w:p w14:paraId="15F98EC6" w14:textId="77777777" w:rsidR="00754A5F" w:rsidRDefault="00754A5F" w:rsidP="008810D5">
            <w:pPr>
              <w:cnfStyle w:val="000000000000" w:firstRow="0" w:lastRow="0" w:firstColumn="0" w:lastColumn="0" w:oddVBand="0" w:evenVBand="0" w:oddHBand="0" w:evenHBand="0" w:firstRowFirstColumn="0" w:firstRowLastColumn="0" w:lastRowFirstColumn="0" w:lastRowLastColumn="0"/>
            </w:pPr>
            <w:r>
              <w:t>DWSS: 2</w:t>
            </w:r>
          </w:p>
        </w:tc>
      </w:tr>
      <w:tr w:rsidR="00754A5F" w14:paraId="3EBB0C68" w14:textId="77777777" w:rsidTr="008810D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37" w:type="dxa"/>
            <w:tcBorders>
              <w:left w:val="none" w:sz="0" w:space="0" w:color="auto"/>
            </w:tcBorders>
          </w:tcPr>
          <w:p w14:paraId="336A3394" w14:textId="77777777" w:rsidR="00754A5F" w:rsidRPr="00BB6B6B" w:rsidRDefault="00754A5F" w:rsidP="008810D5">
            <w:pPr>
              <w:rPr>
                <w:b w:val="0"/>
              </w:rPr>
            </w:pPr>
            <w:r>
              <w:t>SVRA’s Client Management System</w:t>
            </w:r>
          </w:p>
        </w:tc>
        <w:tc>
          <w:tcPr>
            <w:tcW w:w="2337" w:type="dxa"/>
          </w:tcPr>
          <w:p w14:paraId="0C4970F0" w14:textId="77777777" w:rsidR="00754A5F" w:rsidRDefault="00754A5F" w:rsidP="008810D5">
            <w:pPr>
              <w:cnfStyle w:val="000000100000" w:firstRow="0" w:lastRow="0" w:firstColumn="0" w:lastColumn="0" w:oddVBand="0" w:evenVBand="0" w:oddHBand="1" w:evenHBand="0" w:firstRowFirstColumn="0" w:firstRowLastColumn="0" w:lastRowFirstColumn="0" w:lastRowLastColumn="0"/>
            </w:pPr>
            <w:r>
              <w:t>AWARE (Alliance)</w:t>
            </w:r>
          </w:p>
        </w:tc>
        <w:tc>
          <w:tcPr>
            <w:tcW w:w="2338" w:type="dxa"/>
          </w:tcPr>
          <w:p w14:paraId="787E5531" w14:textId="77777777" w:rsidR="00754A5F" w:rsidRDefault="00754A5F" w:rsidP="008810D5">
            <w:pPr>
              <w:cnfStyle w:val="000000100000" w:firstRow="0" w:lastRow="0" w:firstColumn="0" w:lastColumn="0" w:oddVBand="0" w:evenVBand="0" w:oddHBand="1" w:evenHBand="0" w:firstRowFirstColumn="0" w:firstRowLastColumn="0" w:lastRowFirstColumn="0" w:lastRowLastColumn="0"/>
            </w:pPr>
            <w:r>
              <w:t>CMS (Built Internally)</w:t>
            </w:r>
          </w:p>
        </w:tc>
        <w:tc>
          <w:tcPr>
            <w:tcW w:w="2338" w:type="dxa"/>
          </w:tcPr>
          <w:p w14:paraId="219726DF" w14:textId="77777777" w:rsidR="00754A5F" w:rsidRDefault="00754A5F" w:rsidP="008810D5">
            <w:pPr>
              <w:cnfStyle w:val="000000100000" w:firstRow="0" w:lastRow="0" w:firstColumn="0" w:lastColumn="0" w:oddVBand="0" w:evenVBand="0" w:oddHBand="1" w:evenHBand="0" w:firstRowFirstColumn="0" w:firstRowLastColumn="0" w:lastRowFirstColumn="0" w:lastRowLastColumn="0"/>
            </w:pPr>
            <w:r>
              <w:t>AWARE (Alliance)</w:t>
            </w:r>
          </w:p>
        </w:tc>
      </w:tr>
      <w:tr w:rsidR="00754A5F" w14:paraId="2A3BC69D" w14:textId="77777777" w:rsidTr="008810D5">
        <w:tc>
          <w:tcPr>
            <w:cnfStyle w:val="001000000000" w:firstRow="0" w:lastRow="0" w:firstColumn="1" w:lastColumn="0" w:oddVBand="0" w:evenVBand="0" w:oddHBand="0" w:evenHBand="0" w:firstRowFirstColumn="0" w:firstRowLastColumn="0" w:lastRowFirstColumn="0" w:lastRowLastColumn="0"/>
            <w:tcW w:w="2337" w:type="dxa"/>
            <w:tcBorders>
              <w:left w:val="none" w:sz="0" w:space="0" w:color="auto"/>
            </w:tcBorders>
          </w:tcPr>
          <w:p w14:paraId="28D7D1FE" w14:textId="77777777" w:rsidR="00754A5F" w:rsidRPr="00BB6B6B" w:rsidRDefault="00754A5F" w:rsidP="008810D5">
            <w:pPr>
              <w:rPr>
                <w:b w:val="0"/>
              </w:rPr>
            </w:pPr>
            <w:r>
              <w:t>Is SARA Integrated with SVRA CMS?</w:t>
            </w:r>
          </w:p>
        </w:tc>
        <w:tc>
          <w:tcPr>
            <w:tcW w:w="2337" w:type="dxa"/>
          </w:tcPr>
          <w:p w14:paraId="7A9FB970" w14:textId="77777777" w:rsidR="00754A5F" w:rsidRDefault="00754A5F" w:rsidP="008810D5">
            <w:pPr>
              <w:cnfStyle w:val="000000000000" w:firstRow="0" w:lastRow="0" w:firstColumn="0" w:lastColumn="0" w:oddVBand="0" w:evenVBand="0" w:oddHBand="0" w:evenHBand="0" w:firstRowFirstColumn="0" w:firstRowLastColumn="0" w:lastRowFirstColumn="0" w:lastRowLastColumn="0"/>
            </w:pPr>
            <w:r>
              <w:t>Yes</w:t>
            </w:r>
          </w:p>
        </w:tc>
        <w:tc>
          <w:tcPr>
            <w:tcW w:w="2338" w:type="dxa"/>
          </w:tcPr>
          <w:p w14:paraId="5C99F86B" w14:textId="77777777" w:rsidR="00754A5F" w:rsidRDefault="00754A5F" w:rsidP="008810D5">
            <w:pPr>
              <w:cnfStyle w:val="000000000000" w:firstRow="0" w:lastRow="0" w:firstColumn="0" w:lastColumn="0" w:oddVBand="0" w:evenVBand="0" w:oddHBand="0" w:evenHBand="0" w:firstRowFirstColumn="0" w:firstRowLastColumn="0" w:lastRowFirstColumn="0" w:lastRowLastColumn="0"/>
            </w:pPr>
            <w:r>
              <w:t>Yes</w:t>
            </w:r>
          </w:p>
        </w:tc>
        <w:tc>
          <w:tcPr>
            <w:tcW w:w="2338" w:type="dxa"/>
          </w:tcPr>
          <w:p w14:paraId="19DC0F18" w14:textId="77777777" w:rsidR="00754A5F" w:rsidRDefault="00754A5F" w:rsidP="008810D5">
            <w:pPr>
              <w:cnfStyle w:val="000000000000" w:firstRow="0" w:lastRow="0" w:firstColumn="0" w:lastColumn="0" w:oddVBand="0" w:evenVBand="0" w:oddHBand="0" w:evenHBand="0" w:firstRowFirstColumn="0" w:firstRowLastColumn="0" w:lastRowFirstColumn="0" w:lastRowLastColumn="0"/>
            </w:pPr>
            <w:r>
              <w:t>Yes</w:t>
            </w:r>
          </w:p>
        </w:tc>
      </w:tr>
      <w:tr w:rsidR="00754A5F" w14:paraId="7C9C8E07" w14:textId="77777777" w:rsidTr="008810D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37" w:type="dxa"/>
            <w:tcBorders>
              <w:left w:val="none" w:sz="0" w:space="0" w:color="auto"/>
            </w:tcBorders>
          </w:tcPr>
          <w:p w14:paraId="523F4608" w14:textId="77777777" w:rsidR="00754A5F" w:rsidRPr="00BB6B6B" w:rsidRDefault="00754A5F" w:rsidP="008810D5">
            <w:pPr>
              <w:rPr>
                <w:b w:val="0"/>
              </w:rPr>
            </w:pPr>
            <w:r>
              <w:t>Do SVRA Partners Have Separate CMS?</w:t>
            </w:r>
          </w:p>
        </w:tc>
        <w:tc>
          <w:tcPr>
            <w:tcW w:w="2337" w:type="dxa"/>
          </w:tcPr>
          <w:p w14:paraId="606E884E" w14:textId="77777777" w:rsidR="00754A5F" w:rsidRDefault="00754A5F" w:rsidP="008810D5">
            <w:pPr>
              <w:cnfStyle w:val="000000100000" w:firstRow="0" w:lastRow="0" w:firstColumn="0" w:lastColumn="0" w:oddVBand="0" w:evenVBand="0" w:oddHBand="1" w:evenHBand="0" w:firstRowFirstColumn="0" w:firstRowLastColumn="0" w:lastRowFirstColumn="0" w:lastRowLastColumn="0"/>
            </w:pPr>
            <w:r>
              <w:t>Yes</w:t>
            </w:r>
          </w:p>
        </w:tc>
        <w:tc>
          <w:tcPr>
            <w:tcW w:w="2338" w:type="dxa"/>
          </w:tcPr>
          <w:p w14:paraId="0B700BA7" w14:textId="77777777" w:rsidR="00754A5F" w:rsidRDefault="00754A5F" w:rsidP="008810D5">
            <w:pPr>
              <w:cnfStyle w:val="000000100000" w:firstRow="0" w:lastRow="0" w:firstColumn="0" w:lastColumn="0" w:oddVBand="0" w:evenVBand="0" w:oddHBand="1" w:evenHBand="0" w:firstRowFirstColumn="0" w:firstRowLastColumn="0" w:lastRowFirstColumn="0" w:lastRowLastColumn="0"/>
            </w:pPr>
            <w:r>
              <w:t>Yes</w:t>
            </w:r>
          </w:p>
        </w:tc>
        <w:tc>
          <w:tcPr>
            <w:tcW w:w="2338" w:type="dxa"/>
          </w:tcPr>
          <w:p w14:paraId="647BCE0C" w14:textId="77777777" w:rsidR="00754A5F" w:rsidRDefault="00754A5F" w:rsidP="008810D5">
            <w:pPr>
              <w:cnfStyle w:val="000000100000" w:firstRow="0" w:lastRow="0" w:firstColumn="0" w:lastColumn="0" w:oddVBand="0" w:evenVBand="0" w:oddHBand="1" w:evenHBand="0" w:firstRowFirstColumn="0" w:firstRowLastColumn="0" w:lastRowFirstColumn="0" w:lastRowLastColumn="0"/>
            </w:pPr>
            <w:r>
              <w:t>Yes</w:t>
            </w:r>
          </w:p>
        </w:tc>
      </w:tr>
      <w:tr w:rsidR="00754A5F" w14:paraId="522C97F4" w14:textId="77777777" w:rsidTr="008810D5">
        <w:tc>
          <w:tcPr>
            <w:cnfStyle w:val="001000000000" w:firstRow="0" w:lastRow="0" w:firstColumn="1" w:lastColumn="0" w:oddVBand="0" w:evenVBand="0" w:oddHBand="0" w:evenHBand="0" w:firstRowFirstColumn="0" w:firstRowLastColumn="0" w:lastRowFirstColumn="0" w:lastRowLastColumn="0"/>
            <w:tcW w:w="2337" w:type="dxa"/>
            <w:tcBorders>
              <w:left w:val="none" w:sz="0" w:space="0" w:color="auto"/>
              <w:bottom w:val="none" w:sz="0" w:space="0" w:color="auto"/>
            </w:tcBorders>
          </w:tcPr>
          <w:p w14:paraId="1D01A36C" w14:textId="77777777" w:rsidR="00754A5F" w:rsidRPr="00BB6B6B" w:rsidRDefault="00754A5F" w:rsidP="008810D5">
            <w:pPr>
              <w:rPr>
                <w:b w:val="0"/>
              </w:rPr>
            </w:pPr>
            <w:r>
              <w:t>Is SARA Integrated with Partners’ CMS?</w:t>
            </w:r>
          </w:p>
        </w:tc>
        <w:tc>
          <w:tcPr>
            <w:tcW w:w="2337" w:type="dxa"/>
          </w:tcPr>
          <w:p w14:paraId="62E729E5" w14:textId="77777777" w:rsidR="00754A5F" w:rsidRDefault="00754A5F" w:rsidP="008810D5">
            <w:pPr>
              <w:cnfStyle w:val="000000000000" w:firstRow="0" w:lastRow="0" w:firstColumn="0" w:lastColumn="0" w:oddVBand="0" w:evenVBand="0" w:oddHBand="0" w:evenHBand="0" w:firstRowFirstColumn="0" w:firstRowLastColumn="0" w:lastRowFirstColumn="0" w:lastRowLastColumn="0"/>
            </w:pPr>
            <w:r>
              <w:t>No</w:t>
            </w:r>
          </w:p>
        </w:tc>
        <w:tc>
          <w:tcPr>
            <w:tcW w:w="2338" w:type="dxa"/>
          </w:tcPr>
          <w:p w14:paraId="593F10DA" w14:textId="77777777" w:rsidR="00754A5F" w:rsidRDefault="00754A5F" w:rsidP="008810D5">
            <w:pPr>
              <w:cnfStyle w:val="000000000000" w:firstRow="0" w:lastRow="0" w:firstColumn="0" w:lastColumn="0" w:oddVBand="0" w:evenVBand="0" w:oddHBand="0" w:evenHBand="0" w:firstRowFirstColumn="0" w:firstRowLastColumn="0" w:lastRowFirstColumn="0" w:lastRowLastColumn="0"/>
            </w:pPr>
            <w:r>
              <w:t>Not anymore. Title I retired their system</w:t>
            </w:r>
          </w:p>
        </w:tc>
        <w:tc>
          <w:tcPr>
            <w:tcW w:w="2338" w:type="dxa"/>
          </w:tcPr>
          <w:p w14:paraId="63767327" w14:textId="77777777" w:rsidR="00754A5F" w:rsidRDefault="00754A5F" w:rsidP="008810D5">
            <w:pPr>
              <w:cnfStyle w:val="000000000000" w:firstRow="0" w:lastRow="0" w:firstColumn="0" w:lastColumn="0" w:oddVBand="0" w:evenVBand="0" w:oddHBand="0" w:evenHBand="0" w:firstRowFirstColumn="0" w:firstRowLastColumn="0" w:lastRowFirstColumn="0" w:lastRowLastColumn="0"/>
            </w:pPr>
            <w:r>
              <w:t>Yes</w:t>
            </w:r>
          </w:p>
        </w:tc>
      </w:tr>
    </w:tbl>
    <w:p w14:paraId="6A2CDE49" w14:textId="77777777" w:rsidR="00754A5F" w:rsidRDefault="00754A5F" w:rsidP="00754A5F">
      <w:pPr>
        <w:spacing w:before="360"/>
        <w:rPr>
          <w:u w:val="single"/>
        </w:rPr>
      </w:pPr>
      <w:r>
        <w:rPr>
          <w:u w:val="single"/>
        </w:rPr>
        <w:t>Key Early Steps to Implementing SARA</w:t>
      </w:r>
    </w:p>
    <w:p w14:paraId="56588C61" w14:textId="77777777" w:rsidR="00754A5F" w:rsidRDefault="00754A5F" w:rsidP="00076336">
      <w:pPr>
        <w:pStyle w:val="ListParagraph"/>
        <w:numPr>
          <w:ilvl w:val="0"/>
          <w:numId w:val="14"/>
        </w:numPr>
      </w:pPr>
      <w:r w:rsidRPr="009A0914">
        <w:rPr>
          <w:b/>
        </w:rPr>
        <w:t>Identifying pilot sites</w:t>
      </w:r>
      <w:r>
        <w:t xml:space="preserve"> involved a “first come, first in line” with the provision that at least three partner agencies would have to participate and sign on. Word about the pilot was spread through WINTAC. Eleven states responded with interest and we provided demonstrations. </w:t>
      </w:r>
    </w:p>
    <w:p w14:paraId="1E0E5ABA" w14:textId="77777777" w:rsidR="00754A5F" w:rsidRDefault="00754A5F" w:rsidP="00076336">
      <w:pPr>
        <w:pStyle w:val="ListParagraph"/>
        <w:numPr>
          <w:ilvl w:val="0"/>
          <w:numId w:val="14"/>
        </w:numPr>
      </w:pPr>
      <w:r w:rsidRPr="009A0914">
        <w:rPr>
          <w:b/>
        </w:rPr>
        <w:t>Readiness assumptions</w:t>
      </w:r>
      <w:r>
        <w:t xml:space="preserve"> that were implicit were made explicit when it became apparent that interagency collaboration – specifically the data sharing agreements to make SARA serve its purpose related to CPMs – required the TA Team’s assistance.  The TA Team ultimately developed a template to support the SVRAs and their partners. Kentucky was able to secure data sharing agreements most easily in part due to its structure: all agencies, except Adult Ed, are under the Workforce Commission and Adult Ed was eager to participate. Alaska took two years to get signed and Nevada still is not signed. </w:t>
      </w:r>
    </w:p>
    <w:p w14:paraId="27BB6438" w14:textId="77777777" w:rsidR="00754A5F" w:rsidRDefault="00754A5F" w:rsidP="00076336">
      <w:pPr>
        <w:pStyle w:val="ListParagraph"/>
        <w:numPr>
          <w:ilvl w:val="0"/>
          <w:numId w:val="14"/>
        </w:numPr>
      </w:pPr>
      <w:r w:rsidRPr="00580A51">
        <w:rPr>
          <w:b/>
        </w:rPr>
        <w:lastRenderedPageBreak/>
        <w:t>Culture Change</w:t>
      </w:r>
      <w:r>
        <w:t xml:space="preserve">: Similar to research noted above, Information Technology (IT) adaptation succeeded or failed based on individual and organizational factors related to “readiness for change” and “change management” issues.  Although the TA Team has been responsible for the “heavy lifting” involved in integration with the case management systems of the agencies, it was found that IT departments were stakeholders needing engagement and whose buy-in was critical.  </w:t>
      </w:r>
    </w:p>
    <w:p w14:paraId="5B00793B" w14:textId="77777777" w:rsidR="00754A5F" w:rsidRDefault="00754A5F" w:rsidP="00076336">
      <w:pPr>
        <w:pStyle w:val="ListParagraph"/>
        <w:numPr>
          <w:ilvl w:val="0"/>
          <w:numId w:val="14"/>
        </w:numPr>
      </w:pPr>
      <w:r>
        <w:t xml:space="preserve">There are two parts to the </w:t>
      </w:r>
      <w:r w:rsidRPr="00580A51">
        <w:rPr>
          <w:b/>
        </w:rPr>
        <w:t>implementation</w:t>
      </w:r>
      <w:r>
        <w:t xml:space="preserve">: Pre and Post Launch for each agency. These cycles are based upon detailed checklists developed and refined over numerous implementations. Online project management tools with assigned tasks and deadlines and agreements from agency heads and liaisons to get the tasks completed ensure moving through the steps as needed. </w:t>
      </w:r>
    </w:p>
    <w:p w14:paraId="3C37B1D0" w14:textId="77777777" w:rsidR="00754A5F" w:rsidRDefault="00754A5F" w:rsidP="00076336">
      <w:pPr>
        <w:pStyle w:val="ListParagraph"/>
        <w:numPr>
          <w:ilvl w:val="1"/>
          <w:numId w:val="14"/>
        </w:numPr>
      </w:pPr>
      <w:r w:rsidRPr="00580A51">
        <w:rPr>
          <w:b/>
        </w:rPr>
        <w:t>Pre-launch</w:t>
      </w:r>
      <w:r>
        <w:t xml:space="preserve"> involves developing a consensus plan regarding SARA critical functions to be implemented and ensuring necessary administrative processes are in place such as security and policy approvals, data gathering and interagency agreements, staff coordination, and operational management changes. In addition, frontline staff and managers must be trained in the use of SARA. These processes typically take several on-site meetings, and diligent and persistent follow-up to ensure that checklist items are acheived. </w:t>
      </w:r>
    </w:p>
    <w:p w14:paraId="3FAD4930" w14:textId="77777777" w:rsidR="00754A5F" w:rsidRDefault="00754A5F" w:rsidP="00076336">
      <w:pPr>
        <w:pStyle w:val="ListParagraph"/>
        <w:numPr>
          <w:ilvl w:val="1"/>
          <w:numId w:val="14"/>
        </w:numPr>
      </w:pPr>
      <w:r w:rsidRPr="00580A51">
        <w:rPr>
          <w:b/>
        </w:rPr>
        <w:t>Post-launch</w:t>
      </w:r>
      <w:r>
        <w:t xml:space="preserve"> involves managing adoption steps such as TA support and additional training. This process is driven by monitoring real-time data flows that show user engagement and disengagement.  Using dynamic performance reports, we interact with administrators and managers to point out what is going right and what is not and what to do about it. Unfortunately, unless administrators give it priority and enforce usage, there is little we can do except supporting staff who decided to use it anyway (and a lot do). For example, in Kentucky, we can’t get hold of anyone, so we can’t support it or provide additional training. The lights are on, but no one is home.</w:t>
      </w:r>
    </w:p>
    <w:p w14:paraId="75DD7AFE" w14:textId="77777777" w:rsidR="00754A5F" w:rsidRDefault="00754A5F" w:rsidP="00076336">
      <w:pPr>
        <w:pStyle w:val="ListParagraph"/>
        <w:numPr>
          <w:ilvl w:val="0"/>
          <w:numId w:val="14"/>
        </w:numPr>
      </w:pPr>
      <w:r w:rsidRPr="008B0C95">
        <w:rPr>
          <w:b/>
        </w:rPr>
        <w:t>State-by-state</w:t>
      </w:r>
      <w:r>
        <w:t xml:space="preserve"> early implementation steps:</w:t>
      </w:r>
    </w:p>
    <w:p w14:paraId="4CC46A31" w14:textId="77777777" w:rsidR="00754A5F" w:rsidRDefault="00754A5F" w:rsidP="00076336">
      <w:pPr>
        <w:pStyle w:val="ListParagraph"/>
        <w:numPr>
          <w:ilvl w:val="1"/>
          <w:numId w:val="14"/>
        </w:numPr>
      </w:pPr>
      <w:r w:rsidRPr="00355BEA">
        <w:rPr>
          <w:b/>
        </w:rPr>
        <w:t>Alaska:</w:t>
      </w:r>
      <w:r>
        <w:t xml:space="preserve"> Title I &amp; III were up and running in weeks after the contract. SARA was never connected to their case management system, but that did not seem to dampen their enthusiasm. VR took a year to develop SARA “business rules” but organizational readiness for change issues hampered utilization by staff.  The TA Team has thus far spent more time on implementing Alaska than the other two areas combined. </w:t>
      </w:r>
    </w:p>
    <w:p w14:paraId="262AC6D3" w14:textId="77777777" w:rsidR="00754A5F" w:rsidRDefault="00754A5F" w:rsidP="00076336">
      <w:pPr>
        <w:pStyle w:val="ListParagraph"/>
        <w:numPr>
          <w:ilvl w:val="1"/>
          <w:numId w:val="14"/>
        </w:numPr>
      </w:pPr>
      <w:r w:rsidRPr="00355BEA">
        <w:rPr>
          <w:b/>
        </w:rPr>
        <w:t xml:space="preserve">Kentucky: </w:t>
      </w:r>
      <w:r>
        <w:t xml:space="preserve">Initial implementation was a top-down driven process involving the VR director and Workforce Commissioner.  Other partners did not respond to communications, involved the wrong client base, or did not have sufficient client contact information and did not provide advance notice to clients of the new system’s deployment, delaying implementation.   After several on-site meetings SARA was re-launched without Title I, which remained unengaged. As with Alaska, IT departments’ involvement also impacted implementation, taking almost a year after the relaunch to get Titles I, III, and IV integrated with SARA. (In comparison, it took Title II only two weeks to complete the integration with their system.) Since then, leadership turnover has resulted in a stand still in terms of further discussions and implementation efforts.  Nevertheless, despite the lack of management support, enforcement, training or guidance, there is still a good number of staff continuing to use SARA (see Tables above). </w:t>
      </w:r>
    </w:p>
    <w:p w14:paraId="521A4B24" w14:textId="77777777" w:rsidR="00754A5F" w:rsidRDefault="00754A5F" w:rsidP="00076336">
      <w:pPr>
        <w:pStyle w:val="ListParagraph"/>
        <w:numPr>
          <w:ilvl w:val="1"/>
          <w:numId w:val="14"/>
        </w:numPr>
      </w:pPr>
      <w:r>
        <w:rPr>
          <w:b/>
        </w:rPr>
        <w:t xml:space="preserve">Nevada: </w:t>
      </w:r>
      <w:r>
        <w:t xml:space="preserve"> Nevada chose to upgrade from pilot status and pay for a complete state-wide roll out. That required approval of funding which delayed the start of implementation until the funding was approved in August of 2017. Once approved, implementation moved rapidly </w:t>
      </w:r>
      <w:r>
        <w:lastRenderedPageBreak/>
        <w:t xml:space="preserve">with VR, but Title I &amp; III chose to wait until their implementation of their new case management system was complete which took almost another year. Likewise, VR decided to change case management systems (they selected Aware) and that resulted in a delay with VR.  Initially Aware refused to integrate with SARA, but due to Nevada’s firm stance that integrating SARA was a requirement, Aware adapted and future SVRAs using Aware and wishing to adopt SARA will now benefit.  At this juncture SARA is fully integrated state-wide with Titles I, III, IV, and TANF. Usage rates are high, despite an unsigned data sharing agreement (expected shortly).  </w:t>
      </w:r>
    </w:p>
    <w:p w14:paraId="55C190A6" w14:textId="77777777" w:rsidR="00754A5F" w:rsidRDefault="00754A5F" w:rsidP="00076336">
      <w:pPr>
        <w:pStyle w:val="ListParagraph"/>
        <w:numPr>
          <w:ilvl w:val="0"/>
          <w:numId w:val="14"/>
        </w:numPr>
      </w:pPr>
      <w:r w:rsidRPr="008B0C95">
        <w:rPr>
          <w:b/>
        </w:rPr>
        <w:t>Lessons learned</w:t>
      </w:r>
      <w:r>
        <w:t xml:space="preserve"> for future early steps prior to implementation:</w:t>
      </w:r>
    </w:p>
    <w:p w14:paraId="7DD711B5" w14:textId="77777777" w:rsidR="00754A5F" w:rsidRDefault="00754A5F" w:rsidP="00076336">
      <w:pPr>
        <w:pStyle w:val="ListParagraph"/>
        <w:numPr>
          <w:ilvl w:val="1"/>
          <w:numId w:val="14"/>
        </w:numPr>
      </w:pPr>
      <w:r>
        <w:t xml:space="preserve">For each interested state, conduct an on-site visit to gauge management strength, staff morale, existing processes, and the degree to which IT is ready and available to engage. </w:t>
      </w:r>
    </w:p>
    <w:p w14:paraId="3ECF520D" w14:textId="77777777" w:rsidR="00754A5F" w:rsidRDefault="00754A5F" w:rsidP="00076336">
      <w:pPr>
        <w:pStyle w:val="ListParagraph"/>
        <w:numPr>
          <w:ilvl w:val="1"/>
          <w:numId w:val="14"/>
        </w:numPr>
      </w:pPr>
      <w:r>
        <w:t>Ensure situation of SARA implementation as a change management initiative involving culture change. This aligns with research demonstrating that 75-80% of strategic initiatives fail due to lack of adoption.</w:t>
      </w:r>
    </w:p>
    <w:p w14:paraId="328B9BF5" w14:textId="77777777" w:rsidR="00754A5F" w:rsidRDefault="00754A5F" w:rsidP="00076336">
      <w:pPr>
        <w:pStyle w:val="ListParagraph"/>
        <w:numPr>
          <w:ilvl w:val="1"/>
          <w:numId w:val="14"/>
        </w:numPr>
      </w:pPr>
      <w:r>
        <w:t>Require matching funds be set aside for training and support.</w:t>
      </w:r>
    </w:p>
    <w:p w14:paraId="30EADAAD" w14:textId="77777777" w:rsidR="00754A5F" w:rsidRDefault="00754A5F" w:rsidP="00754A5F"/>
    <w:p w14:paraId="3CD3DC11" w14:textId="77777777" w:rsidR="00754A5F" w:rsidRDefault="00754A5F" w:rsidP="00754A5F">
      <w:pPr>
        <w:pBdr>
          <w:bottom w:val="single" w:sz="24" w:space="1" w:color="auto"/>
        </w:pBdr>
        <w:spacing w:after="0"/>
        <w:jc w:val="center"/>
        <w:rPr>
          <w:b/>
          <w:sz w:val="36"/>
        </w:rPr>
      </w:pPr>
      <w:r>
        <w:rPr>
          <w:b/>
          <w:sz w:val="36"/>
        </w:rPr>
        <w:br w:type="page"/>
      </w:r>
    </w:p>
    <w:p w14:paraId="051ABCD5" w14:textId="014AADF0" w:rsidR="00754A5F" w:rsidRDefault="00754A5F" w:rsidP="00BA0D82">
      <w:pPr>
        <w:pStyle w:val="Heading2"/>
        <w:numPr>
          <w:ilvl w:val="0"/>
          <w:numId w:val="0"/>
        </w:numPr>
      </w:pPr>
      <w:bookmarkStart w:id="117" w:name="_Toc27904622"/>
      <w:bookmarkStart w:id="118" w:name="_Toc28011448"/>
      <w:r>
        <w:lastRenderedPageBreak/>
        <w:t>SARA PILOTS: PROGRESS DASHBOARDS:</w:t>
      </w:r>
      <w:r>
        <w:br/>
        <w:t>ACTIVITIES, OUTPUTS, IMPLEMENTATION</w:t>
      </w:r>
      <w:bookmarkEnd w:id="117"/>
      <w:bookmarkEnd w:id="118"/>
    </w:p>
    <w:p w14:paraId="6DCAE994" w14:textId="77777777" w:rsidR="00754A5F" w:rsidRDefault="00754A5F" w:rsidP="00754A5F">
      <w:pPr>
        <w:rPr>
          <w:u w:val="single"/>
        </w:rPr>
      </w:pPr>
    </w:p>
    <w:p w14:paraId="1C6FC76E" w14:textId="77777777" w:rsidR="00754A5F" w:rsidRDefault="00754A5F" w:rsidP="00754A5F">
      <w:pPr>
        <w:rPr>
          <w:u w:val="single"/>
        </w:rPr>
      </w:pPr>
      <w:r>
        <w:rPr>
          <w:noProof/>
          <w:lang w:eastAsia="ko-KR"/>
        </w:rPr>
        <w:drawing>
          <wp:inline distT="0" distB="0" distL="0" distR="0" wp14:anchorId="66E7D551" wp14:editId="6C5FE996">
            <wp:extent cx="5943600" cy="2239306"/>
            <wp:effectExtent l="0" t="0" r="0" b="8890"/>
            <wp:docPr id="1" name="Chart 1" descr="chart showing progress SARA activities 100% completed">
              <a:extLst xmlns:a="http://schemas.openxmlformats.org/drawingml/2006/main">
                <a:ext uri="{FF2B5EF4-FFF2-40B4-BE49-F238E27FC236}">
                  <a16:creationId xmlns:a16="http://schemas.microsoft.com/office/drawing/2014/main" id="{0372D91F-C7A7-413C-8B1F-B5CD6D9BEB0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2"/>
              </a:graphicData>
            </a:graphic>
          </wp:inline>
        </w:drawing>
      </w:r>
    </w:p>
    <w:p w14:paraId="074299C3" w14:textId="77777777" w:rsidR="00754A5F" w:rsidRDefault="00754A5F" w:rsidP="00754A5F">
      <w:pPr>
        <w:rPr>
          <w:u w:val="single"/>
        </w:rPr>
      </w:pPr>
    </w:p>
    <w:p w14:paraId="6CBD2C65" w14:textId="77777777" w:rsidR="00754A5F" w:rsidRDefault="00754A5F" w:rsidP="00754A5F">
      <w:pPr>
        <w:sectPr w:rsidR="00754A5F" w:rsidSect="00D27D05">
          <w:pgSz w:w="12240" w:h="15840"/>
          <w:pgMar w:top="1440" w:right="1440" w:bottom="1440" w:left="1440" w:header="720" w:footer="720" w:gutter="0"/>
          <w:pgBorders w:offsetFrom="page">
            <w:top w:val="thinThickSmallGap" w:sz="24" w:space="24" w:color="2F5496" w:themeColor="accent1" w:themeShade="BF"/>
            <w:left w:val="thinThickSmallGap" w:sz="24" w:space="24" w:color="2F5496" w:themeColor="accent1" w:themeShade="BF"/>
            <w:bottom w:val="thickThinSmallGap" w:sz="24" w:space="24" w:color="2F5496" w:themeColor="accent1" w:themeShade="BF"/>
            <w:right w:val="thickThinSmallGap" w:sz="24" w:space="24" w:color="2F5496" w:themeColor="accent1" w:themeShade="BF"/>
          </w:pgBorders>
          <w:cols w:space="720"/>
          <w:docGrid w:linePitch="360"/>
        </w:sectPr>
      </w:pPr>
      <w:r>
        <w:t>Progress on  SARA  ITAA Pilots is complete as demonstrated in the progress bar chart above, and all “thermometer” charts below.</w:t>
      </w:r>
    </w:p>
    <w:p w14:paraId="35F4451C" w14:textId="1DF3B45C" w:rsidR="00754A5F" w:rsidRPr="000F6B5E" w:rsidRDefault="00A816B4" w:rsidP="00754A5F">
      <w:pPr>
        <w:rPr>
          <w:rFonts w:cstheme="minorHAnsi"/>
        </w:rPr>
      </w:pPr>
      <w:r w:rsidRPr="000F6B5E">
        <w:rPr>
          <w:rFonts w:cstheme="minorHAnsi"/>
          <w:noProof/>
          <w:lang w:eastAsia="ko-KR"/>
        </w:rPr>
        <w:lastRenderedPageBreak/>
        <w:drawing>
          <wp:inline distT="0" distB="0" distL="0" distR="0" wp14:anchorId="295AFD5F" wp14:editId="0FEC8369">
            <wp:extent cx="2743200" cy="4781358"/>
            <wp:effectExtent l="0" t="0" r="0" b="635"/>
            <wp:docPr id="14" name="Chart 14" descr="Progress show progress sara activity 1 100% complete activity, 100% outputs">
              <a:extLst xmlns:a="http://schemas.openxmlformats.org/drawingml/2006/main">
                <a:ext uri="{FF2B5EF4-FFF2-40B4-BE49-F238E27FC236}">
                  <a16:creationId xmlns:a16="http://schemas.microsoft.com/office/drawing/2014/main" id="{A555F510-A0E3-49EC-8D0D-5A0FC68FD2A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3"/>
              </a:graphicData>
            </a:graphic>
          </wp:inline>
        </w:drawing>
      </w:r>
    </w:p>
    <w:p w14:paraId="770C148A" w14:textId="77777777" w:rsidR="00754A5F" w:rsidRPr="000F6B5E" w:rsidRDefault="00754A5F" w:rsidP="00754A5F">
      <w:pPr>
        <w:spacing w:after="0" w:line="240" w:lineRule="auto"/>
        <w:rPr>
          <w:rFonts w:cstheme="minorHAnsi"/>
        </w:rPr>
      </w:pPr>
      <w:r w:rsidRPr="000F6B5E">
        <w:rPr>
          <w:rFonts w:cstheme="minorHAnsi"/>
          <w:b/>
          <w:bCs/>
        </w:rPr>
        <w:t>Activity 1:</w:t>
      </w:r>
      <w:r w:rsidRPr="000F6B5E">
        <w:rPr>
          <w:rFonts w:cstheme="minorHAnsi"/>
        </w:rPr>
        <w:t xml:space="preserve"> Development of MOUs between SVRAs and core partners.</w:t>
      </w:r>
    </w:p>
    <w:p w14:paraId="257CFC61" w14:textId="77777777" w:rsidR="00754A5F" w:rsidRPr="000F6B5E" w:rsidRDefault="00754A5F" w:rsidP="00754A5F">
      <w:pPr>
        <w:spacing w:after="0" w:line="240" w:lineRule="auto"/>
        <w:rPr>
          <w:rFonts w:cstheme="minorHAnsi"/>
        </w:rPr>
      </w:pPr>
      <w:r>
        <w:rPr>
          <w:rFonts w:cstheme="minorHAnsi"/>
          <w:b/>
          <w:bCs/>
        </w:rPr>
        <w:t xml:space="preserve"> </w:t>
      </w:r>
      <w:r w:rsidRPr="000F6B5E">
        <w:rPr>
          <w:rFonts w:cstheme="minorHAnsi"/>
          <w:b/>
          <w:bCs/>
        </w:rPr>
        <w:t>Output A:</w:t>
      </w:r>
      <w:r w:rsidRPr="000F6B5E">
        <w:rPr>
          <w:rFonts w:cstheme="minorHAnsi"/>
        </w:rPr>
        <w:t xml:space="preserve"> Draft MOU developed.</w:t>
      </w:r>
    </w:p>
    <w:p w14:paraId="46EACDA9" w14:textId="77777777" w:rsidR="00754A5F" w:rsidRPr="000F6B5E" w:rsidRDefault="00754A5F" w:rsidP="00754A5F">
      <w:pPr>
        <w:spacing w:after="0" w:line="240" w:lineRule="auto"/>
        <w:rPr>
          <w:rFonts w:cstheme="minorHAnsi"/>
        </w:rPr>
      </w:pPr>
      <w:r w:rsidRPr="000F6B5E">
        <w:rPr>
          <w:rFonts w:cstheme="minorHAnsi"/>
          <w:noProof/>
          <w:lang w:eastAsia="ko-KR"/>
        </w:rPr>
        <w:drawing>
          <wp:inline distT="0" distB="0" distL="0" distR="0" wp14:anchorId="7651F56F" wp14:editId="28B5C395">
            <wp:extent cx="2828926" cy="4931052"/>
            <wp:effectExtent l="0" t="0" r="9525" b="3175"/>
            <wp:docPr id="2" name="Chart 2" descr="Progress show progress sara activity 2 100% complete activity, 100% outputs">
              <a:extLst xmlns:a="http://schemas.openxmlformats.org/drawingml/2006/main">
                <a:ext uri="{FF2B5EF4-FFF2-40B4-BE49-F238E27FC236}">
                  <a16:creationId xmlns:a16="http://schemas.microsoft.com/office/drawing/2014/main" id="{0C49AFC2-CBE5-490A-88E6-8519D45533F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4"/>
              </a:graphicData>
            </a:graphic>
          </wp:inline>
        </w:drawing>
      </w:r>
    </w:p>
    <w:p w14:paraId="38E09D9E" w14:textId="77777777" w:rsidR="00754A5F" w:rsidRPr="000F6B5E" w:rsidRDefault="00754A5F" w:rsidP="00754A5F">
      <w:pPr>
        <w:spacing w:after="0" w:line="240" w:lineRule="auto"/>
        <w:rPr>
          <w:rFonts w:cstheme="minorHAnsi"/>
        </w:rPr>
      </w:pPr>
      <w:r w:rsidRPr="000F6B5E">
        <w:rPr>
          <w:rFonts w:cstheme="minorHAnsi"/>
          <w:b/>
          <w:bCs/>
        </w:rPr>
        <w:t>Activity 2:</w:t>
      </w:r>
      <w:r w:rsidRPr="000F6B5E">
        <w:rPr>
          <w:rFonts w:cstheme="minorHAnsi"/>
        </w:rPr>
        <w:t xml:space="preserve"> Development of plan with SVRA IT staff to integrate SARA with agency systems as needed (e.g., CMS).</w:t>
      </w:r>
    </w:p>
    <w:p w14:paraId="1C0B8C58" w14:textId="77777777" w:rsidR="00754A5F" w:rsidRPr="000F6B5E" w:rsidRDefault="00754A5F" w:rsidP="00754A5F">
      <w:pPr>
        <w:spacing w:after="0" w:line="240" w:lineRule="auto"/>
        <w:rPr>
          <w:rFonts w:cstheme="minorHAnsi"/>
        </w:rPr>
      </w:pPr>
      <w:r w:rsidRPr="000F6B5E">
        <w:rPr>
          <w:rFonts w:cstheme="minorHAnsi"/>
          <w:b/>
          <w:bCs/>
        </w:rPr>
        <w:t>Output B:</w:t>
      </w:r>
      <w:r w:rsidRPr="000F6B5E">
        <w:rPr>
          <w:rFonts w:cstheme="minorHAnsi"/>
        </w:rPr>
        <w:t xml:space="preserve"> IT integration plan in place.</w:t>
      </w:r>
    </w:p>
    <w:p w14:paraId="0213CC90" w14:textId="77777777" w:rsidR="00754A5F" w:rsidRPr="000F6B5E" w:rsidRDefault="00754A5F" w:rsidP="00754A5F">
      <w:pPr>
        <w:spacing w:after="0" w:line="240" w:lineRule="auto"/>
        <w:rPr>
          <w:rFonts w:cstheme="minorHAnsi"/>
        </w:rPr>
      </w:pPr>
      <w:r w:rsidRPr="000F6B5E">
        <w:rPr>
          <w:rFonts w:cstheme="minorHAnsi"/>
          <w:noProof/>
          <w:lang w:eastAsia="ko-KR"/>
        </w:rPr>
        <w:lastRenderedPageBreak/>
        <w:drawing>
          <wp:inline distT="0" distB="0" distL="0" distR="0" wp14:anchorId="0B6DE359" wp14:editId="18D4437C">
            <wp:extent cx="2828926" cy="4931052"/>
            <wp:effectExtent l="0" t="0" r="9525" b="3175"/>
            <wp:docPr id="3" name="Chart 3" descr="Progress show progress sara activity 3 100% complete activity, 100% outputs">
              <a:extLst xmlns:a="http://schemas.openxmlformats.org/drawingml/2006/main">
                <a:ext uri="{FF2B5EF4-FFF2-40B4-BE49-F238E27FC236}">
                  <a16:creationId xmlns:a16="http://schemas.microsoft.com/office/drawing/2014/main" id="{FFBD7519-618E-4D2D-ABFF-9544FEE8E70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5"/>
              </a:graphicData>
            </a:graphic>
          </wp:inline>
        </w:drawing>
      </w:r>
    </w:p>
    <w:p w14:paraId="4C9B5374" w14:textId="77777777" w:rsidR="00754A5F" w:rsidRPr="000F6B5E" w:rsidRDefault="00754A5F" w:rsidP="00754A5F">
      <w:pPr>
        <w:spacing w:after="0" w:line="240" w:lineRule="auto"/>
        <w:rPr>
          <w:rFonts w:cstheme="minorHAnsi"/>
        </w:rPr>
      </w:pPr>
      <w:r w:rsidRPr="000F6B5E">
        <w:rPr>
          <w:rFonts w:cstheme="minorHAnsi"/>
          <w:b/>
          <w:bCs/>
        </w:rPr>
        <w:t>Activity 3:</w:t>
      </w:r>
      <w:r w:rsidRPr="000F6B5E">
        <w:rPr>
          <w:rFonts w:cstheme="minorHAnsi"/>
        </w:rPr>
        <w:t xml:space="preserve"> SVRA and partner training on SARA use.</w:t>
      </w:r>
    </w:p>
    <w:p w14:paraId="7DDD6A3F" w14:textId="77777777" w:rsidR="00754A5F" w:rsidRPr="000F6B5E" w:rsidRDefault="00754A5F" w:rsidP="00754A5F">
      <w:pPr>
        <w:spacing w:after="0" w:line="240" w:lineRule="auto"/>
        <w:rPr>
          <w:rFonts w:cstheme="minorHAnsi"/>
        </w:rPr>
      </w:pPr>
      <w:r w:rsidRPr="000F6B5E">
        <w:rPr>
          <w:rFonts w:cstheme="minorHAnsi"/>
          <w:b/>
          <w:bCs/>
        </w:rPr>
        <w:t>Output C:</w:t>
      </w:r>
      <w:r w:rsidRPr="000F6B5E">
        <w:rPr>
          <w:rFonts w:cstheme="minorHAnsi"/>
        </w:rPr>
        <w:t xml:space="preserve"> Number trained.</w:t>
      </w:r>
    </w:p>
    <w:p w14:paraId="3241F351" w14:textId="77777777" w:rsidR="00754A5F" w:rsidRPr="000F6B5E" w:rsidRDefault="00754A5F" w:rsidP="00754A5F">
      <w:pPr>
        <w:spacing w:after="0" w:line="240" w:lineRule="auto"/>
        <w:rPr>
          <w:rFonts w:cstheme="minorHAnsi"/>
        </w:rPr>
      </w:pPr>
      <w:r w:rsidRPr="000F6B5E">
        <w:rPr>
          <w:rFonts w:cstheme="minorHAnsi"/>
          <w:noProof/>
          <w:lang w:eastAsia="ko-KR"/>
        </w:rPr>
        <w:drawing>
          <wp:inline distT="0" distB="0" distL="0" distR="0" wp14:anchorId="4A05DDA7" wp14:editId="4147AC1B">
            <wp:extent cx="2828926" cy="4931052"/>
            <wp:effectExtent l="0" t="0" r="9525" b="3175"/>
            <wp:docPr id="4" name="Chart 4" descr="Progress show progress sara activity 4 100% complete activity, 100% outputs">
              <a:extLst xmlns:a="http://schemas.openxmlformats.org/drawingml/2006/main">
                <a:ext uri="{FF2B5EF4-FFF2-40B4-BE49-F238E27FC236}">
                  <a16:creationId xmlns:a16="http://schemas.microsoft.com/office/drawing/2014/main" id="{5DA787ED-233D-4117-BAEA-8C187F20D52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6"/>
              </a:graphicData>
            </a:graphic>
          </wp:inline>
        </w:drawing>
      </w:r>
    </w:p>
    <w:p w14:paraId="27202ACB" w14:textId="77777777" w:rsidR="00754A5F" w:rsidRPr="000F6B5E" w:rsidRDefault="00754A5F" w:rsidP="00754A5F">
      <w:pPr>
        <w:spacing w:after="0" w:line="240" w:lineRule="auto"/>
        <w:rPr>
          <w:rFonts w:cstheme="minorHAnsi"/>
        </w:rPr>
      </w:pPr>
      <w:r w:rsidRPr="000F6B5E">
        <w:rPr>
          <w:rFonts w:cstheme="minorHAnsi"/>
          <w:b/>
          <w:bCs/>
        </w:rPr>
        <w:t>Activity 4:</w:t>
      </w:r>
      <w:r w:rsidRPr="000F6B5E">
        <w:rPr>
          <w:rFonts w:cstheme="minorHAnsi"/>
        </w:rPr>
        <w:t xml:space="preserve"> Adaptation of existing, or development of new, interview templates as required.</w:t>
      </w:r>
    </w:p>
    <w:p w14:paraId="18166259" w14:textId="77777777" w:rsidR="00754A5F" w:rsidRDefault="00754A5F" w:rsidP="00754A5F">
      <w:pPr>
        <w:spacing w:after="0" w:line="240" w:lineRule="auto"/>
        <w:rPr>
          <w:rFonts w:cstheme="minorHAnsi"/>
        </w:rPr>
      </w:pPr>
      <w:r w:rsidRPr="000F6B5E">
        <w:rPr>
          <w:rFonts w:cstheme="minorHAnsi"/>
          <w:b/>
          <w:bCs/>
        </w:rPr>
        <w:t>Output D:</w:t>
      </w:r>
      <w:r w:rsidRPr="000F6B5E">
        <w:rPr>
          <w:rFonts w:cstheme="minorHAnsi"/>
        </w:rPr>
        <w:t xml:space="preserve"> Number and type of interview templates integrated for use.</w:t>
      </w:r>
    </w:p>
    <w:p w14:paraId="2DC7B771" w14:textId="77777777" w:rsidR="00754A5F" w:rsidRPr="000F6B5E" w:rsidRDefault="00754A5F" w:rsidP="00754A5F">
      <w:pPr>
        <w:spacing w:after="0" w:line="240" w:lineRule="auto"/>
        <w:rPr>
          <w:rFonts w:cstheme="minorHAnsi"/>
        </w:rPr>
      </w:pPr>
      <w:r w:rsidRPr="000F6B5E">
        <w:rPr>
          <w:rFonts w:cstheme="minorHAnsi"/>
          <w:noProof/>
          <w:lang w:eastAsia="ko-KR"/>
        </w:rPr>
        <w:lastRenderedPageBreak/>
        <w:drawing>
          <wp:inline distT="0" distB="0" distL="0" distR="0" wp14:anchorId="6D228F2E" wp14:editId="1180BA72">
            <wp:extent cx="2828926" cy="4931052"/>
            <wp:effectExtent l="0" t="0" r="9525" b="3175"/>
            <wp:docPr id="5" name="Chart 5" descr="Progress show progress sara activity 6 100% complete activity, 100% outputs">
              <a:extLst xmlns:a="http://schemas.openxmlformats.org/drawingml/2006/main">
                <a:ext uri="{FF2B5EF4-FFF2-40B4-BE49-F238E27FC236}">
                  <a16:creationId xmlns:a16="http://schemas.microsoft.com/office/drawing/2014/main" id="{B654E732-2888-40DF-92CA-5B352C1E649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7"/>
              </a:graphicData>
            </a:graphic>
          </wp:inline>
        </w:drawing>
      </w:r>
    </w:p>
    <w:p w14:paraId="61D52BFC" w14:textId="77777777" w:rsidR="00754A5F" w:rsidRPr="000F6B5E" w:rsidRDefault="00754A5F" w:rsidP="00754A5F">
      <w:pPr>
        <w:spacing w:after="0" w:line="240" w:lineRule="auto"/>
        <w:rPr>
          <w:rFonts w:cstheme="minorHAnsi"/>
        </w:rPr>
      </w:pPr>
      <w:r w:rsidRPr="000F6B5E">
        <w:rPr>
          <w:rFonts w:cstheme="minorHAnsi"/>
          <w:b/>
          <w:bCs/>
        </w:rPr>
        <w:t>Activity 5:</w:t>
      </w:r>
      <w:r w:rsidRPr="000F6B5E">
        <w:rPr>
          <w:rFonts w:cstheme="minorHAnsi"/>
        </w:rPr>
        <w:t xml:space="preserve"> Creation of customized reports generated by SARA to support Common Performance Measures reporting.</w:t>
      </w:r>
    </w:p>
    <w:p w14:paraId="4A055CC1" w14:textId="77777777" w:rsidR="00754A5F" w:rsidRPr="000F6B5E" w:rsidRDefault="00754A5F" w:rsidP="00754A5F">
      <w:pPr>
        <w:spacing w:after="0" w:line="240" w:lineRule="auto"/>
        <w:rPr>
          <w:rFonts w:cstheme="minorHAnsi"/>
        </w:rPr>
      </w:pPr>
      <w:r w:rsidRPr="000F6B5E">
        <w:rPr>
          <w:rFonts w:cstheme="minorHAnsi"/>
          <w:b/>
          <w:bCs/>
        </w:rPr>
        <w:t>Output E:</w:t>
      </w:r>
      <w:r w:rsidRPr="000F6B5E">
        <w:rPr>
          <w:rFonts w:cstheme="minorHAnsi"/>
        </w:rPr>
        <w:t xml:space="preserve"> CPM reports generated.</w:t>
      </w:r>
    </w:p>
    <w:p w14:paraId="4AC43BC4" w14:textId="77777777" w:rsidR="00754A5F" w:rsidRPr="000F6B5E" w:rsidRDefault="00754A5F" w:rsidP="00754A5F">
      <w:pPr>
        <w:spacing w:after="0" w:line="240" w:lineRule="auto"/>
        <w:rPr>
          <w:rFonts w:cstheme="minorHAnsi"/>
        </w:rPr>
      </w:pPr>
      <w:r w:rsidRPr="000F6B5E">
        <w:rPr>
          <w:rFonts w:cstheme="minorHAnsi"/>
          <w:noProof/>
          <w:lang w:eastAsia="ko-KR"/>
        </w:rPr>
        <w:drawing>
          <wp:inline distT="0" distB="0" distL="0" distR="0" wp14:anchorId="486D2F8C" wp14:editId="00E9D6AC">
            <wp:extent cx="2828926" cy="4931052"/>
            <wp:effectExtent l="0" t="0" r="9525" b="3175"/>
            <wp:docPr id="6" name="Chart 6" descr="Progress show progress sara activity 6 100% complete activity, 100% outputs">
              <a:extLst xmlns:a="http://schemas.openxmlformats.org/drawingml/2006/main">
                <a:ext uri="{FF2B5EF4-FFF2-40B4-BE49-F238E27FC236}">
                  <a16:creationId xmlns:a16="http://schemas.microsoft.com/office/drawing/2014/main" id="{8FFAE4E3-2209-498F-8421-CE3B7EF50AD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8"/>
              </a:graphicData>
            </a:graphic>
          </wp:inline>
        </w:drawing>
      </w:r>
    </w:p>
    <w:p w14:paraId="6535BE5E" w14:textId="77777777" w:rsidR="00754A5F" w:rsidRPr="000F6B5E" w:rsidRDefault="00754A5F" w:rsidP="00754A5F">
      <w:pPr>
        <w:spacing w:after="0" w:line="240" w:lineRule="auto"/>
        <w:rPr>
          <w:rFonts w:cstheme="minorHAnsi"/>
        </w:rPr>
      </w:pPr>
      <w:r w:rsidRPr="000F6B5E">
        <w:rPr>
          <w:rFonts w:cstheme="minorHAnsi"/>
          <w:b/>
          <w:bCs/>
        </w:rPr>
        <w:t>Activity 6:</w:t>
      </w:r>
      <w:r w:rsidRPr="000F6B5E">
        <w:rPr>
          <w:rFonts w:cstheme="minorHAnsi"/>
        </w:rPr>
        <w:t xml:space="preserve"> Creation of customized reports generated by SARA to support client outreach and follow-up.</w:t>
      </w:r>
    </w:p>
    <w:p w14:paraId="59D51921" w14:textId="77777777" w:rsidR="00754A5F" w:rsidRPr="000F6B5E" w:rsidRDefault="00754A5F" w:rsidP="00754A5F">
      <w:pPr>
        <w:spacing w:after="0" w:line="240" w:lineRule="auto"/>
        <w:rPr>
          <w:rFonts w:cstheme="minorHAnsi"/>
        </w:rPr>
      </w:pPr>
      <w:r w:rsidRPr="000F6B5E">
        <w:rPr>
          <w:rFonts w:cstheme="minorHAnsi"/>
          <w:b/>
          <w:bCs/>
        </w:rPr>
        <w:t>Output F:</w:t>
      </w:r>
      <w:r w:rsidRPr="000F6B5E">
        <w:rPr>
          <w:rFonts w:cstheme="minorHAnsi"/>
        </w:rPr>
        <w:t xml:space="preserve"> Client outreach and follow-up reports generated.  Client satisfaction survey data.</w:t>
      </w:r>
    </w:p>
    <w:p w14:paraId="3FAF1C27" w14:textId="77777777" w:rsidR="00754A5F" w:rsidRDefault="00754A5F" w:rsidP="00754A5F">
      <w:pPr>
        <w:spacing w:after="0" w:line="240" w:lineRule="auto"/>
        <w:rPr>
          <w:rFonts w:cstheme="minorHAnsi"/>
          <w:b/>
          <w:bCs/>
        </w:rPr>
      </w:pPr>
      <w:r w:rsidRPr="000F6B5E">
        <w:rPr>
          <w:rFonts w:cstheme="minorHAnsi"/>
          <w:noProof/>
          <w:lang w:eastAsia="ko-KR"/>
        </w:rPr>
        <w:lastRenderedPageBreak/>
        <w:drawing>
          <wp:inline distT="0" distB="0" distL="0" distR="0" wp14:anchorId="06BB2B2D" wp14:editId="2CE9C797">
            <wp:extent cx="2828926" cy="4931052"/>
            <wp:effectExtent l="0" t="0" r="9525" b="3175"/>
            <wp:docPr id="18" name="Chart 18" descr="Progress show progress sara activity 7100% complete activity, 100% outputs">
              <a:extLst xmlns:a="http://schemas.openxmlformats.org/drawingml/2006/main">
                <a:ext uri="{FF2B5EF4-FFF2-40B4-BE49-F238E27FC236}">
                  <a16:creationId xmlns:a16="http://schemas.microsoft.com/office/drawing/2014/main" id="{BD89C572-5DAE-4EF5-9FED-A65E38A2B98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9"/>
              </a:graphicData>
            </a:graphic>
          </wp:inline>
        </w:drawing>
      </w:r>
    </w:p>
    <w:p w14:paraId="66B2AF75" w14:textId="3E3A128C" w:rsidR="00754A5F" w:rsidRDefault="00754A5F" w:rsidP="00754A5F">
      <w:pPr>
        <w:spacing w:after="0" w:line="240" w:lineRule="auto"/>
        <w:rPr>
          <w:u w:val="single"/>
        </w:rPr>
      </w:pPr>
      <w:r>
        <w:rPr>
          <w:rFonts w:cstheme="minorHAnsi"/>
          <w:b/>
          <w:bCs/>
        </w:rPr>
        <w:t xml:space="preserve">Activity 7: </w:t>
      </w:r>
      <w:r w:rsidRPr="000F6B5E">
        <w:rPr>
          <w:rFonts w:cstheme="minorHAnsi"/>
        </w:rPr>
        <w:t xml:space="preserve"> Creation of customized alert systems and reports generated and delivered by SARA to </w:t>
      </w:r>
      <w:r>
        <w:rPr>
          <w:rFonts w:cstheme="minorHAnsi"/>
        </w:rPr>
        <w:t>s</w:t>
      </w:r>
      <w:r w:rsidRPr="000F6B5E">
        <w:rPr>
          <w:rFonts w:cstheme="minorHAnsi"/>
        </w:rPr>
        <w:t>upport continuous quality improvement efforts related to CPMs and client engagement.</w:t>
      </w:r>
      <w:r>
        <w:rPr>
          <w:u w:val="single"/>
        </w:rPr>
        <w:t xml:space="preserve"> </w:t>
      </w:r>
    </w:p>
    <w:p w14:paraId="30F4ECA1" w14:textId="77777777" w:rsidR="00754A5F" w:rsidRDefault="00754A5F" w:rsidP="00754A5F">
      <w:pPr>
        <w:spacing w:after="0" w:line="240" w:lineRule="auto"/>
        <w:rPr>
          <w:u w:val="single"/>
        </w:rPr>
        <w:sectPr w:rsidR="00754A5F" w:rsidSect="00D27D05">
          <w:pgSz w:w="12240" w:h="15840"/>
          <w:pgMar w:top="1440" w:right="1440" w:bottom="1440" w:left="1440" w:header="720" w:footer="720" w:gutter="0"/>
          <w:pgBorders w:offsetFrom="page">
            <w:top w:val="thinThickSmallGap" w:sz="24" w:space="24" w:color="2F5496" w:themeColor="accent1" w:themeShade="BF"/>
            <w:left w:val="thinThickSmallGap" w:sz="24" w:space="24" w:color="2F5496" w:themeColor="accent1" w:themeShade="BF"/>
            <w:bottom w:val="thickThinSmallGap" w:sz="24" w:space="24" w:color="2F5496" w:themeColor="accent1" w:themeShade="BF"/>
            <w:right w:val="thickThinSmallGap" w:sz="24" w:space="24" w:color="2F5496" w:themeColor="accent1" w:themeShade="BF"/>
          </w:pgBorders>
          <w:cols w:num="2" w:space="720"/>
          <w:docGrid w:linePitch="360"/>
        </w:sectPr>
      </w:pPr>
    </w:p>
    <w:p w14:paraId="6CF1743E" w14:textId="77777777" w:rsidR="00754A5F" w:rsidRDefault="00754A5F" w:rsidP="00A816B4">
      <w:pPr>
        <w:jc w:val="center"/>
        <w:rPr>
          <w:u w:val="single"/>
        </w:rPr>
      </w:pPr>
      <w:r>
        <w:rPr>
          <w:noProof/>
          <w:lang w:eastAsia="ko-KR"/>
        </w:rPr>
        <w:lastRenderedPageBreak/>
        <w:drawing>
          <wp:inline distT="0" distB="0" distL="0" distR="0" wp14:anchorId="62069131" wp14:editId="68AC627E">
            <wp:extent cx="4572000" cy="2743200"/>
            <wp:effectExtent l="0" t="0" r="0" b="0"/>
            <wp:docPr id="9" name="Chart 9" descr="charts showing number of VRC users">
              <a:extLst xmlns:a="http://schemas.openxmlformats.org/drawingml/2006/main">
                <a:ext uri="{FF2B5EF4-FFF2-40B4-BE49-F238E27FC236}">
                  <a16:creationId xmlns:a16="http://schemas.microsoft.com/office/drawing/2014/main" id="{D87ADF23-3CC6-4C3B-A6BE-65FE4075D64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0"/>
              </a:graphicData>
            </a:graphic>
          </wp:inline>
        </w:drawing>
      </w:r>
    </w:p>
    <w:p w14:paraId="060567C3" w14:textId="77777777" w:rsidR="00754A5F" w:rsidRDefault="00754A5F" w:rsidP="00A816B4">
      <w:pPr>
        <w:jc w:val="center"/>
        <w:rPr>
          <w:u w:val="single"/>
        </w:rPr>
      </w:pPr>
      <w:r>
        <w:rPr>
          <w:noProof/>
          <w:lang w:eastAsia="ko-KR"/>
        </w:rPr>
        <w:drawing>
          <wp:inline distT="0" distB="0" distL="0" distR="0" wp14:anchorId="72600F71" wp14:editId="423F0D95">
            <wp:extent cx="4572000" cy="2743200"/>
            <wp:effectExtent l="0" t="0" r="0" b="0"/>
            <wp:docPr id="10" name="Chart 10" descr="charts showing number of alerts per quarter">
              <a:extLst xmlns:a="http://schemas.openxmlformats.org/drawingml/2006/main">
                <a:ext uri="{FF2B5EF4-FFF2-40B4-BE49-F238E27FC236}">
                  <a16:creationId xmlns:a16="http://schemas.microsoft.com/office/drawing/2014/main" id="{CE604437-8E3E-45C2-8A86-94B1B2A150F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1"/>
              </a:graphicData>
            </a:graphic>
          </wp:inline>
        </w:drawing>
      </w:r>
    </w:p>
    <w:p w14:paraId="186A536C" w14:textId="77777777" w:rsidR="00754A5F" w:rsidRDefault="00754A5F" w:rsidP="00754A5F">
      <w:pPr>
        <w:rPr>
          <w:u w:val="single"/>
        </w:rPr>
      </w:pPr>
    </w:p>
    <w:p w14:paraId="420F16D3" w14:textId="77777777" w:rsidR="00754A5F" w:rsidRDefault="00754A5F" w:rsidP="00A816B4">
      <w:pPr>
        <w:jc w:val="center"/>
        <w:rPr>
          <w:u w:val="single"/>
        </w:rPr>
      </w:pPr>
      <w:r>
        <w:rPr>
          <w:noProof/>
          <w:lang w:eastAsia="ko-KR"/>
        </w:rPr>
        <w:lastRenderedPageBreak/>
        <w:drawing>
          <wp:inline distT="0" distB="0" distL="0" distR="0" wp14:anchorId="4F511066" wp14:editId="1C5C4A12">
            <wp:extent cx="4572000" cy="2743200"/>
            <wp:effectExtent l="0" t="0" r="0" b="0"/>
            <wp:docPr id="11" name="Chart 11" descr="chart showing number of clients processed per Quarter">
              <a:extLst xmlns:a="http://schemas.openxmlformats.org/drawingml/2006/main">
                <a:ext uri="{FF2B5EF4-FFF2-40B4-BE49-F238E27FC236}">
                  <a16:creationId xmlns:a16="http://schemas.microsoft.com/office/drawing/2014/main" id="{B83B0D70-2E6B-43EE-B375-C690884EC92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2"/>
              </a:graphicData>
            </a:graphic>
          </wp:inline>
        </w:drawing>
      </w:r>
    </w:p>
    <w:p w14:paraId="57EB6628" w14:textId="77777777" w:rsidR="00754A5F" w:rsidRDefault="00754A5F" w:rsidP="00754A5F">
      <w:pPr>
        <w:rPr>
          <w:u w:val="single"/>
        </w:rPr>
      </w:pPr>
    </w:p>
    <w:p w14:paraId="7CBAEDA3" w14:textId="77777777" w:rsidR="00754A5F" w:rsidRDefault="00754A5F" w:rsidP="00A816B4">
      <w:pPr>
        <w:jc w:val="center"/>
        <w:rPr>
          <w:u w:val="single"/>
        </w:rPr>
      </w:pPr>
      <w:r>
        <w:rPr>
          <w:noProof/>
          <w:lang w:eastAsia="ko-KR"/>
        </w:rPr>
        <w:drawing>
          <wp:inline distT="0" distB="0" distL="0" distR="0" wp14:anchorId="3050B3B8" wp14:editId="1EBD5CEC">
            <wp:extent cx="4572000" cy="2743200"/>
            <wp:effectExtent l="0" t="0" r="0" b="0"/>
            <wp:docPr id="12" name="Chart 12" descr="chart showing SARA communication - Quarterly averages">
              <a:extLst xmlns:a="http://schemas.openxmlformats.org/drawingml/2006/main">
                <a:ext uri="{FF2B5EF4-FFF2-40B4-BE49-F238E27FC236}">
                  <a16:creationId xmlns:a16="http://schemas.microsoft.com/office/drawing/2014/main" id="{6FB7D82E-569B-48EF-B71C-FF6BE64DC37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3"/>
              </a:graphicData>
            </a:graphic>
          </wp:inline>
        </w:drawing>
      </w:r>
    </w:p>
    <w:p w14:paraId="2A3B6FA4" w14:textId="77777777" w:rsidR="00754A5F" w:rsidRDefault="00754A5F" w:rsidP="00754A5F"/>
    <w:p w14:paraId="4536AFEF" w14:textId="77777777" w:rsidR="00754A5F" w:rsidRPr="0084101C" w:rsidRDefault="00754A5F" w:rsidP="00754A5F">
      <w:pPr>
        <w:rPr>
          <w:b/>
          <w:bCs/>
          <w:u w:val="single"/>
        </w:rPr>
      </w:pPr>
      <w:r w:rsidRPr="0084101C">
        <w:rPr>
          <w:b/>
          <w:bCs/>
          <w:u w:val="single"/>
        </w:rPr>
        <w:t xml:space="preserve">SARA client outreach and follow-up.  </w:t>
      </w:r>
    </w:p>
    <w:p w14:paraId="5E0836FE" w14:textId="77777777" w:rsidR="00754A5F" w:rsidRPr="00AD2BF0" w:rsidRDefault="00754A5F" w:rsidP="00076336">
      <w:pPr>
        <w:pStyle w:val="ListParagraph"/>
        <w:numPr>
          <w:ilvl w:val="0"/>
          <w:numId w:val="20"/>
        </w:numPr>
      </w:pPr>
      <w:r w:rsidRPr="0084101C">
        <w:rPr>
          <w:u w:val="single"/>
        </w:rPr>
        <w:t>Alaska</w:t>
      </w:r>
      <w:r w:rsidRPr="00AD2BF0">
        <w:t>: 46 unique SARA follow-up tasks, automated based on the client’s status. Clients are communicating with SARA from Application through Closure. VRCs are also creating their own custom SARA tasks to check in with the client regularly and obtain receipts, grades, etc. The SARA task “30 Day Client Contact” is used the most. SARA automatically checks in with the client every 30 days to see how they are doing. 1,171 clients have been assigned this task.</w:t>
      </w:r>
    </w:p>
    <w:p w14:paraId="7C329FF0" w14:textId="77777777" w:rsidR="00754A5F" w:rsidRPr="00AD2BF0" w:rsidRDefault="00754A5F" w:rsidP="00076336">
      <w:pPr>
        <w:pStyle w:val="ListParagraph"/>
        <w:numPr>
          <w:ilvl w:val="0"/>
          <w:numId w:val="20"/>
        </w:numPr>
      </w:pPr>
      <w:r w:rsidRPr="0084101C">
        <w:rPr>
          <w:u w:val="single"/>
        </w:rPr>
        <w:t>Kentucky</w:t>
      </w:r>
      <w:r w:rsidRPr="00AD2BF0">
        <w:t>: 34 SARA tasks provide automated follow up with clients. KY’s current case management system does not include case notes of its’ own so VRCs use SARA exclusively for case notes. The SARA Task “IPE Client Follow-up” is used the most to follow up with clients once the IPE is Implemented.</w:t>
      </w:r>
    </w:p>
    <w:p w14:paraId="3D2EA915" w14:textId="77777777" w:rsidR="00754A5F" w:rsidRPr="00AD2BF0" w:rsidRDefault="00754A5F" w:rsidP="00076336">
      <w:pPr>
        <w:pStyle w:val="ListParagraph"/>
        <w:numPr>
          <w:ilvl w:val="0"/>
          <w:numId w:val="20"/>
        </w:numPr>
      </w:pPr>
      <w:r w:rsidRPr="0084101C">
        <w:rPr>
          <w:u w:val="single"/>
        </w:rPr>
        <w:lastRenderedPageBreak/>
        <w:t>Nevada</w:t>
      </w:r>
      <w:r w:rsidRPr="00AD2BF0">
        <w:t xml:space="preserve">: Started with Raison as Case Management System and converted to AWARE in Q2 2019. 47 SARA tasks being used to follow up with clients from Application to Closure. Nevada is the only state within the pilot to take advantage of TCI’s CMS API that allows for full SARA automation. Status changes in AWARE create a status change in SARA. Like Alaska, NV uses the 30 Day Client Contact the most. </w:t>
      </w:r>
    </w:p>
    <w:p w14:paraId="029135B0" w14:textId="77777777" w:rsidR="00754A5F" w:rsidRDefault="00754A5F" w:rsidP="00754A5F">
      <w:r>
        <w:br w:type="page"/>
      </w:r>
    </w:p>
    <w:p w14:paraId="17C55970" w14:textId="77777777" w:rsidR="00754A5F" w:rsidRDefault="00754A5F" w:rsidP="00BA0D82">
      <w:pPr>
        <w:pStyle w:val="Heading2"/>
        <w:numPr>
          <w:ilvl w:val="0"/>
          <w:numId w:val="0"/>
        </w:numPr>
      </w:pPr>
      <w:bookmarkStart w:id="119" w:name="_Toc27904623"/>
      <w:bookmarkStart w:id="120" w:name="_Toc28011449"/>
      <w:r>
        <w:lastRenderedPageBreak/>
        <w:t>SARA PILOTS: OUTCOMES PROGRESS DASHBOARDS</w:t>
      </w:r>
      <w:bookmarkEnd w:id="119"/>
      <w:bookmarkEnd w:id="120"/>
    </w:p>
    <w:p w14:paraId="0904CF85" w14:textId="77777777" w:rsidR="00754A5F" w:rsidRDefault="00754A5F" w:rsidP="00754A5F"/>
    <w:p w14:paraId="1899E3C8" w14:textId="77777777" w:rsidR="00754A5F" w:rsidRDefault="00754A5F" w:rsidP="00754A5F">
      <w:r>
        <w:rPr>
          <w:noProof/>
          <w:lang w:eastAsia="ko-KR"/>
        </w:rPr>
        <w:drawing>
          <wp:inline distT="0" distB="0" distL="0" distR="0" wp14:anchorId="07902733" wp14:editId="6025377D">
            <wp:extent cx="5015865" cy="3161665"/>
            <wp:effectExtent l="0" t="0" r="0" b="635"/>
            <wp:docPr id="40" name="Picture 40" descr="chart showing outcomes progress SARA, 85% completed and 5% 90% progress"/>
            <wp:cNvGraphicFramePr/>
            <a:graphic xmlns:a="http://schemas.openxmlformats.org/drawingml/2006/main">
              <a:graphicData uri="http://schemas.openxmlformats.org/drawingml/2006/picture">
                <pic:pic xmlns:pic="http://schemas.openxmlformats.org/drawingml/2006/picture">
                  <pic:nvPicPr>
                    <pic:cNvPr id="40" name="Picture 40"/>
                    <pic:cNvPicPr/>
                  </pic:nvPicPr>
                  <pic:blipFill rotWithShape="1">
                    <a:blip r:embed="rId384">
                      <a:extLst>
                        <a:ext uri="{28A0092B-C50C-407E-A947-70E740481C1C}">
                          <a14:useLocalDpi xmlns:a14="http://schemas.microsoft.com/office/drawing/2010/main" val="0"/>
                        </a:ext>
                      </a:extLst>
                    </a:blip>
                    <a:srcRect l="19868" t="2096" r="23451" b="37802"/>
                    <a:stretch/>
                  </pic:blipFill>
                  <pic:spPr bwMode="auto">
                    <a:xfrm>
                      <a:off x="0" y="0"/>
                      <a:ext cx="5015865" cy="3161665"/>
                    </a:xfrm>
                    <a:prstGeom prst="rect">
                      <a:avLst/>
                    </a:prstGeom>
                    <a:noFill/>
                    <a:ln>
                      <a:noFill/>
                    </a:ln>
                    <a:extLst>
                      <a:ext uri="{53640926-AAD7-44D8-BBD7-CCE9431645EC}">
                        <a14:shadowObscured xmlns:a14="http://schemas.microsoft.com/office/drawing/2010/main"/>
                      </a:ext>
                    </a:extLst>
                  </pic:spPr>
                </pic:pic>
              </a:graphicData>
            </a:graphic>
          </wp:inline>
        </w:drawing>
      </w:r>
    </w:p>
    <w:p w14:paraId="62C4278D" w14:textId="39EFE985" w:rsidR="00754A5F" w:rsidRDefault="005C6D9A" w:rsidP="00754A5F">
      <w:r>
        <w:tab/>
        <w:t>This chart demonstrates the high rate of completion for SARA Pilot outcomes, with 95% of activities completed and 5% of outcomes at a 90% completion rate.  The overall completion rate is thus 99 percent.</w:t>
      </w:r>
    </w:p>
    <w:p w14:paraId="43DE72DA" w14:textId="77777777" w:rsidR="005C6D9A" w:rsidRDefault="005C6D9A" w:rsidP="00754A5F"/>
    <w:p w14:paraId="1A2E3965" w14:textId="77777777" w:rsidR="00754A5F" w:rsidRPr="00A00869" w:rsidRDefault="00754A5F" w:rsidP="00754A5F">
      <w:pPr>
        <w:rPr>
          <w:b/>
          <w:bCs/>
          <w:u w:val="single"/>
        </w:rPr>
      </w:pPr>
      <w:r w:rsidRPr="00A00869">
        <w:rPr>
          <w:b/>
          <w:bCs/>
          <w:u w:val="single"/>
        </w:rPr>
        <w:t xml:space="preserve">SARA interview templates related to CPMs. </w:t>
      </w:r>
    </w:p>
    <w:p w14:paraId="7A5CA41D" w14:textId="77777777" w:rsidR="00754A5F" w:rsidRPr="00AD2BF0" w:rsidRDefault="00754A5F" w:rsidP="00076336">
      <w:pPr>
        <w:pStyle w:val="ListParagraph"/>
        <w:numPr>
          <w:ilvl w:val="0"/>
          <w:numId w:val="21"/>
        </w:numPr>
      </w:pPr>
      <w:r w:rsidRPr="00A00869">
        <w:rPr>
          <w:u w:val="single"/>
        </w:rPr>
        <w:t>Alaska</w:t>
      </w:r>
      <w:r w:rsidRPr="00AD2BF0">
        <w:t>: 3 Templates related to CPMs, including 1 After Exit. SARA has contacted 3,650 clients regarding CPMs and recorded 226 clients who entered employment.</w:t>
      </w:r>
    </w:p>
    <w:p w14:paraId="4F10F73A" w14:textId="77777777" w:rsidR="00754A5F" w:rsidRPr="00AD2BF0" w:rsidRDefault="00754A5F" w:rsidP="00076336">
      <w:pPr>
        <w:pStyle w:val="ListParagraph"/>
        <w:numPr>
          <w:ilvl w:val="0"/>
          <w:numId w:val="21"/>
        </w:numPr>
      </w:pPr>
      <w:r w:rsidRPr="00A00869">
        <w:rPr>
          <w:u w:val="single"/>
        </w:rPr>
        <w:t>Kentucky</w:t>
      </w:r>
      <w:r w:rsidRPr="00AD2BF0">
        <w:t>: 6 templates including 4 After Exit contacting 1,883 clients and recording 157 clients who entered employment.</w:t>
      </w:r>
    </w:p>
    <w:p w14:paraId="58E94E4D" w14:textId="77777777" w:rsidR="00754A5F" w:rsidRPr="00AD2BF0" w:rsidRDefault="00754A5F" w:rsidP="00076336">
      <w:pPr>
        <w:pStyle w:val="ListParagraph"/>
        <w:numPr>
          <w:ilvl w:val="0"/>
          <w:numId w:val="21"/>
        </w:numPr>
      </w:pPr>
      <w:r w:rsidRPr="00A00869">
        <w:rPr>
          <w:u w:val="single"/>
        </w:rPr>
        <w:t>Nevada</w:t>
      </w:r>
      <w:r w:rsidRPr="00AD2BF0">
        <w:t>: 3 Templates including 1 After Exit, contacting 2,982 clients recording 225 clients who have entered employment.</w:t>
      </w:r>
    </w:p>
    <w:p w14:paraId="096DBED6" w14:textId="77777777" w:rsidR="00754A5F" w:rsidRDefault="00754A5F" w:rsidP="00754A5F">
      <w:pPr>
        <w:ind w:left="360"/>
        <w:rPr>
          <w:b/>
          <w:bCs/>
          <w:u w:val="single"/>
        </w:rPr>
      </w:pPr>
    </w:p>
    <w:p w14:paraId="523EC992" w14:textId="77777777" w:rsidR="00754A5F" w:rsidRDefault="00754A5F" w:rsidP="00754A5F">
      <w:pPr>
        <w:ind w:left="360"/>
        <w:rPr>
          <w:b/>
          <w:bCs/>
          <w:u w:val="single"/>
        </w:rPr>
      </w:pPr>
      <w:r>
        <w:rPr>
          <w:noProof/>
          <w:lang w:eastAsia="ko-KR"/>
        </w:rPr>
        <w:lastRenderedPageBreak/>
        <w:drawing>
          <wp:inline distT="0" distB="0" distL="0" distR="0" wp14:anchorId="6EB9752B" wp14:editId="4F4C47FF">
            <wp:extent cx="4572000" cy="2743200"/>
            <wp:effectExtent l="0" t="0" r="0" b="0"/>
            <wp:docPr id="13" name="Chart 13" descr="chart SARA capture of CPM4 and CPM5">
              <a:extLst xmlns:a="http://schemas.openxmlformats.org/drawingml/2006/main">
                <a:ext uri="{FF2B5EF4-FFF2-40B4-BE49-F238E27FC236}">
                  <a16:creationId xmlns:a16="http://schemas.microsoft.com/office/drawing/2014/main" id="{0AB2CD43-995D-42B4-B924-DC553147AA2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5"/>
              </a:graphicData>
            </a:graphic>
          </wp:inline>
        </w:drawing>
      </w:r>
    </w:p>
    <w:p w14:paraId="4DC7B7DC" w14:textId="77777777" w:rsidR="00754A5F" w:rsidRPr="007F5E6F" w:rsidRDefault="00754A5F" w:rsidP="00754A5F">
      <w:pPr>
        <w:spacing w:after="0" w:line="240" w:lineRule="auto"/>
        <w:ind w:left="360"/>
        <w:rPr>
          <w:i/>
          <w:iCs/>
        </w:rPr>
      </w:pPr>
      <w:r w:rsidRPr="007F5E6F">
        <w:rPr>
          <w:i/>
          <w:iCs/>
          <w:vertAlign w:val="superscript"/>
        </w:rPr>
        <w:t>1</w:t>
      </w:r>
      <w:r w:rsidRPr="007F5E6F">
        <w:rPr>
          <w:i/>
          <w:iCs/>
        </w:rPr>
        <w:t xml:space="preserve"> Clients Report Finding a Job</w:t>
      </w:r>
    </w:p>
    <w:p w14:paraId="01E55A41" w14:textId="77777777" w:rsidR="00754A5F" w:rsidRPr="007F5E6F" w:rsidRDefault="00754A5F" w:rsidP="00754A5F">
      <w:pPr>
        <w:spacing w:after="0" w:line="240" w:lineRule="auto"/>
        <w:ind w:left="360"/>
        <w:rPr>
          <w:b/>
          <w:bCs/>
          <w:i/>
          <w:iCs/>
          <w:u w:val="single"/>
        </w:rPr>
      </w:pPr>
      <w:r w:rsidRPr="007F5E6F">
        <w:rPr>
          <w:i/>
          <w:iCs/>
          <w:vertAlign w:val="superscript"/>
        </w:rPr>
        <w:t>2</w:t>
      </w:r>
      <w:r w:rsidRPr="007F5E6F">
        <w:rPr>
          <w:i/>
          <w:iCs/>
        </w:rPr>
        <w:t xml:space="preserve"> Clients Report Completing a Training/Education Program</w:t>
      </w:r>
    </w:p>
    <w:p w14:paraId="56C40F3B" w14:textId="77777777" w:rsidR="00754A5F" w:rsidRDefault="00754A5F" w:rsidP="00754A5F">
      <w:pPr>
        <w:ind w:left="360"/>
        <w:rPr>
          <w:b/>
          <w:bCs/>
          <w:u w:val="single"/>
        </w:rPr>
      </w:pPr>
    </w:p>
    <w:p w14:paraId="5CD4559D" w14:textId="77777777" w:rsidR="00754A5F" w:rsidRDefault="00754A5F" w:rsidP="00754A5F">
      <w:pPr>
        <w:ind w:left="360"/>
        <w:rPr>
          <w:b/>
          <w:bCs/>
          <w:u w:val="single"/>
        </w:rPr>
      </w:pPr>
      <w:r>
        <w:rPr>
          <w:noProof/>
          <w:lang w:eastAsia="ko-KR"/>
        </w:rPr>
        <w:drawing>
          <wp:inline distT="0" distB="0" distL="0" distR="0" wp14:anchorId="77263B3F" wp14:editId="5D8ADB0D">
            <wp:extent cx="4572000" cy="2743200"/>
            <wp:effectExtent l="0" t="0" r="0" b="0"/>
            <wp:docPr id="15" name="Chart 15" descr="chart SARA capture of CPMg: Employer Data">
              <a:extLst xmlns:a="http://schemas.openxmlformats.org/drawingml/2006/main">
                <a:ext uri="{FF2B5EF4-FFF2-40B4-BE49-F238E27FC236}">
                  <a16:creationId xmlns:a16="http://schemas.microsoft.com/office/drawing/2014/main" id="{9B923D47-8CF7-4DC7-AF3B-7887EBFD412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6"/>
              </a:graphicData>
            </a:graphic>
          </wp:inline>
        </w:drawing>
      </w:r>
    </w:p>
    <w:p w14:paraId="58E54120" w14:textId="77777777" w:rsidR="00754A5F" w:rsidRDefault="00754A5F" w:rsidP="00754A5F">
      <w:pPr>
        <w:ind w:left="360"/>
        <w:rPr>
          <w:b/>
          <w:bCs/>
          <w:u w:val="single"/>
        </w:rPr>
      </w:pPr>
    </w:p>
    <w:p w14:paraId="6E004156" w14:textId="77777777" w:rsidR="00754A5F" w:rsidRDefault="00754A5F" w:rsidP="00754A5F">
      <w:pPr>
        <w:ind w:left="360"/>
        <w:rPr>
          <w:b/>
          <w:bCs/>
          <w:u w:val="single"/>
        </w:rPr>
      </w:pPr>
      <w:r>
        <w:rPr>
          <w:noProof/>
          <w:lang w:eastAsia="ko-KR"/>
        </w:rPr>
        <w:lastRenderedPageBreak/>
        <w:drawing>
          <wp:inline distT="0" distB="0" distL="0" distR="0" wp14:anchorId="0F6EA81D" wp14:editId="1B257B58">
            <wp:extent cx="4572000" cy="2743200"/>
            <wp:effectExtent l="0" t="0" r="0" b="0"/>
            <wp:docPr id="16" name="Chart 16" descr="chart SARA Capture of Co-Enrollment Data">
              <a:extLst xmlns:a="http://schemas.openxmlformats.org/drawingml/2006/main">
                <a:ext uri="{FF2B5EF4-FFF2-40B4-BE49-F238E27FC236}">
                  <a16:creationId xmlns:a16="http://schemas.microsoft.com/office/drawing/2014/main" id="{EC012863-D71E-40EA-93CF-7FAC17C0146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7"/>
              </a:graphicData>
            </a:graphic>
          </wp:inline>
        </w:drawing>
      </w:r>
    </w:p>
    <w:p w14:paraId="1AD782D8" w14:textId="77777777" w:rsidR="00754A5F" w:rsidRPr="007F5E6F" w:rsidRDefault="00754A5F" w:rsidP="00754A5F">
      <w:pPr>
        <w:ind w:left="360"/>
        <w:rPr>
          <w:i/>
          <w:iCs/>
        </w:rPr>
      </w:pPr>
      <w:r w:rsidRPr="007F5E6F">
        <w:rPr>
          <w:i/>
          <w:iCs/>
        </w:rPr>
        <w:t>*Co-enrollment data for Nevada will be available once they complete their data sharing agreement.</w:t>
      </w:r>
    </w:p>
    <w:p w14:paraId="58C36305" w14:textId="77777777" w:rsidR="00754A5F" w:rsidRDefault="00754A5F" w:rsidP="00754A5F">
      <w:pPr>
        <w:ind w:left="360"/>
        <w:rPr>
          <w:b/>
          <w:bCs/>
          <w:u w:val="single"/>
        </w:rPr>
      </w:pPr>
    </w:p>
    <w:p w14:paraId="46823E35" w14:textId="77777777" w:rsidR="00754A5F" w:rsidRPr="00483D23" w:rsidRDefault="00754A5F" w:rsidP="00754A5F">
      <w:pPr>
        <w:ind w:left="360"/>
        <w:rPr>
          <w:b/>
          <w:bCs/>
          <w:u w:val="single"/>
        </w:rPr>
      </w:pPr>
      <w:r w:rsidRPr="00483D23">
        <w:rPr>
          <w:b/>
          <w:bCs/>
          <w:u w:val="single"/>
        </w:rPr>
        <w:t xml:space="preserve">SARA support of VRC time efficiency. </w:t>
      </w:r>
    </w:p>
    <w:p w14:paraId="0D9945C8" w14:textId="77777777" w:rsidR="00754A5F" w:rsidRPr="00AD2BF0" w:rsidRDefault="00754A5F" w:rsidP="00076336">
      <w:pPr>
        <w:pStyle w:val="ListParagraph"/>
        <w:numPr>
          <w:ilvl w:val="0"/>
          <w:numId w:val="19"/>
        </w:numPr>
      </w:pPr>
      <w:r w:rsidRPr="00483D23">
        <w:rPr>
          <w:u w:val="single"/>
        </w:rPr>
        <w:t>Alaska</w:t>
      </w:r>
      <w:r w:rsidRPr="00AD2BF0">
        <w:t xml:space="preserve">: VRCs are able to easily share their caseloads with their technicians and assistants so they are all on the same page, via electronic case notes. Prior to SARA, the agency required VRCs to print out all case notes and maintain paper files so anyone could access the history of the client at any time. With SARA implemented and automatically documenting every client interaction, the agency no longer prints out case notes. SARA allows staff to send out text messages and e-mails in Bulk to multiple clients at the same time, </w:t>
      </w:r>
      <w:r w:rsidRPr="00483D23">
        <w:t>drastically reducing the amount of time spent on repetitive communication tasks</w:t>
      </w:r>
      <w:r w:rsidRPr="00AD2BF0">
        <w:t xml:space="preserve">. </w:t>
      </w:r>
    </w:p>
    <w:p w14:paraId="4C16CAEB" w14:textId="77777777" w:rsidR="00754A5F" w:rsidRPr="00AD2BF0" w:rsidRDefault="00754A5F" w:rsidP="00076336">
      <w:pPr>
        <w:pStyle w:val="ListParagraph"/>
        <w:numPr>
          <w:ilvl w:val="0"/>
          <w:numId w:val="19"/>
        </w:numPr>
      </w:pPr>
      <w:r w:rsidRPr="00483D23">
        <w:rPr>
          <w:u w:val="single"/>
        </w:rPr>
        <w:t>Kentucky</w:t>
      </w:r>
      <w:r w:rsidRPr="00AD2BF0">
        <w:t xml:space="preserve">: Prior to SARA, the agency did not have any electronic case notes. SARA allows staff to send out text messages and e-mails in Bulk to multiple clients at the same time, drastically reducing the amount of time spent on repetitive communication tasks. </w:t>
      </w:r>
    </w:p>
    <w:p w14:paraId="21737B3B" w14:textId="77777777" w:rsidR="00754A5F" w:rsidRDefault="00754A5F" w:rsidP="00076336">
      <w:pPr>
        <w:pStyle w:val="ListParagraph"/>
        <w:numPr>
          <w:ilvl w:val="0"/>
          <w:numId w:val="19"/>
        </w:numPr>
      </w:pPr>
      <w:r w:rsidRPr="00E749C0">
        <w:rPr>
          <w:u w:val="single"/>
        </w:rPr>
        <w:t>Nevada</w:t>
      </w:r>
      <w:r w:rsidRPr="00AD2BF0">
        <w:t>: VRCs share client records electronically in SARA with Job Developers so all parties receive SARA alerts and are able to collaborate more effectively. Nevada heavily relies on SARA to schedule client appointments and SARA automatically reminds clients of upcoming appointments.  SARA allows staff to send out text messages and e-mails in Bulk to multiple clients at the same time, drastically reducing the amount of time spent on repetitive communication tasks.</w:t>
      </w:r>
    </w:p>
    <w:p w14:paraId="664B4273" w14:textId="67C96FE7" w:rsidR="00A816B4" w:rsidRDefault="00754A5F" w:rsidP="00A816B4">
      <w:pPr>
        <w:rPr>
          <w:b/>
          <w:sz w:val="36"/>
        </w:rPr>
      </w:pPr>
      <w:r>
        <w:br w:type="page"/>
      </w:r>
    </w:p>
    <w:p w14:paraId="0DD8315B" w14:textId="06582862" w:rsidR="00754A5F" w:rsidRDefault="00A816B4" w:rsidP="00BA0D82">
      <w:pPr>
        <w:pStyle w:val="Heading2"/>
        <w:numPr>
          <w:ilvl w:val="0"/>
          <w:numId w:val="0"/>
        </w:numPr>
      </w:pPr>
      <w:bookmarkStart w:id="121" w:name="_Toc27904624"/>
      <w:bookmarkStart w:id="122" w:name="_Toc28011450"/>
      <w:r>
        <w:lastRenderedPageBreak/>
        <w:t xml:space="preserve">SARA </w:t>
      </w:r>
      <w:r w:rsidR="00754A5F">
        <w:t>PILOTS: PROGRESS NARRATIVE</w:t>
      </w:r>
      <w:bookmarkEnd w:id="121"/>
      <w:bookmarkEnd w:id="122"/>
    </w:p>
    <w:p w14:paraId="39EA1C58" w14:textId="77777777" w:rsidR="00754A5F" w:rsidRDefault="00754A5F" w:rsidP="00C22384">
      <w:pPr>
        <w:pStyle w:val="Heading3"/>
        <w:numPr>
          <w:ilvl w:val="0"/>
          <w:numId w:val="0"/>
        </w:numPr>
        <w:ind w:left="810" w:hanging="810"/>
      </w:pPr>
      <w:bookmarkStart w:id="123" w:name="_Toc27904625"/>
      <w:r>
        <w:t>National Lens</w:t>
      </w:r>
      <w:bookmarkEnd w:id="123"/>
    </w:p>
    <w:p w14:paraId="654E1CDB" w14:textId="77777777" w:rsidR="00754A5F" w:rsidRDefault="00754A5F" w:rsidP="00754A5F">
      <w:pPr>
        <w:ind w:firstLine="720"/>
      </w:pPr>
      <w:r>
        <w:t>The use of technology and content, performance, and/or information-based management and reporting systems is of critical importance to the effective and efficient functioning of non-profit and human service organizations (Cronley &amp; Patterson, 2010) and supports increasingly specific and detailed requirements for accountability, quality control, and audit requirements of funders and stakeholders of those organizations (Hackler &amp; Saxton, 2007).  As is often the case, the challenges to effective implementation and utilization can often be systemic factors associated with the organizational structures and policies (O’Looney, 2005 and Lorenzi &amp; Riley, 2003), and individual readiness to adopt another initiative (Carrilio, 2005).  Fundamentally, these organizations need “considerable outside assistance in boosting their IT capacity” recognizing that “they understand the deployment of an internal IT infrastructure would help them. (Hackler &amp; Saxton).”</w:t>
      </w:r>
    </w:p>
    <w:p w14:paraId="00B5E2F1" w14:textId="77777777" w:rsidR="00754A5F" w:rsidRDefault="00754A5F" w:rsidP="00C22384">
      <w:pPr>
        <w:pStyle w:val="Heading3"/>
        <w:numPr>
          <w:ilvl w:val="0"/>
          <w:numId w:val="0"/>
        </w:numPr>
        <w:ind w:left="810" w:hanging="810"/>
      </w:pPr>
      <w:bookmarkStart w:id="124" w:name="_Toc27904626"/>
      <w:r>
        <w:t>WINTAC Lens</w:t>
      </w:r>
      <w:bookmarkEnd w:id="124"/>
    </w:p>
    <w:p w14:paraId="5CCFE1CF" w14:textId="77777777" w:rsidR="00754A5F" w:rsidRPr="00035CD7" w:rsidRDefault="00754A5F" w:rsidP="00754A5F">
      <w:pPr>
        <w:tabs>
          <w:tab w:val="left" w:pos="360"/>
        </w:tabs>
      </w:pPr>
      <w:r>
        <w:tab/>
        <w:t>SARA is a pilot topic area with three</w:t>
      </w:r>
      <w:r w:rsidRPr="00035CD7">
        <w:t xml:space="preserve"> formal intensive technical assistance agreements (ITAAs) in place.  These ITAAs draw from a menu of activities identified in </w:t>
      </w:r>
      <w:r>
        <w:t>an initial, brief</w:t>
      </w:r>
      <w:r w:rsidRPr="00035CD7">
        <w:t xml:space="preserve"> logic model which each have an associated output and contribute to a set of defined short-term outcomes.  </w:t>
      </w:r>
    </w:p>
    <w:p w14:paraId="2E16AD20" w14:textId="77777777" w:rsidR="00754A5F" w:rsidRDefault="00754A5F" w:rsidP="00754A5F">
      <w:pPr>
        <w:tabs>
          <w:tab w:val="left" w:pos="360"/>
        </w:tabs>
        <w:rPr>
          <w:szCs w:val="14"/>
        </w:rPr>
      </w:pPr>
      <w:r>
        <w:rPr>
          <w:szCs w:val="14"/>
        </w:rPr>
        <w:tab/>
      </w:r>
      <w:r w:rsidRPr="00533653">
        <w:rPr>
          <w:b/>
          <w:bCs/>
          <w:i/>
          <w:iCs/>
          <w:szCs w:val="14"/>
          <w:u w:val="single"/>
        </w:rPr>
        <w:t>TA Progress.</w:t>
      </w:r>
      <w:r>
        <w:rPr>
          <w:szCs w:val="14"/>
        </w:rPr>
        <w:t xml:space="preserve"> Across the pilot area of SARA, progress on activities is complete (100% of activities). Below the first average activity progress bar, using “thermometer charts,” the progress rate is broken out by specific activity with the linked outputs’ progress rates provided side-by-side.  These dashboards show a one-to-one correspondence between the rate of completion for SARA activities and associated outputs – all of which is 100% complete.  </w:t>
      </w:r>
    </w:p>
    <w:p w14:paraId="36FC6B49" w14:textId="77777777" w:rsidR="00754A5F" w:rsidRPr="00D43F44" w:rsidRDefault="00754A5F" w:rsidP="00754A5F">
      <w:pPr>
        <w:tabs>
          <w:tab w:val="left" w:pos="360"/>
        </w:tabs>
        <w:rPr>
          <w:rFonts w:cstheme="minorHAnsi"/>
        </w:rPr>
      </w:pPr>
      <w:r>
        <w:rPr>
          <w:szCs w:val="14"/>
        </w:rPr>
        <w:tab/>
      </w:r>
      <w:r w:rsidRPr="00662F12">
        <w:rPr>
          <w:b/>
          <w:bCs/>
          <w:i/>
          <w:iCs/>
          <w:szCs w:val="14"/>
          <w:u w:val="single"/>
        </w:rPr>
        <w:t>Challenges Overcome.</w:t>
      </w:r>
      <w:r>
        <w:rPr>
          <w:i/>
          <w:iCs/>
          <w:szCs w:val="14"/>
        </w:rPr>
        <w:t xml:space="preserve"> </w:t>
      </w:r>
      <w:r w:rsidRPr="00662F12">
        <w:rPr>
          <w:szCs w:val="14"/>
        </w:rPr>
        <w:t xml:space="preserve"> </w:t>
      </w:r>
      <w:r>
        <w:rPr>
          <w:szCs w:val="14"/>
        </w:rPr>
        <w:t>The earlier section on “Pilot Context” describes implementation challenges related to SARA, which largely correspond to challenges articulated in other topic areas (ie., leadership and staff turnover) and challenges recognized in the field and meant to be addressed by WIOA (i.e., lack of effective interagency collaboration).  Despite these challenges, SARA usage persists in each state.  In Kentucky, where leadership stalled on rolling out SARA to staff officially, VRCs are still engaging with the system (see system usage charts after the thermometer dashboards) to the benefit of clients and outcome measures for these pilots related to CPM reports are available.  In Nevada, where the data sharing agreement still is not signed, also shows high usage and still has data available for CPMs (co-enrollment data is not available unfortunately).</w:t>
      </w:r>
    </w:p>
    <w:p w14:paraId="0CAC8E03" w14:textId="77777777" w:rsidR="00754A5F" w:rsidRPr="00B263A3" w:rsidRDefault="00754A5F" w:rsidP="00754A5F">
      <w:pPr>
        <w:ind w:firstLine="360"/>
        <w:rPr>
          <w:u w:val="single"/>
        </w:rPr>
      </w:pPr>
      <w:r w:rsidRPr="00AD7B12">
        <w:rPr>
          <w:rFonts w:cstheme="minorHAnsi"/>
          <w:b/>
          <w:bCs/>
          <w:i/>
          <w:iCs/>
          <w:u w:val="single"/>
        </w:rPr>
        <w:t>Impact</w:t>
      </w:r>
      <w:r w:rsidRPr="00D43F44">
        <w:rPr>
          <w:rFonts w:cstheme="minorHAnsi"/>
          <w:i/>
          <w:iCs/>
        </w:rPr>
        <w:t>.</w:t>
      </w:r>
      <w:r w:rsidRPr="00AD7B12">
        <w:rPr>
          <w:rFonts w:cstheme="minorHAnsi"/>
        </w:rPr>
        <w:t xml:space="preserve">  </w:t>
      </w:r>
      <w:r>
        <w:rPr>
          <w:rFonts w:cstheme="minorHAnsi"/>
        </w:rPr>
        <w:t xml:space="preserve">Outcomes for the SARA pilot area are also largely complete, with 95% of outcomes 100% complete and 5% of outcomes at the 90% completion level for an overall outcomes completion rate of 99%.  As seen in the dashboard charts reflecting usage and the outcome charts on CPMs, the systems-level impact is undeniable: even in states challenged by implementation barriers, VRC and client interaction with the system is strong and CPM data as reported by clients is coming in to SARA.  Every pilot has created “templates” to collect data and SARA is engaging clients directly, automating and batching out request to clients and saving valuable counselor time doing the outreach and follow-up and recording the information.  </w:t>
      </w:r>
    </w:p>
    <w:p w14:paraId="52D0CF4C" w14:textId="77777777" w:rsidR="00754A5F" w:rsidRDefault="00754A5F" w:rsidP="00754A5F">
      <w:r>
        <w:rPr>
          <w:noProof/>
          <w:lang w:eastAsia="ko-KR"/>
        </w:rPr>
        <w:lastRenderedPageBreak/>
        <mc:AlternateContent>
          <mc:Choice Requires="wps">
            <w:drawing>
              <wp:anchor distT="182880" distB="182880" distL="182880" distR="182880" simplePos="0" relativeHeight="251659264" behindDoc="0" locked="0" layoutInCell="1" allowOverlap="1" wp14:anchorId="1FB42B7B" wp14:editId="5DF4CA86">
                <wp:simplePos x="0" y="0"/>
                <wp:positionH relativeFrom="margin">
                  <wp:posOffset>755015</wp:posOffset>
                </wp:positionH>
                <wp:positionV relativeFrom="margin">
                  <wp:posOffset>-286385</wp:posOffset>
                </wp:positionV>
                <wp:extent cx="3736340" cy="1764665"/>
                <wp:effectExtent l="0" t="0" r="0" b="6985"/>
                <wp:wrapSquare wrapText="bothSides"/>
                <wp:docPr id="117" name="Snip Single Corner Rectangle 117"/>
                <wp:cNvGraphicFramePr/>
                <a:graphic xmlns:a="http://schemas.openxmlformats.org/drawingml/2006/main">
                  <a:graphicData uri="http://schemas.microsoft.com/office/word/2010/wordprocessingShape">
                    <wps:wsp>
                      <wps:cNvSpPr/>
                      <wps:spPr>
                        <a:xfrm>
                          <a:off x="0" y="0"/>
                          <a:ext cx="3736340" cy="1764665"/>
                        </a:xfrm>
                        <a:prstGeom prst="snip1Rect">
                          <a:avLst/>
                        </a:prstGeom>
                        <a:ln>
                          <a:noFill/>
                        </a:ln>
                      </wps:spPr>
                      <wps:style>
                        <a:lnRef idx="2">
                          <a:schemeClr val="accent1">
                            <a:shade val="50000"/>
                          </a:schemeClr>
                        </a:lnRef>
                        <a:fillRef idx="1003">
                          <a:schemeClr val="dk2"/>
                        </a:fillRef>
                        <a:effectRef idx="0">
                          <a:schemeClr val="accent1"/>
                        </a:effectRef>
                        <a:fontRef idx="minor">
                          <a:schemeClr val="lt1"/>
                        </a:fontRef>
                      </wps:style>
                      <wps:txbx>
                        <w:txbxContent>
                          <w:p w14:paraId="33810180" w14:textId="77777777" w:rsidR="00366D34" w:rsidRPr="0088769E" w:rsidRDefault="00366D34" w:rsidP="00754A5F">
                            <w:pPr>
                              <w:pStyle w:val="ListParagraph"/>
                              <w:ind w:left="360"/>
                              <w:rPr>
                                <w:i/>
                                <w:iCs/>
                              </w:rPr>
                            </w:pPr>
                            <w:r w:rsidRPr="0088769E">
                              <w:rPr>
                                <w:i/>
                                <w:iCs/>
                              </w:rPr>
                              <w:t>Even in sites where there has been no SVRA support or enforcement, there is still significant usage. In fact, over the past year</w:t>
                            </w:r>
                            <w:r>
                              <w:rPr>
                                <w:i/>
                                <w:iCs/>
                              </w:rPr>
                              <w:t xml:space="preserve"> [written at mid-year]</w:t>
                            </w:r>
                            <w:r w:rsidRPr="0088769E">
                              <w:rPr>
                                <w:i/>
                                <w:iCs/>
                              </w:rPr>
                              <w:t xml:space="preserve"> (assuming that it takes an average of five minutes to follow up with a specific client and compose a case note) </w:t>
                            </w:r>
                            <w:r w:rsidRPr="003631F0">
                              <w:rPr>
                                <w:b/>
                                <w:bCs/>
                                <w:i/>
                                <w:iCs/>
                                <w:u w:val="single"/>
                              </w:rPr>
                              <w:t>SARA has undertaken the equivalent of 40 man-years of work for the three pilot areas.</w:t>
                            </w:r>
                            <w:r w:rsidRPr="0088769E">
                              <w:rPr>
                                <w:i/>
                                <w:iCs/>
                              </w:rPr>
                              <w:t xml:space="preserve"> </w:t>
                            </w:r>
                          </w:p>
                          <w:p w14:paraId="77234E42" w14:textId="77777777" w:rsidR="00366D34" w:rsidRPr="00A52694" w:rsidRDefault="00366D34" w:rsidP="00754A5F">
                            <w:pPr>
                              <w:rPr>
                                <w:rFonts w:ascii="Times New Roman" w:hAnsi="Times New Roman" w:cs="Times New Roman"/>
                                <w:i/>
                                <w:iCs/>
                                <w:caps/>
                                <w:sz w:val="24"/>
                                <w:szCs w:val="28"/>
                              </w:rPr>
                            </w:pPr>
                          </w:p>
                        </w:txbxContent>
                      </wps:txbx>
                      <wps:bodyPr rot="0" spcFirstLastPara="0" vertOverflow="overflow" horzOverflow="overflow" vert="horz" wrap="square" lIns="137160" tIns="91440" rIns="91440" bIns="9144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B42B7B" id="_x0000_s1055" style="position:absolute;margin-left:59.45pt;margin-top:-22.55pt;width:294.2pt;height:138.95pt;z-index:251659264;visibility:visible;mso-wrap-style:square;mso-width-percent:0;mso-height-percent:0;mso-wrap-distance-left:14.4pt;mso-wrap-distance-top:14.4pt;mso-wrap-distance-right:14.4pt;mso-wrap-distance-bottom:14.4pt;mso-position-horizontal:absolute;mso-position-horizontal-relative:margin;mso-position-vertical:absolute;mso-position-vertical-relative:margin;mso-width-percent:0;mso-height-percent:0;mso-width-relative:margin;mso-height-relative:margin;v-text-anchor:top" coordsize="3736340,176466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" adj="-11796480,,5400" path="m,l3442223,r294117,294117l3736340,1764665,,1764665,,xe" fillcolor="#4d5f78 [2994]" stroked="f" strokeweight="1pt">
                <v:fill color2="#2a3442 [2018]" rotate="t" colors="0 #5d6d85;.5 #485972;1 #334258" focus="100%" type="gradient">
                  <o:fill v:ext="view" type="gradientUnscaled"/>
                </v:fill>
                <v:stroke joinstyle="miter"/>
                <v:formulas/>
                <v:path arrowok="t" o:connecttype="custom" o:connectlocs="0,0;3442223,0;3736340,294117;3736340,1764665;0,1764665;0,0" o:connectangles="0,0,0,0,0,0" textboxrect="0,0,3736340,1764665"/>
                <v:textbox inset="10.8pt,7.2pt,,7.2pt">
                  <w:txbxContent>
                    <w:p w14:paraId="33810180" w14:textId="77777777" w:rsidR="00366D34" w:rsidRPr="0088769E" w:rsidRDefault="00366D34" w:rsidP="00754A5F">
                      <w:pPr>
                        <w:pStyle w:val="ListParagraph"/>
                        <w:ind w:left="360"/>
                        <w:rPr>
                          <w:i/>
                          <w:iCs/>
                        </w:rPr>
                      </w:pPr>
                      <w:r w:rsidRPr="0088769E">
                        <w:rPr>
                          <w:i/>
                          <w:iCs/>
                        </w:rPr>
                        <w:t>Even in sites where there has been no SVRA support or enforcement, there is still significant usage. In fact, over the past year</w:t>
                      </w:r>
                      <w:r>
                        <w:rPr>
                          <w:i/>
                          <w:iCs/>
                        </w:rPr>
                        <w:t xml:space="preserve"> [written at mid-year]</w:t>
                      </w:r>
                      <w:r w:rsidRPr="0088769E">
                        <w:rPr>
                          <w:i/>
                          <w:iCs/>
                        </w:rPr>
                        <w:t xml:space="preserve"> (assuming that it takes an average of five minutes to follow up with a specific client and compose a case note) </w:t>
                      </w:r>
                      <w:r w:rsidRPr="003631F0">
                        <w:rPr>
                          <w:b/>
                          <w:bCs/>
                          <w:i/>
                          <w:iCs/>
                          <w:u w:val="single"/>
                        </w:rPr>
                        <w:t>SARA has undertaken the equivalent of 40 man-years of work for the three pilot areas.</w:t>
                      </w:r>
                      <w:r w:rsidRPr="0088769E">
                        <w:rPr>
                          <w:i/>
                          <w:iCs/>
                        </w:rPr>
                        <w:t xml:space="preserve"> </w:t>
                      </w:r>
                    </w:p>
                    <w:p w14:paraId="77234E42" w14:textId="77777777" w:rsidR="00366D34" w:rsidRPr="00A52694" w:rsidRDefault="00366D34" w:rsidP="00754A5F">
                      <w:pPr>
                        <w:rPr>
                          <w:rFonts w:ascii="Times New Roman" w:hAnsi="Times New Roman" w:cs="Times New Roman"/>
                          <w:i/>
                          <w:iCs/>
                          <w:caps/>
                          <w:sz w:val="24"/>
                          <w:szCs w:val="28"/>
                        </w:rPr>
                      </w:pPr>
                    </w:p>
                  </w:txbxContent>
                </v:textbox>
                <w10:wrap type="square" anchorx="margin" anchory="margin"/>
              </v:shape>
            </w:pict>
          </mc:Fallback>
        </mc:AlternateContent>
      </w:r>
    </w:p>
    <w:p w14:paraId="2FAD7804" w14:textId="77777777" w:rsidR="00754A5F" w:rsidRDefault="00754A5F" w:rsidP="00754A5F"/>
    <w:p w14:paraId="2CE21064" w14:textId="77777777" w:rsidR="00754A5F" w:rsidRDefault="00754A5F" w:rsidP="00754A5F">
      <w:pPr>
        <w:rPr>
          <w:u w:val="single"/>
        </w:rPr>
      </w:pPr>
    </w:p>
    <w:p w14:paraId="779B851F" w14:textId="77777777" w:rsidR="00754A5F" w:rsidRDefault="00754A5F" w:rsidP="00754A5F">
      <w:pPr>
        <w:rPr>
          <w:u w:val="single"/>
        </w:rPr>
      </w:pPr>
    </w:p>
    <w:p w14:paraId="244EEA54" w14:textId="77777777" w:rsidR="00754A5F" w:rsidRDefault="00754A5F" w:rsidP="00754A5F">
      <w:pPr>
        <w:rPr>
          <w:u w:val="single"/>
        </w:rPr>
      </w:pPr>
    </w:p>
    <w:p w14:paraId="028059EF" w14:textId="77777777" w:rsidR="00754A5F" w:rsidRDefault="00754A5F" w:rsidP="00754A5F">
      <w:pPr>
        <w:rPr>
          <w:u w:val="single"/>
        </w:rPr>
      </w:pPr>
    </w:p>
    <w:p w14:paraId="1106C8E5" w14:textId="77777777" w:rsidR="00754A5F" w:rsidRDefault="00754A5F" w:rsidP="00754A5F">
      <w:pPr>
        <w:rPr>
          <w:u w:val="single"/>
        </w:rPr>
      </w:pPr>
    </w:p>
    <w:p w14:paraId="4C55ACF8" w14:textId="77777777" w:rsidR="00754A5F" w:rsidRDefault="00754A5F" w:rsidP="00754A5F">
      <w:pPr>
        <w:ind w:firstLine="360"/>
      </w:pPr>
      <w:r w:rsidRPr="003631F0">
        <w:rPr>
          <w:b/>
          <w:bCs/>
          <w:i/>
          <w:iCs/>
          <w:u w:val="single"/>
        </w:rPr>
        <w:t>Evaluation Recommendations.</w:t>
      </w:r>
      <w:r>
        <w:t xml:space="preserve">  In addition to those articulated above in discussions of “lessons learned” from early implementation, the following recommendations have been developed by the TA Team from implementation efforts:</w:t>
      </w:r>
    </w:p>
    <w:p w14:paraId="0DD98448" w14:textId="77777777" w:rsidR="00754A5F" w:rsidRDefault="00754A5F" w:rsidP="00076336">
      <w:pPr>
        <w:pStyle w:val="ListParagraph"/>
        <w:numPr>
          <w:ilvl w:val="0"/>
          <w:numId w:val="15"/>
        </w:numPr>
      </w:pPr>
      <w:r>
        <w:t xml:space="preserve">Do an environmental scan before agreeing to implement SARA. With a completed scan in hand, outline to management what has to happen before a SARA implementation can commence: (a) obtain some benchmark performance data to compare to, (b) setting out a vision and explaining it to front staff, (c) listening carefully to staff and managers in terms of concerns and get their buy-in, (d) develop consensus on initial goals to be achieved with the implementation, and e) get IT to the table prior to implementation and get their commitment to undertake the integration work. </w:t>
      </w:r>
    </w:p>
    <w:p w14:paraId="6CB47DFE" w14:textId="77777777" w:rsidR="00754A5F" w:rsidRDefault="00754A5F" w:rsidP="00076336">
      <w:pPr>
        <w:pStyle w:val="ListParagraph"/>
        <w:numPr>
          <w:ilvl w:val="0"/>
          <w:numId w:val="15"/>
        </w:numPr>
      </w:pPr>
      <w:r>
        <w:t xml:space="preserve">Designate an internal training and support team for centrally located offices </w:t>
      </w:r>
      <w:r>
        <w:rPr>
          <w:i/>
        </w:rPr>
        <w:t>and</w:t>
      </w:r>
      <w:r>
        <w:t xml:space="preserve"> outlying areas, ensuring a budget has been set aside for this effort.</w:t>
      </w:r>
    </w:p>
    <w:p w14:paraId="6352702F" w14:textId="77777777" w:rsidR="00754A5F" w:rsidRDefault="00754A5F" w:rsidP="00076336">
      <w:pPr>
        <w:pStyle w:val="ListParagraph"/>
        <w:numPr>
          <w:ilvl w:val="0"/>
          <w:numId w:val="15"/>
        </w:numPr>
      </w:pPr>
      <w:r>
        <w:t xml:space="preserve">Agree on a smaller pilot to start with clearly defined, easy-to-reach goals (e.g., shorten the intake cycle from 60 to 45 days within 3 months, or increase client satisfaction rates to X by Y date).  An initial demonstration of effectiveness and value will support staff buy-in for larger efforts. </w:t>
      </w:r>
    </w:p>
    <w:p w14:paraId="6CA69F1A" w14:textId="77777777" w:rsidR="00754A5F" w:rsidRDefault="00754A5F" w:rsidP="00076336">
      <w:pPr>
        <w:pStyle w:val="ListParagraph"/>
        <w:numPr>
          <w:ilvl w:val="0"/>
          <w:numId w:val="15"/>
        </w:numPr>
      </w:pPr>
      <w:r>
        <w:t xml:space="preserve">Ensure all implementation stakeholders are aware that SARA is a </w:t>
      </w:r>
      <w:r>
        <w:rPr>
          <w:u w:val="single"/>
        </w:rPr>
        <w:t>major</w:t>
      </w:r>
      <w:r>
        <w:t xml:space="preserve"> initiative and that usage is not optional. </w:t>
      </w:r>
    </w:p>
    <w:p w14:paraId="4F329517" w14:textId="77777777" w:rsidR="00754A5F" w:rsidRDefault="00754A5F" w:rsidP="00076336">
      <w:pPr>
        <w:pStyle w:val="ListParagraph"/>
        <w:numPr>
          <w:ilvl w:val="0"/>
          <w:numId w:val="15"/>
        </w:numPr>
      </w:pPr>
      <w:r>
        <w:t xml:space="preserve">Designate an internal data analyst to analyze live performance reports and make recommendations to administrators and managers. </w:t>
      </w:r>
    </w:p>
    <w:p w14:paraId="628E7BE1" w14:textId="77777777" w:rsidR="00754A5F" w:rsidRDefault="00754A5F" w:rsidP="00076336">
      <w:pPr>
        <w:pStyle w:val="ListParagraph"/>
        <w:numPr>
          <w:ilvl w:val="0"/>
          <w:numId w:val="15"/>
        </w:numPr>
      </w:pPr>
      <w:r>
        <w:t xml:space="preserve">Watch and support the pilot intensively and communicate the results widely. Use the lessons learned from the pilot for the broader implementation. </w:t>
      </w:r>
    </w:p>
    <w:p w14:paraId="0F334F7E" w14:textId="77777777" w:rsidR="00754A5F" w:rsidRPr="005E610A" w:rsidRDefault="00754A5F" w:rsidP="00076336">
      <w:pPr>
        <w:pStyle w:val="ListParagraph"/>
        <w:numPr>
          <w:ilvl w:val="0"/>
          <w:numId w:val="15"/>
        </w:numPr>
      </w:pPr>
      <w:r>
        <w:t>Communicate, communicate, communicate.</w:t>
      </w:r>
      <w:r w:rsidRPr="005E610A">
        <w:t xml:space="preserve"> </w:t>
      </w:r>
    </w:p>
    <w:p w14:paraId="5AF7BA82" w14:textId="6593F1C7" w:rsidR="007D7C40" w:rsidRDefault="00754A5F" w:rsidP="00A816B4">
      <w:pPr>
        <w:ind w:firstLine="360"/>
      </w:pPr>
      <w:r>
        <w:t>As with other areas, the current data could benefit from further context if the agency can provide it.  For example, prior to SARA’s roll-out, how many hours did VRCs spend conducting client outreach and follow-up and recording casenotes?  This can be measured against current estimates and future reports.  With respect to CPMs, how are they validating the data reports coming in directly from clients (for example, regarding credentials)?  For the future, do agencies need TA on improved use of SARA?  Would TA on how to strategically use SARA’s alerts and reports system and the creation of additional templates be useful?  Do states regularly monitor the incoming data to improve service provision and alter outreach to clients prior to quarterly reports being due?  If so, how?  If not, could TA on that process be useful?</w:t>
      </w:r>
    </w:p>
    <w:p w14:paraId="7A0E6B82" w14:textId="77777777" w:rsidR="00777541" w:rsidRDefault="00777541" w:rsidP="00A816B4">
      <w:pPr>
        <w:ind w:firstLine="360"/>
        <w:sectPr w:rsidR="00777541" w:rsidSect="00D27D05">
          <w:pgSz w:w="12240" w:h="15840"/>
          <w:pgMar w:top="1440" w:right="1440" w:bottom="1440" w:left="1440" w:header="720" w:footer="720" w:gutter="0"/>
          <w:pgBorders w:offsetFrom="page">
            <w:top w:val="thinThickSmallGap" w:sz="24" w:space="24" w:color="2F5496" w:themeColor="accent1" w:themeShade="BF"/>
            <w:left w:val="thinThickSmallGap" w:sz="24" w:space="24" w:color="2F5496" w:themeColor="accent1" w:themeShade="BF"/>
            <w:bottom w:val="thickThinSmallGap" w:sz="24" w:space="24" w:color="2F5496" w:themeColor="accent1" w:themeShade="BF"/>
            <w:right w:val="thickThinSmallGap" w:sz="24" w:space="24" w:color="2F5496" w:themeColor="accent1" w:themeShade="BF"/>
          </w:pgBorders>
          <w:cols w:space="720"/>
          <w:docGrid w:linePitch="360"/>
        </w:sectPr>
      </w:pPr>
    </w:p>
    <w:p w14:paraId="4093AC52" w14:textId="77CC1C33" w:rsidR="003F2FE8" w:rsidRPr="00574844" w:rsidRDefault="00574844" w:rsidP="00076336">
      <w:pPr>
        <w:pStyle w:val="Heading1"/>
        <w:numPr>
          <w:ilvl w:val="0"/>
          <w:numId w:val="59"/>
        </w:numPr>
        <w:pBdr>
          <w:bottom w:val="single" w:sz="18" w:space="1" w:color="auto"/>
        </w:pBdr>
        <w:shd w:val="clear" w:color="auto" w:fill="auto"/>
        <w:rPr>
          <w:caps w:val="0"/>
          <w:szCs w:val="52"/>
        </w:rPr>
      </w:pPr>
      <w:bookmarkStart w:id="125" w:name="_Toc28011451"/>
      <w:bookmarkStart w:id="126" w:name="_Toc27904627"/>
      <w:r>
        <w:rPr>
          <w:caps w:val="0"/>
          <w:szCs w:val="52"/>
        </w:rPr>
        <w:lastRenderedPageBreak/>
        <w:t xml:space="preserve">The </w:t>
      </w:r>
      <w:r w:rsidRPr="00574844">
        <w:rPr>
          <w:caps w:val="0"/>
          <w:szCs w:val="52"/>
        </w:rPr>
        <w:t>Career Index Plus Pilot Projects</w:t>
      </w:r>
      <w:bookmarkEnd w:id="125"/>
    </w:p>
    <w:p w14:paraId="7C46A8B1" w14:textId="77777777" w:rsidR="003F2FE8" w:rsidRDefault="003F2FE8" w:rsidP="003F2FE8"/>
    <w:p w14:paraId="3DC28583" w14:textId="20F1238D" w:rsidR="003F2FE8" w:rsidRDefault="002B6B93" w:rsidP="003F2FE8">
      <w:pPr>
        <w:ind w:left="-450"/>
        <w:rPr>
          <w:noProof/>
        </w:rPr>
      </w:pPr>
      <w:r>
        <w:rPr>
          <w:noProof/>
          <w:lang w:eastAsia="ko-KR"/>
        </w:rPr>
        <w:drawing>
          <wp:inline distT="0" distB="0" distL="0" distR="0" wp14:anchorId="5DED96A3" wp14:editId="29F863BD">
            <wp:extent cx="5943600" cy="4320540"/>
            <wp:effectExtent l="323850" t="323850" r="323850" b="327660"/>
            <wp:docPr id="21" name="Picture 21" descr="Map of the United States depicting those which have TCI+/LMI Pilots, including: CA, CO, FL, ID, IA, MI, MN, MS, NY, S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TCI+ LMI ITAA Map Y4.png"/>
                    <pic:cNvPicPr/>
                  </pic:nvPicPr>
                  <pic:blipFill>
                    <a:blip r:embed="rId388" cstate="print">
                      <a:extLst>
                        <a:ext uri="{28A0092B-C50C-407E-A947-70E740481C1C}">
                          <a14:useLocalDpi xmlns:a14="http://schemas.microsoft.com/office/drawing/2010/main" val="0"/>
                        </a:ext>
                      </a:extLst>
                    </a:blip>
                    <a:stretch>
                      <a:fillRect/>
                    </a:stretch>
                  </pic:blipFill>
                  <pic:spPr>
                    <a:xfrm>
                      <a:off x="0" y="0"/>
                      <a:ext cx="5943600" cy="432054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p>
    <w:p w14:paraId="6A88CC20" w14:textId="77777777" w:rsidR="003F2FE8" w:rsidRDefault="003F2FE8" w:rsidP="003F2FE8"/>
    <w:p w14:paraId="1D0BEA27" w14:textId="69EC42E0" w:rsidR="003F2FE8" w:rsidRDefault="003F2FE8" w:rsidP="003F2FE8">
      <w:pPr>
        <w:sectPr w:rsidR="003F2FE8" w:rsidSect="00D27D05">
          <w:footerReference w:type="default" r:id="rId389"/>
          <w:pgSz w:w="12240" w:h="15840" w:code="1"/>
          <w:pgMar w:top="1440" w:right="1440" w:bottom="1440" w:left="1440" w:header="720" w:footer="720" w:gutter="0"/>
          <w:pgBorders w:offsetFrom="page">
            <w:top w:val="thinThickSmallGap" w:sz="24" w:space="24" w:color="2F5496" w:themeColor="accent1" w:themeShade="BF"/>
            <w:left w:val="thinThickSmallGap" w:sz="24" w:space="24" w:color="2F5496" w:themeColor="accent1" w:themeShade="BF"/>
            <w:bottom w:val="thickThinSmallGap" w:sz="24" w:space="24" w:color="2F5496" w:themeColor="accent1" w:themeShade="BF"/>
            <w:right w:val="thickThinSmallGap" w:sz="24" w:space="24" w:color="2F5496" w:themeColor="accent1" w:themeShade="BF"/>
          </w:pgBorders>
          <w:cols w:space="720"/>
          <w:vAlign w:val="center"/>
          <w:docGrid w:linePitch="360"/>
        </w:sectPr>
      </w:pPr>
    </w:p>
    <w:p w14:paraId="2E3E1EB1" w14:textId="77777777" w:rsidR="002B6B93" w:rsidRPr="004448F9" w:rsidRDefault="002B6B93" w:rsidP="00BA0D82">
      <w:pPr>
        <w:pStyle w:val="Heading2"/>
        <w:numPr>
          <w:ilvl w:val="0"/>
          <w:numId w:val="0"/>
        </w:numPr>
        <w:shd w:val="clear" w:color="auto" w:fill="8EAADB" w:themeFill="accent1" w:themeFillTint="99"/>
        <w:ind w:left="360" w:right="1440"/>
      </w:pPr>
      <w:bookmarkStart w:id="127" w:name="_Toc28011452"/>
      <w:r>
        <w:lastRenderedPageBreak/>
        <w:t>TCI+ PILOTS: LOGIC MODEL</w:t>
      </w:r>
      <w:bookmarkEnd w:id="127"/>
    </w:p>
    <w:tbl>
      <w:tblPr>
        <w:tblStyle w:val="TableGrid"/>
        <w:tblW w:w="0" w:type="auto"/>
        <w:tblInd w:w="360" w:type="dxa"/>
        <w:tblLook w:val="04A0" w:firstRow="1" w:lastRow="0" w:firstColumn="1" w:lastColumn="0" w:noHBand="0" w:noVBand="1"/>
        <w:tblCaption w:val="TCI+ Logic Model"/>
        <w:tblDescription w:val="TCI+ Logic Model"/>
      </w:tblPr>
      <w:tblGrid>
        <w:gridCol w:w="5299"/>
        <w:gridCol w:w="3691"/>
      </w:tblGrid>
      <w:tr w:rsidR="002B6B93" w:rsidRPr="00206792" w14:paraId="2C7DB465" w14:textId="77777777" w:rsidTr="00366D34">
        <w:trPr>
          <w:tblHeader/>
        </w:trPr>
        <w:tc>
          <w:tcPr>
            <w:tcW w:w="5299" w:type="dxa"/>
            <w:shd w:val="clear" w:color="auto" w:fill="D9E2F3" w:themeFill="accent1" w:themeFillTint="33"/>
          </w:tcPr>
          <w:p w14:paraId="202C2B3E" w14:textId="77777777" w:rsidR="002B6B93" w:rsidRPr="00206792" w:rsidRDefault="002B6B93" w:rsidP="002B6B93">
            <w:pPr>
              <w:pStyle w:val="Heading3"/>
              <w:numPr>
                <w:ilvl w:val="0"/>
                <w:numId w:val="0"/>
              </w:numPr>
              <w:ind w:left="1440" w:hanging="1459"/>
              <w:outlineLvl w:val="2"/>
            </w:pPr>
            <w:bookmarkStart w:id="128" w:name="_Hlk10821975"/>
            <w:r w:rsidRPr="00206792">
              <w:t>Activities</w:t>
            </w:r>
          </w:p>
        </w:tc>
        <w:tc>
          <w:tcPr>
            <w:tcW w:w="3691" w:type="dxa"/>
            <w:shd w:val="clear" w:color="auto" w:fill="D9E2F3" w:themeFill="accent1" w:themeFillTint="33"/>
          </w:tcPr>
          <w:p w14:paraId="5983B32D" w14:textId="77777777" w:rsidR="002B6B93" w:rsidRPr="00206792" w:rsidRDefault="002B6B93" w:rsidP="002B6B93">
            <w:pPr>
              <w:pStyle w:val="Heading3"/>
              <w:numPr>
                <w:ilvl w:val="0"/>
                <w:numId w:val="0"/>
              </w:numPr>
              <w:ind w:left="1440" w:hanging="1546"/>
              <w:outlineLvl w:val="2"/>
            </w:pPr>
            <w:r w:rsidRPr="00206792">
              <w:t>Outputs</w:t>
            </w:r>
          </w:p>
        </w:tc>
      </w:tr>
      <w:tr w:rsidR="002B6B93" w:rsidRPr="00206792" w14:paraId="72EB80EB" w14:textId="77777777" w:rsidTr="001A5653">
        <w:trPr>
          <w:trHeight w:val="980"/>
        </w:trPr>
        <w:tc>
          <w:tcPr>
            <w:tcW w:w="5299" w:type="dxa"/>
          </w:tcPr>
          <w:p w14:paraId="6D7E4182" w14:textId="77777777" w:rsidR="002B6B93" w:rsidRPr="00206792" w:rsidRDefault="002B6B93" w:rsidP="002B6B93">
            <w:pPr>
              <w:pStyle w:val="ListParagraph"/>
              <w:numPr>
                <w:ilvl w:val="0"/>
                <w:numId w:val="68"/>
              </w:numPr>
            </w:pPr>
            <w:bookmarkStart w:id="129" w:name="_Hlk17795088"/>
            <w:r w:rsidRPr="00206792">
              <w:t>Assist [agency] to assess their staff’s current usage of LMI in the career exploration and vocational planning process and their capacity to utilize TCI+ in the career exploration and vocational planning process in the future.</w:t>
            </w:r>
          </w:p>
        </w:tc>
        <w:tc>
          <w:tcPr>
            <w:tcW w:w="3691" w:type="dxa"/>
          </w:tcPr>
          <w:p w14:paraId="1FA4089F" w14:textId="77777777" w:rsidR="002B6B93" w:rsidRPr="00206792" w:rsidRDefault="002B6B93" w:rsidP="002B6B93">
            <w:pPr>
              <w:pStyle w:val="ListParagraph"/>
              <w:numPr>
                <w:ilvl w:val="0"/>
                <w:numId w:val="69"/>
              </w:numPr>
            </w:pPr>
            <w:r w:rsidRPr="00206792">
              <w:t>A completed assessment and capacity determination.</w:t>
            </w:r>
          </w:p>
        </w:tc>
      </w:tr>
      <w:tr w:rsidR="002B6B93" w:rsidRPr="00206792" w14:paraId="1954BF63" w14:textId="77777777" w:rsidTr="001A5653">
        <w:trPr>
          <w:trHeight w:val="980"/>
        </w:trPr>
        <w:tc>
          <w:tcPr>
            <w:tcW w:w="5299" w:type="dxa"/>
          </w:tcPr>
          <w:p w14:paraId="4FBDAA4F" w14:textId="77777777" w:rsidR="002B6B93" w:rsidRPr="00206792" w:rsidRDefault="002B6B93" w:rsidP="002B6B93">
            <w:pPr>
              <w:pStyle w:val="ListParagraph"/>
              <w:numPr>
                <w:ilvl w:val="0"/>
                <w:numId w:val="68"/>
              </w:numPr>
            </w:pPr>
            <w:r w:rsidRPr="00206792">
              <w:t>Assist [agency] to develop policies and procedures related to increased usage of LMI through the Career Index Plus to maximize impact of VR services.</w:t>
            </w:r>
          </w:p>
        </w:tc>
        <w:tc>
          <w:tcPr>
            <w:tcW w:w="3691" w:type="dxa"/>
          </w:tcPr>
          <w:p w14:paraId="3A3B8B1E" w14:textId="77777777" w:rsidR="002B6B93" w:rsidRPr="00206792" w:rsidRDefault="002B6B93" w:rsidP="002B6B93">
            <w:pPr>
              <w:pStyle w:val="ListParagraph"/>
              <w:numPr>
                <w:ilvl w:val="0"/>
                <w:numId w:val="69"/>
              </w:numPr>
              <w:ind w:left="346"/>
            </w:pPr>
            <w:r w:rsidRPr="00206792">
              <w:t>Completed Policies and Procedures. Written and promulgated agency policies and procedures.</w:t>
            </w:r>
          </w:p>
        </w:tc>
      </w:tr>
      <w:tr w:rsidR="002B6B93" w:rsidRPr="00206792" w14:paraId="1A464865" w14:textId="77777777" w:rsidTr="001A5653">
        <w:tc>
          <w:tcPr>
            <w:tcW w:w="5299" w:type="dxa"/>
          </w:tcPr>
          <w:p w14:paraId="633F095C" w14:textId="77777777" w:rsidR="002B6B93" w:rsidRPr="00206792" w:rsidRDefault="002B6B93" w:rsidP="002B6B93">
            <w:pPr>
              <w:pStyle w:val="ListParagraph"/>
              <w:numPr>
                <w:ilvl w:val="0"/>
                <w:numId w:val="68"/>
              </w:numPr>
            </w:pPr>
            <w:r w:rsidRPr="00206792">
              <w:t>Develop Training Materials with [agency] Training Staff.</w:t>
            </w:r>
          </w:p>
        </w:tc>
        <w:tc>
          <w:tcPr>
            <w:tcW w:w="3691" w:type="dxa"/>
          </w:tcPr>
          <w:p w14:paraId="04570ACF" w14:textId="77777777" w:rsidR="002B6B93" w:rsidRPr="00206792" w:rsidRDefault="002B6B93" w:rsidP="002B6B93">
            <w:pPr>
              <w:pStyle w:val="ListParagraph"/>
              <w:numPr>
                <w:ilvl w:val="0"/>
                <w:numId w:val="69"/>
              </w:numPr>
              <w:ind w:left="346"/>
            </w:pPr>
            <w:r w:rsidRPr="00206792">
              <w:t>Training Materials created with [agency] Training Team.</w:t>
            </w:r>
          </w:p>
        </w:tc>
      </w:tr>
      <w:tr w:rsidR="002B6B93" w:rsidRPr="00206792" w14:paraId="043EB782" w14:textId="77777777" w:rsidTr="001A5653">
        <w:tc>
          <w:tcPr>
            <w:tcW w:w="5299" w:type="dxa"/>
          </w:tcPr>
          <w:p w14:paraId="15541014" w14:textId="77777777" w:rsidR="002B6B93" w:rsidRPr="00206792" w:rsidRDefault="002B6B93" w:rsidP="002B6B93">
            <w:pPr>
              <w:pStyle w:val="ListParagraph"/>
              <w:numPr>
                <w:ilvl w:val="0"/>
                <w:numId w:val="68"/>
              </w:numPr>
            </w:pPr>
            <w:r w:rsidRPr="00206792">
              <w:t>Provide Training on TCI+ and LMI to [agency] Staff and Administration.</w:t>
            </w:r>
          </w:p>
        </w:tc>
        <w:tc>
          <w:tcPr>
            <w:tcW w:w="3691" w:type="dxa"/>
          </w:tcPr>
          <w:p w14:paraId="54F98A62" w14:textId="77777777" w:rsidR="002B6B93" w:rsidRPr="00206792" w:rsidRDefault="002B6B93" w:rsidP="002B6B93">
            <w:pPr>
              <w:pStyle w:val="ListParagraph"/>
              <w:numPr>
                <w:ilvl w:val="0"/>
                <w:numId w:val="69"/>
              </w:numPr>
              <w:ind w:left="346"/>
            </w:pPr>
            <w:r w:rsidRPr="00206792">
              <w:t>The number of staff that complete the training.</w:t>
            </w:r>
          </w:p>
        </w:tc>
      </w:tr>
      <w:tr w:rsidR="002B6B93" w:rsidRPr="00206792" w14:paraId="3845EF1A" w14:textId="77777777" w:rsidTr="001A5653">
        <w:tc>
          <w:tcPr>
            <w:tcW w:w="5299" w:type="dxa"/>
          </w:tcPr>
          <w:p w14:paraId="7512AAE6" w14:textId="77777777" w:rsidR="002B6B93" w:rsidRPr="00206792" w:rsidRDefault="002B6B93" w:rsidP="002B6B93">
            <w:pPr>
              <w:pStyle w:val="ListParagraph"/>
              <w:numPr>
                <w:ilvl w:val="0"/>
                <w:numId w:val="68"/>
              </w:numPr>
            </w:pPr>
            <w:r w:rsidRPr="00206792">
              <w:t>Development of plan to expand and sustain LMI capacity.</w:t>
            </w:r>
          </w:p>
        </w:tc>
        <w:tc>
          <w:tcPr>
            <w:tcW w:w="3691" w:type="dxa"/>
          </w:tcPr>
          <w:p w14:paraId="68332DFE" w14:textId="77777777" w:rsidR="002B6B93" w:rsidRPr="00206792" w:rsidRDefault="002B6B93" w:rsidP="002B6B93">
            <w:pPr>
              <w:pStyle w:val="ListParagraph"/>
              <w:numPr>
                <w:ilvl w:val="0"/>
                <w:numId w:val="69"/>
              </w:numPr>
              <w:ind w:left="346"/>
            </w:pPr>
            <w:r w:rsidRPr="00206792">
              <w:t xml:space="preserve">A written plan outlining activities, time lines, roles and responsibilities. </w:t>
            </w:r>
          </w:p>
          <w:p w14:paraId="0E784D9B" w14:textId="77777777" w:rsidR="002B6B93" w:rsidRPr="00206792" w:rsidRDefault="002B6B93" w:rsidP="002B6B93">
            <w:pPr>
              <w:pStyle w:val="ListParagraph"/>
              <w:numPr>
                <w:ilvl w:val="0"/>
                <w:numId w:val="69"/>
              </w:numPr>
              <w:ind w:left="346"/>
            </w:pPr>
            <w:r w:rsidRPr="00206792">
              <w:t>Training sessions offered to all available/identified staff based upon scope of the project plan.</w:t>
            </w:r>
          </w:p>
        </w:tc>
      </w:tr>
      <w:tr w:rsidR="002B6B93" w:rsidRPr="00206792" w14:paraId="2B301D5C" w14:textId="77777777" w:rsidTr="001A5653">
        <w:tc>
          <w:tcPr>
            <w:tcW w:w="8990" w:type="dxa"/>
            <w:gridSpan w:val="2"/>
            <w:shd w:val="clear" w:color="auto" w:fill="D9E2F3" w:themeFill="accent1" w:themeFillTint="33"/>
          </w:tcPr>
          <w:p w14:paraId="6DF29055" w14:textId="77777777" w:rsidR="002B6B93" w:rsidRPr="00206792" w:rsidRDefault="002B6B93" w:rsidP="001A5653">
            <w:pPr>
              <w:jc w:val="center"/>
              <w:rPr>
                <w:b/>
              </w:rPr>
            </w:pPr>
            <w:r w:rsidRPr="00206792">
              <w:rPr>
                <w:b/>
              </w:rPr>
              <w:t>Short-Term Outcomes</w:t>
            </w:r>
          </w:p>
          <w:p w14:paraId="0D980F8F" w14:textId="77777777" w:rsidR="002B6B93" w:rsidRPr="00206792" w:rsidRDefault="002B6B93" w:rsidP="001A5653">
            <w:pPr>
              <w:jc w:val="center"/>
            </w:pPr>
          </w:p>
          <w:p w14:paraId="1D998C09" w14:textId="77777777" w:rsidR="002B6B93" w:rsidRPr="00206792" w:rsidRDefault="002B6B93" w:rsidP="002B6B93">
            <w:pPr>
              <w:pStyle w:val="ListParagraph"/>
              <w:numPr>
                <w:ilvl w:val="0"/>
                <w:numId w:val="51"/>
              </w:numPr>
            </w:pPr>
            <w:r w:rsidRPr="00206792">
              <w:t>Increased capacity of [agency] to incorporate LMI into vocational counseling and job development.</w:t>
            </w:r>
          </w:p>
          <w:p w14:paraId="269DF9C2" w14:textId="77777777" w:rsidR="002B6B93" w:rsidRPr="00206792" w:rsidRDefault="002B6B93" w:rsidP="002B6B93">
            <w:pPr>
              <w:pStyle w:val="ListParagraph"/>
              <w:numPr>
                <w:ilvl w:val="0"/>
                <w:numId w:val="51"/>
              </w:numPr>
            </w:pPr>
            <w:r w:rsidRPr="00206792">
              <w:t>Increased diversity of occupations for individuals with employment outcomes.</w:t>
            </w:r>
          </w:p>
          <w:p w14:paraId="15833BB4" w14:textId="77777777" w:rsidR="002B6B93" w:rsidRDefault="002B6B93" w:rsidP="002B6B93">
            <w:pPr>
              <w:pStyle w:val="ListParagraph"/>
              <w:numPr>
                <w:ilvl w:val="0"/>
                <w:numId w:val="51"/>
              </w:numPr>
            </w:pPr>
            <w:r w:rsidRPr="00206792">
              <w:t>The number of agency consumers that have an IPE developed with documentation and evidence of LMI usage informing the development of the IPE will increase by XX% per year.</w:t>
            </w:r>
          </w:p>
          <w:p w14:paraId="66963304" w14:textId="77777777" w:rsidR="002B6B93" w:rsidRPr="00206792" w:rsidRDefault="002B6B93" w:rsidP="002B6B93">
            <w:pPr>
              <w:pStyle w:val="ListParagraph"/>
              <w:numPr>
                <w:ilvl w:val="0"/>
                <w:numId w:val="51"/>
              </w:numPr>
            </w:pPr>
            <w:r w:rsidRPr="00206792">
              <w:t>There will be a XX% increase in the number of students each year that utilize TCI+ to engage in one or more of the five required activities</w:t>
            </w:r>
          </w:p>
        </w:tc>
      </w:tr>
      <w:bookmarkEnd w:id="128"/>
      <w:bookmarkEnd w:id="129"/>
    </w:tbl>
    <w:p w14:paraId="6FE32464" w14:textId="77777777" w:rsidR="002B6B93" w:rsidRDefault="002B6B93" w:rsidP="002B6B93"/>
    <w:p w14:paraId="77F80596" w14:textId="77777777" w:rsidR="002B6B93" w:rsidRDefault="002B6B93" w:rsidP="002B6B93">
      <w:r>
        <w:br w:type="page"/>
      </w:r>
    </w:p>
    <w:p w14:paraId="00FB560A" w14:textId="77777777" w:rsidR="002B6B93" w:rsidRDefault="002B6B93" w:rsidP="00BA0D82">
      <w:pPr>
        <w:pStyle w:val="Heading2"/>
        <w:numPr>
          <w:ilvl w:val="0"/>
          <w:numId w:val="0"/>
        </w:numPr>
      </w:pPr>
      <w:bookmarkStart w:id="130" w:name="_Toc28011453"/>
      <w:r>
        <w:lastRenderedPageBreak/>
        <w:t>TCI+ PILOTS: RESOURCES</w:t>
      </w:r>
      <w:bookmarkEnd w:id="130"/>
    </w:p>
    <w:p w14:paraId="07CB5A6B" w14:textId="77777777" w:rsidR="002B6B93" w:rsidRPr="00970272" w:rsidRDefault="002B6B93" w:rsidP="002B6B93">
      <w:pPr>
        <w:pStyle w:val="NormalWeb"/>
        <w:ind w:firstLine="720"/>
        <w:rPr>
          <w:rFonts w:asciiTheme="minorHAnsi" w:hAnsiTheme="minorHAnsi" w:cstheme="minorHAnsi"/>
          <w:sz w:val="22"/>
          <w:szCs w:val="22"/>
        </w:rPr>
      </w:pPr>
      <w:r w:rsidRPr="00970272">
        <w:rPr>
          <w:rFonts w:asciiTheme="minorHAnsi" w:hAnsiTheme="minorHAnsi" w:cstheme="minorHAnsi"/>
          <w:sz w:val="22"/>
          <w:szCs w:val="22"/>
        </w:rPr>
        <w:t>These resources provide VR agencies with training and informational materials on adopting The Career Index Plus as a labor market information tool. In addition, the WINTAC website provides briefs, reports, and webinars related to LMI through our partners including JDVRTAC.</w:t>
      </w:r>
    </w:p>
    <w:p w14:paraId="1F58776A" w14:textId="77777777" w:rsidR="002B6B93" w:rsidRDefault="002B6B93" w:rsidP="002B6B93">
      <w:pPr>
        <w:numPr>
          <w:ilvl w:val="0"/>
          <w:numId w:val="64"/>
        </w:numPr>
        <w:spacing w:before="100" w:beforeAutospacing="1" w:after="100" w:afterAutospacing="1" w:line="240" w:lineRule="auto"/>
      </w:pPr>
      <w:r>
        <w:rPr>
          <w:rStyle w:val="Strong"/>
        </w:rPr>
        <w:t>TCI+ Introduction</w:t>
      </w:r>
    </w:p>
    <w:p w14:paraId="1FE9EE5C" w14:textId="77777777" w:rsidR="002B6B93" w:rsidRDefault="00366D34" w:rsidP="002B6B93">
      <w:pPr>
        <w:numPr>
          <w:ilvl w:val="1"/>
          <w:numId w:val="64"/>
        </w:numPr>
        <w:spacing w:before="100" w:beforeAutospacing="1" w:after="100" w:afterAutospacing="1" w:line="240" w:lineRule="auto"/>
      </w:pPr>
      <w:hyperlink r:id="rId390" w:history="1">
        <w:r w:rsidR="002B6B93">
          <w:rPr>
            <w:rStyle w:val="Hyperlink"/>
          </w:rPr>
          <w:t>TCI+ 1 Page Introduction</w:t>
        </w:r>
      </w:hyperlink>
    </w:p>
    <w:p w14:paraId="6C69F285" w14:textId="77777777" w:rsidR="002B6B93" w:rsidRDefault="002B6B93" w:rsidP="002B6B93">
      <w:pPr>
        <w:numPr>
          <w:ilvl w:val="0"/>
          <w:numId w:val="64"/>
        </w:numPr>
        <w:spacing w:before="100" w:beforeAutospacing="1" w:after="100" w:afterAutospacing="1" w:line="240" w:lineRule="auto"/>
      </w:pPr>
      <w:r>
        <w:rPr>
          <w:rStyle w:val="Strong"/>
        </w:rPr>
        <w:t>Website Quick Reference Documents</w:t>
      </w:r>
    </w:p>
    <w:p w14:paraId="3789D3E0" w14:textId="77777777" w:rsidR="002B6B93" w:rsidRDefault="00366D34" w:rsidP="002B6B93">
      <w:pPr>
        <w:numPr>
          <w:ilvl w:val="1"/>
          <w:numId w:val="64"/>
        </w:numPr>
        <w:spacing w:before="100" w:beforeAutospacing="1" w:after="100" w:afterAutospacing="1" w:line="240" w:lineRule="auto"/>
      </w:pPr>
      <w:hyperlink r:id="rId391" w:tgtFrame="_blank" w:history="1">
        <w:r w:rsidR="002B6B93">
          <w:rPr>
            <w:rStyle w:val="Hyperlink"/>
          </w:rPr>
          <w:t>Fit</w:t>
        </w:r>
      </w:hyperlink>
    </w:p>
    <w:p w14:paraId="3D920015" w14:textId="77777777" w:rsidR="002B6B93" w:rsidRDefault="00366D34" w:rsidP="002B6B93">
      <w:pPr>
        <w:numPr>
          <w:ilvl w:val="1"/>
          <w:numId w:val="64"/>
        </w:numPr>
        <w:spacing w:before="100" w:beforeAutospacing="1" w:after="100" w:afterAutospacing="1" w:line="240" w:lineRule="auto"/>
      </w:pPr>
      <w:hyperlink r:id="rId392" w:tgtFrame="_blank" w:history="1">
        <w:r w:rsidR="002B6B93">
          <w:rPr>
            <w:rStyle w:val="Hyperlink"/>
          </w:rPr>
          <w:t>Information</w:t>
        </w:r>
      </w:hyperlink>
    </w:p>
    <w:p w14:paraId="2519F8F3" w14:textId="77777777" w:rsidR="002B6B93" w:rsidRDefault="00366D34" w:rsidP="002B6B93">
      <w:pPr>
        <w:numPr>
          <w:ilvl w:val="1"/>
          <w:numId w:val="64"/>
        </w:numPr>
        <w:spacing w:before="100" w:beforeAutospacing="1" w:after="100" w:afterAutospacing="1" w:line="240" w:lineRule="auto"/>
      </w:pPr>
      <w:hyperlink r:id="rId393" w:tgtFrame="_blank" w:history="1">
        <w:r w:rsidR="002B6B93">
          <w:rPr>
            <w:rStyle w:val="Hyperlink"/>
          </w:rPr>
          <w:t>Job Postings</w:t>
        </w:r>
      </w:hyperlink>
    </w:p>
    <w:p w14:paraId="70705B84" w14:textId="77777777" w:rsidR="002B6B93" w:rsidRDefault="00366D34" w:rsidP="002B6B93">
      <w:pPr>
        <w:numPr>
          <w:ilvl w:val="1"/>
          <w:numId w:val="64"/>
        </w:numPr>
        <w:spacing w:before="100" w:beforeAutospacing="1" w:after="100" w:afterAutospacing="1" w:line="240" w:lineRule="auto"/>
      </w:pPr>
      <w:hyperlink r:id="rId394" w:tgtFrame="_blank" w:history="1">
        <w:r w:rsidR="002B6B93">
          <w:rPr>
            <w:rStyle w:val="Hyperlink"/>
          </w:rPr>
          <w:t>Overview</w:t>
        </w:r>
      </w:hyperlink>
    </w:p>
    <w:p w14:paraId="2173BD9B" w14:textId="77777777" w:rsidR="002B6B93" w:rsidRDefault="00366D34" w:rsidP="002B6B93">
      <w:pPr>
        <w:numPr>
          <w:ilvl w:val="1"/>
          <w:numId w:val="64"/>
        </w:numPr>
        <w:spacing w:before="100" w:beforeAutospacing="1" w:after="100" w:afterAutospacing="1" w:line="240" w:lineRule="auto"/>
      </w:pPr>
      <w:hyperlink r:id="rId395" w:tgtFrame="_blank" w:history="1">
        <w:r w:rsidR="002B6B93">
          <w:rPr>
            <w:rStyle w:val="Hyperlink"/>
          </w:rPr>
          <w:t>Print</w:t>
        </w:r>
      </w:hyperlink>
    </w:p>
    <w:p w14:paraId="703DB773" w14:textId="77777777" w:rsidR="002B6B93" w:rsidRDefault="00366D34" w:rsidP="002B6B93">
      <w:pPr>
        <w:numPr>
          <w:ilvl w:val="1"/>
          <w:numId w:val="64"/>
        </w:numPr>
        <w:spacing w:before="100" w:beforeAutospacing="1" w:after="100" w:afterAutospacing="1" w:line="240" w:lineRule="auto"/>
      </w:pPr>
      <w:hyperlink r:id="rId396" w:tgtFrame="_blank" w:history="1">
        <w:r w:rsidR="002B6B93">
          <w:rPr>
            <w:rStyle w:val="Hyperlink"/>
          </w:rPr>
          <w:t>Quick Start</w:t>
        </w:r>
      </w:hyperlink>
    </w:p>
    <w:p w14:paraId="0AB3B64F" w14:textId="77777777" w:rsidR="002B6B93" w:rsidRDefault="00366D34" w:rsidP="002B6B93">
      <w:pPr>
        <w:numPr>
          <w:ilvl w:val="1"/>
          <w:numId w:val="64"/>
        </w:numPr>
        <w:spacing w:before="100" w:beforeAutospacing="1" w:after="100" w:afterAutospacing="1" w:line="240" w:lineRule="auto"/>
      </w:pPr>
      <w:hyperlink r:id="rId397" w:tgtFrame="_blank" w:history="1">
        <w:r w:rsidR="002B6B93">
          <w:rPr>
            <w:rStyle w:val="Hyperlink"/>
          </w:rPr>
          <w:t>Related Jobs</w:t>
        </w:r>
      </w:hyperlink>
    </w:p>
    <w:p w14:paraId="2B65AE2C" w14:textId="77777777" w:rsidR="002B6B93" w:rsidRDefault="00366D34" w:rsidP="002B6B93">
      <w:pPr>
        <w:numPr>
          <w:ilvl w:val="1"/>
          <w:numId w:val="64"/>
        </w:numPr>
        <w:spacing w:before="100" w:beforeAutospacing="1" w:after="100" w:afterAutospacing="1" w:line="240" w:lineRule="auto"/>
      </w:pPr>
      <w:hyperlink r:id="rId398" w:tgtFrame="_blank" w:history="1">
        <w:r w:rsidR="002B6B93">
          <w:rPr>
            <w:rStyle w:val="Hyperlink"/>
          </w:rPr>
          <w:t>Suitability</w:t>
        </w:r>
      </w:hyperlink>
    </w:p>
    <w:p w14:paraId="76D78DAC" w14:textId="77777777" w:rsidR="002B6B93" w:rsidRDefault="00366D34" w:rsidP="002B6B93">
      <w:pPr>
        <w:numPr>
          <w:ilvl w:val="1"/>
          <w:numId w:val="64"/>
        </w:numPr>
        <w:spacing w:before="100" w:beforeAutospacing="1" w:after="100" w:afterAutospacing="1" w:line="240" w:lineRule="auto"/>
      </w:pPr>
      <w:hyperlink r:id="rId399" w:tgtFrame="_blank" w:history="1">
        <w:r w:rsidR="002B6B93">
          <w:rPr>
            <w:rStyle w:val="Hyperlink"/>
          </w:rPr>
          <w:t>Training</w:t>
        </w:r>
      </w:hyperlink>
    </w:p>
    <w:p w14:paraId="4662E875" w14:textId="77777777" w:rsidR="002B6B93" w:rsidRDefault="00366D34" w:rsidP="002B6B93">
      <w:pPr>
        <w:numPr>
          <w:ilvl w:val="1"/>
          <w:numId w:val="64"/>
        </w:numPr>
        <w:spacing w:before="100" w:beforeAutospacing="1" w:after="100" w:afterAutospacing="1" w:line="240" w:lineRule="auto"/>
      </w:pPr>
      <w:hyperlink r:id="rId400" w:tgtFrame="_blank" w:history="1">
        <w:r w:rsidR="002B6B93">
          <w:rPr>
            <w:rStyle w:val="Hyperlink"/>
          </w:rPr>
          <w:t>Viability</w:t>
        </w:r>
      </w:hyperlink>
    </w:p>
    <w:p w14:paraId="5B7CBCC6" w14:textId="77777777" w:rsidR="002B6B93" w:rsidRDefault="00366D34" w:rsidP="002B6B93">
      <w:pPr>
        <w:numPr>
          <w:ilvl w:val="0"/>
          <w:numId w:val="64"/>
        </w:numPr>
        <w:spacing w:before="100" w:beforeAutospacing="1" w:after="100" w:afterAutospacing="1" w:line="240" w:lineRule="auto"/>
      </w:pPr>
      <w:hyperlink r:id="rId401" w:tgtFrame="_blank" w:history="1">
        <w:r w:rsidR="002B6B93">
          <w:rPr>
            <w:rStyle w:val="Hyperlink"/>
            <w:b/>
            <w:bCs/>
          </w:rPr>
          <w:t>Website User Manual</w:t>
        </w:r>
      </w:hyperlink>
    </w:p>
    <w:p w14:paraId="5B62E3D3" w14:textId="77777777" w:rsidR="002B6B93" w:rsidRDefault="002B6B93" w:rsidP="002B6B93">
      <w:pPr>
        <w:numPr>
          <w:ilvl w:val="0"/>
          <w:numId w:val="64"/>
        </w:numPr>
        <w:spacing w:before="100" w:beforeAutospacing="1" w:after="100" w:afterAutospacing="1" w:line="240" w:lineRule="auto"/>
      </w:pPr>
      <w:r>
        <w:rPr>
          <w:rStyle w:val="Strong"/>
        </w:rPr>
        <w:t>Website Training Documents</w:t>
      </w:r>
    </w:p>
    <w:p w14:paraId="7BCB0511" w14:textId="77777777" w:rsidR="002B6B93" w:rsidRDefault="00366D34" w:rsidP="002B6B93">
      <w:pPr>
        <w:numPr>
          <w:ilvl w:val="1"/>
          <w:numId w:val="64"/>
        </w:numPr>
        <w:spacing w:before="100" w:beforeAutospacing="1" w:after="100" w:afterAutospacing="1" w:line="240" w:lineRule="auto"/>
      </w:pPr>
      <w:hyperlink r:id="rId402" w:history="1">
        <w:r w:rsidR="002B6B93">
          <w:rPr>
            <w:rStyle w:val="Hyperlink"/>
          </w:rPr>
          <w:t>LMI Elements with TCI+</w:t>
        </w:r>
      </w:hyperlink>
    </w:p>
    <w:p w14:paraId="368E6133" w14:textId="77777777" w:rsidR="002B6B93" w:rsidRDefault="00366D34" w:rsidP="002B6B93">
      <w:pPr>
        <w:numPr>
          <w:ilvl w:val="1"/>
          <w:numId w:val="64"/>
        </w:numPr>
        <w:spacing w:before="100" w:beforeAutospacing="1" w:after="100" w:afterAutospacing="1" w:line="240" w:lineRule="auto"/>
      </w:pPr>
      <w:hyperlink r:id="rId403" w:history="1">
        <w:r w:rsidR="002B6B93">
          <w:rPr>
            <w:rStyle w:val="Hyperlink"/>
          </w:rPr>
          <w:t>TCI+ and Informed Choice</w:t>
        </w:r>
      </w:hyperlink>
    </w:p>
    <w:p w14:paraId="0F33BD78" w14:textId="77777777" w:rsidR="002B6B93" w:rsidRDefault="00366D34" w:rsidP="002B6B93">
      <w:pPr>
        <w:numPr>
          <w:ilvl w:val="1"/>
          <w:numId w:val="64"/>
        </w:numPr>
        <w:spacing w:before="100" w:beforeAutospacing="1" w:after="100" w:afterAutospacing="1" w:line="240" w:lineRule="auto"/>
      </w:pPr>
      <w:hyperlink r:id="rId404" w:history="1">
        <w:r w:rsidR="002B6B93">
          <w:rPr>
            <w:rStyle w:val="Hyperlink"/>
          </w:rPr>
          <w:t>TCI+ Client Self Study</w:t>
        </w:r>
      </w:hyperlink>
    </w:p>
    <w:p w14:paraId="4EF85333" w14:textId="77777777" w:rsidR="002B6B93" w:rsidRDefault="00366D34" w:rsidP="002B6B93">
      <w:pPr>
        <w:numPr>
          <w:ilvl w:val="1"/>
          <w:numId w:val="64"/>
        </w:numPr>
        <w:spacing w:before="100" w:beforeAutospacing="1" w:after="100" w:afterAutospacing="1" w:line="240" w:lineRule="auto"/>
      </w:pPr>
      <w:hyperlink r:id="rId405" w:history="1">
        <w:r w:rsidR="002B6B93">
          <w:rPr>
            <w:rStyle w:val="Hyperlink"/>
          </w:rPr>
          <w:t>TCI+ Profile Creation</w:t>
        </w:r>
      </w:hyperlink>
    </w:p>
    <w:p w14:paraId="279CA49E" w14:textId="77777777" w:rsidR="002B6B93" w:rsidRDefault="00366D34" w:rsidP="002B6B93">
      <w:pPr>
        <w:numPr>
          <w:ilvl w:val="1"/>
          <w:numId w:val="64"/>
        </w:numPr>
        <w:spacing w:before="100" w:beforeAutospacing="1" w:after="100" w:afterAutospacing="1" w:line="240" w:lineRule="auto"/>
      </w:pPr>
      <w:hyperlink r:id="rId406" w:history="1">
        <w:r w:rsidR="002B6B93">
          <w:rPr>
            <w:rStyle w:val="Hyperlink"/>
          </w:rPr>
          <w:t>TCI+ Registering Clients</w:t>
        </w:r>
      </w:hyperlink>
    </w:p>
    <w:p w14:paraId="3F641A1D" w14:textId="77777777" w:rsidR="002B6B93" w:rsidRDefault="002B6B93" w:rsidP="002B6B93">
      <w:pPr>
        <w:numPr>
          <w:ilvl w:val="0"/>
          <w:numId w:val="64"/>
        </w:numPr>
        <w:spacing w:before="100" w:beforeAutospacing="1" w:after="100" w:afterAutospacing="1" w:line="240" w:lineRule="auto"/>
      </w:pPr>
      <w:r>
        <w:rPr>
          <w:rStyle w:val="Strong"/>
        </w:rPr>
        <w:t>Form Examples</w:t>
      </w:r>
    </w:p>
    <w:p w14:paraId="7E4AA6C5" w14:textId="77777777" w:rsidR="002B6B93" w:rsidRDefault="00366D34" w:rsidP="002B6B93">
      <w:pPr>
        <w:numPr>
          <w:ilvl w:val="1"/>
          <w:numId w:val="64"/>
        </w:numPr>
        <w:spacing w:before="100" w:beforeAutospacing="1" w:after="100" w:afterAutospacing="1" w:line="240" w:lineRule="auto"/>
      </w:pPr>
      <w:hyperlink r:id="rId407" w:history="1">
        <w:r w:rsidR="002B6B93">
          <w:rPr>
            <w:rStyle w:val="Hyperlink"/>
          </w:rPr>
          <w:t>LMI Form 1 - LMI Review</w:t>
        </w:r>
      </w:hyperlink>
    </w:p>
    <w:p w14:paraId="10ECC469" w14:textId="77777777" w:rsidR="002B6B93" w:rsidRDefault="00366D34" w:rsidP="002B6B93">
      <w:pPr>
        <w:numPr>
          <w:ilvl w:val="1"/>
          <w:numId w:val="64"/>
        </w:numPr>
        <w:spacing w:before="100" w:beforeAutospacing="1" w:after="100" w:afterAutospacing="1" w:line="240" w:lineRule="auto"/>
      </w:pPr>
      <w:hyperlink r:id="rId408" w:history="1">
        <w:r w:rsidR="002B6B93">
          <w:rPr>
            <w:rStyle w:val="Hyperlink"/>
          </w:rPr>
          <w:t>LMI Form 2 - Career Pathway LMI Review</w:t>
        </w:r>
      </w:hyperlink>
    </w:p>
    <w:p w14:paraId="6637B8E6" w14:textId="77777777" w:rsidR="002B6B93" w:rsidRDefault="00366D34" w:rsidP="002B6B93">
      <w:pPr>
        <w:numPr>
          <w:ilvl w:val="1"/>
          <w:numId w:val="64"/>
        </w:numPr>
        <w:spacing w:before="100" w:beforeAutospacing="1" w:after="100" w:afterAutospacing="1" w:line="240" w:lineRule="auto"/>
      </w:pPr>
      <w:hyperlink r:id="rId409" w:history="1">
        <w:r w:rsidR="002B6B93">
          <w:rPr>
            <w:rStyle w:val="Hyperlink"/>
          </w:rPr>
          <w:t>LMI Form 3 - LMI Data Review</w:t>
        </w:r>
      </w:hyperlink>
    </w:p>
    <w:p w14:paraId="02BD37B6" w14:textId="77777777" w:rsidR="002B6B93" w:rsidRPr="00DB7756" w:rsidRDefault="00366D34" w:rsidP="002B6B93">
      <w:pPr>
        <w:numPr>
          <w:ilvl w:val="1"/>
          <w:numId w:val="64"/>
        </w:numPr>
        <w:spacing w:before="100" w:beforeAutospacing="1" w:after="100" w:afterAutospacing="1" w:line="240" w:lineRule="auto"/>
        <w:rPr>
          <w:rStyle w:val="Hyperlink"/>
        </w:rPr>
      </w:pPr>
      <w:hyperlink r:id="rId410" w:history="1">
        <w:r w:rsidR="002B6B93">
          <w:rPr>
            <w:rStyle w:val="Hyperlink"/>
          </w:rPr>
          <w:t>LMI Form 4 - Informed Choice Matrix Review</w:t>
        </w:r>
      </w:hyperlink>
    </w:p>
    <w:p w14:paraId="300EE0AA" w14:textId="77777777" w:rsidR="002B6B93" w:rsidRDefault="002B6B93" w:rsidP="002B6B93">
      <w:pPr>
        <w:spacing w:before="100" w:beforeAutospacing="1" w:after="100" w:afterAutospacing="1" w:line="240" w:lineRule="auto"/>
      </w:pPr>
    </w:p>
    <w:p w14:paraId="45CD9F4B" w14:textId="77777777" w:rsidR="002B6B93" w:rsidRDefault="002B6B93" w:rsidP="002B6B93">
      <w:pPr>
        <w:rPr>
          <w:sz w:val="36"/>
        </w:rPr>
      </w:pPr>
    </w:p>
    <w:p w14:paraId="7C64E04D" w14:textId="77777777" w:rsidR="002B6B93" w:rsidRPr="00B0648F" w:rsidRDefault="002B6B93" w:rsidP="002B6B93">
      <w:pPr>
        <w:rPr>
          <w:b/>
          <w:sz w:val="28"/>
          <w:szCs w:val="28"/>
          <w:u w:val="single"/>
        </w:rPr>
      </w:pPr>
    </w:p>
    <w:p w14:paraId="44FDE4EE" w14:textId="77777777" w:rsidR="002B6B93" w:rsidRDefault="002B6B93" w:rsidP="002B6B93">
      <w:pPr>
        <w:rPr>
          <w:sz w:val="36"/>
        </w:rPr>
      </w:pPr>
      <w:r>
        <w:rPr>
          <w:sz w:val="36"/>
        </w:rPr>
        <w:br w:type="page"/>
      </w:r>
    </w:p>
    <w:p w14:paraId="68698EBA" w14:textId="6E512AC5" w:rsidR="002B6B93" w:rsidRDefault="002B6B93" w:rsidP="00BA0D82">
      <w:pPr>
        <w:pStyle w:val="Heading2"/>
        <w:numPr>
          <w:ilvl w:val="0"/>
          <w:numId w:val="0"/>
        </w:numPr>
      </w:pPr>
      <w:bookmarkStart w:id="131" w:name="_Toc28011454"/>
      <w:r>
        <w:lastRenderedPageBreak/>
        <w:t>TCI+ PILOTS: PROGRESS DASHBOARDS:</w:t>
      </w:r>
      <w:r>
        <w:br/>
        <w:t>ACTIVITIES, OUTPUTS, TCI+ USAGE</w:t>
      </w:r>
      <w:bookmarkEnd w:id="131"/>
    </w:p>
    <w:p w14:paraId="644A04CF" w14:textId="06C1CECC" w:rsidR="002B6B93" w:rsidRDefault="002B6B93" w:rsidP="002B6B93">
      <w:r>
        <w:rPr>
          <w:noProof/>
          <w:lang w:eastAsia="ko-KR"/>
        </w:rPr>
        <w:drawing>
          <wp:inline distT="0" distB="0" distL="0" distR="0" wp14:anchorId="58917F74" wp14:editId="07716690">
            <wp:extent cx="6858000" cy="2583815"/>
            <wp:effectExtent l="0" t="0" r="0" b="6985"/>
            <wp:docPr id="25" name="Chart 25" descr="ProgressCarrer Index Plus and LMI activities activities. 61% completed 100%, 4% completd 90%, 9% completed 50%, 9% completed 25%, and 17% not started">
              <a:extLst xmlns:a="http://schemas.openxmlformats.org/drawingml/2006/main">
                <a:ext uri="{FF2B5EF4-FFF2-40B4-BE49-F238E27FC236}">
                  <a16:creationId xmlns:a16="http://schemas.microsoft.com/office/drawing/2014/main" id="{CA46FEB3-A155-48F4-9331-10B9F5C1436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1"/>
              </a:graphicData>
            </a:graphic>
          </wp:inline>
        </w:drawing>
      </w:r>
    </w:p>
    <w:p w14:paraId="06A75896" w14:textId="1B39781E" w:rsidR="002B6B93" w:rsidRDefault="008F5E6D" w:rsidP="002774D0">
      <w:pPr>
        <w:ind w:firstLine="720"/>
        <w:sectPr w:rsidR="002B6B93" w:rsidSect="00D27D05">
          <w:pgSz w:w="12240" w:h="15840"/>
          <w:pgMar w:top="720" w:right="720" w:bottom="720" w:left="720" w:header="720" w:footer="720" w:gutter="0"/>
          <w:pgBorders w:offsetFrom="page">
            <w:top w:val="thinThickSmallGap" w:sz="24" w:space="24" w:color="2F5496" w:themeColor="accent1" w:themeShade="BF"/>
            <w:left w:val="thinThickSmallGap" w:sz="24" w:space="24" w:color="2F5496" w:themeColor="accent1" w:themeShade="BF"/>
            <w:bottom w:val="thickThinSmallGap" w:sz="24" w:space="24" w:color="2F5496" w:themeColor="accent1" w:themeShade="BF"/>
            <w:right w:val="thickThinSmallGap" w:sz="24" w:space="24" w:color="2F5496" w:themeColor="accent1" w:themeShade="BF"/>
          </w:pgBorders>
          <w:cols w:space="720"/>
          <w:docGrid w:linePitch="381"/>
        </w:sectPr>
      </w:pPr>
      <w:r w:rsidRPr="008F5E6D">
        <w:t>The majority of activities are complete or 90% complete (65%), one-fifth are underway (25-50% complete), and nearly one-fifth have not started.</w:t>
      </w:r>
    </w:p>
    <w:p w14:paraId="5CFE2EBC" w14:textId="77777777" w:rsidR="002B6B93" w:rsidRPr="00533B79" w:rsidRDefault="002B6B93" w:rsidP="002B6B93">
      <w:pPr>
        <w:spacing w:after="0"/>
        <w:rPr>
          <w:rFonts w:cstheme="minorHAnsi"/>
          <w:noProof/>
        </w:rPr>
      </w:pPr>
      <w:r w:rsidRPr="00533B79">
        <w:rPr>
          <w:rFonts w:cstheme="minorHAnsi"/>
          <w:noProof/>
          <w:lang w:eastAsia="ko-KR"/>
        </w:rPr>
        <w:lastRenderedPageBreak/>
        <w:drawing>
          <wp:inline distT="0" distB="0" distL="0" distR="0" wp14:anchorId="27C196ED" wp14:editId="0D8062B3">
            <wp:extent cx="2828926" cy="5172075"/>
            <wp:effectExtent l="0" t="0" r="9525" b="9525"/>
            <wp:docPr id="28" name="Chart 28" descr="The TCI + activity 1 - 75% completed, 25% not started">
              <a:extLst xmlns:a="http://schemas.openxmlformats.org/drawingml/2006/main">
                <a:ext uri="{FF2B5EF4-FFF2-40B4-BE49-F238E27FC236}">
                  <a16:creationId xmlns:a16="http://schemas.microsoft.com/office/drawing/2014/main" id="{12EFDA4B-7BE6-4E61-AC7C-5F407A6E627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2"/>
              </a:graphicData>
            </a:graphic>
          </wp:inline>
        </w:drawing>
      </w:r>
    </w:p>
    <w:p w14:paraId="1E53BDA3" w14:textId="77777777" w:rsidR="002B6B93" w:rsidRPr="00533B79" w:rsidRDefault="002B6B93" w:rsidP="002B6B93">
      <w:pPr>
        <w:spacing w:after="0"/>
        <w:rPr>
          <w:rFonts w:cstheme="minorHAnsi"/>
          <w:noProof/>
        </w:rPr>
      </w:pPr>
      <w:r w:rsidRPr="00533B79">
        <w:rPr>
          <w:rFonts w:cstheme="minorHAnsi"/>
          <w:b/>
          <w:bCs/>
          <w:noProof/>
        </w:rPr>
        <w:t>Activity 1:</w:t>
      </w:r>
      <w:r w:rsidRPr="00533B79">
        <w:rPr>
          <w:rFonts w:cstheme="minorHAnsi"/>
          <w:noProof/>
        </w:rPr>
        <w:t xml:space="preserve"> Assist [agency] to assess their staff’s current usage of LMI in the career exploration and vocational planning process and their capacity to utilize TCI+ in the career exploration and vocational planning process in the future.</w:t>
      </w:r>
    </w:p>
    <w:p w14:paraId="0D9ED9CE" w14:textId="77777777" w:rsidR="002B6B93" w:rsidRPr="00533B79" w:rsidRDefault="002B6B93" w:rsidP="002B6B93">
      <w:pPr>
        <w:spacing w:after="0"/>
        <w:rPr>
          <w:rFonts w:cstheme="minorHAnsi"/>
          <w:noProof/>
        </w:rPr>
      </w:pPr>
      <w:r w:rsidRPr="00533B79">
        <w:rPr>
          <w:rFonts w:cstheme="minorHAnsi"/>
          <w:b/>
          <w:bCs/>
          <w:noProof/>
        </w:rPr>
        <w:t>Output A:</w:t>
      </w:r>
      <w:r w:rsidRPr="00533B79">
        <w:rPr>
          <w:rFonts w:cstheme="minorHAnsi"/>
          <w:noProof/>
        </w:rPr>
        <w:t xml:space="preserve"> A completed assessment and capacity determination.</w:t>
      </w:r>
    </w:p>
    <w:p w14:paraId="2216612B" w14:textId="77777777" w:rsidR="002B6B93" w:rsidRPr="00533B79" w:rsidRDefault="002B6B93" w:rsidP="002B6B93">
      <w:pPr>
        <w:spacing w:after="0"/>
        <w:rPr>
          <w:rFonts w:cstheme="minorHAnsi"/>
          <w:noProof/>
        </w:rPr>
      </w:pPr>
      <w:r w:rsidRPr="00533B79">
        <w:rPr>
          <w:rFonts w:cstheme="minorHAnsi"/>
          <w:noProof/>
          <w:lang w:eastAsia="ko-KR"/>
        </w:rPr>
        <w:drawing>
          <wp:inline distT="0" distB="0" distL="0" distR="0" wp14:anchorId="349E2B42" wp14:editId="1982AB7E">
            <wp:extent cx="2828926" cy="5172075"/>
            <wp:effectExtent l="0" t="0" r="9525" b="9525"/>
            <wp:docPr id="29" name="Chart 29" descr="The TCI + activity 2 - 40% completed 100%, 20% completed 75%, 40% completed 50%, and 20% not started outputs">
              <a:extLst xmlns:a="http://schemas.openxmlformats.org/drawingml/2006/main">
                <a:ext uri="{FF2B5EF4-FFF2-40B4-BE49-F238E27FC236}">
                  <a16:creationId xmlns:a16="http://schemas.microsoft.com/office/drawing/2014/main" id="{CC62AA83-1D69-4943-8128-4362F557D83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3"/>
              </a:graphicData>
            </a:graphic>
          </wp:inline>
        </w:drawing>
      </w:r>
    </w:p>
    <w:p w14:paraId="4F9A8457" w14:textId="77777777" w:rsidR="002B6B93" w:rsidRPr="00533B79" w:rsidRDefault="002B6B93" w:rsidP="002B6B93">
      <w:pPr>
        <w:spacing w:after="0"/>
        <w:rPr>
          <w:rFonts w:cstheme="minorHAnsi"/>
          <w:noProof/>
        </w:rPr>
      </w:pPr>
      <w:r w:rsidRPr="00533B79">
        <w:rPr>
          <w:rFonts w:cstheme="minorHAnsi"/>
          <w:b/>
          <w:bCs/>
          <w:noProof/>
        </w:rPr>
        <w:t>Activity 2:</w:t>
      </w:r>
      <w:r w:rsidRPr="00533B79">
        <w:rPr>
          <w:rFonts w:cstheme="minorHAnsi"/>
          <w:noProof/>
        </w:rPr>
        <w:t xml:space="preserve"> Assist [agency] to develop policies and procedures related to increased usage of LMI through the Career Index Plus to maximize impact of VR services.</w:t>
      </w:r>
    </w:p>
    <w:p w14:paraId="75D3CFA6" w14:textId="77777777" w:rsidR="002B6B93" w:rsidRPr="00533B79" w:rsidRDefault="002B6B93" w:rsidP="002B6B93">
      <w:pPr>
        <w:spacing w:after="0"/>
        <w:rPr>
          <w:rFonts w:cstheme="minorHAnsi"/>
          <w:noProof/>
        </w:rPr>
      </w:pPr>
      <w:r w:rsidRPr="00533B79">
        <w:rPr>
          <w:rFonts w:cstheme="minorHAnsi"/>
          <w:b/>
          <w:bCs/>
          <w:noProof/>
        </w:rPr>
        <w:t>Output B:</w:t>
      </w:r>
      <w:r w:rsidRPr="00533B79">
        <w:rPr>
          <w:rFonts w:cstheme="minorHAnsi"/>
          <w:noProof/>
        </w:rPr>
        <w:t xml:space="preserve"> Completed Policies and Procedures. Written and promulgated agency policies and procedures.</w:t>
      </w:r>
    </w:p>
    <w:p w14:paraId="59D20F89" w14:textId="77777777" w:rsidR="002B6B93" w:rsidRPr="00533B79" w:rsidRDefault="002B6B93" w:rsidP="002B6B93">
      <w:pPr>
        <w:spacing w:after="0"/>
        <w:rPr>
          <w:rFonts w:cstheme="minorHAnsi"/>
          <w:noProof/>
        </w:rPr>
      </w:pPr>
      <w:r w:rsidRPr="00533B79">
        <w:rPr>
          <w:rFonts w:cstheme="minorHAnsi"/>
          <w:noProof/>
          <w:lang w:eastAsia="ko-KR"/>
        </w:rPr>
        <w:lastRenderedPageBreak/>
        <w:drawing>
          <wp:inline distT="0" distB="0" distL="0" distR="0" wp14:anchorId="7E0108DF" wp14:editId="15A10C43">
            <wp:extent cx="2828926" cy="5172075"/>
            <wp:effectExtent l="0" t="0" r="9525" b="9525"/>
            <wp:docPr id="30" name="Chart 30" descr="The TCI + activity 3 - 50% completed 100%,  50% not started outputs">
              <a:extLst xmlns:a="http://schemas.openxmlformats.org/drawingml/2006/main">
                <a:ext uri="{FF2B5EF4-FFF2-40B4-BE49-F238E27FC236}">
                  <a16:creationId xmlns:a16="http://schemas.microsoft.com/office/drawing/2014/main" id="{DBFCAC18-E6E9-4912-B76C-CF2A22E4186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4"/>
              </a:graphicData>
            </a:graphic>
          </wp:inline>
        </w:drawing>
      </w:r>
    </w:p>
    <w:p w14:paraId="6AAADAE6" w14:textId="77777777" w:rsidR="002B6B93" w:rsidRPr="00533B79" w:rsidRDefault="002B6B93" w:rsidP="002B6B93">
      <w:pPr>
        <w:spacing w:after="0"/>
        <w:rPr>
          <w:rFonts w:cstheme="minorHAnsi"/>
          <w:noProof/>
        </w:rPr>
      </w:pPr>
      <w:r w:rsidRPr="00533B79">
        <w:rPr>
          <w:rFonts w:cstheme="minorHAnsi"/>
          <w:b/>
          <w:bCs/>
          <w:noProof/>
        </w:rPr>
        <w:t>Activity 3:</w:t>
      </w:r>
      <w:r w:rsidRPr="00533B79">
        <w:rPr>
          <w:rFonts w:cstheme="minorHAnsi"/>
          <w:noProof/>
        </w:rPr>
        <w:t xml:space="preserve"> Develop Training Materials with [agency] Training Staff</w:t>
      </w:r>
    </w:p>
    <w:p w14:paraId="379CAB7B" w14:textId="77777777" w:rsidR="002B6B93" w:rsidRPr="00533B79" w:rsidRDefault="002B6B93" w:rsidP="002B6B93">
      <w:pPr>
        <w:spacing w:after="0"/>
        <w:rPr>
          <w:rFonts w:cstheme="minorHAnsi"/>
          <w:noProof/>
        </w:rPr>
      </w:pPr>
      <w:r w:rsidRPr="00533B79">
        <w:rPr>
          <w:rFonts w:cstheme="minorHAnsi"/>
          <w:b/>
          <w:bCs/>
          <w:noProof/>
        </w:rPr>
        <w:t>Output C:</w:t>
      </w:r>
      <w:r w:rsidRPr="00533B79">
        <w:rPr>
          <w:rFonts w:cstheme="minorHAnsi"/>
          <w:noProof/>
        </w:rPr>
        <w:t xml:space="preserve"> Training Materials created with [agency] Training Team.</w:t>
      </w:r>
    </w:p>
    <w:p w14:paraId="106B662D" w14:textId="77777777" w:rsidR="002B6B93" w:rsidRPr="00533B79" w:rsidRDefault="002B6B93" w:rsidP="002B6B93">
      <w:pPr>
        <w:spacing w:after="0"/>
        <w:rPr>
          <w:rFonts w:cstheme="minorHAnsi"/>
        </w:rPr>
      </w:pPr>
      <w:r w:rsidRPr="00533B79">
        <w:rPr>
          <w:rFonts w:cstheme="minorHAnsi"/>
          <w:noProof/>
          <w:lang w:eastAsia="ko-KR"/>
        </w:rPr>
        <w:drawing>
          <wp:inline distT="0" distB="0" distL="0" distR="0" wp14:anchorId="051B9E4E" wp14:editId="7078A15A">
            <wp:extent cx="2828926" cy="5172075"/>
            <wp:effectExtent l="0" t="0" r="9525" b="9525"/>
            <wp:docPr id="32" name="Chart 32" descr="The TCI + activity 4 - 67% completed 100%, 22% completed 50%,  and 22% not started outputs">
              <a:extLst xmlns:a="http://schemas.openxmlformats.org/drawingml/2006/main">
                <a:ext uri="{FF2B5EF4-FFF2-40B4-BE49-F238E27FC236}">
                  <a16:creationId xmlns:a16="http://schemas.microsoft.com/office/drawing/2014/main" id="{A2DFDEE7-BDDB-458E-91A6-B1A4203DA3F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5"/>
              </a:graphicData>
            </a:graphic>
          </wp:inline>
        </w:drawing>
      </w:r>
    </w:p>
    <w:p w14:paraId="033B93AF" w14:textId="77777777" w:rsidR="002B6B93" w:rsidRPr="00533B79" w:rsidRDefault="002B6B93" w:rsidP="002B6B93">
      <w:pPr>
        <w:spacing w:after="0"/>
        <w:rPr>
          <w:rFonts w:cstheme="minorHAnsi"/>
          <w:noProof/>
        </w:rPr>
      </w:pPr>
      <w:r w:rsidRPr="00533B79">
        <w:rPr>
          <w:rFonts w:cstheme="minorHAnsi"/>
          <w:b/>
          <w:bCs/>
          <w:noProof/>
        </w:rPr>
        <w:t>Activity 4:</w:t>
      </w:r>
      <w:r w:rsidRPr="00533B79">
        <w:rPr>
          <w:rFonts w:cstheme="minorHAnsi"/>
          <w:noProof/>
        </w:rPr>
        <w:t xml:space="preserve"> Provide Training on TCI+ and LMI to [agency] Staff and Administration.</w:t>
      </w:r>
    </w:p>
    <w:p w14:paraId="1F9D510E" w14:textId="77777777" w:rsidR="002B6B93" w:rsidRPr="00533B79" w:rsidRDefault="002B6B93" w:rsidP="002B6B93">
      <w:pPr>
        <w:spacing w:after="0"/>
        <w:rPr>
          <w:rFonts w:cstheme="minorHAnsi"/>
          <w:noProof/>
        </w:rPr>
      </w:pPr>
      <w:r w:rsidRPr="00533B79">
        <w:rPr>
          <w:rFonts w:cstheme="minorHAnsi"/>
          <w:b/>
          <w:bCs/>
          <w:noProof/>
        </w:rPr>
        <w:t>Output D:</w:t>
      </w:r>
      <w:r w:rsidRPr="00533B79">
        <w:rPr>
          <w:rFonts w:cstheme="minorHAnsi"/>
          <w:noProof/>
        </w:rPr>
        <w:t xml:space="preserve"> The number of staff that complete the training.</w:t>
      </w:r>
    </w:p>
    <w:p w14:paraId="713B4D91" w14:textId="77777777" w:rsidR="002B6B93" w:rsidRPr="00533B79" w:rsidRDefault="002B6B93" w:rsidP="002B6B93">
      <w:pPr>
        <w:spacing w:after="0"/>
        <w:rPr>
          <w:rFonts w:cstheme="minorHAnsi"/>
        </w:rPr>
      </w:pPr>
      <w:r w:rsidRPr="00533B79">
        <w:rPr>
          <w:rFonts w:cstheme="minorHAnsi"/>
          <w:noProof/>
          <w:lang w:eastAsia="ko-KR"/>
        </w:rPr>
        <w:lastRenderedPageBreak/>
        <w:drawing>
          <wp:inline distT="0" distB="0" distL="0" distR="0" wp14:anchorId="5A4B5F84" wp14:editId="445628E3">
            <wp:extent cx="2828926" cy="5172075"/>
            <wp:effectExtent l="0" t="0" r="9525" b="9525"/>
            <wp:docPr id="36" name="Chart 36" descr="The TCI + activity 5 - 100% completed 100">
              <a:extLst xmlns:a="http://schemas.openxmlformats.org/drawingml/2006/main">
                <a:ext uri="{FF2B5EF4-FFF2-40B4-BE49-F238E27FC236}">
                  <a16:creationId xmlns:a16="http://schemas.microsoft.com/office/drawing/2014/main" id="{57C8546F-FE50-4630-87D2-F915333A473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6"/>
              </a:graphicData>
            </a:graphic>
          </wp:inline>
        </w:drawing>
      </w:r>
    </w:p>
    <w:p w14:paraId="0B1BAF76" w14:textId="77777777" w:rsidR="002B6B93" w:rsidRPr="00533B79" w:rsidRDefault="002B6B93" w:rsidP="002B6B93">
      <w:pPr>
        <w:spacing w:after="0"/>
        <w:rPr>
          <w:rFonts w:cstheme="minorHAnsi"/>
        </w:rPr>
      </w:pPr>
      <w:r w:rsidRPr="00533B79">
        <w:rPr>
          <w:rFonts w:cstheme="minorHAnsi"/>
          <w:b/>
          <w:bCs/>
        </w:rPr>
        <w:t>Activity 5:</w:t>
      </w:r>
      <w:r w:rsidRPr="00533B79">
        <w:rPr>
          <w:rFonts w:cstheme="minorHAnsi"/>
        </w:rPr>
        <w:t xml:space="preserve"> Development of plan to expand and sustain LMI capacity.</w:t>
      </w:r>
    </w:p>
    <w:p w14:paraId="4026F80A" w14:textId="77777777" w:rsidR="002B6B93" w:rsidRPr="00533B79" w:rsidRDefault="002B6B93" w:rsidP="002B6B93">
      <w:pPr>
        <w:spacing w:after="0"/>
        <w:rPr>
          <w:rFonts w:cstheme="minorHAnsi"/>
        </w:rPr>
      </w:pPr>
      <w:r w:rsidRPr="00533B79">
        <w:rPr>
          <w:rFonts w:cstheme="minorHAnsi"/>
          <w:b/>
          <w:bCs/>
        </w:rPr>
        <w:t>Output E:</w:t>
      </w:r>
      <w:r w:rsidRPr="00533B79">
        <w:rPr>
          <w:rFonts w:cstheme="minorHAnsi"/>
        </w:rPr>
        <w:t xml:space="preserve"> A written plan outlining activities, time lines, roles and responsibilities. </w:t>
      </w:r>
    </w:p>
    <w:p w14:paraId="32067DFC" w14:textId="77777777" w:rsidR="002B6B93" w:rsidRPr="00533B79" w:rsidRDefault="002B6B93" w:rsidP="002B6B93">
      <w:pPr>
        <w:spacing w:after="0"/>
        <w:rPr>
          <w:rFonts w:cstheme="minorHAnsi"/>
        </w:rPr>
      </w:pPr>
      <w:r w:rsidRPr="00533B79">
        <w:rPr>
          <w:rFonts w:cstheme="minorHAnsi"/>
          <w:b/>
          <w:bCs/>
        </w:rPr>
        <w:t>Output F:</w:t>
      </w:r>
      <w:r w:rsidRPr="00533B79">
        <w:rPr>
          <w:rFonts w:cstheme="minorHAnsi"/>
        </w:rPr>
        <w:t xml:space="preserve"> Training sessions offered to all available/identified staff based upon scope of the project plan.</w:t>
      </w:r>
    </w:p>
    <w:p w14:paraId="3E1C0B08" w14:textId="77777777" w:rsidR="002B6B93" w:rsidRDefault="002B6B93" w:rsidP="002B6B93"/>
    <w:p w14:paraId="54E00D9E" w14:textId="77777777" w:rsidR="002B6B93" w:rsidRDefault="002B6B93" w:rsidP="002B6B93"/>
    <w:p w14:paraId="32774CD4" w14:textId="77777777" w:rsidR="002B6B93" w:rsidRDefault="002B6B93" w:rsidP="002B6B93"/>
    <w:p w14:paraId="25CB201B" w14:textId="77777777" w:rsidR="002B6B93" w:rsidRDefault="002B6B93" w:rsidP="002B6B93"/>
    <w:p w14:paraId="7C9B8365" w14:textId="77777777" w:rsidR="002B6B93" w:rsidRDefault="002B6B93" w:rsidP="002B6B93"/>
    <w:p w14:paraId="750CC6DA" w14:textId="77777777" w:rsidR="002B6B93" w:rsidRDefault="002B6B93" w:rsidP="002B6B93">
      <w:pPr>
        <w:sectPr w:rsidR="002B6B93" w:rsidSect="00D27D05">
          <w:pgSz w:w="12240" w:h="15840"/>
          <w:pgMar w:top="720" w:right="720" w:bottom="720" w:left="720" w:header="720" w:footer="720" w:gutter="0"/>
          <w:pgBorders w:offsetFrom="page">
            <w:top w:val="thinThickSmallGap" w:sz="24" w:space="24" w:color="2F5496" w:themeColor="accent1" w:themeShade="BF"/>
            <w:left w:val="thinThickSmallGap" w:sz="24" w:space="24" w:color="2F5496" w:themeColor="accent1" w:themeShade="BF"/>
            <w:bottom w:val="thickThinSmallGap" w:sz="24" w:space="24" w:color="2F5496" w:themeColor="accent1" w:themeShade="BF"/>
            <w:right w:val="thickThinSmallGap" w:sz="24" w:space="24" w:color="2F5496" w:themeColor="accent1" w:themeShade="BF"/>
          </w:pgBorders>
          <w:cols w:num="2" w:space="720"/>
          <w:docGrid w:linePitch="381"/>
        </w:sectPr>
      </w:pPr>
    </w:p>
    <w:p w14:paraId="0635A17E" w14:textId="77777777" w:rsidR="002B6B93" w:rsidRDefault="002B6B93" w:rsidP="002B6B93">
      <w:pPr>
        <w:jc w:val="center"/>
      </w:pPr>
      <w:r>
        <w:rPr>
          <w:noProof/>
          <w:lang w:eastAsia="ko-KR"/>
        </w:rPr>
        <w:lastRenderedPageBreak/>
        <w:drawing>
          <wp:inline distT="0" distB="0" distL="0" distR="0" wp14:anchorId="3D7240EC" wp14:editId="283FC5D7">
            <wp:extent cx="4601634" cy="2738966"/>
            <wp:effectExtent l="0" t="0" r="8890" b="4445"/>
            <wp:docPr id="173" name="Chart 173" descr="chart of unique users from 2016 Q4 to 2019 Q3 showing a steady increase from 12 to 263">
              <a:extLst xmlns:a="http://schemas.openxmlformats.org/drawingml/2006/main">
                <a:ext uri="{FF2B5EF4-FFF2-40B4-BE49-F238E27FC236}">
                  <a16:creationId xmlns:a16="http://schemas.microsoft.com/office/drawing/2014/main" id="{7E411B0C-EDD0-43F4-91EA-CC2592AC9F9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7"/>
              </a:graphicData>
            </a:graphic>
          </wp:inline>
        </w:drawing>
      </w:r>
      <w:r>
        <w:rPr>
          <w:noProof/>
          <w:lang w:eastAsia="ko-KR"/>
        </w:rPr>
        <mc:AlternateContent>
          <mc:Choice Requires="cx1">
            <w:drawing>
              <wp:inline distT="0" distB="0" distL="0" distR="0" wp14:anchorId="7A130799" wp14:editId="0DEF0101">
                <wp:extent cx="4572000" cy="2743200"/>
                <wp:effectExtent l="0" t="0" r="0" b="0"/>
                <wp:docPr id="175" name="Chart 175" descr="chart of log-ins over from 2016 Q4 to 2019 Q3  showing a steady increase from 0 to 23234">
                  <a:extLst xmlns:a="http://schemas.openxmlformats.org/drawingml/2006/main">
                    <a:ext uri="{FF2B5EF4-FFF2-40B4-BE49-F238E27FC236}">
                      <a16:creationId xmlns:a16="http://schemas.microsoft.com/office/drawing/2014/main" id="{816679EF-653D-47C0-9133-33CAE3BF0CEB}"/>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418"/>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drawing>
              <wp:inline distT="0" distB="0" distL="0" distR="0" wp14:anchorId="7A130799" wp14:editId="0DEF0101">
                <wp:extent cx="4572000" cy="2743200"/>
                <wp:effectExtent l="0" t="0" r="0" b="0"/>
                <wp:docPr id="175" name="Chart 175" descr="chart of log-ins over from 2016 Q4 to 2019 Q3  showing a steady increase from 0 to 23234">
                  <a:extLst xmlns:a="http://schemas.openxmlformats.org/drawingml/2006/main">
                    <a:ext uri="{FF2B5EF4-FFF2-40B4-BE49-F238E27FC236}">
                      <a16:creationId xmlns:a16="http://schemas.microsoft.com/office/drawing/2014/main" id="{816679EF-653D-47C0-9133-33CAE3BF0CEB}"/>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175" name="Chart 175" descr="chart of log-ins over from 2016 Q4 to 2019 Q3  showing a steady increase from 0 to 23234">
                          <a:extLst>
                            <a:ext uri="{FF2B5EF4-FFF2-40B4-BE49-F238E27FC236}">
                              <a16:creationId xmlns:a16="http://schemas.microsoft.com/office/drawing/2014/main" id="{816679EF-653D-47C0-9133-33CAE3BF0CEB}"/>
                            </a:ext>
                          </a:extLst>
                        </pic:cNvPr>
                        <pic:cNvPicPr>
                          <a:picLocks noGrp="1" noRot="1" noChangeAspect="1" noMove="1" noResize="1" noEditPoints="1" noAdjustHandles="1" noChangeArrowheads="1" noChangeShapeType="1"/>
                        </pic:cNvPicPr>
                      </pic:nvPicPr>
                      <pic:blipFill>
                        <a:blip r:embed="rId419"/>
                        <a:stretch>
                          <a:fillRect/>
                        </a:stretch>
                      </pic:blipFill>
                      <pic:spPr>
                        <a:xfrm>
                          <a:off x="0" y="0"/>
                          <a:ext cx="4572000" cy="2743200"/>
                        </a:xfrm>
                        <a:prstGeom prst="rect">
                          <a:avLst/>
                        </a:prstGeom>
                      </pic:spPr>
                    </pic:pic>
                  </a:graphicData>
                </a:graphic>
              </wp:inline>
            </w:drawing>
          </mc:Fallback>
        </mc:AlternateContent>
      </w:r>
      <w:r>
        <w:rPr>
          <w:noProof/>
          <w:lang w:eastAsia="ko-KR"/>
        </w:rPr>
        <w:lastRenderedPageBreak/>
        <w:drawing>
          <wp:inline distT="0" distB="0" distL="0" distR="0" wp14:anchorId="6BB51B00" wp14:editId="23CC7CA6">
            <wp:extent cx="4572000" cy="2743200"/>
            <wp:effectExtent l="0" t="0" r="0" b="0"/>
            <wp:docPr id="176" name="Chart 176" descr="chart of LMI  from 2016 Q4 to 2019 Q3 showing a expotential  increase from 2,273  to 1,405,222">
              <a:extLst xmlns:a="http://schemas.openxmlformats.org/drawingml/2006/main">
                <a:ext uri="{FF2B5EF4-FFF2-40B4-BE49-F238E27FC236}">
                  <a16:creationId xmlns:a16="http://schemas.microsoft.com/office/drawing/2014/main" id="{C814AF3D-FEFB-4C13-8E2B-F621C3AE136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0"/>
              </a:graphicData>
            </a:graphic>
          </wp:inline>
        </w:drawing>
      </w:r>
      <w:r>
        <w:rPr>
          <w:noProof/>
          <w:lang w:eastAsia="ko-KR"/>
        </w:rPr>
        <mc:AlternateContent>
          <mc:Choice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Requires="cx2">
            <w:drawing>
              <wp:inline distT="0" distB="0" distL="0" distR="0" wp14:anchorId="471CF927" wp14:editId="432F1477">
                <wp:extent cx="4572000" cy="2743200"/>
                <wp:effectExtent l="0" t="0" r="0" b="0"/>
                <wp:docPr id="199" name="Chart 199" descr="chart of # clients  invited  from 2016 Q4 to 2019 Q3 showing a steady increase from 13 to 351">
                  <a:extLst xmlns:a="http://schemas.openxmlformats.org/drawingml/2006/main">
                    <a:ext uri="{FF2B5EF4-FFF2-40B4-BE49-F238E27FC236}">
                      <a16:creationId xmlns:a16="http://schemas.microsoft.com/office/drawing/2014/main" id="{2898842C-AF59-437F-8A09-C0C9738BC0B2}"/>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421"/>
                  </a:graphicData>
                </a:graphic>
              </wp:inline>
            </w:drawing>
          </mc:Choice>
          <mc:Fallback>
            <w:drawing>
              <wp:inline distT="0" distB="0" distL="0" distR="0" wp14:anchorId="471CF927" wp14:editId="432F1477">
                <wp:extent cx="4572000" cy="2743200"/>
                <wp:effectExtent l="0" t="0" r="0" b="0"/>
                <wp:docPr id="199" name="Chart 199" descr="chart of # clients  invited  from 2016 Q4 to 2019 Q3 showing a steady increase from 13 to 351">
                  <a:extLst xmlns:a="http://schemas.openxmlformats.org/drawingml/2006/main">
                    <a:ext uri="{FF2B5EF4-FFF2-40B4-BE49-F238E27FC236}">
                      <a16:creationId xmlns:a16="http://schemas.microsoft.com/office/drawing/2014/main" id="{2898842C-AF59-437F-8A09-C0C9738BC0B2}"/>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199" name="Chart 199" descr="chart of # clients  invited  from 2016 Q4 to 2019 Q3 showing a steady increase from 13 to 351">
                          <a:extLst>
                            <a:ext uri="{FF2B5EF4-FFF2-40B4-BE49-F238E27FC236}">
                              <a16:creationId xmlns:a16="http://schemas.microsoft.com/office/drawing/2014/main" id="{2898842C-AF59-437F-8A09-C0C9738BC0B2}"/>
                            </a:ext>
                          </a:extLst>
                        </pic:cNvPr>
                        <pic:cNvPicPr>
                          <a:picLocks noGrp="1" noRot="1" noChangeAspect="1" noMove="1" noResize="1" noEditPoints="1" noAdjustHandles="1" noChangeArrowheads="1" noChangeShapeType="1"/>
                        </pic:cNvPicPr>
                      </pic:nvPicPr>
                      <pic:blipFill>
                        <a:blip r:embed="rId422"/>
                        <a:stretch>
                          <a:fillRect/>
                        </a:stretch>
                      </pic:blipFill>
                      <pic:spPr>
                        <a:xfrm>
                          <a:off x="0" y="0"/>
                          <a:ext cx="4572000" cy="2743200"/>
                        </a:xfrm>
                        <a:prstGeom prst="rect">
                          <a:avLst/>
                        </a:prstGeom>
                      </pic:spPr>
                    </pic:pic>
                  </a:graphicData>
                </a:graphic>
              </wp:inline>
            </w:drawing>
          </mc:Fallback>
        </mc:AlternateContent>
      </w:r>
    </w:p>
    <w:p w14:paraId="528121D5" w14:textId="77777777" w:rsidR="002B6B93" w:rsidRDefault="002B6B93" w:rsidP="002B6B93"/>
    <w:p w14:paraId="3EFBD806" w14:textId="77777777" w:rsidR="002B6B93" w:rsidRDefault="002B6B93" w:rsidP="002B6B93"/>
    <w:p w14:paraId="5E9B2A61" w14:textId="77777777" w:rsidR="002B6B93" w:rsidRDefault="002B6B93" w:rsidP="002B6B93"/>
    <w:p w14:paraId="01B5C108" w14:textId="77777777" w:rsidR="002B6B93" w:rsidRDefault="002B6B93" w:rsidP="002B6B93"/>
    <w:p w14:paraId="34BAF1B3" w14:textId="77777777" w:rsidR="002B6B93" w:rsidRDefault="002B6B93" w:rsidP="002B6B93"/>
    <w:p w14:paraId="02D736CD" w14:textId="77777777" w:rsidR="002B6B93" w:rsidRDefault="002B6B93" w:rsidP="002B6B93"/>
    <w:p w14:paraId="155E07A1" w14:textId="77777777" w:rsidR="002B6B93" w:rsidRDefault="002B6B93" w:rsidP="002B6B93">
      <w:r>
        <w:br w:type="page"/>
      </w:r>
    </w:p>
    <w:p w14:paraId="535764F6" w14:textId="77777777" w:rsidR="002B6B93" w:rsidRDefault="002B6B93" w:rsidP="002B6B93">
      <w:pPr>
        <w:pBdr>
          <w:bottom w:val="single" w:sz="24" w:space="1" w:color="auto"/>
        </w:pBdr>
        <w:spacing w:after="0" w:line="240" w:lineRule="auto"/>
        <w:jc w:val="center"/>
        <w:rPr>
          <w:b/>
          <w:sz w:val="36"/>
        </w:rPr>
      </w:pPr>
      <w:r>
        <w:rPr>
          <w:b/>
          <w:sz w:val="36"/>
        </w:rPr>
        <w:lastRenderedPageBreak/>
        <w:t>TCI+ PILOTS: OUTCOMES PROGRESS DASHBOARDS:</w:t>
      </w:r>
    </w:p>
    <w:p w14:paraId="5AC9080F" w14:textId="77777777" w:rsidR="002B6B93" w:rsidRDefault="002B6B93" w:rsidP="002B6B93"/>
    <w:p w14:paraId="6D47075B" w14:textId="77777777" w:rsidR="002B6B93" w:rsidRDefault="002B6B93" w:rsidP="002B6B93">
      <w:r>
        <w:rPr>
          <w:noProof/>
          <w:lang w:eastAsia="ko-KR"/>
        </w:rPr>
        <w:drawing>
          <wp:inline distT="0" distB="0" distL="0" distR="0" wp14:anchorId="38F4DC99" wp14:editId="6E273AB5">
            <wp:extent cx="5907276" cy="3253013"/>
            <wp:effectExtent l="0" t="0" r="0" b="5080"/>
            <wp:docPr id="200" name="Picture 200" descr="outcomes progress the career index plus and LMI, 57% not started and 43 % comple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423">
                      <a:extLst>
                        <a:ext uri="{28A0092B-C50C-407E-A947-70E740481C1C}">
                          <a14:useLocalDpi xmlns:a14="http://schemas.microsoft.com/office/drawing/2010/main" val="0"/>
                        </a:ext>
                      </a:extLst>
                    </a:blip>
                    <a:srcRect l="14833" t="1884" r="18419" b="36278"/>
                    <a:stretch/>
                  </pic:blipFill>
                  <pic:spPr bwMode="auto">
                    <a:xfrm>
                      <a:off x="0" y="0"/>
                      <a:ext cx="5908395" cy="3253629"/>
                    </a:xfrm>
                    <a:prstGeom prst="rect">
                      <a:avLst/>
                    </a:prstGeom>
                    <a:noFill/>
                    <a:ln>
                      <a:noFill/>
                    </a:ln>
                    <a:extLst>
                      <a:ext uri="{53640926-AAD7-44D8-BBD7-CCE9431645EC}">
                        <a14:shadowObscured xmlns:a14="http://schemas.microsoft.com/office/drawing/2010/main"/>
                      </a:ext>
                    </a:extLst>
                  </pic:spPr>
                </pic:pic>
              </a:graphicData>
            </a:graphic>
          </wp:inline>
        </w:drawing>
      </w:r>
    </w:p>
    <w:p w14:paraId="58F21B14" w14:textId="77777777" w:rsidR="002B6B93" w:rsidRDefault="002B6B93" w:rsidP="002774D0">
      <w:pPr>
        <w:ind w:firstLine="720"/>
      </w:pPr>
      <w:r>
        <w:t xml:space="preserve">Outcomes are approximately one-half not started (57%) and one-half completed (43%).  These do not appear to be of one kind of outcome versus another, but rather a function of time where earlier pilots are more complete as would be expected. </w:t>
      </w:r>
    </w:p>
    <w:p w14:paraId="5B05B331" w14:textId="77777777" w:rsidR="002B6B93" w:rsidRDefault="002B6B93" w:rsidP="002B6B93">
      <w:pPr>
        <w:pBdr>
          <w:bottom w:val="single" w:sz="24" w:space="1" w:color="auto"/>
        </w:pBdr>
        <w:jc w:val="center"/>
        <w:rPr>
          <w:b/>
          <w:sz w:val="36"/>
        </w:rPr>
      </w:pPr>
      <w:r>
        <w:rPr>
          <w:b/>
          <w:sz w:val="36"/>
        </w:rPr>
        <w:br w:type="page"/>
      </w:r>
    </w:p>
    <w:p w14:paraId="04B85258" w14:textId="77777777" w:rsidR="002B6B93" w:rsidRDefault="002B6B93" w:rsidP="00BA0D82">
      <w:pPr>
        <w:pStyle w:val="Heading2"/>
        <w:numPr>
          <w:ilvl w:val="0"/>
          <w:numId w:val="0"/>
        </w:numPr>
      </w:pPr>
      <w:bookmarkStart w:id="132" w:name="_Toc28011455"/>
      <w:r>
        <w:lastRenderedPageBreak/>
        <w:t>TCI+ PILOTS: PROGRESS NARRATIVE</w:t>
      </w:r>
      <w:bookmarkEnd w:id="132"/>
    </w:p>
    <w:p w14:paraId="2E3BB0E5" w14:textId="77777777" w:rsidR="002B6B93" w:rsidRDefault="002B6B93" w:rsidP="002B6B93">
      <w:pPr>
        <w:pStyle w:val="Heading3"/>
        <w:numPr>
          <w:ilvl w:val="0"/>
          <w:numId w:val="0"/>
        </w:numPr>
        <w:ind w:left="1440" w:hanging="1440"/>
      </w:pPr>
      <w:r>
        <w:t>National Lens</w:t>
      </w:r>
    </w:p>
    <w:p w14:paraId="42FDFA23" w14:textId="77777777" w:rsidR="002B6B93" w:rsidRDefault="002B6B93" w:rsidP="002B6B93">
      <w:r>
        <w:tab/>
        <w:t xml:space="preserve">WIOA requires “the Secretary of Labor to oversee development of a workforce and labor market information system” in recognition of the importance of its use in improving the match between training a skilled </w:t>
      </w:r>
      <w:r w:rsidRPr="0010254F">
        <w:t>workforce that can meet current and growing business demands (WIAC, 2018).  In an examination of how this may be effectively</w:t>
      </w:r>
      <w:r>
        <w:t xml:space="preserve"> implemented, WIAC made several recommendations to the Secretary of Labor including the need to enhance and expand existing Department of Labor resources, involve State participation to ensure fuller incorporation of local LMI, improve data sharing and systems collaboration among agencies, </w:t>
      </w:r>
      <w:r w:rsidRPr="0010254F">
        <w:t>conduct program evaluation, and utilize improved technology solutions.  The Career Index Plus (TCI+), as part of</w:t>
      </w:r>
      <w:r>
        <w:t xml:space="preserve"> WINTAC’s TA related to LMI, addresses these important issues.  LMI supports career training, education, and credentialing choices and these choices improve outcomes, including higher completion rates of degree programs (Aspen Institute, 2014). When using LMI, it has been repeatedly argued that evaluation is important (WIAC, 2018) and should examine both process measures, as well as outcome measures, delineating project or initiative efforts through a logic model that defines expectations and drives accountability (HPOG, 2014).  </w:t>
      </w:r>
    </w:p>
    <w:p w14:paraId="2471EC5B" w14:textId="77777777" w:rsidR="002B6B93" w:rsidRDefault="002B6B93" w:rsidP="002B6B93">
      <w:pPr>
        <w:pStyle w:val="Heading3"/>
        <w:numPr>
          <w:ilvl w:val="0"/>
          <w:numId w:val="0"/>
        </w:numPr>
        <w:ind w:left="1440" w:hanging="1440"/>
      </w:pPr>
      <w:r>
        <w:t>WINTAC Lens</w:t>
      </w:r>
    </w:p>
    <w:p w14:paraId="41851827" w14:textId="77777777" w:rsidR="002B6B93" w:rsidRPr="00035CD7" w:rsidRDefault="002B6B93" w:rsidP="002B6B93">
      <w:pPr>
        <w:tabs>
          <w:tab w:val="left" w:pos="360"/>
        </w:tabs>
      </w:pPr>
      <w:r>
        <w:tab/>
        <w:t>TCI+/LMI is a pilot topic area with eleven</w:t>
      </w:r>
      <w:r w:rsidRPr="00035CD7">
        <w:t xml:space="preserve"> formal intensive technical assistance agreements (ITAAs) in place.  These ITAAs draw from a menu of activities identified in </w:t>
      </w:r>
      <w:r>
        <w:t>an initial, brief</w:t>
      </w:r>
      <w:r w:rsidRPr="00035CD7">
        <w:t xml:space="preserve"> logic model which each have an associated output and contribute to a set of defined short-term outcomes.  </w:t>
      </w:r>
    </w:p>
    <w:p w14:paraId="29FC79BE" w14:textId="77777777" w:rsidR="002B6B93" w:rsidRDefault="002B6B93" w:rsidP="002B6B93">
      <w:pPr>
        <w:tabs>
          <w:tab w:val="left" w:pos="360"/>
        </w:tabs>
        <w:rPr>
          <w:szCs w:val="14"/>
        </w:rPr>
      </w:pPr>
      <w:r>
        <w:rPr>
          <w:szCs w:val="14"/>
        </w:rPr>
        <w:tab/>
      </w:r>
      <w:r w:rsidRPr="00533653">
        <w:rPr>
          <w:b/>
          <w:bCs/>
          <w:i/>
          <w:iCs/>
          <w:szCs w:val="14"/>
          <w:u w:val="single"/>
        </w:rPr>
        <w:t>TA Progress.</w:t>
      </w:r>
      <w:r>
        <w:rPr>
          <w:szCs w:val="14"/>
        </w:rPr>
        <w:t xml:space="preserve"> Across the pilot area of </w:t>
      </w:r>
      <w:r>
        <w:t>TCI+/LMI</w:t>
      </w:r>
      <w:r>
        <w:rPr>
          <w:szCs w:val="14"/>
        </w:rPr>
        <w:t xml:space="preserve">, progress on the majority of activities is complete (61% of activities) 13% of activities are on their way (completion rates of 50-90%), and about a quarter have not begun or are 25% or less complete. Below the first average activity progress bar, using “thermometer charts,” the progress rate is broken out by specific activity with the linked outputs’ progress rates provided side-by-side.  These dashboards show a one-to-one correspondence between the rate of completion for </w:t>
      </w:r>
      <w:r>
        <w:t xml:space="preserve">TCI+/LMI </w:t>
      </w:r>
      <w:r>
        <w:rPr>
          <w:szCs w:val="14"/>
        </w:rPr>
        <w:t>activities and associated outputs, with activities related to assessment of agency capacity and training on TCI+/LMI most far along and revision of related policies and procedures less far along.  As in a few other topic areas, this may reflect a desire to move forward with instrumental aspects of the work first.  Sustainability planning activities are all complete.</w:t>
      </w:r>
    </w:p>
    <w:p w14:paraId="55D7453D" w14:textId="77777777" w:rsidR="002B6B93" w:rsidRDefault="002B6B93" w:rsidP="002B6B93">
      <w:pPr>
        <w:tabs>
          <w:tab w:val="left" w:pos="360"/>
        </w:tabs>
      </w:pPr>
      <w:r>
        <w:rPr>
          <w:szCs w:val="14"/>
        </w:rPr>
        <w:tab/>
        <w:t>The TA Team also shared data regarding TCI+ usage for ITAA and Targeted states, though not the complete list of states in either category.  Aggregate numbers across the states provided were computed for the numbers of unique visitors, the number of log-ins, the LMI reviewed, and the number of clients invited by VRCs to use TCI+ and trend lines for all categories show a clear pattern of increased usage over time – with significant bumps in the most recent two quarters.</w:t>
      </w:r>
    </w:p>
    <w:p w14:paraId="3E881F7C" w14:textId="77777777" w:rsidR="002B6B93" w:rsidRDefault="002B6B93" w:rsidP="002B6B93">
      <w:pPr>
        <w:ind w:firstLine="360"/>
      </w:pPr>
      <w:r w:rsidRPr="00FD368C">
        <w:rPr>
          <w:b/>
          <w:bCs/>
          <w:i/>
          <w:iCs/>
          <w:u w:val="single"/>
        </w:rPr>
        <w:t>Challenges Overcome.</w:t>
      </w:r>
      <w:r>
        <w:t xml:space="preserve">  The intense systems changes required by the early deadlines involving the topic areas of Pre-ETS and CPMs resulted in other change efforts being of lower priority.  As such, the YCI+/LMI TA Team found that some states had “starts and stops” with their engagement whereas others were interested but could not progress its use effectively.  Nevertheless, five states were identified as good examples of how effectively implementation can occur when administrators and staff are engaged and have bought in to the idea of using LMI: Colorado, Florida, Connecticut, North Dakota, and South Carolina.  When discussing ITAs and initiating discussions with SVRAs regarding LMI, the TCI+ TA Team starts by examining an agency’s existing structures, staff, policies, procedures, and internal controls </w:t>
      </w:r>
      <w:r>
        <w:lastRenderedPageBreak/>
        <w:t>related to LMI use.  As a result of early implementation efforts, the TA Team has identified that implementation proceeds most effectively, and VRCs are more apt to engage with the TCI+ system, when (1) a written policy regarding the use of LMI is in place, (2) a form or casenote template to be used at IPE is developed or provided, (3) internal controls are in use by management, and (4) staff participate in formal trainings in the use of TCI+.  Critical to tracking effective implementation will be developing a way to examine consistent use of LMI in Individual Plans for Employment (IPE).  This can then be tracked further to examine differences in client credentialing and employment outcomes.</w:t>
      </w:r>
    </w:p>
    <w:p w14:paraId="072CA839" w14:textId="77777777" w:rsidR="002B6B93" w:rsidRDefault="002B6B93" w:rsidP="002B6B93">
      <w:pPr>
        <w:ind w:firstLine="360"/>
      </w:pPr>
      <w:r>
        <w:t xml:space="preserve">LMI can be effectively utilized by a broad range of stakeholders across a continuum of service provision. The TCI+ TA Team has worked directly with several SVRAs, but also engaged with the Workforce Development System partners, Business </w:t>
      </w:r>
      <w:r w:rsidRPr="009954E5">
        <w:t>Engagement staff, Community Resource Providers, job coaches, and directly with clients.  In addition, LMI is being used or considered in a variety of service contexts including for IPEs as noted, but also when developing</w:t>
      </w:r>
      <w:r>
        <w:t xml:space="preserve"> Individual Employment Plans (IEPs), as part of peer mentoring processes, and as a Pre-ETS service.</w:t>
      </w:r>
    </w:p>
    <w:p w14:paraId="573E53D2" w14:textId="77777777" w:rsidR="002B6B93" w:rsidRPr="00511E32" w:rsidRDefault="002B6B93" w:rsidP="002B6B93">
      <w:pPr>
        <w:ind w:firstLine="360"/>
      </w:pPr>
      <w:r w:rsidRPr="007D494C">
        <w:rPr>
          <w:b/>
          <w:bCs/>
          <w:i/>
          <w:iCs/>
          <w:u w:val="single"/>
        </w:rPr>
        <w:t>Impacts.</w:t>
      </w:r>
      <w:r>
        <w:t xml:space="preserve">  Some activities or SVRAs may be currently classified as Targeted TA, but are described to elucidate varying state approaches and because they may develop into Intensive TA efforts.</w:t>
      </w:r>
    </w:p>
    <w:p w14:paraId="0D227336" w14:textId="77777777" w:rsidR="002B6B93" w:rsidRPr="007C2B1E" w:rsidRDefault="002B6B93" w:rsidP="002B6B93">
      <w:pPr>
        <w:pStyle w:val="ListParagraph"/>
        <w:numPr>
          <w:ilvl w:val="0"/>
          <w:numId w:val="65"/>
        </w:numPr>
        <w:rPr>
          <w:i/>
        </w:rPr>
      </w:pPr>
      <w:r w:rsidRPr="007C2B1E">
        <w:rPr>
          <w:i/>
        </w:rPr>
        <w:t>Florida General</w:t>
      </w:r>
    </w:p>
    <w:p w14:paraId="7DAAA2E0" w14:textId="77777777" w:rsidR="002B6B93" w:rsidRDefault="002B6B93" w:rsidP="002B6B93">
      <w:pPr>
        <w:ind w:firstLine="360"/>
      </w:pPr>
      <w:r>
        <w:t xml:space="preserve">Florida General has initiated a form to be completed at IPE known as the “Employment Matrix.”  They had a significant training regimen to prepare staff for using the form, and have offered ongoing training on LMI, TCI+, and the form.  </w:t>
      </w:r>
    </w:p>
    <w:p w14:paraId="1637576D" w14:textId="77777777" w:rsidR="002B6B93" w:rsidRDefault="002B6B93" w:rsidP="002B6B93">
      <w:pPr>
        <w:ind w:firstLine="360"/>
      </w:pPr>
      <w:r>
        <w:t xml:space="preserve">The form itself is a simple Word document with standardized LMI Elements to Research listed, and spots to list these LMI elements for 3 Vocational Goals.  The counselor sits down with the client and completes the form with the client, then reviews the findings with the client to make an informed choice.  This is then logged in the case management system and the IPE is drafted for this goal.  </w:t>
      </w:r>
    </w:p>
    <w:p w14:paraId="6421A160" w14:textId="77777777" w:rsidR="002B6B93" w:rsidRDefault="002B6B93" w:rsidP="002B6B93">
      <w:pPr>
        <w:ind w:firstLine="360"/>
      </w:pPr>
      <w:r>
        <w:t xml:space="preserve">At this time, it is not in policy that this form or the specific elements be included although there is an expectation in practice that it be used.  The information regarding the use of LMI and the form was communicated via a Technical Assistance Memo from the Central Office.  Supervisors are reviewing IPEs to ensure usage of LMI inclusion.  This appeared to result in high rates of TCI+ </w:t>
      </w:r>
      <w:r w:rsidRPr="009954E5">
        <w:t>usage over the last year.  Florida has had long-term rates of good usage, but a dramatic increase was apparent, coinciding with introduction of the form.</w:t>
      </w:r>
    </w:p>
    <w:p w14:paraId="7938C33A" w14:textId="77777777" w:rsidR="002B6B93" w:rsidRPr="00552EEA" w:rsidRDefault="002B6B93" w:rsidP="002B6B93">
      <w:pPr>
        <w:pStyle w:val="ListParagraph"/>
        <w:numPr>
          <w:ilvl w:val="0"/>
          <w:numId w:val="65"/>
        </w:numPr>
        <w:rPr>
          <w:i/>
        </w:rPr>
      </w:pPr>
      <w:r w:rsidRPr="00552EEA">
        <w:rPr>
          <w:i/>
        </w:rPr>
        <w:t>South Carolina Blind</w:t>
      </w:r>
    </w:p>
    <w:p w14:paraId="11A682BB" w14:textId="6DA04D80" w:rsidR="002B6B93" w:rsidRDefault="002B6B93" w:rsidP="002B6B93">
      <w:pPr>
        <w:ind w:firstLine="360"/>
      </w:pPr>
      <w:r>
        <w:t xml:space="preserve">South Carolina Blind is one of the longest-term users of TCI+ in terms of SVRAs, with an early ITA for WINTAC.  They initiated a policy on 1/1/2018 that stipulated that all VRCs will use LMI at IPE, and they clearly define its use.  The agency notes, </w:t>
      </w:r>
      <w:r w:rsidRPr="00715612">
        <w:rPr>
          <w:i/>
          <w:iCs/>
        </w:rPr>
        <w:t>“LMI is expected to be a part of the Assessment of Rehabilitation Needs (ARN) and this is an actual part of our case management in AWARE.   So, essentially it is used in the beginning of the case as the vocational objective is determined.  We might also utilize LMI to support a relocation expenditure for a consumer.  LMI is also used with our Transition consumers as part of Career Exploration.”</w:t>
      </w:r>
      <w:r w:rsidRPr="00EA4DB7">
        <w:t xml:space="preserve"> </w:t>
      </w:r>
      <w:r>
        <w:t>They have consistently been utilizing TCI+ and are one of the “top” agencies in terms of usage rate.  They report that they are checking at IPE that LMI has been used.</w:t>
      </w:r>
    </w:p>
    <w:p w14:paraId="39CA0D67" w14:textId="77777777" w:rsidR="002B6B93" w:rsidRDefault="002B6B93" w:rsidP="002B6B93">
      <w:pPr>
        <w:ind w:firstLine="360"/>
      </w:pPr>
    </w:p>
    <w:p w14:paraId="3BF200BF" w14:textId="77777777" w:rsidR="002B6B93" w:rsidRPr="00612EE7" w:rsidRDefault="002B6B93" w:rsidP="002B6B93">
      <w:pPr>
        <w:pStyle w:val="ListParagraph"/>
        <w:numPr>
          <w:ilvl w:val="0"/>
          <w:numId w:val="65"/>
        </w:numPr>
        <w:rPr>
          <w:i/>
        </w:rPr>
      </w:pPr>
      <w:r w:rsidRPr="00612EE7">
        <w:rPr>
          <w:i/>
        </w:rPr>
        <w:lastRenderedPageBreak/>
        <w:t>Minnesota Blind</w:t>
      </w:r>
    </w:p>
    <w:p w14:paraId="4E137DCC" w14:textId="77777777" w:rsidR="002B6B93" w:rsidRDefault="002B6B93" w:rsidP="002B6B93">
      <w:pPr>
        <w:ind w:firstLine="360"/>
      </w:pPr>
      <w:r>
        <w:rPr>
          <w:noProof/>
          <w:lang w:eastAsia="ko-KR"/>
        </w:rPr>
        <mc:AlternateContent>
          <mc:Choice Requires="wps">
            <w:drawing>
              <wp:anchor distT="182880" distB="182880" distL="182880" distR="182880" simplePos="0" relativeHeight="251691008" behindDoc="0" locked="0" layoutInCell="1" allowOverlap="1" wp14:anchorId="659B92B6" wp14:editId="1C583EDD">
                <wp:simplePos x="0" y="0"/>
                <wp:positionH relativeFrom="margin">
                  <wp:align>right</wp:align>
                </wp:positionH>
                <wp:positionV relativeFrom="margin">
                  <wp:posOffset>5909945</wp:posOffset>
                </wp:positionV>
                <wp:extent cx="2971800" cy="1764665"/>
                <wp:effectExtent l="0" t="0" r="0" b="8255"/>
                <wp:wrapSquare wrapText="bothSides"/>
                <wp:docPr id="22" name="Snip Single Corner Rectangle 117"/>
                <wp:cNvGraphicFramePr/>
                <a:graphic xmlns:a="http://schemas.openxmlformats.org/drawingml/2006/main">
                  <a:graphicData uri="http://schemas.microsoft.com/office/word/2010/wordprocessingShape">
                    <wps:wsp>
                      <wps:cNvSpPr/>
                      <wps:spPr>
                        <a:xfrm>
                          <a:off x="0" y="0"/>
                          <a:ext cx="2971800" cy="1764665"/>
                        </a:xfrm>
                        <a:prstGeom prst="snip1Rect">
                          <a:avLst/>
                        </a:prstGeom>
                        <a:ln>
                          <a:noFill/>
                        </a:ln>
                      </wps:spPr>
                      <wps:style>
                        <a:lnRef idx="2">
                          <a:schemeClr val="accent1">
                            <a:shade val="50000"/>
                          </a:schemeClr>
                        </a:lnRef>
                        <a:fillRef idx="1003">
                          <a:schemeClr val="dk2"/>
                        </a:fillRef>
                        <a:effectRef idx="0">
                          <a:schemeClr val="accent1"/>
                        </a:effectRef>
                        <a:fontRef idx="minor">
                          <a:schemeClr val="lt1"/>
                        </a:fontRef>
                      </wps:style>
                      <wps:txbx>
                        <w:txbxContent>
                          <w:p w14:paraId="47EBEEFA" w14:textId="77777777" w:rsidR="00366D34" w:rsidRPr="00726C74" w:rsidRDefault="00366D34" w:rsidP="002B6B93">
                            <w:pPr>
                              <w:rPr>
                                <w:i/>
                                <w:iCs/>
                                <w:caps/>
                                <w:sz w:val="24"/>
                                <w:szCs w:val="28"/>
                              </w:rPr>
                            </w:pPr>
                            <w:r w:rsidRPr="00726C74">
                              <w:rPr>
                                <w:i/>
                                <w:iCs/>
                              </w:rPr>
                              <w:t>SSB has embraced the relevance and importance of LMI in the rehabilitation process. LMI is looked at on various levels throughout the process because there is so much fluidity in VR. It is something that is required and often times helps our counselors better justify decisions.</w:t>
                            </w:r>
                          </w:p>
                        </w:txbxContent>
                      </wps:txbx>
                      <wps:bodyPr rot="0" spcFirstLastPara="0" vertOverflow="overflow" horzOverflow="overflow" vert="horz" wrap="square" lIns="137160" tIns="91440" rIns="91440" bIns="91440" numCol="1" spcCol="0" rtlCol="0" fromWordArt="0" anchor="t" anchorCtr="0" forceAA="0" compatLnSpc="1">
                        <a:prstTxWarp prst="textNoShape">
                          <a:avLst/>
                        </a:prstTxWarp>
                        <a:spAutoFit/>
                      </wps:bodyPr>
                    </wps:wsp>
                  </a:graphicData>
                </a:graphic>
                <wp14:sizeRelH relativeFrom="margin">
                  <wp14:pctWidth>50000</wp14:pctWidth>
                </wp14:sizeRelH>
                <wp14:sizeRelV relativeFrom="margin">
                  <wp14:pctHeight>0</wp14:pctHeight>
                </wp14:sizeRelV>
              </wp:anchor>
            </w:drawing>
          </mc:Choice>
          <mc:Fallback>
            <w:pict>
              <v:shape w14:anchorId="659B92B6" id="_x0000_s1056" style="position:absolute;left:0;text-align:left;margin-left:182.8pt;margin-top:465.35pt;width:234pt;height:138.95pt;z-index:251691008;visibility:visible;mso-wrap-style:square;mso-width-percent:500;mso-height-percent:0;mso-wrap-distance-left:14.4pt;mso-wrap-distance-top:14.4pt;mso-wrap-distance-right:14.4pt;mso-wrap-distance-bottom:14.4pt;mso-position-horizontal:right;mso-position-horizontal-relative:margin;mso-position-vertical:absolute;mso-position-vertical-relative:margin;mso-width-percent:500;mso-height-percent:0;mso-width-relative:margin;mso-height-relative:margin;v-text-anchor:top" coordsize="2971800,176466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" adj="-11796480,,5400" path="m,l2677683,r294117,294117l2971800,1764665,,1764665,,xe" fillcolor="#4d5f78 [2994]" stroked="f" strokeweight="1pt">
                <v:fill color2="#2a3442 [2018]" rotate="t" colors="0 #5d6d85;.5 #485972;1 #334258" focus="100%" type="gradient">
                  <o:fill v:ext="view" type="gradientUnscaled"/>
                </v:fill>
                <v:stroke joinstyle="miter"/>
                <v:formulas/>
                <v:path arrowok="t" o:connecttype="custom" o:connectlocs="0,0;2677683,0;2971800,294117;2971800,1764665;0,1764665;0,0" o:connectangles="0,0,0,0,0,0" textboxrect="0,0,2971800,1764665"/>
                <v:textbox style="mso-fit-shape-to-text:t" inset="10.8pt,7.2pt,,7.2pt">
                  <w:txbxContent>
                    <w:p w14:paraId="47EBEEFA" w14:textId="77777777" w:rsidR="00366D34" w:rsidRPr="00726C74" w:rsidRDefault="00366D34" w:rsidP="002B6B93">
                      <w:pPr>
                        <w:rPr>
                          <w:i/>
                          <w:iCs/>
                          <w:caps/>
                          <w:sz w:val="24"/>
                          <w:szCs w:val="28"/>
                        </w:rPr>
                      </w:pPr>
                      <w:r w:rsidRPr="00726C74">
                        <w:rPr>
                          <w:i/>
                          <w:iCs/>
                        </w:rPr>
                        <w:t>SSB has embraced the relevance and importance of LMI in the rehabilitation process. LMI is looked at on various levels throughout the process because there is so much fluidity in VR. It is something that is required and often times helps our counselors better justify decisions.</w:t>
                      </w:r>
                    </w:p>
                  </w:txbxContent>
                </v:textbox>
                <w10:wrap type="square" anchorx="margin" anchory="margin"/>
              </v:shape>
            </w:pict>
          </mc:Fallback>
        </mc:AlternateContent>
      </w:r>
      <w:r>
        <w:t>Minnesota Blind requires use of LMI when developing an IPE.  The TCI+ TA Team is working with them to develop a form for documentation. The approach will be to have counselors utilize the form with clients, answering certain LMI elements for the vocational goal that has been selected.  Then the form will be sent to a single point of contact to review the LMI and give guidance back to the counselor/ supervisor.  After agreement regarding LMI’s applicability to client goals and establishment of those, the IPE will be signed and documented in the agency’s case management system.</w:t>
      </w:r>
    </w:p>
    <w:p w14:paraId="5233B8FE" w14:textId="77777777" w:rsidR="002B6B93" w:rsidRPr="0081627A" w:rsidRDefault="002B6B93" w:rsidP="002B6B93">
      <w:pPr>
        <w:pStyle w:val="ListParagraph"/>
        <w:numPr>
          <w:ilvl w:val="0"/>
          <w:numId w:val="65"/>
        </w:numPr>
        <w:rPr>
          <w:i/>
        </w:rPr>
      </w:pPr>
      <w:r w:rsidRPr="0081627A">
        <w:rPr>
          <w:i/>
        </w:rPr>
        <w:t>Utah Combined</w:t>
      </w:r>
    </w:p>
    <w:p w14:paraId="254CC869" w14:textId="77777777" w:rsidR="002B6B93" w:rsidRDefault="002B6B93" w:rsidP="002B6B93">
      <w:pPr>
        <w:ind w:firstLine="360"/>
      </w:pPr>
      <w:r>
        <w:t xml:space="preserve">Utah Combined recently received training and aims to integrate LMI utilization training agency wide as part of their ‘back to basics’ efforts regarding effective provision of counseling and guidance.  </w:t>
      </w:r>
    </w:p>
    <w:p w14:paraId="0DB11959" w14:textId="77777777" w:rsidR="002B6B93" w:rsidRPr="0081627A" w:rsidRDefault="002B6B93" w:rsidP="002B6B93">
      <w:pPr>
        <w:pStyle w:val="ListParagraph"/>
        <w:numPr>
          <w:ilvl w:val="0"/>
          <w:numId w:val="65"/>
        </w:numPr>
        <w:rPr>
          <w:i/>
        </w:rPr>
      </w:pPr>
      <w:r w:rsidRPr="0081627A">
        <w:rPr>
          <w:i/>
        </w:rPr>
        <w:t xml:space="preserve">Iowa </w:t>
      </w:r>
      <w:r>
        <w:rPr>
          <w:i/>
        </w:rPr>
        <w:t>Blind</w:t>
      </w:r>
    </w:p>
    <w:p w14:paraId="5E261D75" w14:textId="77777777" w:rsidR="002B6B93" w:rsidRDefault="002B6B93" w:rsidP="002B6B93">
      <w:pPr>
        <w:ind w:firstLine="360"/>
      </w:pPr>
      <w:r>
        <w:t>Iowa Blind collects LMI at the time of the IPE using a specific form they created and then the supervisor checks all IPEs to ensure its inclusion.</w:t>
      </w:r>
    </w:p>
    <w:p w14:paraId="7744FF32" w14:textId="77777777" w:rsidR="002B6B93" w:rsidRPr="00D4058F" w:rsidRDefault="002B6B93" w:rsidP="002B6B93">
      <w:pPr>
        <w:pStyle w:val="ListParagraph"/>
        <w:numPr>
          <w:ilvl w:val="0"/>
          <w:numId w:val="65"/>
        </w:numPr>
        <w:rPr>
          <w:i/>
        </w:rPr>
      </w:pPr>
      <w:r w:rsidRPr="00D4058F">
        <w:rPr>
          <w:i/>
        </w:rPr>
        <w:t>North Dakota</w:t>
      </w:r>
      <w:r w:rsidRPr="00D4058F">
        <w:rPr>
          <w:i/>
        </w:rPr>
        <w:tab/>
      </w:r>
    </w:p>
    <w:p w14:paraId="2CFF1E5F" w14:textId="77777777" w:rsidR="002B6B93" w:rsidRDefault="002B6B93" w:rsidP="002B6B93">
      <w:pPr>
        <w:ind w:firstLine="360"/>
      </w:pPr>
      <w:r>
        <w:t>TCI+ training has been provided to all staff and a “Client Focused Form” template created to support LMI usage.  North Dakota issued a Technical Assistance Memo requiring LMI usage as well, but no explicit policy.</w:t>
      </w:r>
      <w:r>
        <w:tab/>
        <w:t xml:space="preserve"> </w:t>
      </w:r>
    </w:p>
    <w:p w14:paraId="523CEA11" w14:textId="77777777" w:rsidR="002B6B93" w:rsidRPr="00E41BEF" w:rsidRDefault="002B6B93" w:rsidP="002B6B93">
      <w:pPr>
        <w:pStyle w:val="ListParagraph"/>
        <w:numPr>
          <w:ilvl w:val="0"/>
          <w:numId w:val="65"/>
        </w:numPr>
        <w:rPr>
          <w:i/>
        </w:rPr>
      </w:pPr>
      <w:r w:rsidRPr="00E41BEF">
        <w:rPr>
          <w:i/>
        </w:rPr>
        <w:t>Mississippi Combined</w:t>
      </w:r>
    </w:p>
    <w:p w14:paraId="05EC79ED" w14:textId="77777777" w:rsidR="002B6B93" w:rsidRDefault="002B6B93" w:rsidP="002B6B93">
      <w:pPr>
        <w:ind w:firstLine="360"/>
      </w:pPr>
      <w:r>
        <w:t xml:space="preserve">TCI+ training has been provided to all staff, as well as sample policy ideas and forms to support LMI usage.  </w:t>
      </w:r>
    </w:p>
    <w:p w14:paraId="5C0E3437" w14:textId="77777777" w:rsidR="002B6B93" w:rsidRPr="00E41BEF" w:rsidRDefault="002B6B93" w:rsidP="002B6B93">
      <w:pPr>
        <w:pStyle w:val="ListParagraph"/>
        <w:numPr>
          <w:ilvl w:val="0"/>
          <w:numId w:val="65"/>
        </w:numPr>
        <w:rPr>
          <w:i/>
        </w:rPr>
      </w:pPr>
      <w:r w:rsidRPr="00E41BEF">
        <w:rPr>
          <w:i/>
        </w:rPr>
        <w:t>Michigan Blind</w:t>
      </w:r>
    </w:p>
    <w:p w14:paraId="27F607E2" w14:textId="77777777" w:rsidR="002B6B93" w:rsidRDefault="002B6B93" w:rsidP="002B6B93">
      <w:pPr>
        <w:ind w:firstLine="360"/>
      </w:pPr>
      <w:r>
        <w:t xml:space="preserve">All staff were trained by WINTAC on using TCI+ and Michigan Blind has developed a policy requiring LMI usage when developing an IPE, but no forms are currently required.  </w:t>
      </w:r>
    </w:p>
    <w:p w14:paraId="24994424" w14:textId="77777777" w:rsidR="002B6B93" w:rsidRPr="008A5F03" w:rsidRDefault="002B6B93" w:rsidP="002B6B93">
      <w:pPr>
        <w:pStyle w:val="ListParagraph"/>
        <w:numPr>
          <w:ilvl w:val="0"/>
          <w:numId w:val="70"/>
        </w:numPr>
        <w:rPr>
          <w:i/>
          <w:iCs/>
        </w:rPr>
      </w:pPr>
      <w:r w:rsidRPr="008A5F03">
        <w:rPr>
          <w:i/>
          <w:iCs/>
        </w:rPr>
        <w:t>Colorado Combined</w:t>
      </w:r>
    </w:p>
    <w:p w14:paraId="26D7E728" w14:textId="77777777" w:rsidR="002B6B93" w:rsidRDefault="002B6B93" w:rsidP="002B6B93">
      <w:pPr>
        <w:ind w:firstLine="360"/>
      </w:pPr>
      <w:r>
        <w:t>During the Comprehensive Assessment/IPE development phase staff are required to use a form to document their rationale for supporting an employment goal based on LMI. On thisform, staff are required to Identify and describe the agreed-upon employment goal (e.g, typical salary, entry level requirements, results of labor market analysis, brief description of job duties, typical schedule and work environment, available benefits).</w:t>
      </w:r>
      <w:r>
        <w:tab/>
      </w:r>
    </w:p>
    <w:p w14:paraId="43CBA759" w14:textId="77777777" w:rsidR="002B6B93" w:rsidRPr="0001392B" w:rsidRDefault="002B6B93" w:rsidP="002B6B93">
      <w:pPr>
        <w:ind w:firstLine="360"/>
      </w:pPr>
      <w:r w:rsidRPr="007E2B25">
        <w:rPr>
          <w:b/>
          <w:bCs/>
          <w:i/>
          <w:iCs/>
          <w:u w:val="single"/>
        </w:rPr>
        <w:t>Evaluation Recommendations.</w:t>
      </w:r>
      <w:r>
        <w:t xml:space="preserve">  As with all areas, an increase in ways of tracking data should be established by agencies.  The TA Team for TCI+/LMI is focused on supporting states to develop forms documenting LMI usage in IPE and IEP development.  </w:t>
      </w:r>
      <w:r>
        <w:lastRenderedPageBreak/>
        <w:t xml:space="preserve">Where possible, agency CMS should also have a flag or code assigned so they can most easily track, monitor, and improve their approach to its integration.  Future evaluation reports can then summarize and analyze the pattern of usage in more concrete ways and correlate it to client outcomes such as: </w:t>
      </w:r>
    </w:p>
    <w:p w14:paraId="76DFD58C" w14:textId="77777777" w:rsidR="002B6B93" w:rsidRDefault="002B6B93" w:rsidP="002B6B93">
      <w:pPr>
        <w:pStyle w:val="ListParagraph"/>
        <w:numPr>
          <w:ilvl w:val="0"/>
          <w:numId w:val="67"/>
        </w:numPr>
        <w:spacing w:after="0" w:line="240" w:lineRule="auto"/>
        <w:rPr>
          <w:rFonts w:ascii="Calibri" w:eastAsia="Times New Roman" w:hAnsi="Calibri" w:cs="Calibri"/>
          <w:color w:val="000000"/>
        </w:rPr>
      </w:pPr>
      <w:r>
        <w:rPr>
          <w:rFonts w:ascii="Calibri" w:eastAsia="Times New Roman" w:hAnsi="Calibri" w:cs="Calibri"/>
          <w:color w:val="000000"/>
        </w:rPr>
        <w:t>Increases in client perception of informed choice</w:t>
      </w:r>
    </w:p>
    <w:p w14:paraId="0410625C" w14:textId="77777777" w:rsidR="002B6B93" w:rsidRDefault="002B6B93" w:rsidP="002B6B93">
      <w:pPr>
        <w:pStyle w:val="ListParagraph"/>
        <w:numPr>
          <w:ilvl w:val="0"/>
          <w:numId w:val="67"/>
        </w:numPr>
        <w:spacing w:after="0" w:line="240" w:lineRule="auto"/>
        <w:rPr>
          <w:rFonts w:ascii="Calibri" w:eastAsia="Times New Roman" w:hAnsi="Calibri" w:cs="Calibri"/>
          <w:color w:val="000000"/>
        </w:rPr>
      </w:pPr>
      <w:r>
        <w:rPr>
          <w:rFonts w:ascii="Calibri" w:eastAsia="Times New Roman" w:hAnsi="Calibri" w:cs="Calibri"/>
          <w:color w:val="000000"/>
        </w:rPr>
        <w:t>Increases in perceived job match</w:t>
      </w:r>
    </w:p>
    <w:p w14:paraId="039A18B3" w14:textId="77777777" w:rsidR="002B6B93" w:rsidRDefault="002B6B93" w:rsidP="002B6B93">
      <w:pPr>
        <w:pStyle w:val="ListParagraph"/>
        <w:numPr>
          <w:ilvl w:val="0"/>
          <w:numId w:val="67"/>
        </w:numPr>
        <w:spacing w:after="0" w:line="240" w:lineRule="auto"/>
        <w:rPr>
          <w:rFonts w:ascii="Calibri" w:eastAsia="Times New Roman" w:hAnsi="Calibri" w:cs="Calibri"/>
          <w:color w:val="000000"/>
        </w:rPr>
      </w:pPr>
      <w:r w:rsidRPr="00050BA7">
        <w:rPr>
          <w:rFonts w:ascii="Calibri" w:eastAsia="Times New Roman" w:hAnsi="Calibri" w:cs="Calibri"/>
          <w:color w:val="000000"/>
        </w:rPr>
        <w:t>Increase</w:t>
      </w:r>
      <w:r>
        <w:rPr>
          <w:rFonts w:ascii="Calibri" w:eastAsia="Times New Roman" w:hAnsi="Calibri" w:cs="Calibri"/>
          <w:color w:val="000000"/>
        </w:rPr>
        <w:t>s</w:t>
      </w:r>
      <w:r w:rsidRPr="00050BA7">
        <w:rPr>
          <w:rFonts w:ascii="Calibri" w:eastAsia="Times New Roman" w:hAnsi="Calibri" w:cs="Calibri"/>
          <w:color w:val="000000"/>
        </w:rPr>
        <w:t xml:space="preserve"> in diversity of employment goals at IPE approval</w:t>
      </w:r>
    </w:p>
    <w:p w14:paraId="49B2441F" w14:textId="77777777" w:rsidR="002B6B93" w:rsidRDefault="002B6B93" w:rsidP="002B6B93">
      <w:pPr>
        <w:pStyle w:val="ListParagraph"/>
        <w:numPr>
          <w:ilvl w:val="0"/>
          <w:numId w:val="67"/>
        </w:numPr>
        <w:spacing w:after="0" w:line="240" w:lineRule="auto"/>
        <w:rPr>
          <w:rFonts w:ascii="Calibri" w:eastAsia="Times New Roman" w:hAnsi="Calibri" w:cs="Calibri"/>
          <w:color w:val="000000"/>
        </w:rPr>
      </w:pPr>
      <w:r w:rsidRPr="00050BA7">
        <w:rPr>
          <w:rFonts w:ascii="Calibri" w:eastAsia="Times New Roman" w:hAnsi="Calibri" w:cs="Calibri"/>
          <w:color w:val="000000"/>
        </w:rPr>
        <w:t>Increase</w:t>
      </w:r>
      <w:r>
        <w:rPr>
          <w:rFonts w:ascii="Calibri" w:eastAsia="Times New Roman" w:hAnsi="Calibri" w:cs="Calibri"/>
          <w:color w:val="000000"/>
        </w:rPr>
        <w:t>s</w:t>
      </w:r>
      <w:r w:rsidRPr="00050BA7">
        <w:rPr>
          <w:rFonts w:ascii="Calibri" w:eastAsia="Times New Roman" w:hAnsi="Calibri" w:cs="Calibri"/>
          <w:color w:val="000000"/>
        </w:rPr>
        <w:t xml:space="preserve"> in training programs utilized</w:t>
      </w:r>
    </w:p>
    <w:p w14:paraId="56EC42D6" w14:textId="77777777" w:rsidR="002B6B93" w:rsidRDefault="002B6B93" w:rsidP="002B6B93">
      <w:pPr>
        <w:pStyle w:val="ListParagraph"/>
        <w:numPr>
          <w:ilvl w:val="0"/>
          <w:numId w:val="67"/>
        </w:numPr>
        <w:spacing w:after="0" w:line="240" w:lineRule="auto"/>
        <w:rPr>
          <w:rFonts w:ascii="Calibri" w:eastAsia="Times New Roman" w:hAnsi="Calibri" w:cs="Calibri"/>
          <w:color w:val="000000"/>
        </w:rPr>
      </w:pPr>
      <w:r w:rsidRPr="00050BA7">
        <w:rPr>
          <w:rFonts w:ascii="Calibri" w:eastAsia="Times New Roman" w:hAnsi="Calibri" w:cs="Calibri"/>
          <w:color w:val="000000"/>
        </w:rPr>
        <w:t>Increase</w:t>
      </w:r>
      <w:r>
        <w:rPr>
          <w:rFonts w:ascii="Calibri" w:eastAsia="Times New Roman" w:hAnsi="Calibri" w:cs="Calibri"/>
          <w:color w:val="000000"/>
        </w:rPr>
        <w:t>s</w:t>
      </w:r>
      <w:r w:rsidRPr="00050BA7">
        <w:rPr>
          <w:rFonts w:ascii="Calibri" w:eastAsia="Times New Roman" w:hAnsi="Calibri" w:cs="Calibri"/>
          <w:color w:val="000000"/>
        </w:rPr>
        <w:t xml:space="preserve"> in the diversity of training programs utilized</w:t>
      </w:r>
    </w:p>
    <w:p w14:paraId="40CCE2F6" w14:textId="77777777" w:rsidR="002B6B93" w:rsidRDefault="002B6B93" w:rsidP="002B6B93">
      <w:pPr>
        <w:pStyle w:val="ListParagraph"/>
        <w:numPr>
          <w:ilvl w:val="0"/>
          <w:numId w:val="67"/>
        </w:numPr>
        <w:spacing w:after="0" w:line="240" w:lineRule="auto"/>
        <w:rPr>
          <w:rFonts w:ascii="Calibri" w:eastAsia="Times New Roman" w:hAnsi="Calibri" w:cs="Calibri"/>
          <w:color w:val="000000"/>
        </w:rPr>
      </w:pPr>
      <w:r w:rsidRPr="00050BA7">
        <w:rPr>
          <w:rFonts w:ascii="Calibri" w:eastAsia="Times New Roman" w:hAnsi="Calibri" w:cs="Calibri"/>
          <w:color w:val="000000"/>
        </w:rPr>
        <w:t>Decrease</w:t>
      </w:r>
      <w:r>
        <w:rPr>
          <w:rFonts w:ascii="Calibri" w:eastAsia="Times New Roman" w:hAnsi="Calibri" w:cs="Calibri"/>
          <w:color w:val="000000"/>
        </w:rPr>
        <w:t>s</w:t>
      </w:r>
      <w:r w:rsidRPr="00050BA7">
        <w:rPr>
          <w:rFonts w:ascii="Calibri" w:eastAsia="Times New Roman" w:hAnsi="Calibri" w:cs="Calibri"/>
          <w:color w:val="000000"/>
        </w:rPr>
        <w:t xml:space="preserve"> in the amount of time between eligibility and IPE approval</w:t>
      </w:r>
    </w:p>
    <w:p w14:paraId="0F2BBB55" w14:textId="77777777" w:rsidR="002B6B93" w:rsidRDefault="002B6B93" w:rsidP="002B6B93">
      <w:pPr>
        <w:spacing w:after="0" w:line="240" w:lineRule="auto"/>
        <w:rPr>
          <w:rFonts w:ascii="Calibri" w:eastAsia="Times New Roman" w:hAnsi="Calibri" w:cs="Calibri"/>
          <w:color w:val="000000"/>
        </w:rPr>
      </w:pPr>
    </w:p>
    <w:p w14:paraId="1BBE55B1" w14:textId="77777777" w:rsidR="002B6B93" w:rsidRPr="00241C33" w:rsidRDefault="002B6B93" w:rsidP="002B6B93">
      <w:pPr>
        <w:spacing w:after="0" w:line="240" w:lineRule="auto"/>
        <w:rPr>
          <w:rFonts w:ascii="Calibri" w:eastAsia="Times New Roman" w:hAnsi="Calibri" w:cs="Calibri"/>
          <w:color w:val="000000"/>
        </w:rPr>
      </w:pPr>
      <w:r>
        <w:rPr>
          <w:rFonts w:ascii="Calibri" w:eastAsia="Times New Roman" w:hAnsi="Calibri" w:cs="Calibri"/>
          <w:color w:val="000000"/>
        </w:rPr>
        <w:t>Over time, as these are l</w:t>
      </w:r>
      <w:r w:rsidRPr="00241C33">
        <w:rPr>
          <w:rFonts w:ascii="Calibri" w:eastAsia="Times New Roman" w:hAnsi="Calibri" w:cs="Calibri"/>
          <w:color w:val="000000"/>
        </w:rPr>
        <w:t>ong</w:t>
      </w:r>
      <w:r>
        <w:rPr>
          <w:rFonts w:ascii="Calibri" w:eastAsia="Times New Roman" w:hAnsi="Calibri" w:cs="Calibri"/>
          <w:color w:val="000000"/>
        </w:rPr>
        <w:t>er</w:t>
      </w:r>
      <w:r w:rsidRPr="00241C33">
        <w:rPr>
          <w:rFonts w:ascii="Calibri" w:eastAsia="Times New Roman" w:hAnsi="Calibri" w:cs="Calibri"/>
          <w:color w:val="000000"/>
        </w:rPr>
        <w:t>-</w:t>
      </w:r>
      <w:r>
        <w:rPr>
          <w:rFonts w:ascii="Calibri" w:eastAsia="Times New Roman" w:hAnsi="Calibri" w:cs="Calibri"/>
          <w:color w:val="000000"/>
        </w:rPr>
        <w:t>t</w:t>
      </w:r>
      <w:r w:rsidRPr="00241C33">
        <w:rPr>
          <w:rFonts w:ascii="Calibri" w:eastAsia="Times New Roman" w:hAnsi="Calibri" w:cs="Calibri"/>
          <w:color w:val="000000"/>
        </w:rPr>
        <w:t xml:space="preserve">erm </w:t>
      </w:r>
      <w:r>
        <w:rPr>
          <w:rFonts w:ascii="Calibri" w:eastAsia="Times New Roman" w:hAnsi="Calibri" w:cs="Calibri"/>
          <w:color w:val="000000"/>
        </w:rPr>
        <w:t>c</w:t>
      </w:r>
      <w:r w:rsidRPr="00241C33">
        <w:rPr>
          <w:rFonts w:ascii="Calibri" w:eastAsia="Times New Roman" w:hAnsi="Calibri" w:cs="Calibri"/>
          <w:color w:val="000000"/>
        </w:rPr>
        <w:t xml:space="preserve">lient </w:t>
      </w:r>
      <w:r>
        <w:rPr>
          <w:rFonts w:ascii="Calibri" w:eastAsia="Times New Roman" w:hAnsi="Calibri" w:cs="Calibri"/>
          <w:color w:val="000000"/>
        </w:rPr>
        <w:t>o</w:t>
      </w:r>
      <w:r w:rsidRPr="00241C33">
        <w:rPr>
          <w:rFonts w:ascii="Calibri" w:eastAsia="Times New Roman" w:hAnsi="Calibri" w:cs="Calibri"/>
          <w:color w:val="000000"/>
        </w:rPr>
        <w:t>utcomes</w:t>
      </w:r>
      <w:r>
        <w:rPr>
          <w:rFonts w:ascii="Calibri" w:eastAsia="Times New Roman" w:hAnsi="Calibri" w:cs="Calibri"/>
          <w:color w:val="000000"/>
        </w:rPr>
        <w:t>, one could also examine the</w:t>
      </w:r>
      <w:r w:rsidRPr="00241C33">
        <w:rPr>
          <w:rFonts w:ascii="Calibri" w:eastAsia="Times New Roman" w:hAnsi="Calibri" w:cs="Calibri"/>
          <w:color w:val="000000"/>
        </w:rPr>
        <w:t>:</w:t>
      </w:r>
    </w:p>
    <w:p w14:paraId="6FEA2869" w14:textId="77777777" w:rsidR="002B6B93" w:rsidRPr="00B52C31" w:rsidRDefault="002B6B93" w:rsidP="002B6B93">
      <w:pPr>
        <w:spacing w:after="0" w:line="240" w:lineRule="auto"/>
        <w:rPr>
          <w:rFonts w:ascii="Calibri" w:eastAsia="Times New Roman" w:hAnsi="Calibri" w:cs="Calibri"/>
          <w:color w:val="000000"/>
          <w:u w:val="single"/>
        </w:rPr>
      </w:pPr>
    </w:p>
    <w:p w14:paraId="051D3E6E" w14:textId="77777777" w:rsidR="002B6B93" w:rsidRDefault="002B6B93" w:rsidP="002B6B93">
      <w:pPr>
        <w:pStyle w:val="ListParagraph"/>
        <w:numPr>
          <w:ilvl w:val="0"/>
          <w:numId w:val="67"/>
        </w:numPr>
        <w:spacing w:after="0" w:line="240" w:lineRule="auto"/>
        <w:rPr>
          <w:rFonts w:ascii="Calibri" w:eastAsia="Times New Roman" w:hAnsi="Calibri" w:cs="Calibri"/>
          <w:color w:val="000000"/>
        </w:rPr>
      </w:pPr>
      <w:r w:rsidRPr="00050BA7">
        <w:rPr>
          <w:rFonts w:ascii="Calibri" w:eastAsia="Times New Roman" w:hAnsi="Calibri" w:cs="Calibri"/>
          <w:color w:val="000000"/>
        </w:rPr>
        <w:t>Decrease in the amount of time between IPE approval and job placement</w:t>
      </w:r>
    </w:p>
    <w:p w14:paraId="4DF0C638" w14:textId="77777777" w:rsidR="002B6B93" w:rsidRDefault="002B6B93" w:rsidP="002B6B93">
      <w:pPr>
        <w:pStyle w:val="ListParagraph"/>
        <w:numPr>
          <w:ilvl w:val="0"/>
          <w:numId w:val="67"/>
        </w:numPr>
        <w:spacing w:after="0" w:line="240" w:lineRule="auto"/>
        <w:rPr>
          <w:rFonts w:ascii="Calibri" w:eastAsia="Times New Roman" w:hAnsi="Calibri" w:cs="Calibri"/>
          <w:color w:val="000000"/>
        </w:rPr>
      </w:pPr>
      <w:r w:rsidRPr="00050BA7">
        <w:rPr>
          <w:rFonts w:ascii="Calibri" w:eastAsia="Times New Roman" w:hAnsi="Calibri" w:cs="Calibri"/>
          <w:color w:val="000000"/>
        </w:rPr>
        <w:t>Increase in the accuracy of employment goals between IPE approval and job placement</w:t>
      </w:r>
    </w:p>
    <w:p w14:paraId="28F13E64" w14:textId="77777777" w:rsidR="002B6B93" w:rsidRDefault="002B6B93" w:rsidP="002B6B93">
      <w:pPr>
        <w:pStyle w:val="ListParagraph"/>
        <w:numPr>
          <w:ilvl w:val="0"/>
          <w:numId w:val="67"/>
        </w:numPr>
        <w:spacing w:after="0" w:line="240" w:lineRule="auto"/>
        <w:rPr>
          <w:rFonts w:ascii="Calibri" w:eastAsia="Times New Roman" w:hAnsi="Calibri" w:cs="Calibri"/>
          <w:color w:val="000000"/>
        </w:rPr>
      </w:pPr>
      <w:r w:rsidRPr="00050BA7">
        <w:rPr>
          <w:rFonts w:ascii="Calibri" w:eastAsia="Times New Roman" w:hAnsi="Calibri" w:cs="Calibri"/>
          <w:color w:val="000000"/>
        </w:rPr>
        <w:t>Increase in diversity of employment goals at closure</w:t>
      </w:r>
    </w:p>
    <w:p w14:paraId="49F35952" w14:textId="77777777" w:rsidR="002B6B93" w:rsidRDefault="002B6B93" w:rsidP="002B6B93">
      <w:pPr>
        <w:pStyle w:val="ListParagraph"/>
        <w:numPr>
          <w:ilvl w:val="0"/>
          <w:numId w:val="67"/>
        </w:numPr>
        <w:spacing w:after="0" w:line="240" w:lineRule="auto"/>
        <w:rPr>
          <w:rFonts w:ascii="Calibri" w:eastAsia="Times New Roman" w:hAnsi="Calibri" w:cs="Calibri"/>
          <w:color w:val="000000"/>
        </w:rPr>
      </w:pPr>
      <w:r w:rsidRPr="00050BA7">
        <w:rPr>
          <w:rFonts w:ascii="Calibri" w:eastAsia="Times New Roman" w:hAnsi="Calibri" w:cs="Calibri"/>
          <w:color w:val="000000"/>
        </w:rPr>
        <w:t>Increase in rehabilitation rate</w:t>
      </w:r>
    </w:p>
    <w:p w14:paraId="17B67436" w14:textId="77777777" w:rsidR="002B6B93" w:rsidRDefault="002B6B93" w:rsidP="002B6B93">
      <w:pPr>
        <w:pStyle w:val="ListParagraph"/>
        <w:numPr>
          <w:ilvl w:val="0"/>
          <w:numId w:val="67"/>
        </w:numPr>
        <w:spacing w:after="0" w:line="240" w:lineRule="auto"/>
        <w:rPr>
          <w:rFonts w:ascii="Calibri" w:eastAsia="Times New Roman" w:hAnsi="Calibri" w:cs="Calibri"/>
          <w:color w:val="000000"/>
        </w:rPr>
      </w:pPr>
      <w:r w:rsidRPr="00050BA7">
        <w:rPr>
          <w:rFonts w:ascii="Calibri" w:eastAsia="Times New Roman" w:hAnsi="Calibri" w:cs="Calibri"/>
          <w:color w:val="000000"/>
        </w:rPr>
        <w:t>Increase in wages</w:t>
      </w:r>
    </w:p>
    <w:p w14:paraId="4D94F1CA" w14:textId="77777777" w:rsidR="002B6B93" w:rsidRDefault="002B6B93" w:rsidP="002B6B93">
      <w:pPr>
        <w:pStyle w:val="ListParagraph"/>
        <w:numPr>
          <w:ilvl w:val="0"/>
          <w:numId w:val="67"/>
        </w:numPr>
        <w:spacing w:after="0" w:line="240" w:lineRule="auto"/>
        <w:rPr>
          <w:rFonts w:ascii="Calibri" w:eastAsia="Times New Roman" w:hAnsi="Calibri" w:cs="Calibri"/>
          <w:color w:val="000000"/>
        </w:rPr>
      </w:pPr>
      <w:r w:rsidRPr="00050BA7">
        <w:rPr>
          <w:rFonts w:ascii="Calibri" w:eastAsia="Times New Roman" w:hAnsi="Calibri" w:cs="Calibri"/>
          <w:color w:val="000000"/>
        </w:rPr>
        <w:t>Increase in hours worked</w:t>
      </w:r>
    </w:p>
    <w:p w14:paraId="660CB8BC" w14:textId="77777777" w:rsidR="002B6B93" w:rsidRPr="00C21EA9" w:rsidRDefault="002B6B93" w:rsidP="002B6B93">
      <w:pPr>
        <w:spacing w:after="0" w:line="240" w:lineRule="auto"/>
        <w:rPr>
          <w:rFonts w:ascii="Calibri" w:eastAsia="Times New Roman" w:hAnsi="Calibri" w:cs="Calibri"/>
          <w:color w:val="000000"/>
        </w:rPr>
      </w:pPr>
    </w:p>
    <w:p w14:paraId="1117E2C9" w14:textId="77777777" w:rsidR="002B6B93" w:rsidRPr="00B10EA1" w:rsidRDefault="002B6B93" w:rsidP="002B6B93">
      <w:pPr>
        <w:rPr>
          <w:rFonts w:ascii="Calibri" w:eastAsia="Times New Roman" w:hAnsi="Calibri" w:cs="Calibri"/>
          <w:color w:val="000000"/>
        </w:rPr>
      </w:pPr>
      <w:r w:rsidRPr="00B10EA1">
        <w:rPr>
          <w:rFonts w:ascii="Calibri" w:eastAsia="Times New Roman" w:hAnsi="Calibri" w:cs="Calibri"/>
          <w:color w:val="000000"/>
        </w:rPr>
        <w:t>Given that TCI+ is being utilized heavily in ITAA/Pilot and non-ITAA/Pilot states in a similar way, possible “cohort comparisons” can also be conducted, by grouping states to:</w:t>
      </w:r>
    </w:p>
    <w:p w14:paraId="5C63EE5E" w14:textId="77777777" w:rsidR="002B6B93" w:rsidRDefault="002B6B93" w:rsidP="002B6B93">
      <w:pPr>
        <w:pStyle w:val="ListParagraph"/>
        <w:numPr>
          <w:ilvl w:val="0"/>
          <w:numId w:val="66"/>
        </w:numPr>
        <w:spacing w:after="0" w:line="240" w:lineRule="auto"/>
        <w:rPr>
          <w:rFonts w:ascii="Calibri" w:eastAsia="Times New Roman" w:hAnsi="Calibri" w:cs="Calibri"/>
          <w:color w:val="000000"/>
        </w:rPr>
      </w:pPr>
      <w:r>
        <w:rPr>
          <w:rFonts w:ascii="Calibri" w:eastAsia="Times New Roman" w:hAnsi="Calibri" w:cs="Calibri"/>
          <w:color w:val="000000"/>
        </w:rPr>
        <w:t xml:space="preserve">Compare outcome data for state programs that have higher usages of TCI+ against state programs with lower usage </w:t>
      </w:r>
    </w:p>
    <w:p w14:paraId="00BC7294" w14:textId="77777777" w:rsidR="002B6B93" w:rsidRDefault="002B6B93" w:rsidP="002B6B93">
      <w:pPr>
        <w:pStyle w:val="ListParagraph"/>
        <w:numPr>
          <w:ilvl w:val="0"/>
          <w:numId w:val="66"/>
        </w:numPr>
        <w:spacing w:after="0" w:line="240" w:lineRule="auto"/>
        <w:rPr>
          <w:rFonts w:ascii="Calibri" w:eastAsia="Times New Roman" w:hAnsi="Calibri" w:cs="Calibri"/>
          <w:color w:val="000000"/>
        </w:rPr>
      </w:pPr>
      <w:r>
        <w:rPr>
          <w:rFonts w:ascii="Calibri" w:eastAsia="Times New Roman" w:hAnsi="Calibri" w:cs="Calibri"/>
          <w:color w:val="000000"/>
        </w:rPr>
        <w:t>Compare outcome data for ITAA state programs before and after implementation of ITAA measures</w:t>
      </w:r>
    </w:p>
    <w:p w14:paraId="588456DB" w14:textId="77777777" w:rsidR="002B6B93" w:rsidRDefault="002B6B93" w:rsidP="002B6B93">
      <w:pPr>
        <w:pStyle w:val="ListParagraph"/>
        <w:numPr>
          <w:ilvl w:val="0"/>
          <w:numId w:val="66"/>
        </w:numPr>
        <w:spacing w:after="0" w:line="240" w:lineRule="auto"/>
        <w:rPr>
          <w:rFonts w:ascii="Calibri" w:eastAsia="Times New Roman" w:hAnsi="Calibri" w:cs="Calibri"/>
          <w:color w:val="000000"/>
        </w:rPr>
      </w:pPr>
      <w:r>
        <w:rPr>
          <w:rFonts w:ascii="Calibri" w:eastAsia="Times New Roman" w:hAnsi="Calibri" w:cs="Calibri"/>
          <w:color w:val="000000"/>
        </w:rPr>
        <w:t>Compare outcome data for VRCs and Clients with high and low patterns of TCI+ usage within a state</w:t>
      </w:r>
    </w:p>
    <w:p w14:paraId="6804E726" w14:textId="77777777" w:rsidR="002B6B93" w:rsidRDefault="002B6B93" w:rsidP="002B6B93">
      <w:pPr>
        <w:spacing w:after="0" w:line="240" w:lineRule="auto"/>
        <w:rPr>
          <w:rFonts w:ascii="Calibri" w:eastAsia="Times New Roman" w:hAnsi="Calibri" w:cs="Calibri"/>
          <w:color w:val="000000"/>
        </w:rPr>
      </w:pPr>
    </w:p>
    <w:p w14:paraId="1F248F13" w14:textId="77777777" w:rsidR="002B6B93" w:rsidRPr="000B7D85" w:rsidRDefault="002B6B93" w:rsidP="002B6B93">
      <w:pPr>
        <w:spacing w:after="0" w:line="240" w:lineRule="auto"/>
        <w:rPr>
          <w:rFonts w:ascii="Calibri" w:eastAsia="Times New Roman" w:hAnsi="Calibri" w:cs="Calibri"/>
          <w:color w:val="000000"/>
        </w:rPr>
      </w:pPr>
      <w:r>
        <w:rPr>
          <w:rFonts w:ascii="Calibri" w:eastAsia="Times New Roman" w:hAnsi="Calibri" w:cs="Calibri"/>
          <w:color w:val="000000"/>
        </w:rPr>
        <w:t>With enough users in a given state, one can do similar “grouped” analyses for clients and/or VRCs who are engaged in “heavier” versus “lighter” usage of TCI+ as well.  The goal is ultimately to look at the data in multiple ways and see if the same pattern evinces itself: that using LMI tools improves the numbers and diversity of client outcomes.  Over time one can also examine whether it increases the stability or retention of those successes and/or sets a client on a successful career pathway aligned to growth industries in their region.</w:t>
      </w:r>
    </w:p>
    <w:p w14:paraId="39FB7C5E" w14:textId="77777777" w:rsidR="002B6B93" w:rsidRDefault="002B6B93" w:rsidP="00076336">
      <w:pPr>
        <w:pStyle w:val="Heading1"/>
        <w:numPr>
          <w:ilvl w:val="0"/>
          <w:numId w:val="59"/>
        </w:numPr>
        <w:pBdr>
          <w:bottom w:val="single" w:sz="18" w:space="1" w:color="auto"/>
        </w:pBdr>
        <w:shd w:val="clear" w:color="auto" w:fill="auto"/>
        <w:ind w:left="630" w:hanging="630"/>
        <w:rPr>
          <w:caps w:val="0"/>
          <w:szCs w:val="52"/>
        </w:rPr>
        <w:sectPr w:rsidR="002B6B93" w:rsidSect="00D27D05">
          <w:pgSz w:w="12240" w:h="15840" w:code="1"/>
          <w:pgMar w:top="1440" w:right="1440" w:bottom="1440" w:left="1440" w:header="720" w:footer="720" w:gutter="0"/>
          <w:pgBorders w:offsetFrom="page">
            <w:top w:val="thinThickSmallGap" w:sz="24" w:space="24" w:color="2F5496" w:themeColor="accent1" w:themeShade="BF"/>
            <w:left w:val="thinThickSmallGap" w:sz="24" w:space="24" w:color="2F5496" w:themeColor="accent1" w:themeShade="BF"/>
            <w:bottom w:val="thickThinSmallGap" w:sz="24" w:space="24" w:color="2F5496" w:themeColor="accent1" w:themeShade="BF"/>
            <w:right w:val="thickThinSmallGap" w:sz="24" w:space="24" w:color="2F5496" w:themeColor="accent1" w:themeShade="BF"/>
          </w:pgBorders>
          <w:cols w:space="720"/>
          <w:docGrid w:linePitch="360"/>
        </w:sectPr>
      </w:pPr>
    </w:p>
    <w:p w14:paraId="7ED501D0" w14:textId="27CE8CC7" w:rsidR="003F2FE8" w:rsidRPr="00574844" w:rsidRDefault="00574844" w:rsidP="00076336">
      <w:pPr>
        <w:pStyle w:val="Heading1"/>
        <w:numPr>
          <w:ilvl w:val="0"/>
          <w:numId w:val="59"/>
        </w:numPr>
        <w:pBdr>
          <w:bottom w:val="single" w:sz="18" w:space="1" w:color="auto"/>
        </w:pBdr>
        <w:shd w:val="clear" w:color="auto" w:fill="auto"/>
        <w:ind w:left="630" w:hanging="630"/>
        <w:rPr>
          <w:caps w:val="0"/>
          <w:szCs w:val="52"/>
        </w:rPr>
      </w:pPr>
      <w:bookmarkStart w:id="133" w:name="_Toc28011456"/>
      <w:r w:rsidRPr="00574844">
        <w:rPr>
          <w:caps w:val="0"/>
          <w:szCs w:val="52"/>
        </w:rPr>
        <w:lastRenderedPageBreak/>
        <w:t>Peer Mentoring</w:t>
      </w:r>
      <w:bookmarkEnd w:id="133"/>
    </w:p>
    <w:p w14:paraId="4CB37E93" w14:textId="77777777" w:rsidR="003F2FE8" w:rsidRDefault="003F2FE8" w:rsidP="003F2FE8"/>
    <w:p w14:paraId="2B7C80C9" w14:textId="50019076" w:rsidR="00574844" w:rsidRDefault="00A637E1" w:rsidP="008F5E6D">
      <w:pPr>
        <w:ind w:hanging="180"/>
      </w:pPr>
      <w:r>
        <w:rPr>
          <w:noProof/>
          <w:lang w:eastAsia="ko-KR"/>
        </w:rPr>
        <w:drawing>
          <wp:inline distT="0" distB="0" distL="0" distR="0" wp14:anchorId="670FEA9D" wp14:editId="68A86A84">
            <wp:extent cx="5932805" cy="4308475"/>
            <wp:effectExtent l="323850" t="323850" r="315595" b="320675"/>
            <wp:docPr id="189" name="Picture 3" descr="Map of Peer Mentoring  ITAAs covering the states and territories of: AK, FL,ME, MO,MS V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Users/deborahlgreene/Documents/Work/SU-WINTAC/RSA Reports/Y4/Y4 year end/chapters/PM/Peer Mentoring ITA Map Y4.png"/>
                    <pic:cNvPicPr>
                      <a:picLocks/>
                    </pic:cNvPicPr>
                  </pic:nvPicPr>
                  <pic:blipFill>
                    <a:blip r:embed="rId424" cstate="print">
                      <a:extLst>
                        <a:ext uri="{28A0092B-C50C-407E-A947-70E740481C1C}">
                          <a14:useLocalDpi xmlns:a14="http://schemas.microsoft.com/office/drawing/2010/main" val="0"/>
                        </a:ext>
                      </a:extLst>
                    </a:blip>
                    <a:srcRect/>
                    <a:stretch>
                      <a:fillRect/>
                    </a:stretch>
                  </pic:blipFill>
                  <pic:spPr bwMode="auto">
                    <a:xfrm>
                      <a:off x="0" y="0"/>
                      <a:ext cx="5932805" cy="4308475"/>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p>
    <w:p w14:paraId="62656108" w14:textId="77777777" w:rsidR="00574844" w:rsidRDefault="00574844" w:rsidP="00574844">
      <w:pPr>
        <w:jc w:val="center"/>
        <w:rPr>
          <w:noProof/>
        </w:rPr>
      </w:pPr>
    </w:p>
    <w:p w14:paraId="66484AB8" w14:textId="77777777" w:rsidR="00574844" w:rsidRDefault="00574844" w:rsidP="00574844"/>
    <w:p w14:paraId="7E675460" w14:textId="77777777" w:rsidR="00574844" w:rsidRDefault="00574844" w:rsidP="00574844">
      <w:pPr>
        <w:sectPr w:rsidR="00574844" w:rsidSect="00D27D05">
          <w:pgSz w:w="12240" w:h="15840" w:code="1"/>
          <w:pgMar w:top="1440" w:right="1440" w:bottom="1440" w:left="1440" w:header="720" w:footer="720" w:gutter="0"/>
          <w:pgBorders w:offsetFrom="page">
            <w:top w:val="thinThickSmallGap" w:sz="24" w:space="24" w:color="2F5496" w:themeColor="accent1" w:themeShade="BF"/>
            <w:left w:val="thinThickSmallGap" w:sz="24" w:space="24" w:color="2F5496" w:themeColor="accent1" w:themeShade="BF"/>
            <w:bottom w:val="thickThinSmallGap" w:sz="24" w:space="24" w:color="2F5496" w:themeColor="accent1" w:themeShade="BF"/>
            <w:right w:val="thickThinSmallGap" w:sz="24" w:space="24" w:color="2F5496" w:themeColor="accent1" w:themeShade="BF"/>
          </w:pgBorders>
          <w:cols w:space="720"/>
          <w:vAlign w:val="center"/>
          <w:docGrid w:linePitch="360"/>
        </w:sectPr>
      </w:pPr>
    </w:p>
    <w:p w14:paraId="5D1CD76A" w14:textId="77777777" w:rsidR="00574844" w:rsidRPr="00206792" w:rsidRDefault="00574844" w:rsidP="00BA0D82">
      <w:pPr>
        <w:pStyle w:val="Heading2"/>
        <w:numPr>
          <w:ilvl w:val="0"/>
          <w:numId w:val="0"/>
        </w:numPr>
        <w:shd w:val="clear" w:color="auto" w:fill="8EAADB" w:themeFill="accent1" w:themeFillTint="99"/>
      </w:pPr>
      <w:bookmarkStart w:id="134" w:name="_Toc28011457"/>
      <w:r>
        <w:lastRenderedPageBreak/>
        <w:t>Peer Mentoring</w:t>
      </w:r>
      <w:r w:rsidRPr="00987BC7">
        <w:t xml:space="preserve"> – </w:t>
      </w:r>
      <w:r>
        <w:t xml:space="preserve">ITA </w:t>
      </w:r>
      <w:r w:rsidRPr="00987BC7">
        <w:t>Logic Model</w:t>
      </w:r>
      <w:bookmarkEnd w:id="134"/>
    </w:p>
    <w:tbl>
      <w:tblPr>
        <w:tblW w:w="5000" w:type="pct"/>
        <w:tblLook w:val="04A0" w:firstRow="1" w:lastRow="0" w:firstColumn="1" w:lastColumn="0" w:noHBand="0" w:noVBand="1"/>
      </w:tblPr>
      <w:tblGrid>
        <w:gridCol w:w="4765"/>
        <w:gridCol w:w="4585"/>
      </w:tblGrid>
      <w:tr w:rsidR="00574844" w:rsidRPr="00206792" w14:paraId="4D00B865" w14:textId="77777777" w:rsidTr="003B3F23">
        <w:trPr>
          <w:trHeight w:val="20"/>
          <w:tblHeader/>
        </w:trPr>
        <w:tc>
          <w:tcPr>
            <w:tcW w:w="2548" w:type="pct"/>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hideMark/>
          </w:tcPr>
          <w:p w14:paraId="3680F71E" w14:textId="77777777" w:rsidR="00574844" w:rsidRPr="00206792" w:rsidRDefault="00574844" w:rsidP="003B3F23">
            <w:pPr>
              <w:pStyle w:val="Heading3"/>
              <w:numPr>
                <w:ilvl w:val="0"/>
                <w:numId w:val="0"/>
              </w:numPr>
              <w:ind w:left="810" w:hanging="810"/>
            </w:pPr>
            <w:r w:rsidRPr="00206792">
              <w:t>Activity</w:t>
            </w:r>
          </w:p>
        </w:tc>
        <w:tc>
          <w:tcPr>
            <w:tcW w:w="2452" w:type="pct"/>
            <w:tcBorders>
              <w:top w:val="single" w:sz="4" w:space="0" w:color="auto"/>
              <w:left w:val="nil"/>
              <w:bottom w:val="single" w:sz="4" w:space="0" w:color="auto"/>
              <w:right w:val="single" w:sz="4" w:space="0" w:color="auto"/>
            </w:tcBorders>
            <w:shd w:val="clear" w:color="auto" w:fill="D9E2F3" w:themeFill="accent1" w:themeFillTint="33"/>
            <w:vAlign w:val="center"/>
            <w:hideMark/>
          </w:tcPr>
          <w:p w14:paraId="0C950C2C" w14:textId="77777777" w:rsidR="00574844" w:rsidRPr="00206792" w:rsidRDefault="00574844" w:rsidP="003B3F23">
            <w:pPr>
              <w:pStyle w:val="Heading3"/>
              <w:numPr>
                <w:ilvl w:val="0"/>
                <w:numId w:val="0"/>
              </w:numPr>
              <w:ind w:left="810" w:hanging="810"/>
            </w:pPr>
            <w:r w:rsidRPr="00206792">
              <w:t>Output</w:t>
            </w:r>
          </w:p>
        </w:tc>
      </w:tr>
      <w:tr w:rsidR="00574844" w:rsidRPr="00206792" w14:paraId="51A57EBB" w14:textId="77777777" w:rsidTr="003B3F23">
        <w:trPr>
          <w:trHeight w:val="20"/>
        </w:trPr>
        <w:tc>
          <w:tcPr>
            <w:tcW w:w="2548" w:type="pct"/>
            <w:tcBorders>
              <w:top w:val="nil"/>
              <w:left w:val="single" w:sz="4" w:space="0" w:color="000000"/>
              <w:bottom w:val="single" w:sz="4" w:space="0" w:color="000000"/>
              <w:right w:val="single" w:sz="4" w:space="0" w:color="000000"/>
            </w:tcBorders>
            <w:shd w:val="clear" w:color="auto" w:fill="auto"/>
            <w:vAlign w:val="center"/>
            <w:hideMark/>
          </w:tcPr>
          <w:p w14:paraId="2FAECE50" w14:textId="77777777" w:rsidR="00574844" w:rsidRPr="00206792" w:rsidRDefault="00574844" w:rsidP="003B3F23">
            <w:pPr>
              <w:pStyle w:val="ListParagraph"/>
              <w:numPr>
                <w:ilvl w:val="0"/>
                <w:numId w:val="57"/>
              </w:numPr>
              <w:spacing w:after="0" w:line="240" w:lineRule="auto"/>
            </w:pPr>
            <w:r w:rsidRPr="00206792">
              <w:rPr>
                <w:rFonts w:cstheme="minorHAnsi"/>
              </w:rPr>
              <w:t>Work with SVRA to develop a plan to establish or expand a network of peer mentors to deliver services to consumers.</w:t>
            </w:r>
          </w:p>
        </w:tc>
        <w:tc>
          <w:tcPr>
            <w:tcW w:w="2452" w:type="pct"/>
            <w:tcBorders>
              <w:top w:val="nil"/>
              <w:left w:val="nil"/>
              <w:bottom w:val="single" w:sz="4" w:space="0" w:color="000000"/>
              <w:right w:val="single" w:sz="4" w:space="0" w:color="000000"/>
            </w:tcBorders>
            <w:shd w:val="clear" w:color="auto" w:fill="auto"/>
            <w:vAlign w:val="center"/>
            <w:hideMark/>
          </w:tcPr>
          <w:p w14:paraId="602DA1CF" w14:textId="77777777" w:rsidR="00574844" w:rsidRPr="00206792" w:rsidRDefault="00574844" w:rsidP="003B3F23">
            <w:pPr>
              <w:pStyle w:val="ListParagraph"/>
              <w:numPr>
                <w:ilvl w:val="0"/>
                <w:numId w:val="22"/>
              </w:numPr>
              <w:spacing w:after="0" w:line="240" w:lineRule="auto"/>
            </w:pPr>
            <w:r w:rsidRPr="00206792">
              <w:rPr>
                <w:rFonts w:cstheme="minorHAnsi"/>
              </w:rPr>
              <w:t>A completed plan to establish or expand peer mentoring, outlining strategies and target dates for training and implementation</w:t>
            </w:r>
          </w:p>
        </w:tc>
      </w:tr>
      <w:tr w:rsidR="00574844" w:rsidRPr="00206792" w14:paraId="4381FCB5" w14:textId="77777777" w:rsidTr="003B3F23">
        <w:trPr>
          <w:trHeight w:val="20"/>
        </w:trPr>
        <w:tc>
          <w:tcPr>
            <w:tcW w:w="2548" w:type="pct"/>
            <w:tcBorders>
              <w:top w:val="nil"/>
              <w:left w:val="single" w:sz="4" w:space="0" w:color="000000"/>
              <w:bottom w:val="single" w:sz="4" w:space="0" w:color="000000"/>
              <w:right w:val="single" w:sz="4" w:space="0" w:color="000000"/>
            </w:tcBorders>
            <w:shd w:val="clear" w:color="auto" w:fill="auto"/>
            <w:vAlign w:val="center"/>
            <w:hideMark/>
          </w:tcPr>
          <w:p w14:paraId="54FBA16D" w14:textId="77777777" w:rsidR="00574844" w:rsidRPr="00206792" w:rsidRDefault="00574844" w:rsidP="003B3F23">
            <w:pPr>
              <w:pStyle w:val="ListParagraph"/>
              <w:numPr>
                <w:ilvl w:val="0"/>
                <w:numId w:val="57"/>
              </w:numPr>
              <w:spacing w:after="0" w:line="240" w:lineRule="auto"/>
            </w:pPr>
            <w:r w:rsidRPr="00206792">
              <w:rPr>
                <w:rFonts w:cstheme="minorHAnsi"/>
              </w:rPr>
              <w:t>Modify the peer mentoring training curriculum to meet the unique needs of the VR program and the consumers they serve.</w:t>
            </w:r>
          </w:p>
        </w:tc>
        <w:tc>
          <w:tcPr>
            <w:tcW w:w="2452" w:type="pct"/>
            <w:tcBorders>
              <w:top w:val="nil"/>
              <w:left w:val="nil"/>
              <w:bottom w:val="single" w:sz="4" w:space="0" w:color="000000"/>
              <w:right w:val="single" w:sz="4" w:space="0" w:color="000000"/>
            </w:tcBorders>
            <w:shd w:val="clear" w:color="auto" w:fill="auto"/>
            <w:vAlign w:val="center"/>
            <w:hideMark/>
          </w:tcPr>
          <w:p w14:paraId="546CB61A" w14:textId="77777777" w:rsidR="00574844" w:rsidRPr="00206792" w:rsidRDefault="00574844" w:rsidP="003B3F23">
            <w:pPr>
              <w:pStyle w:val="ListParagraph"/>
              <w:numPr>
                <w:ilvl w:val="0"/>
                <w:numId w:val="22"/>
              </w:numPr>
              <w:spacing w:after="0" w:line="240" w:lineRule="auto"/>
              <w:ind w:left="344"/>
              <w:rPr>
                <w:rFonts w:cstheme="minorHAnsi"/>
              </w:rPr>
            </w:pPr>
            <w:r w:rsidRPr="00206792">
              <w:rPr>
                <w:rFonts w:cstheme="minorHAnsi"/>
              </w:rPr>
              <w:t>A completed peer mentoring training series that has been modified as requested</w:t>
            </w:r>
          </w:p>
          <w:p w14:paraId="6992E5AD" w14:textId="77777777" w:rsidR="00574844" w:rsidRPr="00206792" w:rsidRDefault="00574844" w:rsidP="003B3F23">
            <w:pPr>
              <w:pStyle w:val="ListParagraph"/>
              <w:spacing w:after="0" w:line="240" w:lineRule="auto"/>
              <w:ind w:left="1080"/>
            </w:pPr>
          </w:p>
        </w:tc>
      </w:tr>
      <w:tr w:rsidR="00574844" w:rsidRPr="00206792" w14:paraId="122FB31C" w14:textId="77777777" w:rsidTr="003B3F23">
        <w:trPr>
          <w:trHeight w:val="20"/>
        </w:trPr>
        <w:tc>
          <w:tcPr>
            <w:tcW w:w="2548" w:type="pct"/>
            <w:tcBorders>
              <w:top w:val="nil"/>
              <w:left w:val="single" w:sz="4" w:space="0" w:color="000000"/>
              <w:bottom w:val="single" w:sz="4" w:space="0" w:color="000000"/>
              <w:right w:val="single" w:sz="4" w:space="0" w:color="000000"/>
            </w:tcBorders>
            <w:shd w:val="clear" w:color="auto" w:fill="auto"/>
            <w:vAlign w:val="center"/>
            <w:hideMark/>
          </w:tcPr>
          <w:p w14:paraId="6CC883F1" w14:textId="77777777" w:rsidR="00574844" w:rsidRPr="00206792" w:rsidRDefault="00574844" w:rsidP="003B3F23">
            <w:pPr>
              <w:pStyle w:val="ListParagraph"/>
              <w:numPr>
                <w:ilvl w:val="0"/>
                <w:numId w:val="57"/>
              </w:numPr>
              <w:spacing w:after="0"/>
              <w:rPr>
                <w:rFonts w:cstheme="minorHAnsi"/>
              </w:rPr>
            </w:pPr>
            <w:r w:rsidRPr="00206792">
              <w:rPr>
                <w:rFonts w:cstheme="minorHAnsi"/>
              </w:rPr>
              <w:t>Provide training to peer mentors and coordinators that prepares them to deliver or administer peer mentoring services.</w:t>
            </w:r>
          </w:p>
          <w:p w14:paraId="637AACBC" w14:textId="77777777" w:rsidR="00574844" w:rsidRPr="00206792" w:rsidRDefault="00574844" w:rsidP="003B3F23">
            <w:pPr>
              <w:pStyle w:val="ListParagraph"/>
              <w:spacing w:after="0" w:line="240" w:lineRule="auto"/>
              <w:ind w:left="360"/>
            </w:pPr>
          </w:p>
        </w:tc>
        <w:tc>
          <w:tcPr>
            <w:tcW w:w="2452" w:type="pct"/>
            <w:tcBorders>
              <w:top w:val="nil"/>
              <w:left w:val="nil"/>
              <w:bottom w:val="single" w:sz="4" w:space="0" w:color="000000"/>
              <w:right w:val="single" w:sz="4" w:space="0" w:color="000000"/>
            </w:tcBorders>
            <w:shd w:val="clear" w:color="auto" w:fill="auto"/>
            <w:vAlign w:val="center"/>
            <w:hideMark/>
          </w:tcPr>
          <w:p w14:paraId="74418F9F" w14:textId="77777777" w:rsidR="00574844" w:rsidRPr="00206792" w:rsidRDefault="00574844" w:rsidP="003B3F23">
            <w:pPr>
              <w:pStyle w:val="ListParagraph"/>
              <w:numPr>
                <w:ilvl w:val="0"/>
                <w:numId w:val="22"/>
              </w:numPr>
              <w:spacing w:after="0" w:line="240" w:lineRule="auto"/>
              <w:ind w:left="344"/>
              <w:rPr>
                <w:rFonts w:cstheme="minorHAnsi"/>
              </w:rPr>
            </w:pPr>
            <w:r w:rsidRPr="00206792">
              <w:rPr>
                <w:rFonts w:cstheme="minorHAnsi"/>
              </w:rPr>
              <w:t>The number of peer mentors and coordinators who complete the training</w:t>
            </w:r>
          </w:p>
        </w:tc>
      </w:tr>
      <w:tr w:rsidR="00574844" w:rsidRPr="00206792" w14:paraId="08AFE47A" w14:textId="77777777" w:rsidTr="003B3F23">
        <w:trPr>
          <w:trHeight w:val="20"/>
        </w:trPr>
        <w:tc>
          <w:tcPr>
            <w:tcW w:w="2548" w:type="pct"/>
            <w:tcBorders>
              <w:top w:val="nil"/>
              <w:left w:val="single" w:sz="4" w:space="0" w:color="000000"/>
              <w:bottom w:val="nil"/>
              <w:right w:val="single" w:sz="4" w:space="0" w:color="000000"/>
            </w:tcBorders>
            <w:shd w:val="clear" w:color="auto" w:fill="auto"/>
            <w:vAlign w:val="center"/>
            <w:hideMark/>
          </w:tcPr>
          <w:p w14:paraId="4AF705D3" w14:textId="77777777" w:rsidR="00574844" w:rsidRPr="00206792" w:rsidRDefault="00574844" w:rsidP="003B3F23">
            <w:pPr>
              <w:pStyle w:val="ListParagraph"/>
              <w:numPr>
                <w:ilvl w:val="0"/>
                <w:numId w:val="57"/>
              </w:numPr>
              <w:spacing w:after="0" w:line="240" w:lineRule="auto"/>
            </w:pPr>
            <w:r w:rsidRPr="00206792">
              <w:rPr>
                <w:rFonts w:cstheme="minorHAnsi"/>
              </w:rPr>
              <w:t>Assist the SVRA to develop or revise  policies or procedures for the delivery of peer mentoring as a service.</w:t>
            </w:r>
          </w:p>
        </w:tc>
        <w:tc>
          <w:tcPr>
            <w:tcW w:w="2452" w:type="pct"/>
            <w:tcBorders>
              <w:top w:val="nil"/>
              <w:left w:val="nil"/>
              <w:bottom w:val="nil"/>
              <w:right w:val="single" w:sz="4" w:space="0" w:color="000000"/>
            </w:tcBorders>
            <w:shd w:val="clear" w:color="auto" w:fill="auto"/>
            <w:vAlign w:val="center"/>
            <w:hideMark/>
          </w:tcPr>
          <w:p w14:paraId="01A74287" w14:textId="77777777" w:rsidR="00574844" w:rsidRPr="00206792" w:rsidRDefault="00574844" w:rsidP="003B3F23">
            <w:pPr>
              <w:pStyle w:val="ListParagraph"/>
              <w:numPr>
                <w:ilvl w:val="0"/>
                <w:numId w:val="22"/>
              </w:numPr>
              <w:spacing w:after="0" w:line="240" w:lineRule="auto"/>
              <w:ind w:left="344"/>
            </w:pPr>
            <w:r w:rsidRPr="00206792">
              <w:rPr>
                <w:rFonts w:cstheme="minorHAnsi"/>
              </w:rPr>
              <w:t>A draft of policies and  procedures for the delivery of peer mentoring services</w:t>
            </w:r>
          </w:p>
        </w:tc>
      </w:tr>
      <w:tr w:rsidR="00574844" w:rsidRPr="00206792" w14:paraId="2083FF70" w14:textId="77777777" w:rsidTr="003B3F23">
        <w:trPr>
          <w:trHeight w:val="20"/>
        </w:trPr>
        <w:tc>
          <w:tcPr>
            <w:tcW w:w="254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EDCCEF9" w14:textId="77777777" w:rsidR="00574844" w:rsidRPr="00206792" w:rsidRDefault="00574844" w:rsidP="003B3F23">
            <w:pPr>
              <w:pStyle w:val="ListParagraph"/>
              <w:numPr>
                <w:ilvl w:val="0"/>
                <w:numId w:val="57"/>
              </w:numPr>
              <w:spacing w:after="0" w:line="240" w:lineRule="auto"/>
            </w:pPr>
            <w:r w:rsidRPr="00206792">
              <w:rPr>
                <w:rFonts w:cstheme="minorHAnsi"/>
              </w:rPr>
              <w:t>Establish a strategy for procurement of mentoring services; assist VR agency in developing a Request for Proposals (RFP) outlining minimum requirements and expectations for the provision of peer mentoring services.</w:t>
            </w:r>
          </w:p>
        </w:tc>
        <w:tc>
          <w:tcPr>
            <w:tcW w:w="2452" w:type="pct"/>
            <w:tcBorders>
              <w:top w:val="single" w:sz="4" w:space="0" w:color="auto"/>
              <w:left w:val="nil"/>
              <w:bottom w:val="single" w:sz="4" w:space="0" w:color="auto"/>
              <w:right w:val="single" w:sz="4" w:space="0" w:color="auto"/>
            </w:tcBorders>
            <w:shd w:val="clear" w:color="auto" w:fill="auto"/>
            <w:vAlign w:val="center"/>
            <w:hideMark/>
          </w:tcPr>
          <w:p w14:paraId="57FD03B4" w14:textId="77777777" w:rsidR="00574844" w:rsidRPr="00206792" w:rsidRDefault="00574844" w:rsidP="003B3F23">
            <w:pPr>
              <w:pStyle w:val="ListParagraph"/>
              <w:numPr>
                <w:ilvl w:val="0"/>
                <w:numId w:val="22"/>
              </w:numPr>
              <w:spacing w:after="0" w:line="240" w:lineRule="auto"/>
              <w:ind w:left="344"/>
            </w:pPr>
            <w:r w:rsidRPr="00206792">
              <w:rPr>
                <w:rFonts w:cstheme="minorHAnsi"/>
              </w:rPr>
              <w:t>A completed procurement strategy, RFP, MOU, etc.</w:t>
            </w:r>
          </w:p>
        </w:tc>
      </w:tr>
      <w:tr w:rsidR="00574844" w:rsidRPr="00206792" w14:paraId="7FF2724A" w14:textId="77777777" w:rsidTr="003B3F23">
        <w:trPr>
          <w:trHeight w:val="20"/>
        </w:trPr>
        <w:tc>
          <w:tcPr>
            <w:tcW w:w="2548" w:type="pct"/>
            <w:tcBorders>
              <w:top w:val="single" w:sz="4" w:space="0" w:color="auto"/>
              <w:left w:val="single" w:sz="4" w:space="0" w:color="auto"/>
              <w:bottom w:val="single" w:sz="4" w:space="0" w:color="auto"/>
              <w:right w:val="single" w:sz="4" w:space="0" w:color="auto"/>
            </w:tcBorders>
            <w:shd w:val="clear" w:color="auto" w:fill="auto"/>
            <w:vAlign w:val="center"/>
          </w:tcPr>
          <w:p w14:paraId="02EB2683" w14:textId="77777777" w:rsidR="00574844" w:rsidRPr="00206792" w:rsidRDefault="00574844" w:rsidP="003B3F23">
            <w:pPr>
              <w:pStyle w:val="ListParagraph"/>
              <w:numPr>
                <w:ilvl w:val="0"/>
                <w:numId w:val="57"/>
              </w:numPr>
            </w:pPr>
            <w:r w:rsidRPr="00206792">
              <w:t>Activity: Pre-ETS Team to work with SVRA and PM team to ensure PM model and content make it eligible as a Pre-ETS service.</w:t>
            </w:r>
          </w:p>
          <w:p w14:paraId="12311342" w14:textId="77777777" w:rsidR="00574844" w:rsidRPr="00206792" w:rsidRDefault="00574844" w:rsidP="003B3F23">
            <w:pPr>
              <w:pStyle w:val="ListParagraph"/>
              <w:spacing w:after="0" w:line="240" w:lineRule="auto"/>
              <w:ind w:left="360"/>
            </w:pPr>
          </w:p>
        </w:tc>
        <w:tc>
          <w:tcPr>
            <w:tcW w:w="2452" w:type="pct"/>
            <w:tcBorders>
              <w:top w:val="single" w:sz="4" w:space="0" w:color="auto"/>
              <w:left w:val="single" w:sz="4" w:space="0" w:color="auto"/>
              <w:bottom w:val="single" w:sz="4" w:space="0" w:color="auto"/>
              <w:right w:val="single" w:sz="4" w:space="0" w:color="auto"/>
            </w:tcBorders>
            <w:shd w:val="clear" w:color="auto" w:fill="auto"/>
            <w:vAlign w:val="center"/>
          </w:tcPr>
          <w:p w14:paraId="7FBC9022" w14:textId="77777777" w:rsidR="00574844" w:rsidRPr="00206792" w:rsidRDefault="00574844" w:rsidP="003B3F23">
            <w:pPr>
              <w:pStyle w:val="ListParagraph"/>
              <w:numPr>
                <w:ilvl w:val="0"/>
                <w:numId w:val="22"/>
              </w:numPr>
              <w:spacing w:after="0" w:line="240" w:lineRule="auto"/>
              <w:ind w:left="344"/>
            </w:pPr>
            <w:r w:rsidRPr="00206792">
              <w:rPr>
                <w:rFonts w:cstheme="minorHAnsi"/>
              </w:rPr>
              <w:t>Completed written procedures/processes that outline the steps VR will take with partners to deliver peer mentoring as a PreETS service</w:t>
            </w:r>
            <w:r w:rsidRPr="00206792">
              <w:t xml:space="preserve"> </w:t>
            </w:r>
          </w:p>
        </w:tc>
      </w:tr>
      <w:tr w:rsidR="00574844" w:rsidRPr="00206792" w14:paraId="6F2E05E4" w14:textId="77777777" w:rsidTr="003B3F23">
        <w:trPr>
          <w:trHeight w:val="20"/>
        </w:trPr>
        <w:tc>
          <w:tcPr>
            <w:tcW w:w="5000" w:type="pct"/>
            <w:gridSpan w:val="2"/>
            <w:tcBorders>
              <w:top w:val="single" w:sz="4" w:space="0" w:color="auto"/>
              <w:left w:val="single" w:sz="4" w:space="0" w:color="000000"/>
              <w:bottom w:val="single" w:sz="4" w:space="0" w:color="000000"/>
              <w:right w:val="single" w:sz="4" w:space="0" w:color="000000"/>
            </w:tcBorders>
            <w:shd w:val="clear" w:color="auto" w:fill="D9E2F3" w:themeFill="accent1" w:themeFillTint="33"/>
            <w:vAlign w:val="center"/>
          </w:tcPr>
          <w:p w14:paraId="13179086" w14:textId="77777777" w:rsidR="00574844" w:rsidRPr="00206792" w:rsidRDefault="00574844" w:rsidP="003B3F23">
            <w:pPr>
              <w:spacing w:after="0" w:line="240" w:lineRule="auto"/>
              <w:jc w:val="center"/>
              <w:rPr>
                <w:b/>
              </w:rPr>
            </w:pPr>
            <w:r w:rsidRPr="00206792">
              <w:rPr>
                <w:b/>
              </w:rPr>
              <w:t>Short-Term Outcomes</w:t>
            </w:r>
          </w:p>
          <w:p w14:paraId="0A10201A" w14:textId="77777777" w:rsidR="00574844" w:rsidRPr="00206792" w:rsidRDefault="00574844" w:rsidP="003B3F23">
            <w:pPr>
              <w:pStyle w:val="ListParagraph"/>
              <w:numPr>
                <w:ilvl w:val="0"/>
                <w:numId w:val="1"/>
              </w:numPr>
              <w:spacing w:after="0" w:line="240" w:lineRule="auto"/>
            </w:pPr>
            <w:r w:rsidRPr="00206792">
              <w:t>The number of trained/credentialed peer mentoring program coordinators</w:t>
            </w:r>
          </w:p>
          <w:p w14:paraId="27AC3A7F" w14:textId="77777777" w:rsidR="00574844" w:rsidRPr="00206792" w:rsidRDefault="00574844" w:rsidP="003B3F23">
            <w:pPr>
              <w:pStyle w:val="ListParagraph"/>
              <w:numPr>
                <w:ilvl w:val="0"/>
                <w:numId w:val="1"/>
              </w:numPr>
              <w:spacing w:after="0" w:line="240" w:lineRule="auto"/>
            </w:pPr>
            <w:r w:rsidRPr="00206792">
              <w:t>The number of trained/credentialed peer mentors</w:t>
            </w:r>
          </w:p>
          <w:p w14:paraId="154CE4B1" w14:textId="77777777" w:rsidR="00574844" w:rsidRPr="00206792" w:rsidRDefault="00574844" w:rsidP="003B3F23">
            <w:pPr>
              <w:numPr>
                <w:ilvl w:val="0"/>
                <w:numId w:val="1"/>
              </w:numPr>
              <w:spacing w:after="0" w:line="240" w:lineRule="auto"/>
              <w:rPr>
                <w:rFonts w:eastAsia="Times New Roman" w:cstheme="minorHAnsi"/>
              </w:rPr>
            </w:pPr>
            <w:r w:rsidRPr="00206792">
              <w:rPr>
                <w:rFonts w:eastAsia="Times New Roman" w:cstheme="minorHAnsi"/>
              </w:rPr>
              <w:t xml:space="preserve">Annual projected number of, or increase in, consumers receiving peer mentoring services </w:t>
            </w:r>
          </w:p>
          <w:p w14:paraId="41EE29E0" w14:textId="77777777" w:rsidR="00574844" w:rsidRPr="00206792" w:rsidRDefault="00574844" w:rsidP="003B3F23">
            <w:pPr>
              <w:pStyle w:val="ListParagraph"/>
              <w:numPr>
                <w:ilvl w:val="0"/>
                <w:numId w:val="1"/>
              </w:numPr>
              <w:spacing w:after="0" w:line="240" w:lineRule="auto"/>
            </w:pPr>
            <w:r w:rsidRPr="00206792">
              <w:t>Increased quantity and quality of employment outcomes achieved annually by youth with disabilities who had a Peer Mentor.</w:t>
            </w:r>
          </w:p>
          <w:p w14:paraId="68C94C77" w14:textId="77777777" w:rsidR="00574844" w:rsidRPr="00206792" w:rsidRDefault="00574844" w:rsidP="003B3F23">
            <w:pPr>
              <w:pStyle w:val="ListParagraph"/>
              <w:numPr>
                <w:ilvl w:val="0"/>
                <w:numId w:val="1"/>
              </w:numPr>
              <w:spacing w:after="0" w:line="240" w:lineRule="auto"/>
            </w:pPr>
            <w:r w:rsidRPr="00206792">
              <w:t>Increased percentage by X of qualifying students with disabilities per site who will receive peer mentoring services as a PreETS activity through the established peer mentoring network.</w:t>
            </w:r>
          </w:p>
          <w:p w14:paraId="0D87661F" w14:textId="77777777" w:rsidR="00574844" w:rsidRPr="00206792" w:rsidRDefault="00574844" w:rsidP="003B3F23">
            <w:pPr>
              <w:pStyle w:val="ListParagraph"/>
              <w:numPr>
                <w:ilvl w:val="1"/>
                <w:numId w:val="1"/>
              </w:numPr>
              <w:spacing w:after="0" w:line="240" w:lineRule="auto"/>
            </w:pPr>
            <w:r w:rsidRPr="00206792">
              <w:t>Increased number of youth with disabilities referred from the juvenile justice system</w:t>
            </w:r>
          </w:p>
          <w:p w14:paraId="1E657487" w14:textId="77777777" w:rsidR="00574844" w:rsidRPr="00206792" w:rsidRDefault="00574844" w:rsidP="003B3F23">
            <w:pPr>
              <w:pStyle w:val="ListParagraph"/>
              <w:numPr>
                <w:ilvl w:val="0"/>
                <w:numId w:val="1"/>
              </w:numPr>
              <w:spacing w:after="0" w:line="240" w:lineRule="auto"/>
            </w:pPr>
            <w:r w:rsidRPr="00206792">
              <w:t>An increase in the percentage of Pre-ETS services made up of Peer Mentoring services counting towards the 15% set-aside.</w:t>
            </w:r>
          </w:p>
          <w:p w14:paraId="35341A89" w14:textId="77777777" w:rsidR="00574844" w:rsidRPr="00206792" w:rsidRDefault="00574844" w:rsidP="003B3F23">
            <w:pPr>
              <w:spacing w:after="0" w:line="240" w:lineRule="auto"/>
              <w:jc w:val="center"/>
              <w:rPr>
                <w:b/>
              </w:rPr>
            </w:pPr>
            <w:r w:rsidRPr="00206792">
              <w:rPr>
                <w:b/>
              </w:rPr>
              <w:t>Long-Term Outcome</w:t>
            </w:r>
          </w:p>
          <w:p w14:paraId="2AEADC27" w14:textId="77777777" w:rsidR="00574844" w:rsidRPr="00206792" w:rsidRDefault="00574844" w:rsidP="003B3F23">
            <w:pPr>
              <w:pStyle w:val="ListParagraph"/>
              <w:numPr>
                <w:ilvl w:val="0"/>
                <w:numId w:val="1"/>
              </w:numPr>
              <w:spacing w:after="0" w:line="240" w:lineRule="auto"/>
            </w:pPr>
            <w:r w:rsidRPr="00206792">
              <w:rPr>
                <w:rFonts w:cstheme="minorHAnsi"/>
              </w:rPr>
              <w:t>Increased rate of students and youth with disabilities engaged in CIE</w:t>
            </w:r>
          </w:p>
          <w:p w14:paraId="0F0C8A9B" w14:textId="77777777" w:rsidR="00574844" w:rsidRPr="00206792" w:rsidRDefault="00574844" w:rsidP="003B3F23">
            <w:pPr>
              <w:pStyle w:val="ListParagraph"/>
              <w:spacing w:after="0" w:line="240" w:lineRule="auto"/>
            </w:pPr>
          </w:p>
        </w:tc>
      </w:tr>
    </w:tbl>
    <w:p w14:paraId="1303EF57" w14:textId="77777777" w:rsidR="00A637E1" w:rsidRDefault="00A637E1" w:rsidP="00A637E1"/>
    <w:p w14:paraId="6F00C4C5" w14:textId="77777777" w:rsidR="00A637E1" w:rsidRDefault="00A637E1" w:rsidP="00A637E1">
      <w:pPr>
        <w:rPr>
          <w:rFonts w:cstheme="minorHAnsi"/>
          <w:b/>
          <w:sz w:val="36"/>
        </w:rPr>
      </w:pPr>
      <w:r>
        <w:br w:type="page"/>
      </w:r>
    </w:p>
    <w:p w14:paraId="39BFF781" w14:textId="1901A417" w:rsidR="00574844" w:rsidRPr="00B10F7D" w:rsidRDefault="00574844" w:rsidP="00BA0D82">
      <w:pPr>
        <w:pStyle w:val="Heading2"/>
        <w:numPr>
          <w:ilvl w:val="0"/>
          <w:numId w:val="0"/>
        </w:numPr>
        <w:rPr>
          <w:caps/>
        </w:rPr>
      </w:pPr>
      <w:bookmarkStart w:id="135" w:name="_Toc28011458"/>
      <w:r w:rsidRPr="00B10F7D">
        <w:rPr>
          <w:caps/>
        </w:rPr>
        <w:lastRenderedPageBreak/>
        <w:t>Peer Mentoring</w:t>
      </w:r>
      <w:r w:rsidRPr="00B10F7D">
        <w:rPr>
          <w:caps/>
        </w:rPr>
        <w:br/>
        <w:t>ACTIVITIES &amp; OUTPUTS PROGRESS DASHBOARDS</w:t>
      </w:r>
      <w:bookmarkEnd w:id="135"/>
    </w:p>
    <w:p w14:paraId="1486D806" w14:textId="77777777" w:rsidR="00574844" w:rsidRDefault="00574844" w:rsidP="00574844"/>
    <w:p w14:paraId="141A0E96" w14:textId="77777777" w:rsidR="00574844" w:rsidRDefault="00574844" w:rsidP="00574844">
      <w:pPr>
        <w:rPr>
          <w:sz w:val="36"/>
        </w:rPr>
      </w:pPr>
      <w:r>
        <w:rPr>
          <w:noProof/>
          <w:lang w:eastAsia="ko-KR"/>
        </w:rPr>
        <w:drawing>
          <wp:inline distT="0" distB="0" distL="0" distR="0" wp14:anchorId="7D68C5E8" wp14:editId="377D3DA8">
            <wp:extent cx="5943600" cy="2239306"/>
            <wp:effectExtent l="0" t="0" r="0" b="8890"/>
            <wp:docPr id="190" name="Chart 190" descr="chart showing outcomes progress PEER MENTORING . 50% completed 22%, 75% completed 6%, 90% completed 11%, 100% completed 61%.">
              <a:extLst xmlns:a="http://schemas.openxmlformats.org/drawingml/2006/main">
                <a:ext uri="{FF2B5EF4-FFF2-40B4-BE49-F238E27FC236}">
                  <a16:creationId xmlns:a16="http://schemas.microsoft.com/office/drawing/2014/main" id="{C31FA2C1-8D3D-4AE4-9F24-6F92067A621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5"/>
              </a:graphicData>
            </a:graphic>
          </wp:inline>
        </w:drawing>
      </w:r>
    </w:p>
    <w:p w14:paraId="46AE5101" w14:textId="77777777" w:rsidR="00574844" w:rsidRDefault="00574844" w:rsidP="00574844">
      <w:pPr>
        <w:rPr>
          <w:szCs w:val="14"/>
        </w:rPr>
      </w:pPr>
      <w:r>
        <w:rPr>
          <w:szCs w:val="14"/>
        </w:rPr>
        <w:tab/>
        <w:t>Across the topic area of Peer Mentoring, we see that the majority of activities (78%) are nearing or have reached completion, representing a completion rate of 75% or more.</w:t>
      </w:r>
    </w:p>
    <w:p w14:paraId="28667C44" w14:textId="77777777" w:rsidR="00574844" w:rsidRDefault="00574844" w:rsidP="00574844">
      <w:pPr>
        <w:rPr>
          <w:szCs w:val="14"/>
        </w:rPr>
      </w:pPr>
      <w:r>
        <w:rPr>
          <w:szCs w:val="14"/>
        </w:rPr>
        <w:br w:type="page"/>
      </w:r>
    </w:p>
    <w:p w14:paraId="7EB9FB91" w14:textId="77777777" w:rsidR="00574844" w:rsidRDefault="00574844" w:rsidP="00574844">
      <w:pPr>
        <w:spacing w:after="0" w:line="240" w:lineRule="auto"/>
        <w:rPr>
          <w:rFonts w:cstheme="minorHAnsi"/>
        </w:rPr>
        <w:sectPr w:rsidR="00574844" w:rsidSect="00D27D05">
          <w:headerReference w:type="even" r:id="rId426"/>
          <w:headerReference w:type="default" r:id="rId427"/>
          <w:footerReference w:type="even" r:id="rId428"/>
          <w:footerReference w:type="default" r:id="rId429"/>
          <w:headerReference w:type="first" r:id="rId430"/>
          <w:footerReference w:type="first" r:id="rId431"/>
          <w:pgSz w:w="12240" w:h="15840"/>
          <w:pgMar w:top="1440" w:right="1440" w:bottom="1440" w:left="1440" w:header="720" w:footer="720" w:gutter="0"/>
          <w:pgBorders w:offsetFrom="page">
            <w:top w:val="thinThickSmallGap" w:sz="24" w:space="24" w:color="2F5496" w:themeColor="accent1" w:themeShade="BF"/>
            <w:left w:val="thinThickSmallGap" w:sz="24" w:space="24" w:color="2F5496" w:themeColor="accent1" w:themeShade="BF"/>
            <w:bottom w:val="thickThinSmallGap" w:sz="24" w:space="24" w:color="2F5496" w:themeColor="accent1" w:themeShade="BF"/>
            <w:right w:val="thickThinSmallGap" w:sz="24" w:space="24" w:color="2F5496" w:themeColor="accent1" w:themeShade="BF"/>
          </w:pgBorders>
          <w:cols w:space="720"/>
          <w:docGrid w:linePitch="360"/>
        </w:sectPr>
      </w:pPr>
    </w:p>
    <w:p w14:paraId="3FF4D2BA" w14:textId="77777777" w:rsidR="00574844" w:rsidRDefault="00574844" w:rsidP="00574844">
      <w:pPr>
        <w:spacing w:after="0" w:line="240" w:lineRule="auto"/>
        <w:rPr>
          <w:rFonts w:cstheme="minorHAnsi"/>
        </w:rPr>
        <w:sectPr w:rsidR="00574844" w:rsidSect="00D27D05">
          <w:type w:val="continuous"/>
          <w:pgSz w:w="12240" w:h="15840"/>
          <w:pgMar w:top="1440" w:right="1440" w:bottom="1440" w:left="1440" w:header="720" w:footer="720" w:gutter="0"/>
          <w:pgBorders w:offsetFrom="page">
            <w:top w:val="thinThickSmallGap" w:sz="24" w:space="24" w:color="2F5496" w:themeColor="accent1" w:themeShade="BF"/>
            <w:left w:val="thinThickSmallGap" w:sz="24" w:space="24" w:color="2F5496" w:themeColor="accent1" w:themeShade="BF"/>
            <w:bottom w:val="thickThinSmallGap" w:sz="24" w:space="24" w:color="2F5496" w:themeColor="accent1" w:themeShade="BF"/>
            <w:right w:val="thickThinSmallGap" w:sz="24" w:space="24" w:color="2F5496" w:themeColor="accent1" w:themeShade="BF"/>
          </w:pgBorders>
          <w:cols w:space="720"/>
          <w:docGrid w:linePitch="360"/>
        </w:sectPr>
      </w:pPr>
      <w:r>
        <w:rPr>
          <w:rFonts w:cstheme="minorHAnsi"/>
        </w:rPr>
        <w:lastRenderedPageBreak/>
        <w:tab/>
        <w:t>In the following “thermometer charts,” the progress rate is broken down by specific activity with the linked outputs’ progress rates provided side-by-side. The “thermometers” for two of the activities (#4 and #5) show no progress because they are not included in any ITAAs. The other four activities account for the overall progress illustrated above. It should be noted that Activities #2 and #6 show a one-to-one correspondence between the rate of completion and its associated output, while Activities #1 and #3 do not. This may be explained by the nature of the activity and varied results from one state to another.</w:t>
      </w:r>
    </w:p>
    <w:p w14:paraId="2E44F686" w14:textId="77777777" w:rsidR="00574844" w:rsidRDefault="00574844" w:rsidP="00574844">
      <w:pPr>
        <w:spacing w:after="0" w:line="240" w:lineRule="auto"/>
        <w:rPr>
          <w:rFonts w:cstheme="minorHAnsi"/>
        </w:rPr>
      </w:pPr>
    </w:p>
    <w:p w14:paraId="26B23B10" w14:textId="77777777" w:rsidR="00574844" w:rsidRPr="00571015" w:rsidRDefault="00574844" w:rsidP="00574844">
      <w:pPr>
        <w:spacing w:after="0" w:line="240" w:lineRule="auto"/>
        <w:rPr>
          <w:rFonts w:cstheme="minorHAnsi"/>
        </w:rPr>
      </w:pPr>
      <w:r w:rsidRPr="00571015">
        <w:rPr>
          <w:rFonts w:cstheme="minorHAnsi"/>
          <w:noProof/>
          <w:lang w:eastAsia="ko-KR"/>
        </w:rPr>
        <w:drawing>
          <wp:inline distT="0" distB="0" distL="0" distR="0" wp14:anchorId="5AB330EB" wp14:editId="35E1981F">
            <wp:extent cx="2791842" cy="5145242"/>
            <wp:effectExtent l="0" t="0" r="8890" b="17780"/>
            <wp:docPr id="191" name="Chart 191" descr="Activity #1 75% completed 100% activity, 25% completed 75% activity and 50% completed 100% output, 25% completed 75% outputs, 25% completed 50% outputs">
              <a:extLst xmlns:a="http://schemas.openxmlformats.org/drawingml/2006/main">
                <a:ext uri="{FF2B5EF4-FFF2-40B4-BE49-F238E27FC236}">
                  <a16:creationId xmlns:a16="http://schemas.microsoft.com/office/drawing/2014/main" id="{B388B77B-2E6A-4BDD-93F8-48CD4D2F658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2"/>
              </a:graphicData>
            </a:graphic>
          </wp:inline>
        </w:drawing>
      </w:r>
    </w:p>
    <w:p w14:paraId="1E909A20" w14:textId="77777777" w:rsidR="00574844" w:rsidRPr="00571015" w:rsidRDefault="00574844" w:rsidP="00574844">
      <w:pPr>
        <w:spacing w:after="0" w:line="240" w:lineRule="auto"/>
        <w:rPr>
          <w:rFonts w:cstheme="minorHAnsi"/>
        </w:rPr>
      </w:pPr>
      <w:r w:rsidRPr="00571015">
        <w:rPr>
          <w:rFonts w:cstheme="minorHAnsi"/>
          <w:b/>
          <w:bCs/>
        </w:rPr>
        <w:t>Activity 1:</w:t>
      </w:r>
      <w:r w:rsidRPr="00571015">
        <w:rPr>
          <w:rFonts w:cstheme="minorHAnsi"/>
        </w:rPr>
        <w:t xml:space="preserve"> Work with SVRA to develop a plan to establish or expand a network of peer mentors to deliver services to consumers.</w:t>
      </w:r>
    </w:p>
    <w:p w14:paraId="2C7571C7" w14:textId="77777777" w:rsidR="00574844" w:rsidRDefault="00574844" w:rsidP="00574844">
      <w:pPr>
        <w:spacing w:after="0" w:line="240" w:lineRule="auto"/>
        <w:rPr>
          <w:rFonts w:cstheme="minorHAnsi"/>
        </w:rPr>
      </w:pPr>
      <w:r w:rsidRPr="00571015">
        <w:rPr>
          <w:rFonts w:cstheme="minorHAnsi"/>
          <w:b/>
          <w:bCs/>
        </w:rPr>
        <w:t>Output A:</w:t>
      </w:r>
      <w:r w:rsidRPr="00571015">
        <w:rPr>
          <w:rFonts w:cstheme="minorHAnsi"/>
        </w:rPr>
        <w:t xml:space="preserve"> A completed plan to establish or expand peer mentoring, outlining strategies and target dates for training and implementation.</w:t>
      </w:r>
      <w:r>
        <w:rPr>
          <w:rFonts w:cstheme="minorHAnsi"/>
        </w:rPr>
        <w:br w:type="column"/>
      </w:r>
    </w:p>
    <w:p w14:paraId="309AA2F4" w14:textId="77777777" w:rsidR="00574844" w:rsidRPr="00571015" w:rsidRDefault="00574844" w:rsidP="00574844">
      <w:pPr>
        <w:spacing w:after="0" w:line="240" w:lineRule="auto"/>
        <w:rPr>
          <w:rFonts w:cstheme="minorHAnsi"/>
        </w:rPr>
      </w:pPr>
      <w:r w:rsidRPr="00571015">
        <w:rPr>
          <w:rFonts w:cstheme="minorHAnsi"/>
          <w:noProof/>
          <w:lang w:eastAsia="ko-KR"/>
        </w:rPr>
        <w:drawing>
          <wp:inline distT="0" distB="0" distL="0" distR="0" wp14:anchorId="7117906E" wp14:editId="15DCF36D">
            <wp:extent cx="2791842" cy="5145242"/>
            <wp:effectExtent l="0" t="0" r="8890" b="17780"/>
            <wp:docPr id="192" name="Chart 192" descr="Activity #2 67% completed 100% activity, 33% completed 75% activity and 67% completed 100% output,33% completed 75% outputs">
              <a:extLst xmlns:a="http://schemas.openxmlformats.org/drawingml/2006/main">
                <a:ext uri="{FF2B5EF4-FFF2-40B4-BE49-F238E27FC236}">
                  <a16:creationId xmlns:a16="http://schemas.microsoft.com/office/drawing/2014/main" id="{77D74CD7-C466-458D-B579-58305D82483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3"/>
              </a:graphicData>
            </a:graphic>
          </wp:inline>
        </w:drawing>
      </w:r>
    </w:p>
    <w:p w14:paraId="376A454E" w14:textId="77777777" w:rsidR="00574844" w:rsidRPr="00571015" w:rsidRDefault="00574844" w:rsidP="00574844">
      <w:pPr>
        <w:spacing w:after="0" w:line="240" w:lineRule="auto"/>
        <w:rPr>
          <w:rFonts w:cstheme="minorHAnsi"/>
        </w:rPr>
      </w:pPr>
      <w:r w:rsidRPr="00571015">
        <w:rPr>
          <w:rFonts w:cstheme="minorHAnsi"/>
          <w:b/>
          <w:bCs/>
        </w:rPr>
        <w:t>Activity 2:</w:t>
      </w:r>
      <w:r w:rsidRPr="00571015">
        <w:rPr>
          <w:rFonts w:cstheme="minorHAnsi"/>
        </w:rPr>
        <w:t xml:space="preserve"> Modify the peer mentoring training curriculum to meet the unique needs of the VR program and the consumers they serve.</w:t>
      </w:r>
    </w:p>
    <w:p w14:paraId="02F192F0" w14:textId="77777777" w:rsidR="00574844" w:rsidRPr="00571015" w:rsidRDefault="00574844" w:rsidP="00574844">
      <w:pPr>
        <w:spacing w:after="0" w:line="240" w:lineRule="auto"/>
        <w:rPr>
          <w:rFonts w:cstheme="minorHAnsi"/>
        </w:rPr>
      </w:pPr>
      <w:r w:rsidRPr="00571015">
        <w:rPr>
          <w:rFonts w:cstheme="minorHAnsi"/>
          <w:b/>
          <w:bCs/>
        </w:rPr>
        <w:t>Output B:</w:t>
      </w:r>
      <w:r w:rsidRPr="00571015">
        <w:rPr>
          <w:rFonts w:cstheme="minorHAnsi"/>
        </w:rPr>
        <w:t xml:space="preserve"> A completed peer mentoring training series that has been modified as requested.</w:t>
      </w:r>
    </w:p>
    <w:p w14:paraId="089EAD40" w14:textId="77777777" w:rsidR="00574844" w:rsidRPr="00571015" w:rsidRDefault="00574844" w:rsidP="00574844">
      <w:pPr>
        <w:spacing w:after="0" w:line="240" w:lineRule="auto"/>
        <w:rPr>
          <w:rFonts w:cstheme="minorHAnsi"/>
        </w:rPr>
      </w:pPr>
    </w:p>
    <w:p w14:paraId="4A691C3C" w14:textId="77777777" w:rsidR="00574844" w:rsidRPr="00571015" w:rsidRDefault="00574844" w:rsidP="00574844">
      <w:pPr>
        <w:spacing w:after="0" w:line="240" w:lineRule="auto"/>
        <w:rPr>
          <w:rFonts w:cstheme="minorHAnsi"/>
        </w:rPr>
      </w:pPr>
    </w:p>
    <w:p w14:paraId="3D6D0C2B" w14:textId="77777777" w:rsidR="00574844" w:rsidRPr="00571015" w:rsidRDefault="00574844" w:rsidP="00574844">
      <w:pPr>
        <w:spacing w:after="0" w:line="240" w:lineRule="auto"/>
        <w:rPr>
          <w:rFonts w:cstheme="minorHAnsi"/>
        </w:rPr>
      </w:pPr>
      <w:r w:rsidRPr="003112EA">
        <w:rPr>
          <w:rFonts w:cstheme="minorHAnsi"/>
          <w:noProof/>
          <w:shd w:val="clear" w:color="auto" w:fill="D73B33"/>
          <w:lang w:eastAsia="ko-KR"/>
        </w:rPr>
        <w:lastRenderedPageBreak/>
        <w:drawing>
          <wp:inline distT="0" distB="0" distL="0" distR="0" wp14:anchorId="750CE412" wp14:editId="51E9CBBD">
            <wp:extent cx="2791842" cy="5145242"/>
            <wp:effectExtent l="0" t="0" r="8890" b="17780"/>
            <wp:docPr id="193" name="Chart 193" descr="Activity #3 25% completed 100% activity, 75% completed 50% activity and 25% completed 100% output, 25% completed 90% outputs, 25% completed 50% outputs,  25% completed 25% outputs, 25% Not started outputs, ">
              <a:extLst xmlns:a="http://schemas.openxmlformats.org/drawingml/2006/main">
                <a:ext uri="{FF2B5EF4-FFF2-40B4-BE49-F238E27FC236}">
                  <a16:creationId xmlns:a16="http://schemas.microsoft.com/office/drawing/2014/main" id="{AED315C1-4BC1-4C67-A7DC-66EE27B1D08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4"/>
              </a:graphicData>
            </a:graphic>
          </wp:inline>
        </w:drawing>
      </w:r>
    </w:p>
    <w:p w14:paraId="1B78AB22" w14:textId="77777777" w:rsidR="00574844" w:rsidRPr="00571015" w:rsidRDefault="00574844" w:rsidP="00574844">
      <w:pPr>
        <w:spacing w:after="0" w:line="240" w:lineRule="auto"/>
        <w:rPr>
          <w:rFonts w:cstheme="minorHAnsi"/>
        </w:rPr>
      </w:pPr>
      <w:r w:rsidRPr="00571015">
        <w:rPr>
          <w:rFonts w:cstheme="minorHAnsi"/>
          <w:b/>
          <w:bCs/>
        </w:rPr>
        <w:t>Activity 3:</w:t>
      </w:r>
      <w:r w:rsidRPr="00571015">
        <w:rPr>
          <w:rFonts w:cstheme="minorHAnsi"/>
        </w:rPr>
        <w:t xml:space="preserve"> Provide training to peer mentors and coordinators that prepares them to deliver or administer peer mentoring services.</w:t>
      </w:r>
    </w:p>
    <w:p w14:paraId="7F4A0533" w14:textId="77777777" w:rsidR="00574844" w:rsidRPr="00571015" w:rsidRDefault="00574844" w:rsidP="00574844">
      <w:pPr>
        <w:spacing w:after="0" w:line="240" w:lineRule="auto"/>
        <w:rPr>
          <w:rFonts w:cstheme="minorHAnsi"/>
        </w:rPr>
      </w:pPr>
      <w:r w:rsidRPr="00571015">
        <w:rPr>
          <w:rFonts w:cstheme="minorHAnsi"/>
          <w:b/>
          <w:bCs/>
        </w:rPr>
        <w:t>Output C:</w:t>
      </w:r>
      <w:r w:rsidRPr="00571015">
        <w:rPr>
          <w:rFonts w:cstheme="minorHAnsi"/>
        </w:rPr>
        <w:t xml:space="preserve"> The number of peer mentors and coordinators who complete the training.</w:t>
      </w:r>
    </w:p>
    <w:p w14:paraId="55B66B2A" w14:textId="77777777" w:rsidR="00574844" w:rsidRPr="00571015" w:rsidRDefault="00574844" w:rsidP="00574844">
      <w:pPr>
        <w:spacing w:after="0" w:line="240" w:lineRule="auto"/>
        <w:rPr>
          <w:rFonts w:cstheme="minorHAnsi"/>
        </w:rPr>
      </w:pPr>
      <w:r w:rsidRPr="00571015">
        <w:rPr>
          <w:rFonts w:cstheme="minorHAnsi"/>
          <w:noProof/>
          <w:lang w:eastAsia="ko-KR"/>
        </w:rPr>
        <w:drawing>
          <wp:inline distT="0" distB="0" distL="0" distR="0" wp14:anchorId="48C23B1E" wp14:editId="0A77F3FC">
            <wp:extent cx="2791842" cy="5145242"/>
            <wp:effectExtent l="0" t="0" r="8890" b="17780"/>
            <wp:docPr id="194" name="Chart 194" descr="Peer Mentoring Activity 4 No Activity or outcomes reported">
              <a:extLst xmlns:a="http://schemas.openxmlformats.org/drawingml/2006/main">
                <a:ext uri="{FF2B5EF4-FFF2-40B4-BE49-F238E27FC236}">
                  <a16:creationId xmlns:a16="http://schemas.microsoft.com/office/drawing/2014/main" id="{7B4E5CF4-9689-4114-9CC3-288A5B84A93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5"/>
              </a:graphicData>
            </a:graphic>
          </wp:inline>
        </w:drawing>
      </w:r>
    </w:p>
    <w:p w14:paraId="523A0AFD" w14:textId="77777777" w:rsidR="00574844" w:rsidRPr="00571015" w:rsidRDefault="00574844" w:rsidP="00574844">
      <w:pPr>
        <w:spacing w:after="0" w:line="240" w:lineRule="auto"/>
        <w:rPr>
          <w:rFonts w:cstheme="minorHAnsi"/>
        </w:rPr>
      </w:pPr>
      <w:r w:rsidRPr="00571015">
        <w:rPr>
          <w:rFonts w:cstheme="minorHAnsi"/>
          <w:b/>
          <w:bCs/>
        </w:rPr>
        <w:t>Activity 4:</w:t>
      </w:r>
      <w:r w:rsidRPr="00571015">
        <w:rPr>
          <w:rFonts w:cstheme="minorHAnsi"/>
        </w:rPr>
        <w:t xml:space="preserve"> Assist the SVRA to develop or revise policies or procedures for the delivery of peer mentoring as a service.</w:t>
      </w:r>
    </w:p>
    <w:p w14:paraId="17C478DC" w14:textId="77777777" w:rsidR="00574844" w:rsidRPr="00571015" w:rsidRDefault="00574844" w:rsidP="00574844">
      <w:pPr>
        <w:spacing w:after="0" w:line="240" w:lineRule="auto"/>
        <w:rPr>
          <w:rFonts w:cstheme="minorHAnsi"/>
        </w:rPr>
      </w:pPr>
      <w:r w:rsidRPr="00571015">
        <w:rPr>
          <w:rFonts w:cstheme="minorHAnsi"/>
          <w:b/>
          <w:bCs/>
        </w:rPr>
        <w:t>Output D:</w:t>
      </w:r>
      <w:r w:rsidRPr="00571015">
        <w:rPr>
          <w:rFonts w:cstheme="minorHAnsi"/>
        </w:rPr>
        <w:t xml:space="preserve"> A draft of policies and procedures for the delivery of peer mentoring services.</w:t>
      </w:r>
    </w:p>
    <w:p w14:paraId="675D4771" w14:textId="77777777" w:rsidR="00574844" w:rsidRDefault="00574844" w:rsidP="00574844">
      <w:pPr>
        <w:spacing w:after="0" w:line="240" w:lineRule="auto"/>
        <w:rPr>
          <w:rFonts w:cstheme="minorHAnsi"/>
        </w:rPr>
      </w:pPr>
    </w:p>
    <w:p w14:paraId="008AAABF" w14:textId="77777777" w:rsidR="00574844" w:rsidRPr="00571015" w:rsidRDefault="00574844" w:rsidP="00574844">
      <w:pPr>
        <w:spacing w:after="0" w:line="240" w:lineRule="auto"/>
        <w:rPr>
          <w:rFonts w:cstheme="minorHAnsi"/>
        </w:rPr>
      </w:pPr>
      <w:r w:rsidRPr="00237C9C">
        <w:rPr>
          <w:rFonts w:cstheme="minorHAnsi"/>
          <w:i/>
        </w:rPr>
        <w:t xml:space="preserve">[Note: None of the </w:t>
      </w:r>
      <w:r>
        <w:rPr>
          <w:rFonts w:cstheme="minorHAnsi"/>
          <w:i/>
        </w:rPr>
        <w:t>current</w:t>
      </w:r>
      <w:r w:rsidRPr="00237C9C">
        <w:rPr>
          <w:rFonts w:cstheme="minorHAnsi"/>
          <w:i/>
        </w:rPr>
        <w:t xml:space="preserve"> </w:t>
      </w:r>
      <w:r>
        <w:rPr>
          <w:rFonts w:cstheme="minorHAnsi"/>
          <w:i/>
        </w:rPr>
        <w:t>Peer Mentoring states</w:t>
      </w:r>
      <w:r w:rsidRPr="00237C9C">
        <w:rPr>
          <w:rFonts w:cstheme="minorHAnsi"/>
          <w:i/>
        </w:rPr>
        <w:t xml:space="preserve"> requested WINTAC TA on this activity.]</w:t>
      </w:r>
    </w:p>
    <w:p w14:paraId="62C51C0E" w14:textId="77777777" w:rsidR="00574844" w:rsidRPr="00571015" w:rsidRDefault="00574844" w:rsidP="00574844">
      <w:pPr>
        <w:spacing w:after="0" w:line="240" w:lineRule="auto"/>
        <w:rPr>
          <w:rFonts w:cstheme="minorHAnsi"/>
        </w:rPr>
      </w:pPr>
      <w:r w:rsidRPr="00571015">
        <w:rPr>
          <w:rFonts w:cstheme="minorHAnsi"/>
          <w:noProof/>
          <w:lang w:eastAsia="ko-KR"/>
        </w:rPr>
        <w:lastRenderedPageBreak/>
        <w:drawing>
          <wp:inline distT="0" distB="0" distL="0" distR="0" wp14:anchorId="0D8A1B5D" wp14:editId="7AA6954D">
            <wp:extent cx="2791842" cy="5145242"/>
            <wp:effectExtent l="0" t="0" r="8890" b="17780"/>
            <wp:docPr id="195" name="Chart 195" descr="Per Mentoring Activity 5 No activity or outputs reported">
              <a:extLst xmlns:a="http://schemas.openxmlformats.org/drawingml/2006/main">
                <a:ext uri="{FF2B5EF4-FFF2-40B4-BE49-F238E27FC236}">
                  <a16:creationId xmlns:a16="http://schemas.microsoft.com/office/drawing/2014/main" id="{B2482CFB-1964-44F8-8556-F2FCDE36675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6"/>
              </a:graphicData>
            </a:graphic>
          </wp:inline>
        </w:drawing>
      </w:r>
    </w:p>
    <w:p w14:paraId="3ED2278B" w14:textId="77777777" w:rsidR="00574844" w:rsidRPr="00571015" w:rsidRDefault="00574844" w:rsidP="00574844">
      <w:pPr>
        <w:spacing w:after="0" w:line="240" w:lineRule="auto"/>
        <w:rPr>
          <w:rFonts w:cstheme="minorHAnsi"/>
        </w:rPr>
      </w:pPr>
      <w:r w:rsidRPr="00571015">
        <w:rPr>
          <w:rFonts w:cstheme="minorHAnsi"/>
          <w:b/>
          <w:bCs/>
        </w:rPr>
        <w:t>Activity 5:</w:t>
      </w:r>
      <w:r w:rsidRPr="00571015">
        <w:rPr>
          <w:rFonts w:cstheme="minorHAnsi"/>
        </w:rPr>
        <w:t xml:space="preserve"> Establish a strategy for procurement of mentoring services; assist VR agency in developing a Request for Proposals (RFP) outlining minimum requirements and expectations for the provision of peer mentoring services.</w:t>
      </w:r>
    </w:p>
    <w:p w14:paraId="1F43D85D" w14:textId="77777777" w:rsidR="00574844" w:rsidRPr="00571015" w:rsidRDefault="00574844" w:rsidP="00574844">
      <w:pPr>
        <w:spacing w:after="0" w:line="240" w:lineRule="auto"/>
        <w:rPr>
          <w:rFonts w:cstheme="minorHAnsi"/>
        </w:rPr>
      </w:pPr>
      <w:r w:rsidRPr="00571015">
        <w:rPr>
          <w:rFonts w:cstheme="minorHAnsi"/>
          <w:b/>
          <w:bCs/>
        </w:rPr>
        <w:t>Output E:</w:t>
      </w:r>
      <w:r w:rsidRPr="00571015">
        <w:rPr>
          <w:rFonts w:cstheme="minorHAnsi"/>
        </w:rPr>
        <w:t xml:space="preserve"> A completed procurement strategy, RFP, MOU, etc.</w:t>
      </w:r>
    </w:p>
    <w:p w14:paraId="08D02B99" w14:textId="77777777" w:rsidR="00574844" w:rsidRPr="00571015" w:rsidRDefault="00574844" w:rsidP="00574844">
      <w:pPr>
        <w:spacing w:after="0" w:line="240" w:lineRule="auto"/>
        <w:rPr>
          <w:rFonts w:cstheme="minorHAnsi"/>
        </w:rPr>
      </w:pPr>
      <w:r w:rsidRPr="00571015">
        <w:rPr>
          <w:rFonts w:cstheme="minorHAnsi"/>
          <w:noProof/>
          <w:lang w:eastAsia="ko-KR"/>
        </w:rPr>
        <w:drawing>
          <wp:inline distT="0" distB="0" distL="0" distR="0" wp14:anchorId="2434A770" wp14:editId="27D85753">
            <wp:extent cx="2791842" cy="5145242"/>
            <wp:effectExtent l="0" t="0" r="8890" b="17780"/>
            <wp:docPr id="196" name="Chart 196" descr="Activity #6 75% completed 100% activity, 25% completed 50% activity and 75% completed 100% output, 25% completed 75% outputs">
              <a:extLst xmlns:a="http://schemas.openxmlformats.org/drawingml/2006/main">
                <a:ext uri="{FF2B5EF4-FFF2-40B4-BE49-F238E27FC236}">
                  <a16:creationId xmlns:a16="http://schemas.microsoft.com/office/drawing/2014/main" id="{0321879D-AD4F-4993-BB53-77533ABC54B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7"/>
              </a:graphicData>
            </a:graphic>
          </wp:inline>
        </w:drawing>
      </w:r>
    </w:p>
    <w:p w14:paraId="35254ED2" w14:textId="77777777" w:rsidR="00574844" w:rsidRPr="00571015" w:rsidRDefault="00574844" w:rsidP="00574844">
      <w:pPr>
        <w:spacing w:after="0" w:line="240" w:lineRule="auto"/>
        <w:rPr>
          <w:rFonts w:cstheme="minorHAnsi"/>
        </w:rPr>
      </w:pPr>
      <w:r w:rsidRPr="00571015">
        <w:rPr>
          <w:rFonts w:cstheme="minorHAnsi"/>
          <w:b/>
          <w:bCs/>
        </w:rPr>
        <w:t>Activity 6:</w:t>
      </w:r>
      <w:r w:rsidRPr="00571015">
        <w:rPr>
          <w:rFonts w:cstheme="minorHAnsi"/>
        </w:rPr>
        <w:t xml:space="preserve"> Pre-ETS Team to work with SVRA and PM team to ensure PM model and content make it eligible as a Pre-ETS service.</w:t>
      </w:r>
    </w:p>
    <w:p w14:paraId="734D97A4" w14:textId="77777777" w:rsidR="00574844" w:rsidRPr="00571015" w:rsidRDefault="00574844" w:rsidP="00574844">
      <w:pPr>
        <w:spacing w:after="0" w:line="240" w:lineRule="auto"/>
        <w:rPr>
          <w:rFonts w:cstheme="minorHAnsi"/>
        </w:rPr>
      </w:pPr>
      <w:r w:rsidRPr="00571015">
        <w:rPr>
          <w:rFonts w:cstheme="minorHAnsi"/>
          <w:b/>
          <w:bCs/>
        </w:rPr>
        <w:t>Output F:</w:t>
      </w:r>
      <w:r w:rsidRPr="00571015">
        <w:rPr>
          <w:rFonts w:cstheme="minorHAnsi"/>
        </w:rPr>
        <w:t xml:space="preserve"> Completed written procedures/processes that outline the steps VR will take with partners to deliver peer mentoring as a PreETS service.</w:t>
      </w:r>
    </w:p>
    <w:p w14:paraId="02BF681E" w14:textId="77777777" w:rsidR="00574844" w:rsidRDefault="00574844" w:rsidP="00574844">
      <w:pPr>
        <w:rPr>
          <w:szCs w:val="14"/>
        </w:rPr>
        <w:sectPr w:rsidR="00574844" w:rsidSect="00D27D05">
          <w:type w:val="continuous"/>
          <w:pgSz w:w="12240" w:h="15840"/>
          <w:pgMar w:top="1440" w:right="1440" w:bottom="1440" w:left="1440" w:header="720" w:footer="720" w:gutter="0"/>
          <w:pgBorders w:offsetFrom="page">
            <w:top w:val="thinThickSmallGap" w:sz="24" w:space="24" w:color="2F5496" w:themeColor="accent1" w:themeShade="BF"/>
            <w:left w:val="thinThickSmallGap" w:sz="24" w:space="24" w:color="2F5496" w:themeColor="accent1" w:themeShade="BF"/>
            <w:bottom w:val="thickThinSmallGap" w:sz="24" w:space="24" w:color="2F5496" w:themeColor="accent1" w:themeShade="BF"/>
            <w:right w:val="thickThinSmallGap" w:sz="24" w:space="24" w:color="2F5496" w:themeColor="accent1" w:themeShade="BF"/>
          </w:pgBorders>
          <w:cols w:num="2" w:space="720"/>
          <w:docGrid w:linePitch="360"/>
        </w:sectPr>
      </w:pPr>
    </w:p>
    <w:p w14:paraId="0409EBFE" w14:textId="77777777" w:rsidR="00574844" w:rsidRDefault="00574844" w:rsidP="00574844">
      <w:pPr>
        <w:rPr>
          <w:szCs w:val="14"/>
        </w:rPr>
      </w:pPr>
      <w:r w:rsidRPr="00237C9C">
        <w:rPr>
          <w:rFonts w:cstheme="minorHAnsi"/>
          <w:i/>
        </w:rPr>
        <w:t xml:space="preserve">[Note: None of the </w:t>
      </w:r>
      <w:r>
        <w:rPr>
          <w:rFonts w:cstheme="minorHAnsi"/>
          <w:i/>
        </w:rPr>
        <w:t>current</w:t>
      </w:r>
      <w:r w:rsidRPr="00237C9C">
        <w:rPr>
          <w:rFonts w:cstheme="minorHAnsi"/>
          <w:i/>
        </w:rPr>
        <w:t xml:space="preserve"> </w:t>
      </w:r>
      <w:r>
        <w:rPr>
          <w:rFonts w:cstheme="minorHAnsi"/>
          <w:i/>
        </w:rPr>
        <w:t>Peer Mentoring states</w:t>
      </w:r>
      <w:r w:rsidRPr="00237C9C">
        <w:rPr>
          <w:rFonts w:cstheme="minorHAnsi"/>
          <w:i/>
        </w:rPr>
        <w:t xml:space="preserve"> requested WINTAC TA on this activity.]</w:t>
      </w:r>
      <w:r>
        <w:rPr>
          <w:rFonts w:cstheme="minorHAnsi"/>
          <w:i/>
        </w:rPr>
        <w:br w:type="column"/>
      </w:r>
    </w:p>
    <w:p w14:paraId="0BAF1F62" w14:textId="77777777" w:rsidR="00574844" w:rsidRDefault="00574844" w:rsidP="00574844">
      <w:pPr>
        <w:rPr>
          <w:szCs w:val="14"/>
        </w:rPr>
        <w:sectPr w:rsidR="00574844" w:rsidSect="00D27D05">
          <w:type w:val="continuous"/>
          <w:pgSz w:w="12240" w:h="15840"/>
          <w:pgMar w:top="1440" w:right="1440" w:bottom="1440" w:left="1440" w:header="720" w:footer="720" w:gutter="0"/>
          <w:pgBorders w:offsetFrom="page">
            <w:top w:val="thinThickSmallGap" w:sz="24" w:space="24" w:color="2F5496" w:themeColor="accent1" w:themeShade="BF"/>
            <w:left w:val="thinThickSmallGap" w:sz="24" w:space="24" w:color="2F5496" w:themeColor="accent1" w:themeShade="BF"/>
            <w:bottom w:val="thickThinSmallGap" w:sz="24" w:space="24" w:color="2F5496" w:themeColor="accent1" w:themeShade="BF"/>
            <w:right w:val="thickThinSmallGap" w:sz="24" w:space="24" w:color="2F5496" w:themeColor="accent1" w:themeShade="BF"/>
          </w:pgBorders>
          <w:pgNumType w:chapStyle="1"/>
          <w:cols w:num="2" w:space="720"/>
          <w:docGrid w:linePitch="360"/>
        </w:sectPr>
      </w:pPr>
    </w:p>
    <w:p w14:paraId="5853AE3C" w14:textId="77777777" w:rsidR="00574844" w:rsidRDefault="00574844" w:rsidP="00574844">
      <w:pPr>
        <w:pBdr>
          <w:bottom w:val="single" w:sz="24" w:space="1" w:color="auto"/>
        </w:pBdr>
        <w:tabs>
          <w:tab w:val="center" w:pos="4680"/>
          <w:tab w:val="right" w:pos="9360"/>
        </w:tabs>
        <w:rPr>
          <w:b/>
          <w:sz w:val="36"/>
        </w:rPr>
        <w:sectPr w:rsidR="00574844" w:rsidSect="00D27D05">
          <w:type w:val="continuous"/>
          <w:pgSz w:w="12240" w:h="15840"/>
          <w:pgMar w:top="1440" w:right="1440" w:bottom="1440" w:left="1440" w:header="720" w:footer="720" w:gutter="0"/>
          <w:pgBorders w:offsetFrom="page">
            <w:top w:val="thinThickSmallGap" w:sz="24" w:space="24" w:color="2F5496" w:themeColor="accent1" w:themeShade="BF"/>
            <w:left w:val="thinThickSmallGap" w:sz="24" w:space="24" w:color="2F5496" w:themeColor="accent1" w:themeShade="BF"/>
            <w:bottom w:val="thickThinSmallGap" w:sz="24" w:space="24" w:color="2F5496" w:themeColor="accent1" w:themeShade="BF"/>
            <w:right w:val="thickThinSmallGap" w:sz="24" w:space="24" w:color="2F5496" w:themeColor="accent1" w:themeShade="BF"/>
          </w:pgBorders>
          <w:pgNumType w:chapStyle="1"/>
          <w:cols w:space="720"/>
          <w:docGrid w:linePitch="360"/>
        </w:sectPr>
      </w:pPr>
    </w:p>
    <w:p w14:paraId="1D5014DC" w14:textId="77777777" w:rsidR="00574844" w:rsidRDefault="00574844" w:rsidP="00574844">
      <w:pPr>
        <w:pBdr>
          <w:bottom w:val="single" w:sz="24" w:space="1" w:color="auto"/>
        </w:pBdr>
        <w:tabs>
          <w:tab w:val="center" w:pos="4680"/>
          <w:tab w:val="right" w:pos="9360"/>
        </w:tabs>
        <w:rPr>
          <w:b/>
          <w:sz w:val="36"/>
        </w:rPr>
        <w:sectPr w:rsidR="00574844" w:rsidSect="00D27D05">
          <w:type w:val="continuous"/>
          <w:pgSz w:w="12240" w:h="15840"/>
          <w:pgMar w:top="1440" w:right="1440" w:bottom="1440" w:left="1440" w:header="720" w:footer="720" w:gutter="0"/>
          <w:pgBorders w:offsetFrom="page">
            <w:top w:val="thinThickSmallGap" w:sz="24" w:space="24" w:color="2F5496" w:themeColor="accent1" w:themeShade="BF"/>
            <w:left w:val="thinThickSmallGap" w:sz="24" w:space="24" w:color="2F5496" w:themeColor="accent1" w:themeShade="BF"/>
            <w:bottom w:val="thickThinSmallGap" w:sz="24" w:space="24" w:color="2F5496" w:themeColor="accent1" w:themeShade="BF"/>
            <w:right w:val="thickThinSmallGap" w:sz="24" w:space="24" w:color="2F5496" w:themeColor="accent1" w:themeShade="BF"/>
          </w:pgBorders>
          <w:pgNumType w:chapStyle="1"/>
          <w:cols w:num="2" w:space="720"/>
          <w:docGrid w:linePitch="360"/>
        </w:sectPr>
      </w:pPr>
    </w:p>
    <w:p w14:paraId="243CFF6F" w14:textId="77777777" w:rsidR="00574844" w:rsidRDefault="00574844" w:rsidP="00574844">
      <w:pPr>
        <w:rPr>
          <w:b/>
          <w:sz w:val="36"/>
        </w:rPr>
      </w:pPr>
      <w:r>
        <w:rPr>
          <w:b/>
          <w:sz w:val="36"/>
        </w:rPr>
        <w:br w:type="page"/>
      </w:r>
    </w:p>
    <w:p w14:paraId="5320120D" w14:textId="77777777" w:rsidR="00574844" w:rsidRPr="00B10F7D" w:rsidRDefault="00574844" w:rsidP="00BA0D82">
      <w:pPr>
        <w:pStyle w:val="Heading2"/>
        <w:numPr>
          <w:ilvl w:val="0"/>
          <w:numId w:val="0"/>
        </w:numPr>
        <w:ind w:left="720"/>
        <w:rPr>
          <w:caps/>
        </w:rPr>
      </w:pPr>
      <w:bookmarkStart w:id="136" w:name="_Toc28011459"/>
      <w:r w:rsidRPr="00B10F7D">
        <w:rPr>
          <w:caps/>
        </w:rPr>
        <w:lastRenderedPageBreak/>
        <w:t>Peer Mentoring: OUTCOMES PROGRESS DASHBOARDS</w:t>
      </w:r>
      <w:bookmarkEnd w:id="136"/>
    </w:p>
    <w:p w14:paraId="10615691" w14:textId="77777777" w:rsidR="00574844" w:rsidRDefault="00574844" w:rsidP="00574844">
      <w:pPr>
        <w:jc w:val="center"/>
      </w:pPr>
      <w:r>
        <w:rPr>
          <w:noProof/>
          <w:lang w:eastAsia="ko-KR"/>
        </w:rPr>
        <w:drawing>
          <wp:inline distT="0" distB="0" distL="0" distR="0" wp14:anchorId="3BCD5CAE" wp14:editId="50694B56">
            <wp:extent cx="5157060" cy="3281924"/>
            <wp:effectExtent l="0" t="0" r="5715" b="0"/>
            <wp:docPr id="197" name="Picture 197" descr="chart showing outcomes progress peer mentoring. Not started 155%, 9% completed 50%, 9% completed 75%, 27% completed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438">
                      <a:extLst>
                        <a:ext uri="{28A0092B-C50C-407E-A947-70E740481C1C}">
                          <a14:useLocalDpi xmlns:a14="http://schemas.microsoft.com/office/drawing/2010/main" val="0"/>
                        </a:ext>
                      </a:extLst>
                    </a:blip>
                    <a:srcRect l="19869" t="2228" r="21863" b="35387"/>
                    <a:stretch/>
                  </pic:blipFill>
                  <pic:spPr bwMode="auto">
                    <a:xfrm>
                      <a:off x="0" y="0"/>
                      <a:ext cx="5157875" cy="3282442"/>
                    </a:xfrm>
                    <a:prstGeom prst="rect">
                      <a:avLst/>
                    </a:prstGeom>
                    <a:noFill/>
                    <a:ln>
                      <a:noFill/>
                    </a:ln>
                    <a:extLst>
                      <a:ext uri="{53640926-AAD7-44D8-BBD7-CCE9431645EC}">
                        <a14:shadowObscured xmlns:a14="http://schemas.microsoft.com/office/drawing/2010/main"/>
                      </a:ext>
                    </a:extLst>
                  </pic:spPr>
                </pic:pic>
              </a:graphicData>
            </a:graphic>
          </wp:inline>
        </w:drawing>
      </w:r>
    </w:p>
    <w:p w14:paraId="0142A3FD" w14:textId="77777777" w:rsidR="00574844" w:rsidRDefault="00574844" w:rsidP="00574844">
      <w:pPr>
        <w:ind w:firstLine="720"/>
      </w:pPr>
      <w:r>
        <w:t xml:space="preserve">This infographic shows that over one-third of anticipated Peer Mentoring outcomes are at least 75% achieved. Most of these outcomes involve production or updating of a written plan to </w:t>
      </w:r>
      <w:r w:rsidRPr="00571015">
        <w:rPr>
          <w:rFonts w:cstheme="minorHAnsi"/>
        </w:rPr>
        <w:t xml:space="preserve">establish or expand peer mentoring, </w:t>
      </w:r>
      <w:r>
        <w:rPr>
          <w:rFonts w:cstheme="minorHAnsi"/>
        </w:rPr>
        <w:t>with</w:t>
      </w:r>
      <w:r w:rsidRPr="00571015">
        <w:rPr>
          <w:rFonts w:cstheme="minorHAnsi"/>
        </w:rPr>
        <w:t xml:space="preserve"> strategies and target dates for training and implementation</w:t>
      </w:r>
      <w:r>
        <w:rPr>
          <w:rFonts w:cstheme="minorHAnsi"/>
        </w:rPr>
        <w:t xml:space="preserve">. The percentage of </w:t>
      </w:r>
      <w:r>
        <w:t>outcomes not started may be explained by the lag between completion of training or other activities and commencement or completion of services.</w:t>
      </w:r>
    </w:p>
    <w:p w14:paraId="7499D3EF" w14:textId="77777777" w:rsidR="00574844" w:rsidRDefault="00574844" w:rsidP="00574844">
      <w:pPr>
        <w:pBdr>
          <w:bottom w:val="single" w:sz="24" w:space="1" w:color="auto"/>
        </w:pBdr>
        <w:jc w:val="center"/>
        <w:rPr>
          <w:b/>
          <w:sz w:val="36"/>
        </w:rPr>
        <w:sectPr w:rsidR="00574844" w:rsidSect="00D27D05">
          <w:type w:val="continuous"/>
          <w:pgSz w:w="12240" w:h="15840"/>
          <w:pgMar w:top="1440" w:right="1440" w:bottom="1440" w:left="1440" w:header="720" w:footer="720" w:gutter="0"/>
          <w:pgBorders w:offsetFrom="page">
            <w:top w:val="thinThickSmallGap" w:sz="24" w:space="24" w:color="2F5496" w:themeColor="accent1" w:themeShade="BF"/>
            <w:left w:val="thinThickSmallGap" w:sz="24" w:space="24" w:color="2F5496" w:themeColor="accent1" w:themeShade="BF"/>
            <w:bottom w:val="thickThinSmallGap" w:sz="24" w:space="24" w:color="2F5496" w:themeColor="accent1" w:themeShade="BF"/>
            <w:right w:val="thickThinSmallGap" w:sz="24" w:space="24" w:color="2F5496" w:themeColor="accent1" w:themeShade="BF"/>
          </w:pgBorders>
          <w:cols w:space="720"/>
          <w:docGrid w:linePitch="360"/>
        </w:sectPr>
      </w:pPr>
    </w:p>
    <w:p w14:paraId="4C646C6A" w14:textId="77777777" w:rsidR="00574844" w:rsidRDefault="00574844" w:rsidP="00574844">
      <w:pPr>
        <w:pBdr>
          <w:bottom w:val="single" w:sz="24" w:space="1" w:color="auto"/>
        </w:pBdr>
        <w:jc w:val="center"/>
        <w:rPr>
          <w:b/>
          <w:sz w:val="36"/>
        </w:rPr>
      </w:pPr>
      <w:r>
        <w:rPr>
          <w:b/>
          <w:sz w:val="36"/>
        </w:rPr>
        <w:br w:type="page"/>
      </w:r>
    </w:p>
    <w:p w14:paraId="439FF5CD" w14:textId="77777777" w:rsidR="00574844" w:rsidRDefault="00574844" w:rsidP="00BA0D82">
      <w:pPr>
        <w:pStyle w:val="Heading2"/>
        <w:numPr>
          <w:ilvl w:val="0"/>
          <w:numId w:val="0"/>
        </w:numPr>
        <w:jc w:val="left"/>
      </w:pPr>
      <w:bookmarkStart w:id="137" w:name="_Toc28011460"/>
      <w:r>
        <w:lastRenderedPageBreak/>
        <w:t>Peer Mentoring: PROFILE OF SUCCESS</w:t>
      </w:r>
      <w:bookmarkEnd w:id="137"/>
    </w:p>
    <w:p w14:paraId="6AA58466" w14:textId="77777777" w:rsidR="00574844" w:rsidRPr="003D7701" w:rsidRDefault="00574844" w:rsidP="00574844">
      <w:pPr>
        <w:jc w:val="center"/>
        <w:rPr>
          <w:b/>
          <w:color w:val="2F5496" w:themeColor="accent1" w:themeShade="BF"/>
          <w:sz w:val="32"/>
        </w:rPr>
      </w:pPr>
      <w:r w:rsidRPr="003D7701">
        <w:rPr>
          <w:b/>
          <w:color w:val="2F5496" w:themeColor="accent1" w:themeShade="BF"/>
          <w:sz w:val="32"/>
        </w:rPr>
        <w:t>University of Alaska Southeast:  Peer Mentor Project - Ele Ruchti</w:t>
      </w:r>
    </w:p>
    <w:p w14:paraId="6AD52F78" w14:textId="77777777" w:rsidR="00574844" w:rsidRPr="006909F7" w:rsidRDefault="00574844" w:rsidP="00574844">
      <w:pPr>
        <w:rPr>
          <w:rFonts w:ascii="Times New Roman" w:hAnsi="Times New Roman"/>
          <w:sz w:val="24"/>
          <w:szCs w:val="24"/>
        </w:rPr>
      </w:pPr>
      <w:r w:rsidRPr="006909F7">
        <w:rPr>
          <w:rFonts w:ascii="Times New Roman" w:hAnsi="Times New Roman"/>
          <w:sz w:val="24"/>
          <w:szCs w:val="24"/>
        </w:rPr>
        <w:fldChar w:fldCharType="begin"/>
      </w:r>
      <w:r>
        <w:rPr>
          <w:rFonts w:ascii="Times New Roman" w:hAnsi="Times New Roman"/>
          <w:sz w:val="24"/>
          <w:szCs w:val="24"/>
        </w:rPr>
        <w:instrText xml:space="preserve"> INCLUDEPICTURE "C:\\var\\folders\\_5\\ftvlk7l54b559q_13vjbfk4r0000gp\\T\\com.microsoft.Word\\WebArchiveCopyPasteTempFiles\\page1image64022064" \* MERGEFORMAT </w:instrText>
      </w:r>
      <w:r w:rsidRPr="006909F7">
        <w:rPr>
          <w:rFonts w:ascii="Times New Roman" w:hAnsi="Times New Roman"/>
          <w:sz w:val="24"/>
          <w:szCs w:val="24"/>
        </w:rPr>
        <w:fldChar w:fldCharType="separate"/>
      </w:r>
      <w:r w:rsidRPr="006909F7">
        <w:rPr>
          <w:rFonts w:ascii="Times New Roman" w:hAnsi="Times New Roman"/>
          <w:noProof/>
          <w:sz w:val="24"/>
          <w:szCs w:val="24"/>
          <w:lang w:eastAsia="ko-KR"/>
        </w:rPr>
        <w:drawing>
          <wp:anchor distT="0" distB="0" distL="114300" distR="114300" simplePos="0" relativeHeight="251688960" behindDoc="0" locked="0" layoutInCell="1" allowOverlap="1" wp14:anchorId="727C110F" wp14:editId="1CA75F18">
            <wp:simplePos x="0" y="0"/>
            <wp:positionH relativeFrom="column">
              <wp:posOffset>0</wp:posOffset>
            </wp:positionH>
            <wp:positionV relativeFrom="paragraph">
              <wp:posOffset>635</wp:posOffset>
            </wp:positionV>
            <wp:extent cx="1521460" cy="2239010"/>
            <wp:effectExtent l="0" t="0" r="2540" b="0"/>
            <wp:wrapSquare wrapText="bothSides"/>
            <wp:docPr id="198" name="Picture 198" descr="Ele Ruch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age1image64022064"/>
                    <pic:cNvPicPr>
                      <a:picLocks noChangeAspect="1" noChangeArrowheads="1"/>
                    </pic:cNvPicPr>
                  </pic:nvPicPr>
                  <pic:blipFill>
                    <a:blip r:embed="rId439">
                      <a:extLst>
                        <a:ext uri="{28A0092B-C50C-407E-A947-70E740481C1C}">
                          <a14:useLocalDpi xmlns:a14="http://schemas.microsoft.com/office/drawing/2010/main" val="0"/>
                        </a:ext>
                      </a:extLst>
                    </a:blip>
                    <a:srcRect/>
                    <a:stretch>
                      <a:fillRect/>
                    </a:stretch>
                  </pic:blipFill>
                  <pic:spPr bwMode="auto">
                    <a:xfrm>
                      <a:off x="0" y="0"/>
                      <a:ext cx="1521460" cy="22390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909F7">
        <w:rPr>
          <w:rFonts w:ascii="Times New Roman" w:hAnsi="Times New Roman"/>
          <w:sz w:val="24"/>
          <w:szCs w:val="24"/>
        </w:rPr>
        <w:fldChar w:fldCharType="end"/>
      </w:r>
      <w:r w:rsidRPr="006909F7">
        <w:rPr>
          <w:rFonts w:ascii="SegoeUI" w:hAnsi="SegoeUI"/>
        </w:rPr>
        <w:t xml:space="preserve">In the fall of 2017, Ele Ruchti started her first semester at the University of Alaska Southeast with the dream of becoming a teacher in rural Alaska. Not a surprising career choice since her mother is a teacher at her former high school in Galena. </w:t>
      </w:r>
    </w:p>
    <w:p w14:paraId="0F8AF673" w14:textId="77777777" w:rsidR="00574844" w:rsidRPr="006909F7" w:rsidRDefault="00574844" w:rsidP="00574844">
      <w:pPr>
        <w:rPr>
          <w:rFonts w:ascii="Times New Roman" w:hAnsi="Times New Roman"/>
          <w:sz w:val="24"/>
          <w:szCs w:val="24"/>
        </w:rPr>
      </w:pPr>
      <w:r w:rsidRPr="006909F7">
        <w:rPr>
          <w:rFonts w:ascii="SegoeUI" w:hAnsi="SegoeUI"/>
        </w:rPr>
        <w:t xml:space="preserve">Ele arrived in Juneau, excited about her university studies. She wasn’t worried about the academic challenges that faced her. Having earned both the University of Alaska Scholars Scholarship and the Alaska Performance Scholarship, she knew she had the smarts. </w:t>
      </w:r>
    </w:p>
    <w:p w14:paraId="611D43F6" w14:textId="77777777" w:rsidR="00574844" w:rsidRPr="006909F7" w:rsidRDefault="00574844" w:rsidP="00574844">
      <w:pPr>
        <w:rPr>
          <w:rFonts w:ascii="Times New Roman" w:hAnsi="Times New Roman"/>
          <w:sz w:val="24"/>
          <w:szCs w:val="24"/>
        </w:rPr>
      </w:pPr>
      <w:r w:rsidRPr="006909F7">
        <w:rPr>
          <w:rFonts w:ascii="SegoeUI" w:hAnsi="SegoeUI"/>
        </w:rPr>
        <w:t xml:space="preserve">According to Ele, everything was going fine for about 2 weeks. Then the anxiety set in, followed by depression. Even though she had experienced anxiety in high school, it had never been something that had affected her life in a major way. In Galena, she knew everyone and, as she put it, “high school has nets built in to it to help students to succeed and stay involved. If you miss school, or don’t turn in your work, the school is going to follow up.” </w:t>
      </w:r>
    </w:p>
    <w:p w14:paraId="3AC51852" w14:textId="77777777" w:rsidR="00574844" w:rsidRPr="006909F7" w:rsidRDefault="00574844" w:rsidP="00574844">
      <w:pPr>
        <w:rPr>
          <w:rFonts w:ascii="Times New Roman" w:hAnsi="Times New Roman"/>
          <w:sz w:val="24"/>
          <w:szCs w:val="24"/>
        </w:rPr>
      </w:pPr>
      <w:r w:rsidRPr="006909F7">
        <w:rPr>
          <w:rFonts w:ascii="SegoeUI" w:hAnsi="SegoeUI"/>
        </w:rPr>
        <w:t xml:space="preserve">Once she moved to Juneau and the UAS campus, all of that changed. She had no social connections, no support system, and she was responsible for making all the decisions. </w:t>
      </w:r>
    </w:p>
    <w:p w14:paraId="3642E778" w14:textId="77777777" w:rsidR="00574844" w:rsidRPr="006909F7" w:rsidRDefault="00574844" w:rsidP="00574844">
      <w:pPr>
        <w:rPr>
          <w:rFonts w:ascii="Times New Roman" w:hAnsi="Times New Roman"/>
          <w:sz w:val="24"/>
          <w:szCs w:val="24"/>
        </w:rPr>
      </w:pPr>
      <w:r w:rsidRPr="006909F7">
        <w:rPr>
          <w:rFonts w:ascii="SegoeUI" w:hAnsi="SegoeUI"/>
        </w:rPr>
        <w:t xml:space="preserve">Ele started to suffer from what she calls, “super anxiety” attacks and “super depression.” She began to isolate herself in her dorm room. Her attitude changed and her schoolwork began to suffer. She wanted to get help, but the anxiety of making an appointment with the university counseling center was too much of an uphill climb. When she finally did contact the counseling center, two weeks later, she learned about the university’s peer mentor program, run through Disability Support Services (DSS). </w:t>
      </w:r>
    </w:p>
    <w:p w14:paraId="3FB6ACBA" w14:textId="77777777" w:rsidR="00574844" w:rsidRPr="006909F7" w:rsidRDefault="00574844" w:rsidP="00574844">
      <w:pPr>
        <w:rPr>
          <w:rFonts w:ascii="Times New Roman" w:hAnsi="Times New Roman"/>
          <w:sz w:val="24"/>
          <w:szCs w:val="24"/>
        </w:rPr>
      </w:pPr>
      <w:r w:rsidRPr="006909F7">
        <w:rPr>
          <w:rFonts w:ascii="SegoeUI" w:hAnsi="SegoeUI"/>
        </w:rPr>
        <w:t xml:space="preserve">The DSS Peer Mentoring program connects a student with a disability to a student mentor, and helps develop a plan to address barriers the student with a disability may face. The plan could involve anything from helping to connect socially, to teaching a mentee how to ride the bus or make a doctor’s appointment. Care is taken to connect the right mentor with the right mentee to ensure a good match for each student’s situation. </w:t>
      </w:r>
    </w:p>
    <w:p w14:paraId="5E0D3602" w14:textId="77777777" w:rsidR="00574844" w:rsidRPr="006909F7" w:rsidRDefault="00574844" w:rsidP="00574844">
      <w:pPr>
        <w:rPr>
          <w:rFonts w:ascii="Times New Roman" w:hAnsi="Times New Roman"/>
          <w:sz w:val="24"/>
          <w:szCs w:val="24"/>
        </w:rPr>
      </w:pPr>
      <w:r w:rsidRPr="006909F7">
        <w:rPr>
          <w:rFonts w:ascii="SegoeUI" w:hAnsi="SegoeUI"/>
        </w:rPr>
        <w:t xml:space="preserve">Ele was skeptical at first that someone was going to, “give her a friend,” but she followed through and got the perfect mentor to help her meet people and get connected. Her mentor knew how to talk with her and had already navigated the social scene on campus. She was able to model for Ele, after she talked her out of wearing “all black, all the time,” how to reach out and go. The first step is just walking up to someone and saying, hi. </w:t>
      </w:r>
    </w:p>
    <w:p w14:paraId="3BDDCDC8" w14:textId="77777777" w:rsidR="00574844" w:rsidRPr="005466F3" w:rsidRDefault="00574844" w:rsidP="00574844">
      <w:r w:rsidRPr="006909F7">
        <w:rPr>
          <w:rFonts w:ascii="SegoeUI" w:hAnsi="SegoeUI"/>
        </w:rPr>
        <w:t>Ele is now in her sophomore year at UAS. She’s living in a house with three other students and working two jobs. She no longer has, or needs, a peer mentor. She’s still pursuing her career goal with the realization that, as she puts it, “I’m capable of so much more than I thought I was”.</w:t>
      </w:r>
    </w:p>
    <w:p w14:paraId="472C5071" w14:textId="77777777" w:rsidR="00574844" w:rsidRPr="00896269" w:rsidRDefault="00574844" w:rsidP="00574844"/>
    <w:p w14:paraId="0A16D047" w14:textId="77777777" w:rsidR="00574844" w:rsidRDefault="00574844" w:rsidP="00574844">
      <w:pPr>
        <w:pBdr>
          <w:bottom w:val="single" w:sz="24" w:space="1" w:color="auto"/>
        </w:pBdr>
        <w:jc w:val="center"/>
        <w:rPr>
          <w:b/>
          <w:sz w:val="36"/>
        </w:rPr>
        <w:sectPr w:rsidR="00574844" w:rsidSect="00D27D05">
          <w:type w:val="continuous"/>
          <w:pgSz w:w="12240" w:h="15840"/>
          <w:pgMar w:top="1440" w:right="1440" w:bottom="1440" w:left="1440" w:header="720" w:footer="720" w:gutter="0"/>
          <w:pgBorders w:offsetFrom="page">
            <w:top w:val="thinThickSmallGap" w:sz="24" w:space="24" w:color="2F5496" w:themeColor="accent1" w:themeShade="BF"/>
            <w:left w:val="thinThickSmallGap" w:sz="24" w:space="24" w:color="2F5496" w:themeColor="accent1" w:themeShade="BF"/>
            <w:bottom w:val="thickThinSmallGap" w:sz="24" w:space="24" w:color="2F5496" w:themeColor="accent1" w:themeShade="BF"/>
            <w:right w:val="thickThinSmallGap" w:sz="24" w:space="24" w:color="2F5496" w:themeColor="accent1" w:themeShade="BF"/>
          </w:pgBorders>
          <w:cols w:num="2" w:space="720"/>
          <w:docGrid w:linePitch="360"/>
        </w:sectPr>
      </w:pPr>
    </w:p>
    <w:p w14:paraId="2840E360" w14:textId="77777777" w:rsidR="00574844" w:rsidRPr="00B10F7D" w:rsidRDefault="00574844" w:rsidP="00BA0D82">
      <w:pPr>
        <w:pStyle w:val="Heading2"/>
        <w:numPr>
          <w:ilvl w:val="0"/>
          <w:numId w:val="0"/>
        </w:numPr>
        <w:rPr>
          <w:caps/>
        </w:rPr>
      </w:pPr>
      <w:bookmarkStart w:id="138" w:name="_Toc28011461"/>
      <w:r w:rsidRPr="00B10F7D">
        <w:rPr>
          <w:caps/>
        </w:rPr>
        <w:lastRenderedPageBreak/>
        <w:t>Peer Mentoring: PROGRESS NARRATIVE</w:t>
      </w:r>
      <w:bookmarkEnd w:id="138"/>
    </w:p>
    <w:p w14:paraId="5C5F9A76" w14:textId="77777777" w:rsidR="00574844" w:rsidRDefault="00574844" w:rsidP="00574844">
      <w:pPr>
        <w:pStyle w:val="Heading3"/>
        <w:numPr>
          <w:ilvl w:val="0"/>
          <w:numId w:val="0"/>
        </w:numPr>
        <w:ind w:left="810" w:hanging="810"/>
      </w:pPr>
      <w:r>
        <w:t>National Lens</w:t>
      </w:r>
    </w:p>
    <w:p w14:paraId="5AB590BC" w14:textId="77777777" w:rsidR="00574844" w:rsidRDefault="00574844" w:rsidP="00574844">
      <w:pPr>
        <w:ind w:firstLine="720"/>
      </w:pPr>
      <w:r w:rsidRPr="005D5750">
        <w:t>Research has shown that mentors, especially peer mentors, can positively affect the movement of individuals with disabilities towards self-sufficiency through the establishment of high expectations, support and empowerment (Olney, et al., 2014).</w:t>
      </w:r>
      <w:r>
        <w:t xml:space="preserve"> </w:t>
      </w:r>
      <w:r w:rsidRPr="009268E4">
        <w:t xml:space="preserve">During the past decade, mentoring has proliferated as an intervention strategy for addressing the needs that young people have for adult support and guidance throughout their development. Currently, more than 5,000 mentoring programs serve an estimated three million youths in the United States. Funding and growth imperatives continue to fuel the expansion of programs as well as the diversification of mentoring approaches and applications. </w:t>
      </w:r>
    </w:p>
    <w:p w14:paraId="027E5D68" w14:textId="77777777" w:rsidR="00574844" w:rsidRDefault="00574844" w:rsidP="00574844">
      <w:pPr>
        <w:ind w:firstLine="720"/>
      </w:pPr>
      <w:r>
        <w:t xml:space="preserve">Studies point to mentoring as an intervention strategy that has the capacity to serve both promotion and prevention aims, with evidence of being able to affect multiple domains of youth functioning simultaneously and to improve selected outcomes of policy interest (e.g., academic achievement test scores). Of particular note is that diverse </w:t>
      </w:r>
      <w:r w:rsidRPr="009268E4">
        <w:t>program</w:t>
      </w:r>
      <w:r>
        <w:t xml:space="preserve"> modalities are found to have comparable levels of effectiveness, for example, engaging peers or adults as mentors and </w:t>
      </w:r>
      <w:r w:rsidRPr="009268E4">
        <w:t>cultivating one-to-one relationships</w:t>
      </w:r>
      <w:r>
        <w:t xml:space="preserve"> or using</w:t>
      </w:r>
      <w:r w:rsidRPr="009268E4">
        <w:t xml:space="preserve"> group formats.</w:t>
      </w:r>
      <w:r>
        <w:t xml:space="preserve"> As is the case with many practices being pilot tested under WINTAC, with peer mentoring programs, adhering to core practices deemed to be the essential elements of program quality is critical in order for program investments to yield optimal returns.</w:t>
      </w:r>
    </w:p>
    <w:p w14:paraId="44D221D8" w14:textId="77777777" w:rsidR="00574844" w:rsidRPr="009268E4" w:rsidRDefault="00574844" w:rsidP="00574844">
      <w:pPr>
        <w:ind w:firstLine="720"/>
      </w:pPr>
      <w:r>
        <w:t>The passage of WIOA</w:t>
      </w:r>
      <w:r w:rsidRPr="00BD3C69">
        <w:rPr>
          <w:rFonts w:cstheme="minorHAnsi"/>
          <w:sz w:val="24"/>
          <w:szCs w:val="24"/>
        </w:rPr>
        <w:t xml:space="preserve"> </w:t>
      </w:r>
      <w:r w:rsidRPr="00BD3C69">
        <w:t xml:space="preserve">and the designation of a new set of required services for students with disabilities that included the use of “peer mentoring” as a delivery support for the provision of self-advocacy skills offered opportunities for the development and expansion of </w:t>
      </w:r>
      <w:r>
        <w:t xml:space="preserve">promising programs and practices which helped to shape WINTAC’s approach to intensive Peer Mentoring technical assistance. </w:t>
      </w:r>
    </w:p>
    <w:p w14:paraId="4C6924C0" w14:textId="77777777" w:rsidR="00574844" w:rsidRDefault="00574844" w:rsidP="00574844">
      <w:pPr>
        <w:pStyle w:val="Heading3"/>
        <w:numPr>
          <w:ilvl w:val="0"/>
          <w:numId w:val="0"/>
        </w:numPr>
        <w:ind w:left="810" w:hanging="810"/>
      </w:pPr>
      <w:r w:rsidRPr="00035CD7">
        <w:t>WINTAC Lens</w:t>
      </w:r>
    </w:p>
    <w:p w14:paraId="78B3BCF4" w14:textId="77777777" w:rsidR="00574844" w:rsidRDefault="00574844" w:rsidP="00574844">
      <w:pPr>
        <w:ind w:firstLine="720"/>
      </w:pPr>
      <w:r>
        <w:t>WINTAC’s work with interested states involves a pilot project approach to promoting</w:t>
      </w:r>
      <w:r w:rsidRPr="005D5750">
        <w:t xml:space="preserve"> development and use of peer mentoring networks for young people with disabilities to help them transition from secondary and postsecondary education to employment through the power and influence of high expectations, self-determination and the development of self-advocacy skills. The peer mentors </w:t>
      </w:r>
      <w:r>
        <w:t xml:space="preserve">are </w:t>
      </w:r>
      <w:r w:rsidRPr="005D5750">
        <w:t>demonstrat</w:t>
      </w:r>
      <w:r>
        <w:t>ing</w:t>
      </w:r>
      <w:r w:rsidRPr="005D5750">
        <w:t xml:space="preserve"> a replicable model that is </w:t>
      </w:r>
      <w:r>
        <w:t xml:space="preserve">thus far </w:t>
      </w:r>
      <w:r w:rsidRPr="005D5750">
        <w:t xml:space="preserve">underutilized by SVRAs </w:t>
      </w:r>
      <w:r>
        <w:t>but</w:t>
      </w:r>
      <w:r w:rsidRPr="005D5750">
        <w:t xml:space="preserve"> c</w:t>
      </w:r>
      <w:r>
        <w:t>ould</w:t>
      </w:r>
      <w:r w:rsidRPr="005D5750">
        <w:t xml:space="preserve"> significantly contribute to improvements in services and outcome</w:t>
      </w:r>
      <w:r>
        <w:t>s</w:t>
      </w:r>
      <w:r w:rsidRPr="005D5750">
        <w:t xml:space="preserve"> for young people with significant disabilities served by the workforce development system.</w:t>
      </w:r>
    </w:p>
    <w:p w14:paraId="2264C95D" w14:textId="77777777" w:rsidR="00574844" w:rsidRDefault="00574844" w:rsidP="00574844">
      <w:pPr>
        <w:ind w:firstLine="720"/>
      </w:pPr>
      <w:r w:rsidRPr="009E242D">
        <w:t>The Peer Mentor</w:t>
      </w:r>
      <w:r>
        <w:t>ing</w:t>
      </w:r>
      <w:r w:rsidRPr="009E242D">
        <w:t xml:space="preserve"> projects include training for the mentors and the individuals </w:t>
      </w:r>
      <w:r>
        <w:t>who</w:t>
      </w:r>
      <w:r w:rsidRPr="009E242D">
        <w:t xml:space="preserve"> coordinate the mentoring activities. </w:t>
      </w:r>
      <w:r>
        <w:t>WINTAC’s projects are in various stages of implementation but can be grouped according to the nature of their ITAAs: Those that started early on and are expanding or replicating a model developed in Florida, and those that are developing a conceptual framework for new peer mentoring services.</w:t>
      </w:r>
    </w:p>
    <w:p w14:paraId="0F8DBDD8" w14:textId="77777777" w:rsidR="00574844" w:rsidRDefault="00574844" w:rsidP="00574844">
      <w:pPr>
        <w:ind w:firstLine="720"/>
      </w:pPr>
      <w:r>
        <w:t>The team’s approach starts with discussions with senior management, identification of objectives, development of a management plan and initial training of all state and local staff and provider agencies. Additional supports include project design and implementation planning,  development and delivery of training curricula, and facilitation of a Community of Practice. Implementation supports are focused on training of coordinators and mentors and initiating the state’s referral process.To ensure continuity of messaging, programming and quality, the Peer Mentoring team collaborates in these and other activities with WINTAC’s Pre-ETS team.</w:t>
      </w:r>
    </w:p>
    <w:p w14:paraId="4BB8BEC4" w14:textId="77777777" w:rsidR="00574844" w:rsidRDefault="00574844" w:rsidP="00574844">
      <w:pPr>
        <w:ind w:firstLine="720"/>
        <w:rPr>
          <w:szCs w:val="14"/>
        </w:rPr>
      </w:pPr>
      <w:r w:rsidRPr="0010632C">
        <w:rPr>
          <w:b/>
          <w:i/>
        </w:rPr>
        <w:lastRenderedPageBreak/>
        <w:t>TA Progress</w:t>
      </w:r>
      <w:r>
        <w:rPr>
          <w:b/>
          <w:i/>
        </w:rPr>
        <w:t xml:space="preserve"> </w:t>
      </w:r>
      <w:r>
        <w:t>WINTAC is providing Peer Mentoring technical assistance in six states, involving 9 SVRAs.</w:t>
      </w:r>
      <w:r w:rsidRPr="0010632C">
        <w:rPr>
          <w:szCs w:val="14"/>
        </w:rPr>
        <w:t xml:space="preserve"> </w:t>
      </w:r>
      <w:r>
        <w:rPr>
          <w:szCs w:val="14"/>
        </w:rPr>
        <w:t>As noted in the above charts, all activities are more than half-way completed, with a majority of activities (78%) nearing or having reached completion, with completion rates of 75% or more. In the areas where the activity is training, and the training is not yet complete, outputs such as trained staff and mentors understandably lag behind. One important support developed for pilots</w:t>
      </w:r>
      <w:r w:rsidRPr="00481251">
        <w:rPr>
          <w:szCs w:val="14"/>
        </w:rPr>
        <w:t xml:space="preserve"> </w:t>
      </w:r>
      <w:r>
        <w:rPr>
          <w:szCs w:val="14"/>
        </w:rPr>
        <w:t xml:space="preserve">by the team is a portfolio of 43 learning modules, customized to provide an accessible, online knowledge base for the peer mentor and peer mentor coordinator. </w:t>
      </w:r>
    </w:p>
    <w:p w14:paraId="097B40FE" w14:textId="77777777" w:rsidR="00574844" w:rsidRDefault="00574844" w:rsidP="00574844">
      <w:pPr>
        <w:ind w:firstLine="720"/>
      </w:pPr>
      <w:r>
        <w:rPr>
          <w:b/>
          <w:i/>
        </w:rPr>
        <w:t xml:space="preserve">Challenges Overcome </w:t>
      </w:r>
      <w:r>
        <w:t>Most SVRAs implementing pilots in this area were encountering challenges in meeting the Pre-ETS service delivery requirements and sought Peer Mentoring programming as a means of meeting this challenge. Among the barriers encountered as they initiated and implemented pilots, some of the associated barriers were (1) staff inexperience with Peer Mentoring (2) competing workload priorities for leadership and staff and (3) establishing stable and sustainable provider capacity. The training and structural supports provided in the pilot model are directed at addressing these challenges as implementation progresses. The key facilitators for the most successful pilots were (1) ongoing commitment of senior staff and (2) clear designation of project staff. These factors allowed pilots to meet their primary objectives and begin expansion to additional organizations and partners. The WINTAC team will be surveying training participants regarding reasons they may not have completed the course. Technical assistance strategies increasingly reinforce the importance of early identification of leadership, staff training and program sustainability measures. The team also continues to emphasize incorporating peer mentoring into Pre-Employment Transition Services.</w:t>
      </w:r>
    </w:p>
    <w:p w14:paraId="5879174E" w14:textId="77777777" w:rsidR="00574844" w:rsidRDefault="00574844" w:rsidP="00574844">
      <w:pPr>
        <w:ind w:firstLine="720"/>
      </w:pPr>
      <w:r>
        <w:rPr>
          <w:b/>
          <w:i/>
        </w:rPr>
        <w:t xml:space="preserve">Impact </w:t>
      </w:r>
      <w:r>
        <w:t>The goals of Peer Mentoring programs relate to providing self-advocacy skill development to ensure better retention outcomes for students in post-secondary education, and to help students in developing networks and participating in the IEP process. As noted in the speedometer infographic above,</w:t>
      </w:r>
      <w:r w:rsidRPr="00E83748">
        <w:t xml:space="preserve"> </w:t>
      </w:r>
      <w:r>
        <w:t xml:space="preserve">over one-third of anticipated Peer Mentoring pilot outcomes are at least 75% achieved. Most of these outcomes involve production or updating of a written plan to </w:t>
      </w:r>
      <w:r w:rsidRPr="00571015">
        <w:rPr>
          <w:rFonts w:cstheme="minorHAnsi"/>
        </w:rPr>
        <w:t xml:space="preserve">establish or expand peer mentoring, </w:t>
      </w:r>
      <w:r>
        <w:rPr>
          <w:rFonts w:cstheme="minorHAnsi"/>
        </w:rPr>
        <w:t>with</w:t>
      </w:r>
      <w:r w:rsidRPr="00571015">
        <w:rPr>
          <w:rFonts w:cstheme="minorHAnsi"/>
        </w:rPr>
        <w:t xml:space="preserve"> strategies and target dates for training and implementation</w:t>
      </w:r>
      <w:r>
        <w:rPr>
          <w:rFonts w:cstheme="minorHAnsi"/>
        </w:rPr>
        <w:t xml:space="preserve">. The percentage of </w:t>
      </w:r>
      <w:r>
        <w:t>outcomes not started (especially student outcomes) may be explained by the lag between completion of training or other activities and commencement or completion of services.</w:t>
      </w:r>
    </w:p>
    <w:p w14:paraId="387FECAB" w14:textId="77777777" w:rsidR="00574844" w:rsidRDefault="00574844" w:rsidP="00574844">
      <w:pPr>
        <w:ind w:firstLine="720"/>
      </w:pPr>
      <w:r>
        <w:t>The Peer Mentoring team maintains pilot-specific dashboards containing descriptive information as well as some capacity-building and service delivery data. From these dashboards it is possible to highlight the following data from the three states with established programs: A total of 102 coordinators have been trained and certified; 105 mentors have been certified and 246 mentees are being served. One state recorded 16 mentors having provided 160 hours of mentoring. Another state has 55 provider organizations available to delivery Peer Mentoring services. A third state conducted a statewide counselor orientation and participants included 40 university staff and statewide coordinators.</w:t>
      </w:r>
    </w:p>
    <w:p w14:paraId="1EA73417" w14:textId="77777777" w:rsidR="00574844" w:rsidRDefault="00574844" w:rsidP="00574844">
      <w:pPr>
        <w:ind w:firstLine="720"/>
        <w:rPr>
          <w:rFonts w:cstheme="minorHAnsi"/>
        </w:rPr>
      </w:pPr>
      <w:r>
        <w:rPr>
          <w:b/>
          <w:i/>
        </w:rPr>
        <w:t xml:space="preserve">Evaluation Recommendations </w:t>
      </w:r>
      <w:r>
        <w:t xml:space="preserve">The Evaluation Team recommends that dashboards similar to those used for the Customized Employment pilots be designed for the Peer Mentoring pilot. This would permit activities and outcomes to be tracked and reported on a regular basis, with the potential to expand on the data elements currently being recorded by the TA Team. Similar to our recommendations to the Customized Employment team, we would suggest that states not already doing so </w:t>
      </w:r>
      <w:r>
        <w:rPr>
          <w:rFonts w:cstheme="minorHAnsi"/>
        </w:rPr>
        <w:t>collaborate with WINTAC to articulate</w:t>
      </w:r>
      <w:r w:rsidRPr="001615CE">
        <w:rPr>
          <w:rFonts w:cstheme="minorHAnsi"/>
        </w:rPr>
        <w:t xml:space="preserve"> </w:t>
      </w:r>
      <w:r>
        <w:rPr>
          <w:rFonts w:cstheme="minorHAnsi"/>
        </w:rPr>
        <w:t xml:space="preserve">targets and </w:t>
      </w:r>
      <w:r w:rsidRPr="001615CE">
        <w:rPr>
          <w:rFonts w:cstheme="minorHAnsi"/>
        </w:rPr>
        <w:t>pre-intervention baselines</w:t>
      </w:r>
      <w:r>
        <w:rPr>
          <w:rFonts w:cstheme="minorHAnsi"/>
        </w:rPr>
        <w:t>,</w:t>
      </w:r>
      <w:r w:rsidRPr="001615CE">
        <w:rPr>
          <w:rFonts w:cstheme="minorHAnsi"/>
        </w:rPr>
        <w:t xml:space="preserve"> </w:t>
      </w:r>
      <w:r>
        <w:rPr>
          <w:rFonts w:cstheme="minorHAnsi"/>
        </w:rPr>
        <w:t xml:space="preserve">and ensure structures and processes </w:t>
      </w:r>
      <w:r>
        <w:rPr>
          <w:rFonts w:cstheme="minorHAnsi"/>
        </w:rPr>
        <w:lastRenderedPageBreak/>
        <w:t>to t</w:t>
      </w:r>
      <w:r w:rsidRPr="001615CE">
        <w:rPr>
          <w:rFonts w:cstheme="minorHAnsi"/>
        </w:rPr>
        <w:t xml:space="preserve">rack and </w:t>
      </w:r>
      <w:r>
        <w:rPr>
          <w:rFonts w:cstheme="minorHAnsi"/>
        </w:rPr>
        <w:t xml:space="preserve">periodically review and report </w:t>
      </w:r>
      <w:r w:rsidRPr="001615CE">
        <w:rPr>
          <w:rFonts w:cstheme="minorHAnsi"/>
        </w:rPr>
        <w:t>results.</w:t>
      </w:r>
      <w:r>
        <w:rPr>
          <w:rFonts w:cstheme="minorHAnsi"/>
        </w:rPr>
        <w:t xml:space="preserve"> While the Evaluation Team will assume as much of the burden as possible, each site should commit to revisiting their projected ITAA outcomes, designating an evaluation or data management lead for their pilot, creating a modest evaluation plan and protocols, and identifying the time and resources needed to help answer basic questions about the pilot’s impact.</w:t>
      </w:r>
    </w:p>
    <w:p w14:paraId="0F861347" w14:textId="77777777" w:rsidR="00574844" w:rsidRDefault="00574844" w:rsidP="00574844">
      <w:pPr>
        <w:rPr>
          <w:rFonts w:cstheme="minorHAnsi"/>
        </w:rPr>
      </w:pPr>
      <w:r>
        <w:rPr>
          <w:rFonts w:cstheme="minorHAnsi"/>
        </w:rPr>
        <w:tab/>
        <w:t xml:space="preserve">As observed with other Topic areas, the WINTAC teams have plenty of anecdotal evidence of the the systems </w:t>
      </w:r>
      <w:r w:rsidRPr="0054596F">
        <w:t>impact</w:t>
      </w:r>
      <w:r>
        <w:t>s of their work</w:t>
      </w:r>
      <w:r>
        <w:rPr>
          <w:rFonts w:cstheme="minorHAnsi"/>
        </w:rPr>
        <w:t>, but it is advisable to develop the capability to measure these gains to the extent possible. In particular, contributions to the state of the art, ongoing national dialog, and changes in such areas as:</w:t>
      </w:r>
    </w:p>
    <w:p w14:paraId="259E31C2" w14:textId="77777777" w:rsidR="00574844" w:rsidRDefault="00574844" w:rsidP="00574844">
      <w:pPr>
        <w:pStyle w:val="ListParagraph"/>
        <w:numPr>
          <w:ilvl w:val="0"/>
          <w:numId w:val="23"/>
        </w:numPr>
        <w:spacing w:after="100" w:afterAutospacing="1"/>
        <w:ind w:left="1080"/>
        <w:rPr>
          <w:rFonts w:cstheme="minorHAnsi"/>
        </w:rPr>
      </w:pPr>
      <w:r>
        <w:t>P</w:t>
      </w:r>
      <w:r w:rsidRPr="00CA7811">
        <w:rPr>
          <w:rFonts w:cstheme="minorHAnsi"/>
        </w:rPr>
        <w:t xml:space="preserve">artnering and leveraging </w:t>
      </w:r>
      <w:r>
        <w:rPr>
          <w:rFonts w:cstheme="minorHAnsi"/>
        </w:rPr>
        <w:t xml:space="preserve">of </w:t>
      </w:r>
      <w:r w:rsidRPr="00CA7811">
        <w:rPr>
          <w:rFonts w:cstheme="minorHAnsi"/>
        </w:rPr>
        <w:t>resources, including braiding fund</w:t>
      </w:r>
      <w:r>
        <w:rPr>
          <w:rFonts w:cstheme="minorHAnsi"/>
        </w:rPr>
        <w:t>s</w:t>
      </w:r>
    </w:p>
    <w:p w14:paraId="40E7A456" w14:textId="77777777" w:rsidR="00574844" w:rsidRDefault="00574844" w:rsidP="00574844">
      <w:pPr>
        <w:pStyle w:val="ListParagraph"/>
        <w:numPr>
          <w:ilvl w:val="0"/>
          <w:numId w:val="23"/>
        </w:numPr>
        <w:spacing w:after="100" w:afterAutospacing="1"/>
        <w:ind w:left="1080"/>
        <w:rPr>
          <w:rFonts w:cstheme="minorHAnsi"/>
        </w:rPr>
      </w:pPr>
      <w:r>
        <w:rPr>
          <w:rFonts w:cstheme="minorHAnsi"/>
        </w:rPr>
        <w:t>VR assuming a lead role in interagency collaborations</w:t>
      </w:r>
    </w:p>
    <w:p w14:paraId="11984E50" w14:textId="77777777" w:rsidR="00574844" w:rsidRDefault="00574844" w:rsidP="00574844">
      <w:pPr>
        <w:pStyle w:val="ListParagraph"/>
        <w:numPr>
          <w:ilvl w:val="0"/>
          <w:numId w:val="23"/>
        </w:numPr>
        <w:spacing w:after="100" w:afterAutospacing="1"/>
        <w:ind w:left="1080"/>
        <w:rPr>
          <w:rFonts w:cstheme="minorHAnsi"/>
        </w:rPr>
      </w:pPr>
      <w:r>
        <w:rPr>
          <w:rFonts w:cstheme="minorHAnsi"/>
        </w:rPr>
        <w:t>Partnering between the General and Blind agencies</w:t>
      </w:r>
    </w:p>
    <w:p w14:paraId="1B010917" w14:textId="77777777" w:rsidR="00574844" w:rsidRDefault="00574844" w:rsidP="00574844">
      <w:pPr>
        <w:pStyle w:val="ListParagraph"/>
        <w:numPr>
          <w:ilvl w:val="0"/>
          <w:numId w:val="23"/>
        </w:numPr>
        <w:spacing w:after="100" w:afterAutospacing="1"/>
        <w:ind w:left="1080"/>
        <w:rPr>
          <w:rFonts w:cstheme="minorHAnsi"/>
        </w:rPr>
      </w:pPr>
      <w:r>
        <w:rPr>
          <w:rFonts w:cstheme="minorHAnsi"/>
        </w:rPr>
        <w:t>Paradigm shifts in staff view of employability</w:t>
      </w:r>
    </w:p>
    <w:p w14:paraId="11C66969" w14:textId="77777777" w:rsidR="00574844" w:rsidRPr="0048785F" w:rsidRDefault="00574844" w:rsidP="00574844">
      <w:pPr>
        <w:pStyle w:val="ListParagraph"/>
        <w:numPr>
          <w:ilvl w:val="0"/>
          <w:numId w:val="23"/>
        </w:numPr>
        <w:spacing w:after="100" w:afterAutospacing="1"/>
        <w:ind w:left="1080"/>
        <w:rPr>
          <w:rFonts w:cstheme="minorHAnsi"/>
        </w:rPr>
      </w:pPr>
      <w:r>
        <w:rPr>
          <w:rFonts w:cstheme="minorHAnsi"/>
        </w:rPr>
        <w:t>Cross-agency alignment of policies and procedures</w:t>
      </w:r>
    </w:p>
    <w:p w14:paraId="1D0BAA8A" w14:textId="16207563" w:rsidR="003F2FE8" w:rsidRDefault="003F2FE8" w:rsidP="003F2FE8">
      <w:pPr>
        <w:ind w:left="-450"/>
        <w:rPr>
          <w:noProof/>
        </w:rPr>
      </w:pPr>
    </w:p>
    <w:p w14:paraId="639A4181" w14:textId="77777777" w:rsidR="003F2FE8" w:rsidRDefault="003F2FE8" w:rsidP="003F2FE8"/>
    <w:p w14:paraId="2FCFD5BE" w14:textId="77777777" w:rsidR="003F2FE8" w:rsidRDefault="003F2FE8" w:rsidP="003F2FE8">
      <w:pPr>
        <w:sectPr w:rsidR="003F2FE8" w:rsidSect="00D27D05">
          <w:footerReference w:type="default" r:id="rId440"/>
          <w:pgSz w:w="12240" w:h="15840" w:code="1"/>
          <w:pgMar w:top="1440" w:right="1440" w:bottom="1440" w:left="1440" w:header="720" w:footer="720" w:gutter="0"/>
          <w:pgBorders w:offsetFrom="page">
            <w:top w:val="thinThickSmallGap" w:sz="24" w:space="24" w:color="2F5496" w:themeColor="accent1" w:themeShade="BF"/>
            <w:left w:val="thinThickSmallGap" w:sz="24" w:space="24" w:color="2F5496" w:themeColor="accent1" w:themeShade="BF"/>
            <w:bottom w:val="thickThinSmallGap" w:sz="24" w:space="24" w:color="2F5496" w:themeColor="accent1" w:themeShade="BF"/>
            <w:right w:val="thickThinSmallGap" w:sz="24" w:space="24" w:color="2F5496" w:themeColor="accent1" w:themeShade="BF"/>
          </w:pgBorders>
          <w:cols w:space="720"/>
          <w:docGrid w:linePitch="360"/>
        </w:sectPr>
      </w:pPr>
    </w:p>
    <w:p w14:paraId="31E3D951" w14:textId="4980F58E" w:rsidR="003F2FE8" w:rsidRPr="00574844" w:rsidRDefault="00574844" w:rsidP="00076336">
      <w:pPr>
        <w:pStyle w:val="Heading1"/>
        <w:numPr>
          <w:ilvl w:val="0"/>
          <w:numId w:val="59"/>
        </w:numPr>
        <w:pBdr>
          <w:bottom w:val="single" w:sz="18" w:space="1" w:color="auto"/>
        </w:pBdr>
        <w:shd w:val="clear" w:color="auto" w:fill="auto"/>
        <w:ind w:left="720"/>
        <w:rPr>
          <w:caps w:val="0"/>
          <w:szCs w:val="52"/>
        </w:rPr>
      </w:pPr>
      <w:bookmarkStart w:id="139" w:name="_Toc28011462"/>
      <w:r w:rsidRPr="00574844">
        <w:rPr>
          <w:caps w:val="0"/>
          <w:szCs w:val="52"/>
        </w:rPr>
        <w:lastRenderedPageBreak/>
        <w:t>Business Engagement</w:t>
      </w:r>
      <w:bookmarkEnd w:id="139"/>
    </w:p>
    <w:bookmarkEnd w:id="126"/>
    <w:p w14:paraId="6C19D9AD" w14:textId="77777777" w:rsidR="00777541" w:rsidRDefault="00777541" w:rsidP="00777541"/>
    <w:p w14:paraId="36C0A102" w14:textId="77777777" w:rsidR="00777541" w:rsidRDefault="00777541" w:rsidP="00777541">
      <w:pPr>
        <w:ind w:left="-450"/>
        <w:rPr>
          <w:noProof/>
        </w:rPr>
      </w:pPr>
      <w:r>
        <w:rPr>
          <w:noProof/>
          <w:lang w:eastAsia="ko-KR"/>
        </w:rPr>
        <w:drawing>
          <wp:inline distT="0" distB="0" distL="0" distR="0" wp14:anchorId="6B317A13" wp14:editId="64250EEE">
            <wp:extent cx="5943600" cy="4394200"/>
            <wp:effectExtent l="323850" t="323850" r="323850" b="330200"/>
            <wp:docPr id="156" name="Picture 156" descr="Map of Business Engagement  ITAAs covering the states and territories of: AK, Am.Samoa, AZ, CA, CNMI, DE, FL, GA, Guam, HI, IN, IA, KY, LA, MD, MA, MI, MN, MS, MT, NV, NH, NC, PR, RI, SC, UT, Virg.Isl., 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RE-ETS ITAA MAP Y4.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943600" cy="439420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p>
    <w:p w14:paraId="16ED9794" w14:textId="77777777" w:rsidR="00777541" w:rsidRDefault="00777541" w:rsidP="00777541"/>
    <w:p w14:paraId="33DCD80A" w14:textId="77777777" w:rsidR="00777541" w:rsidRDefault="00777541" w:rsidP="00777541">
      <w:pPr>
        <w:sectPr w:rsidR="00777541" w:rsidSect="00D27D05">
          <w:footerReference w:type="default" r:id="rId441"/>
          <w:pgSz w:w="12240" w:h="15840" w:code="1"/>
          <w:pgMar w:top="1440" w:right="1440" w:bottom="1440" w:left="1440" w:header="720" w:footer="720" w:gutter="0"/>
          <w:pgBorders w:offsetFrom="page">
            <w:top w:val="thinThickSmallGap" w:sz="24" w:space="24" w:color="2F5496" w:themeColor="accent1" w:themeShade="BF"/>
            <w:left w:val="thinThickSmallGap" w:sz="24" w:space="24" w:color="2F5496" w:themeColor="accent1" w:themeShade="BF"/>
            <w:bottom w:val="thickThinSmallGap" w:sz="24" w:space="24" w:color="2F5496" w:themeColor="accent1" w:themeShade="BF"/>
            <w:right w:val="thickThinSmallGap" w:sz="24" w:space="24" w:color="2F5496" w:themeColor="accent1" w:themeShade="BF"/>
          </w:pgBorders>
          <w:cols w:space="720"/>
          <w:vAlign w:val="center"/>
          <w:docGrid w:linePitch="360"/>
        </w:sectPr>
      </w:pPr>
    </w:p>
    <w:p w14:paraId="3A58D837" w14:textId="77777777" w:rsidR="00777541" w:rsidRPr="00987BC7" w:rsidRDefault="00777541" w:rsidP="006578A5">
      <w:pPr>
        <w:pStyle w:val="Heading2"/>
        <w:numPr>
          <w:ilvl w:val="0"/>
          <w:numId w:val="0"/>
        </w:numPr>
        <w:pBdr>
          <w:bottom w:val="none" w:sz="0" w:space="0" w:color="auto"/>
        </w:pBdr>
        <w:shd w:val="clear" w:color="auto" w:fill="B4C6E7" w:themeFill="accent1" w:themeFillTint="66"/>
      </w:pPr>
      <w:bookmarkStart w:id="140" w:name="_Toc27904628"/>
      <w:bookmarkStart w:id="141" w:name="_Toc28011463"/>
      <w:r>
        <w:lastRenderedPageBreak/>
        <w:t>BUSINESS ENGAGEMENT</w:t>
      </w:r>
      <w:r w:rsidRPr="00987BC7">
        <w:t xml:space="preserve"> – </w:t>
      </w:r>
      <w:r>
        <w:t xml:space="preserve">ITA </w:t>
      </w:r>
      <w:r w:rsidRPr="00987BC7">
        <w:t>Logic Model</w:t>
      </w:r>
      <w:bookmarkEnd w:id="140"/>
      <w:bookmarkEnd w:id="141"/>
    </w:p>
    <w:tbl>
      <w:tblPr>
        <w:tblW w:w="5000" w:type="pct"/>
        <w:tblLook w:val="04A0" w:firstRow="1" w:lastRow="0" w:firstColumn="1" w:lastColumn="0" w:noHBand="0" w:noVBand="1"/>
      </w:tblPr>
      <w:tblGrid>
        <w:gridCol w:w="5499"/>
        <w:gridCol w:w="5291"/>
      </w:tblGrid>
      <w:tr w:rsidR="00777541" w:rsidRPr="00206792" w14:paraId="591F0D49" w14:textId="77777777" w:rsidTr="003B6148">
        <w:trPr>
          <w:trHeight w:val="20"/>
        </w:trPr>
        <w:tc>
          <w:tcPr>
            <w:tcW w:w="2548" w:type="pct"/>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hideMark/>
          </w:tcPr>
          <w:p w14:paraId="7D6B94FC" w14:textId="77777777" w:rsidR="00777541" w:rsidRPr="00206792" w:rsidRDefault="00777541" w:rsidP="003B6148">
            <w:pPr>
              <w:spacing w:after="0" w:line="240" w:lineRule="auto"/>
              <w:jc w:val="center"/>
              <w:rPr>
                <w:b/>
                <w:bCs/>
                <w:color w:val="000000"/>
              </w:rPr>
            </w:pPr>
            <w:r w:rsidRPr="00206792">
              <w:rPr>
                <w:b/>
                <w:bCs/>
                <w:color w:val="000000"/>
              </w:rPr>
              <w:t>Activity</w:t>
            </w:r>
          </w:p>
        </w:tc>
        <w:tc>
          <w:tcPr>
            <w:tcW w:w="2452" w:type="pct"/>
            <w:tcBorders>
              <w:top w:val="single" w:sz="4" w:space="0" w:color="auto"/>
              <w:left w:val="nil"/>
              <w:bottom w:val="single" w:sz="4" w:space="0" w:color="auto"/>
              <w:right w:val="single" w:sz="4" w:space="0" w:color="auto"/>
            </w:tcBorders>
            <w:shd w:val="clear" w:color="auto" w:fill="D9E2F3" w:themeFill="accent1" w:themeFillTint="33"/>
            <w:vAlign w:val="center"/>
            <w:hideMark/>
          </w:tcPr>
          <w:p w14:paraId="233F940A" w14:textId="77777777" w:rsidR="00777541" w:rsidRPr="00206792" w:rsidRDefault="00777541" w:rsidP="003B6148">
            <w:pPr>
              <w:spacing w:after="0" w:line="240" w:lineRule="auto"/>
              <w:jc w:val="center"/>
              <w:rPr>
                <w:b/>
                <w:bCs/>
                <w:color w:val="000000"/>
              </w:rPr>
            </w:pPr>
            <w:r w:rsidRPr="00206792">
              <w:rPr>
                <w:b/>
                <w:bCs/>
                <w:color w:val="000000"/>
              </w:rPr>
              <w:t>Output</w:t>
            </w:r>
          </w:p>
        </w:tc>
      </w:tr>
      <w:tr w:rsidR="00777541" w:rsidRPr="00206792" w14:paraId="1126AB2B" w14:textId="77777777" w:rsidTr="003B6148">
        <w:trPr>
          <w:trHeight w:val="20"/>
        </w:trPr>
        <w:tc>
          <w:tcPr>
            <w:tcW w:w="2548" w:type="pct"/>
            <w:tcBorders>
              <w:top w:val="nil"/>
              <w:left w:val="single" w:sz="4" w:space="0" w:color="000000"/>
              <w:bottom w:val="single" w:sz="4" w:space="0" w:color="000000"/>
              <w:right w:val="single" w:sz="4" w:space="0" w:color="000000"/>
            </w:tcBorders>
            <w:shd w:val="clear" w:color="auto" w:fill="auto"/>
            <w:vAlign w:val="center"/>
            <w:hideMark/>
          </w:tcPr>
          <w:p w14:paraId="174D9891" w14:textId="77777777" w:rsidR="00777541" w:rsidRPr="00206792" w:rsidRDefault="00777541" w:rsidP="00076336">
            <w:pPr>
              <w:pStyle w:val="ListParagraph"/>
              <w:numPr>
                <w:ilvl w:val="0"/>
                <w:numId w:val="48"/>
              </w:numPr>
              <w:spacing w:after="0" w:line="240" w:lineRule="auto"/>
            </w:pPr>
            <w:r w:rsidRPr="00206792">
              <w:t>Review existing documentation, policies, procedures and internal controls for Pre-ETS, including the tracking and reporting of Pre-ETS</w:t>
            </w:r>
          </w:p>
        </w:tc>
        <w:tc>
          <w:tcPr>
            <w:tcW w:w="2452" w:type="pct"/>
            <w:tcBorders>
              <w:top w:val="nil"/>
              <w:left w:val="nil"/>
              <w:bottom w:val="single" w:sz="4" w:space="0" w:color="000000"/>
              <w:right w:val="single" w:sz="4" w:space="0" w:color="000000"/>
            </w:tcBorders>
            <w:shd w:val="clear" w:color="auto" w:fill="auto"/>
            <w:vAlign w:val="center"/>
            <w:hideMark/>
          </w:tcPr>
          <w:p w14:paraId="16E2AD7F" w14:textId="77777777" w:rsidR="00777541" w:rsidRPr="00206792" w:rsidRDefault="00777541" w:rsidP="00076336">
            <w:pPr>
              <w:pStyle w:val="ListParagraph"/>
              <w:numPr>
                <w:ilvl w:val="0"/>
                <w:numId w:val="49"/>
              </w:numPr>
              <w:spacing w:after="0" w:line="240" w:lineRule="auto"/>
              <w:ind w:left="340"/>
            </w:pPr>
            <w:r w:rsidRPr="00206792">
              <w:t>Documented feedback on documentation, policies, procedures and internal controls for Pre-ETS, including the tracking and reporting of Pre-ETS</w:t>
            </w:r>
          </w:p>
        </w:tc>
      </w:tr>
      <w:tr w:rsidR="00777541" w:rsidRPr="00206792" w14:paraId="0A2A17B4" w14:textId="77777777" w:rsidTr="003B6148">
        <w:trPr>
          <w:trHeight w:val="20"/>
        </w:trPr>
        <w:tc>
          <w:tcPr>
            <w:tcW w:w="2548" w:type="pct"/>
            <w:tcBorders>
              <w:top w:val="nil"/>
              <w:left w:val="single" w:sz="4" w:space="0" w:color="000000"/>
              <w:bottom w:val="single" w:sz="4" w:space="0" w:color="000000"/>
              <w:right w:val="single" w:sz="4" w:space="0" w:color="000000"/>
            </w:tcBorders>
            <w:shd w:val="clear" w:color="auto" w:fill="auto"/>
            <w:vAlign w:val="center"/>
            <w:hideMark/>
          </w:tcPr>
          <w:p w14:paraId="138155C8" w14:textId="77777777" w:rsidR="00777541" w:rsidRPr="00206792" w:rsidRDefault="00777541" w:rsidP="00076336">
            <w:pPr>
              <w:pStyle w:val="ListParagraph"/>
              <w:numPr>
                <w:ilvl w:val="0"/>
                <w:numId w:val="48"/>
              </w:numPr>
              <w:spacing w:after="0" w:line="240" w:lineRule="auto"/>
            </w:pPr>
            <w:r w:rsidRPr="00206792">
              <w:t>Assist in the development of new or revised policies and procedures and internal controls for Pre-ETS including the expenditures, tracking and reporting of Pre-ETS</w:t>
            </w:r>
          </w:p>
        </w:tc>
        <w:tc>
          <w:tcPr>
            <w:tcW w:w="2452" w:type="pct"/>
            <w:tcBorders>
              <w:top w:val="nil"/>
              <w:left w:val="nil"/>
              <w:bottom w:val="single" w:sz="4" w:space="0" w:color="000000"/>
              <w:right w:val="single" w:sz="4" w:space="0" w:color="000000"/>
            </w:tcBorders>
            <w:shd w:val="clear" w:color="auto" w:fill="auto"/>
            <w:vAlign w:val="center"/>
            <w:hideMark/>
          </w:tcPr>
          <w:p w14:paraId="63C4A63B" w14:textId="77777777" w:rsidR="00777541" w:rsidRPr="00206792" w:rsidRDefault="00777541" w:rsidP="00076336">
            <w:pPr>
              <w:pStyle w:val="ListParagraph"/>
              <w:numPr>
                <w:ilvl w:val="0"/>
                <w:numId w:val="49"/>
              </w:numPr>
              <w:spacing w:after="0" w:line="240" w:lineRule="auto"/>
              <w:ind w:left="340"/>
            </w:pPr>
            <w:r w:rsidRPr="00206792">
              <w:t>Draft of new and/or revised policies and procedures and internal controls for Pre-ETS</w:t>
            </w:r>
          </w:p>
        </w:tc>
      </w:tr>
      <w:tr w:rsidR="00777541" w:rsidRPr="00206792" w14:paraId="3A4E0A12" w14:textId="77777777" w:rsidTr="003B6148">
        <w:trPr>
          <w:trHeight w:val="20"/>
        </w:trPr>
        <w:tc>
          <w:tcPr>
            <w:tcW w:w="2548" w:type="pct"/>
            <w:tcBorders>
              <w:top w:val="nil"/>
              <w:left w:val="single" w:sz="4" w:space="0" w:color="000000"/>
              <w:bottom w:val="single" w:sz="4" w:space="0" w:color="000000"/>
              <w:right w:val="single" w:sz="4" w:space="0" w:color="000000"/>
            </w:tcBorders>
            <w:shd w:val="clear" w:color="auto" w:fill="auto"/>
            <w:vAlign w:val="center"/>
            <w:hideMark/>
          </w:tcPr>
          <w:p w14:paraId="0BDC07F2" w14:textId="77777777" w:rsidR="00777541" w:rsidRPr="00206792" w:rsidRDefault="00777541" w:rsidP="00076336">
            <w:pPr>
              <w:pStyle w:val="ListParagraph"/>
              <w:numPr>
                <w:ilvl w:val="0"/>
                <w:numId w:val="48"/>
              </w:numPr>
              <w:spacing w:after="0" w:line="240" w:lineRule="auto"/>
            </w:pPr>
            <w:r w:rsidRPr="00206792">
              <w:t>Review existing expenditures allocated to the reserved funds and determine if they are allowable costs</w:t>
            </w:r>
          </w:p>
        </w:tc>
        <w:tc>
          <w:tcPr>
            <w:tcW w:w="2452" w:type="pct"/>
            <w:tcBorders>
              <w:top w:val="nil"/>
              <w:left w:val="nil"/>
              <w:bottom w:val="single" w:sz="4" w:space="0" w:color="000000"/>
              <w:right w:val="single" w:sz="4" w:space="0" w:color="000000"/>
            </w:tcBorders>
            <w:shd w:val="clear" w:color="auto" w:fill="auto"/>
            <w:vAlign w:val="center"/>
            <w:hideMark/>
          </w:tcPr>
          <w:p w14:paraId="13298132" w14:textId="77777777" w:rsidR="00777541" w:rsidRPr="00206792" w:rsidRDefault="00777541" w:rsidP="00076336">
            <w:pPr>
              <w:pStyle w:val="ListParagraph"/>
              <w:numPr>
                <w:ilvl w:val="0"/>
                <w:numId w:val="49"/>
              </w:numPr>
              <w:spacing w:after="0" w:line="240" w:lineRule="auto"/>
              <w:ind w:left="340"/>
            </w:pPr>
            <w:r w:rsidRPr="00206792">
              <w:t>Documented feedback on allowable expenditures</w:t>
            </w:r>
          </w:p>
        </w:tc>
      </w:tr>
      <w:tr w:rsidR="00777541" w:rsidRPr="00206792" w14:paraId="6D20886F" w14:textId="77777777" w:rsidTr="003B6148">
        <w:trPr>
          <w:trHeight w:val="20"/>
        </w:trPr>
        <w:tc>
          <w:tcPr>
            <w:tcW w:w="2548" w:type="pct"/>
            <w:tcBorders>
              <w:top w:val="nil"/>
              <w:left w:val="single" w:sz="4" w:space="0" w:color="000000"/>
              <w:bottom w:val="single" w:sz="4" w:space="0" w:color="000000"/>
              <w:right w:val="single" w:sz="4" w:space="0" w:color="000000"/>
            </w:tcBorders>
            <w:shd w:val="clear" w:color="auto" w:fill="auto"/>
            <w:vAlign w:val="center"/>
            <w:hideMark/>
          </w:tcPr>
          <w:p w14:paraId="5EE52323" w14:textId="77777777" w:rsidR="00777541" w:rsidRPr="00206792" w:rsidRDefault="00777541" w:rsidP="00076336">
            <w:pPr>
              <w:pStyle w:val="ListParagraph"/>
              <w:numPr>
                <w:ilvl w:val="0"/>
                <w:numId w:val="48"/>
              </w:numPr>
              <w:spacing w:after="0" w:line="240" w:lineRule="auto"/>
            </w:pPr>
            <w:r w:rsidRPr="00206792">
              <w:t>Assist the agency in the development of processes and internal controls for accurate financial reporting of Pre-ETS</w:t>
            </w:r>
          </w:p>
        </w:tc>
        <w:tc>
          <w:tcPr>
            <w:tcW w:w="2452" w:type="pct"/>
            <w:tcBorders>
              <w:top w:val="nil"/>
              <w:left w:val="nil"/>
              <w:bottom w:val="single" w:sz="4" w:space="0" w:color="000000"/>
              <w:right w:val="single" w:sz="4" w:space="0" w:color="000000"/>
            </w:tcBorders>
            <w:shd w:val="clear" w:color="auto" w:fill="auto"/>
            <w:vAlign w:val="center"/>
            <w:hideMark/>
          </w:tcPr>
          <w:p w14:paraId="1781E450" w14:textId="77777777" w:rsidR="00777541" w:rsidRPr="00206792" w:rsidRDefault="00777541" w:rsidP="00076336">
            <w:pPr>
              <w:pStyle w:val="ListParagraph"/>
              <w:numPr>
                <w:ilvl w:val="0"/>
                <w:numId w:val="49"/>
              </w:numPr>
              <w:spacing w:after="0" w:line="240" w:lineRule="auto"/>
              <w:ind w:left="340"/>
            </w:pPr>
            <w:r w:rsidRPr="00206792">
              <w:t>Draft of written processes and internal controls provided to the agency</w:t>
            </w:r>
          </w:p>
        </w:tc>
      </w:tr>
      <w:tr w:rsidR="00777541" w:rsidRPr="00206792" w14:paraId="409FAC95" w14:textId="77777777" w:rsidTr="003B6148">
        <w:trPr>
          <w:trHeight w:val="20"/>
        </w:trPr>
        <w:tc>
          <w:tcPr>
            <w:tcW w:w="2548" w:type="pct"/>
            <w:tcBorders>
              <w:top w:val="nil"/>
              <w:left w:val="single" w:sz="4" w:space="0" w:color="000000"/>
              <w:bottom w:val="nil"/>
              <w:right w:val="single" w:sz="4" w:space="0" w:color="000000"/>
            </w:tcBorders>
            <w:shd w:val="clear" w:color="auto" w:fill="auto"/>
            <w:vAlign w:val="center"/>
            <w:hideMark/>
          </w:tcPr>
          <w:p w14:paraId="141EED15" w14:textId="77777777" w:rsidR="00777541" w:rsidRPr="00206792" w:rsidRDefault="00777541" w:rsidP="00076336">
            <w:pPr>
              <w:pStyle w:val="ListParagraph"/>
              <w:numPr>
                <w:ilvl w:val="0"/>
                <w:numId w:val="48"/>
              </w:numPr>
              <w:spacing w:after="0" w:line="240" w:lineRule="auto"/>
            </w:pPr>
            <w:r w:rsidRPr="00206792">
              <w:t>Review current interagency agreement between VR and SEA that encompasses the required elements in WIOA</w:t>
            </w:r>
          </w:p>
        </w:tc>
        <w:tc>
          <w:tcPr>
            <w:tcW w:w="2452" w:type="pct"/>
            <w:tcBorders>
              <w:top w:val="nil"/>
              <w:left w:val="nil"/>
              <w:bottom w:val="nil"/>
              <w:right w:val="single" w:sz="4" w:space="0" w:color="000000"/>
            </w:tcBorders>
            <w:shd w:val="clear" w:color="auto" w:fill="auto"/>
            <w:vAlign w:val="center"/>
            <w:hideMark/>
          </w:tcPr>
          <w:p w14:paraId="017A01B2" w14:textId="77777777" w:rsidR="00777541" w:rsidRPr="00206792" w:rsidRDefault="00777541" w:rsidP="00076336">
            <w:pPr>
              <w:pStyle w:val="ListParagraph"/>
              <w:numPr>
                <w:ilvl w:val="0"/>
                <w:numId w:val="49"/>
              </w:numPr>
              <w:spacing w:after="0" w:line="240" w:lineRule="auto"/>
              <w:ind w:left="340"/>
            </w:pPr>
            <w:r w:rsidRPr="00206792">
              <w:t>Documented feedback on interagency agreement</w:t>
            </w:r>
          </w:p>
        </w:tc>
      </w:tr>
      <w:tr w:rsidR="00777541" w:rsidRPr="00206792" w14:paraId="22929CB5" w14:textId="77777777" w:rsidTr="003B6148">
        <w:trPr>
          <w:trHeight w:val="20"/>
        </w:trPr>
        <w:tc>
          <w:tcPr>
            <w:tcW w:w="254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8AC9C55" w14:textId="77777777" w:rsidR="00777541" w:rsidRPr="00206792" w:rsidRDefault="00777541" w:rsidP="00076336">
            <w:pPr>
              <w:pStyle w:val="ListParagraph"/>
              <w:numPr>
                <w:ilvl w:val="0"/>
                <w:numId w:val="48"/>
              </w:numPr>
              <w:spacing w:after="0" w:line="240" w:lineRule="auto"/>
            </w:pPr>
            <w:r w:rsidRPr="00206792">
              <w:t xml:space="preserve">Assist in the development of an updated interagency agreement between VR and SEA that encompasses the required elements in WIOA to use as a model for LEA agreements </w:t>
            </w:r>
          </w:p>
        </w:tc>
        <w:tc>
          <w:tcPr>
            <w:tcW w:w="2452" w:type="pct"/>
            <w:tcBorders>
              <w:top w:val="single" w:sz="4" w:space="0" w:color="auto"/>
              <w:left w:val="nil"/>
              <w:bottom w:val="single" w:sz="4" w:space="0" w:color="auto"/>
              <w:right w:val="single" w:sz="4" w:space="0" w:color="auto"/>
            </w:tcBorders>
            <w:shd w:val="clear" w:color="auto" w:fill="auto"/>
            <w:vAlign w:val="center"/>
            <w:hideMark/>
          </w:tcPr>
          <w:p w14:paraId="20F643C5" w14:textId="77777777" w:rsidR="00777541" w:rsidRPr="00206792" w:rsidRDefault="00777541" w:rsidP="00076336">
            <w:pPr>
              <w:pStyle w:val="ListParagraph"/>
              <w:numPr>
                <w:ilvl w:val="0"/>
                <w:numId w:val="49"/>
              </w:numPr>
              <w:spacing w:after="0" w:line="240" w:lineRule="auto"/>
              <w:ind w:left="340"/>
            </w:pPr>
            <w:r w:rsidRPr="00206792">
              <w:t>Draft updated agreement with recommendations</w:t>
            </w:r>
          </w:p>
        </w:tc>
      </w:tr>
      <w:tr w:rsidR="00777541" w:rsidRPr="00206792" w14:paraId="6E04963B" w14:textId="77777777" w:rsidTr="003B6148">
        <w:trPr>
          <w:trHeight w:val="20"/>
        </w:trPr>
        <w:tc>
          <w:tcPr>
            <w:tcW w:w="254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D9291CF" w14:textId="77777777" w:rsidR="00777541" w:rsidRPr="00206792" w:rsidRDefault="00777541" w:rsidP="00076336">
            <w:pPr>
              <w:pStyle w:val="ListParagraph"/>
              <w:numPr>
                <w:ilvl w:val="0"/>
                <w:numId w:val="48"/>
              </w:numPr>
              <w:spacing w:after="0" w:line="240" w:lineRule="auto"/>
            </w:pPr>
            <w:r w:rsidRPr="00206792">
              <w:t>Assist agency in demonstrating that they have met the requirement for the provision of pre-employment transition services required and coordination activities before assigning authorized services to reserved funds</w:t>
            </w:r>
          </w:p>
        </w:tc>
        <w:tc>
          <w:tcPr>
            <w:tcW w:w="245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AF0AC09" w14:textId="77777777" w:rsidR="00777541" w:rsidRPr="00206792" w:rsidRDefault="00777541" w:rsidP="00076336">
            <w:pPr>
              <w:pStyle w:val="ListParagraph"/>
              <w:numPr>
                <w:ilvl w:val="0"/>
                <w:numId w:val="49"/>
              </w:numPr>
              <w:spacing w:after="0" w:line="240" w:lineRule="auto"/>
              <w:ind w:left="340"/>
            </w:pPr>
            <w:r w:rsidRPr="00206792">
              <w:t>Completion of RSA approved model of movement from required to authorized activities</w:t>
            </w:r>
          </w:p>
        </w:tc>
      </w:tr>
      <w:tr w:rsidR="00777541" w:rsidRPr="00206792" w14:paraId="02344393" w14:textId="77777777" w:rsidTr="003B6148">
        <w:trPr>
          <w:trHeight w:val="20"/>
        </w:trPr>
        <w:tc>
          <w:tcPr>
            <w:tcW w:w="2548" w:type="pct"/>
            <w:tcBorders>
              <w:top w:val="single" w:sz="4" w:space="0" w:color="auto"/>
              <w:left w:val="single" w:sz="4" w:space="0" w:color="000000"/>
              <w:bottom w:val="nil"/>
              <w:right w:val="single" w:sz="4" w:space="0" w:color="000000"/>
            </w:tcBorders>
            <w:shd w:val="clear" w:color="auto" w:fill="auto"/>
            <w:vAlign w:val="center"/>
            <w:hideMark/>
          </w:tcPr>
          <w:p w14:paraId="410441C8" w14:textId="77777777" w:rsidR="00777541" w:rsidRPr="00206792" w:rsidRDefault="00777541" w:rsidP="00076336">
            <w:pPr>
              <w:pStyle w:val="ListParagraph"/>
              <w:numPr>
                <w:ilvl w:val="0"/>
                <w:numId w:val="48"/>
              </w:numPr>
              <w:spacing w:after="0" w:line="240" w:lineRule="auto"/>
            </w:pPr>
            <w:r w:rsidRPr="00206792">
              <w:t>Provide training to VR staff regarding Pre-ETS and S. 113 of the Act as amended by WIOA</w:t>
            </w:r>
          </w:p>
        </w:tc>
        <w:tc>
          <w:tcPr>
            <w:tcW w:w="2452" w:type="pct"/>
            <w:tcBorders>
              <w:top w:val="single" w:sz="4" w:space="0" w:color="auto"/>
              <w:left w:val="nil"/>
              <w:bottom w:val="single" w:sz="4" w:space="0" w:color="auto"/>
              <w:right w:val="single" w:sz="4" w:space="0" w:color="auto"/>
            </w:tcBorders>
            <w:shd w:val="clear" w:color="auto" w:fill="auto"/>
            <w:vAlign w:val="center"/>
            <w:hideMark/>
          </w:tcPr>
          <w:p w14:paraId="5B5C624E" w14:textId="77777777" w:rsidR="00777541" w:rsidRPr="00206792" w:rsidRDefault="00777541" w:rsidP="00076336">
            <w:pPr>
              <w:pStyle w:val="ListParagraph"/>
              <w:numPr>
                <w:ilvl w:val="0"/>
                <w:numId w:val="49"/>
              </w:numPr>
              <w:spacing w:after="0" w:line="240" w:lineRule="auto"/>
              <w:ind w:left="340"/>
            </w:pPr>
            <w:r w:rsidRPr="00206792">
              <w:t>The number of individuals that complete the training(s).</w:t>
            </w:r>
          </w:p>
        </w:tc>
      </w:tr>
      <w:tr w:rsidR="00777541" w:rsidRPr="00206792" w14:paraId="70737470" w14:textId="77777777" w:rsidTr="003B6148">
        <w:trPr>
          <w:trHeight w:val="20"/>
        </w:trPr>
        <w:tc>
          <w:tcPr>
            <w:tcW w:w="254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A110DD5" w14:textId="77777777" w:rsidR="00777541" w:rsidRPr="00206792" w:rsidRDefault="00777541" w:rsidP="00076336">
            <w:pPr>
              <w:pStyle w:val="ListParagraph"/>
              <w:numPr>
                <w:ilvl w:val="0"/>
                <w:numId w:val="48"/>
              </w:numPr>
              <w:spacing w:after="0" w:line="240" w:lineRule="auto"/>
            </w:pPr>
            <w:r w:rsidRPr="00206792">
              <w:t>Provide training to VR staff regarding Agency’s updated policies and procedures related to Pre-ETS</w:t>
            </w:r>
          </w:p>
        </w:tc>
        <w:tc>
          <w:tcPr>
            <w:tcW w:w="2452" w:type="pct"/>
            <w:tcBorders>
              <w:top w:val="nil"/>
              <w:left w:val="nil"/>
              <w:bottom w:val="nil"/>
              <w:right w:val="single" w:sz="4" w:space="0" w:color="000000"/>
            </w:tcBorders>
            <w:shd w:val="clear" w:color="auto" w:fill="auto"/>
            <w:vAlign w:val="center"/>
            <w:hideMark/>
          </w:tcPr>
          <w:p w14:paraId="6B4C7D65" w14:textId="77777777" w:rsidR="00777541" w:rsidRPr="00206792" w:rsidRDefault="00777541" w:rsidP="00076336">
            <w:pPr>
              <w:pStyle w:val="ListParagraph"/>
              <w:numPr>
                <w:ilvl w:val="0"/>
                <w:numId w:val="49"/>
              </w:numPr>
              <w:spacing w:after="0" w:line="240" w:lineRule="auto"/>
              <w:ind w:left="340"/>
            </w:pPr>
            <w:r w:rsidRPr="00206792">
              <w:t>The number of individuals that complete the training(s).</w:t>
            </w:r>
          </w:p>
        </w:tc>
      </w:tr>
      <w:tr w:rsidR="00777541" w:rsidRPr="00206792" w14:paraId="2BBA8343" w14:textId="77777777" w:rsidTr="003B6148">
        <w:trPr>
          <w:trHeight w:val="20"/>
        </w:trPr>
        <w:tc>
          <w:tcPr>
            <w:tcW w:w="2548" w:type="pct"/>
            <w:tcBorders>
              <w:top w:val="single" w:sz="4" w:space="0" w:color="auto"/>
              <w:left w:val="single" w:sz="4" w:space="0" w:color="000000"/>
              <w:bottom w:val="single" w:sz="4" w:space="0" w:color="auto"/>
              <w:right w:val="single" w:sz="4" w:space="0" w:color="000000"/>
            </w:tcBorders>
            <w:shd w:val="clear" w:color="auto" w:fill="auto"/>
            <w:vAlign w:val="center"/>
            <w:hideMark/>
          </w:tcPr>
          <w:p w14:paraId="1846EA7F" w14:textId="77777777" w:rsidR="00777541" w:rsidRPr="00206792" w:rsidRDefault="00777541" w:rsidP="00076336">
            <w:pPr>
              <w:pStyle w:val="ListParagraph"/>
              <w:numPr>
                <w:ilvl w:val="0"/>
                <w:numId w:val="48"/>
              </w:numPr>
              <w:spacing w:after="0" w:line="240" w:lineRule="auto"/>
            </w:pPr>
            <w:r w:rsidRPr="00206792">
              <w:t>Assist in the development of a strategy to explore and expand Pre-ETS service delivery including possible electronic/online options and modalities</w:t>
            </w:r>
          </w:p>
        </w:tc>
        <w:tc>
          <w:tcPr>
            <w:tcW w:w="2452" w:type="pct"/>
            <w:tcBorders>
              <w:top w:val="single" w:sz="4" w:space="0" w:color="000000"/>
              <w:left w:val="nil"/>
              <w:bottom w:val="single" w:sz="4" w:space="0" w:color="000000"/>
              <w:right w:val="single" w:sz="4" w:space="0" w:color="000000"/>
            </w:tcBorders>
            <w:shd w:val="clear" w:color="auto" w:fill="auto"/>
            <w:vAlign w:val="center"/>
            <w:hideMark/>
          </w:tcPr>
          <w:p w14:paraId="739EBCB6" w14:textId="77777777" w:rsidR="00777541" w:rsidRPr="00206792" w:rsidRDefault="00777541" w:rsidP="00076336">
            <w:pPr>
              <w:pStyle w:val="ListParagraph"/>
              <w:numPr>
                <w:ilvl w:val="0"/>
                <w:numId w:val="49"/>
              </w:numPr>
              <w:spacing w:after="0" w:line="240" w:lineRule="auto"/>
              <w:ind w:left="340"/>
            </w:pPr>
            <w:r w:rsidRPr="00206792">
              <w:t>Disseminate Explore-Work.com to agency</w:t>
            </w:r>
          </w:p>
        </w:tc>
      </w:tr>
      <w:tr w:rsidR="00777541" w:rsidRPr="00206792" w14:paraId="52099905" w14:textId="77777777" w:rsidTr="003B6148">
        <w:trPr>
          <w:trHeight w:val="20"/>
        </w:trPr>
        <w:tc>
          <w:tcPr>
            <w:tcW w:w="5000" w:type="pct"/>
            <w:gridSpan w:val="2"/>
            <w:tcBorders>
              <w:top w:val="single" w:sz="4" w:space="0" w:color="auto"/>
              <w:left w:val="single" w:sz="4" w:space="0" w:color="000000"/>
              <w:bottom w:val="single" w:sz="4" w:space="0" w:color="auto"/>
              <w:right w:val="single" w:sz="4" w:space="0" w:color="000000"/>
            </w:tcBorders>
            <w:shd w:val="clear" w:color="auto" w:fill="D9E2F3" w:themeFill="accent1" w:themeFillTint="33"/>
            <w:vAlign w:val="center"/>
          </w:tcPr>
          <w:p w14:paraId="2D4A5F9B" w14:textId="77777777" w:rsidR="00777541" w:rsidRPr="00206792" w:rsidRDefault="00777541" w:rsidP="003B6148">
            <w:pPr>
              <w:spacing w:after="0" w:line="240" w:lineRule="auto"/>
              <w:jc w:val="center"/>
              <w:rPr>
                <w:b/>
              </w:rPr>
            </w:pPr>
            <w:r w:rsidRPr="00206792">
              <w:rPr>
                <w:b/>
              </w:rPr>
              <w:t>Short-Term Outcomes</w:t>
            </w:r>
          </w:p>
          <w:p w14:paraId="194294FA" w14:textId="77777777" w:rsidR="00777541" w:rsidRPr="00206792" w:rsidRDefault="00777541" w:rsidP="00076336">
            <w:pPr>
              <w:pStyle w:val="ListParagraph"/>
              <w:numPr>
                <w:ilvl w:val="0"/>
                <w:numId w:val="1"/>
              </w:numPr>
              <w:spacing w:after="0" w:line="240" w:lineRule="auto"/>
            </w:pPr>
            <w:r w:rsidRPr="00206792">
              <w:t>There will be an increase in the number of students with disabilities that receive at least one of the five required services from year to year.</w:t>
            </w:r>
          </w:p>
          <w:p w14:paraId="2A5A023B" w14:textId="77777777" w:rsidR="00777541" w:rsidRPr="00206792" w:rsidRDefault="00777541" w:rsidP="00076336">
            <w:pPr>
              <w:pStyle w:val="ListParagraph"/>
              <w:numPr>
                <w:ilvl w:val="0"/>
                <w:numId w:val="1"/>
              </w:numPr>
              <w:spacing w:after="0" w:line="240" w:lineRule="auto"/>
            </w:pPr>
            <w:r w:rsidRPr="00206792">
              <w:t>The agency will completely and accurately report on the expenditure of the 15% reserve</w:t>
            </w:r>
          </w:p>
          <w:p w14:paraId="5A1448E1" w14:textId="77777777" w:rsidR="00777541" w:rsidRPr="00206792" w:rsidRDefault="00777541" w:rsidP="00076336">
            <w:pPr>
              <w:pStyle w:val="ListParagraph"/>
              <w:numPr>
                <w:ilvl w:val="0"/>
                <w:numId w:val="1"/>
              </w:numPr>
              <w:spacing w:after="0" w:line="240" w:lineRule="auto"/>
            </w:pPr>
            <w:r w:rsidRPr="00206792">
              <w:t>The VR program will increase the allocation of Pre-ETS expenditures towards the minimum 15% reserve until it is fully expended</w:t>
            </w:r>
          </w:p>
          <w:p w14:paraId="573CC976" w14:textId="77777777" w:rsidR="00777541" w:rsidRPr="00206792" w:rsidRDefault="00777541" w:rsidP="00076336">
            <w:pPr>
              <w:pStyle w:val="ListParagraph"/>
              <w:numPr>
                <w:ilvl w:val="0"/>
                <w:numId w:val="1"/>
              </w:numPr>
              <w:spacing w:after="0" w:line="240" w:lineRule="auto"/>
            </w:pPr>
            <w:r w:rsidRPr="00206792">
              <w:t>Improved interagency coordination and collaboration regarding pre-employment transition services at a state-level (systems change)</w:t>
            </w:r>
          </w:p>
        </w:tc>
      </w:tr>
    </w:tbl>
    <w:p w14:paraId="554036E6" w14:textId="77777777" w:rsidR="00777541" w:rsidRDefault="00777541" w:rsidP="00BA0D82">
      <w:pPr>
        <w:pStyle w:val="Heading2"/>
        <w:numPr>
          <w:ilvl w:val="0"/>
          <w:numId w:val="0"/>
        </w:numPr>
        <w:pBdr>
          <w:bottom w:val="single" w:sz="12" w:space="1" w:color="auto"/>
        </w:pBdr>
        <w:rPr>
          <w:szCs w:val="36"/>
        </w:rPr>
      </w:pPr>
      <w:r>
        <w:rPr>
          <w:szCs w:val="36"/>
        </w:rPr>
        <w:br w:type="page"/>
      </w:r>
    </w:p>
    <w:p w14:paraId="46E6A9D0" w14:textId="77777777" w:rsidR="006578A5" w:rsidRDefault="00777541" w:rsidP="00BA0D82">
      <w:pPr>
        <w:pStyle w:val="Heading2"/>
        <w:numPr>
          <w:ilvl w:val="0"/>
          <w:numId w:val="0"/>
        </w:numPr>
      </w:pPr>
      <w:bookmarkStart w:id="142" w:name="_Toc27904629"/>
      <w:bookmarkStart w:id="143" w:name="_Toc28011464"/>
      <w:r w:rsidRPr="00354CA1">
        <w:lastRenderedPageBreak/>
        <w:t xml:space="preserve">BUSINESS ENGAGEMENT: ACTIVITIES &amp; OUTPUTS  </w:t>
      </w:r>
    </w:p>
    <w:p w14:paraId="1B86E67B" w14:textId="0660B404" w:rsidR="00777541" w:rsidRPr="00354CA1" w:rsidRDefault="00777541" w:rsidP="00BA0D82">
      <w:pPr>
        <w:pStyle w:val="Heading2"/>
        <w:numPr>
          <w:ilvl w:val="0"/>
          <w:numId w:val="0"/>
        </w:numPr>
      </w:pPr>
      <w:r w:rsidRPr="00354CA1">
        <w:t>PROGRESS DASHBOARDS</w:t>
      </w:r>
      <w:bookmarkEnd w:id="142"/>
      <w:bookmarkEnd w:id="143"/>
    </w:p>
    <w:p w14:paraId="2144B6C1" w14:textId="77777777" w:rsidR="00777541" w:rsidRDefault="00777541" w:rsidP="00777541"/>
    <w:p w14:paraId="6423DB2F" w14:textId="77777777" w:rsidR="00777541" w:rsidRDefault="00777541" w:rsidP="00777541">
      <w:pPr>
        <w:jc w:val="center"/>
        <w:rPr>
          <w:sz w:val="36"/>
        </w:rPr>
      </w:pPr>
      <w:r w:rsidRPr="00861B67">
        <w:rPr>
          <w:noProof/>
          <w:lang w:eastAsia="ko-KR"/>
        </w:rPr>
        <w:drawing>
          <wp:inline distT="0" distB="0" distL="0" distR="0" wp14:anchorId="7CBAAD2E" wp14:editId="2092AD0E">
            <wp:extent cx="5871845" cy="2862469"/>
            <wp:effectExtent l="0" t="0" r="14605" b="14605"/>
            <wp:docPr id="157" name="Chart 157" descr="progress business engagement activities chart">
              <a:extLst xmlns:a="http://schemas.openxmlformats.org/drawingml/2006/main">
                <a:ext uri="{FF2B5EF4-FFF2-40B4-BE49-F238E27FC236}">
                  <a16:creationId xmlns:a16="http://schemas.microsoft.com/office/drawing/2014/main" id="{F999B290-8DF2-42D5-A81A-FD2D72E62C3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2"/>
              </a:graphicData>
            </a:graphic>
          </wp:inline>
        </w:drawing>
      </w:r>
    </w:p>
    <w:p w14:paraId="623FE319" w14:textId="59747AD9" w:rsidR="00A637E1" w:rsidRPr="00AF4EBF" w:rsidRDefault="00A637E1" w:rsidP="00A637E1">
      <w:pPr>
        <w:ind w:firstLine="720"/>
        <w:rPr>
          <w:sz w:val="24"/>
          <w:szCs w:val="24"/>
        </w:rPr>
      </w:pPr>
      <w:bookmarkStart w:id="144" w:name="_Hlk27656697"/>
      <w:r>
        <w:rPr>
          <w:sz w:val="24"/>
          <w:szCs w:val="24"/>
        </w:rPr>
        <w:t>Progress on business activities is approximately one-third complete or near completion (75% or more complete), with the bulk of activities 53% in progress (25-50% complete), and one-fifth not yet started.  Below, “temperature” charts break out progress of activities individually, with output completion rate presented side-by-side.</w:t>
      </w:r>
    </w:p>
    <w:bookmarkEnd w:id="144"/>
    <w:p w14:paraId="662B463E" w14:textId="77777777" w:rsidR="00777541" w:rsidRDefault="00777541" w:rsidP="00777541"/>
    <w:p w14:paraId="2532A7A5" w14:textId="77777777" w:rsidR="00777541" w:rsidRPr="00AC0D29" w:rsidRDefault="00777541" w:rsidP="00777541">
      <w:pPr>
        <w:spacing w:after="0"/>
        <w:rPr>
          <w:rFonts w:cstheme="minorHAnsi"/>
        </w:rPr>
        <w:sectPr w:rsidR="00777541" w:rsidRPr="00AC0D29" w:rsidSect="00D27D05">
          <w:pgSz w:w="12240" w:h="15840"/>
          <w:pgMar w:top="720" w:right="720" w:bottom="720" w:left="720" w:header="720" w:footer="720" w:gutter="0"/>
          <w:pgBorders w:offsetFrom="page">
            <w:top w:val="thinThickSmallGap" w:sz="24" w:space="24" w:color="2F5496" w:themeColor="accent1" w:themeShade="BF"/>
            <w:left w:val="thinThickSmallGap" w:sz="24" w:space="24" w:color="2F5496" w:themeColor="accent1" w:themeShade="BF"/>
            <w:bottom w:val="thickThinSmallGap" w:sz="24" w:space="24" w:color="2F5496" w:themeColor="accent1" w:themeShade="BF"/>
            <w:right w:val="thickThinSmallGap" w:sz="24" w:space="24" w:color="2F5496" w:themeColor="accent1" w:themeShade="BF"/>
          </w:pgBorders>
          <w:cols w:space="720"/>
          <w:docGrid w:linePitch="381"/>
        </w:sectPr>
      </w:pPr>
    </w:p>
    <w:p w14:paraId="235626BB" w14:textId="77777777" w:rsidR="00777541" w:rsidRPr="00AC0D29" w:rsidRDefault="00777541" w:rsidP="00777541">
      <w:pPr>
        <w:spacing w:after="0"/>
        <w:rPr>
          <w:rFonts w:cstheme="minorHAnsi"/>
        </w:rPr>
      </w:pPr>
      <w:r w:rsidRPr="00AC0D29">
        <w:rPr>
          <w:rFonts w:cstheme="minorHAnsi"/>
          <w:noProof/>
          <w:lang w:eastAsia="ko-KR"/>
        </w:rPr>
        <w:lastRenderedPageBreak/>
        <w:drawing>
          <wp:inline distT="0" distB="0" distL="0" distR="0" wp14:anchorId="3605C8EE" wp14:editId="14F9E544">
            <wp:extent cx="2728634" cy="5038726"/>
            <wp:effectExtent l="0" t="0" r="14605" b="9525"/>
            <wp:docPr id="158" name="Chart 158" descr="Business engagement activity 1 chart">
              <a:extLst xmlns:a="http://schemas.openxmlformats.org/drawingml/2006/main">
                <a:ext uri="{FF2B5EF4-FFF2-40B4-BE49-F238E27FC236}">
                  <a16:creationId xmlns:a16="http://schemas.microsoft.com/office/drawing/2014/main" id="{BB7134CD-9D4B-433B-B400-0B4A1D1AC4F9}"/>
                </a:ex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3"/>
              </a:graphicData>
            </a:graphic>
          </wp:inline>
        </w:drawing>
      </w:r>
    </w:p>
    <w:p w14:paraId="3B1899D8" w14:textId="77777777" w:rsidR="00777541" w:rsidRPr="00AC0D29" w:rsidRDefault="00777541" w:rsidP="00777541">
      <w:pPr>
        <w:spacing w:after="0"/>
        <w:rPr>
          <w:rFonts w:cstheme="minorHAnsi"/>
        </w:rPr>
      </w:pPr>
      <w:r w:rsidRPr="00AC0D29">
        <w:rPr>
          <w:rFonts w:cstheme="minorHAnsi"/>
          <w:b/>
          <w:bCs/>
        </w:rPr>
        <w:t>Activity 1:</w:t>
      </w:r>
      <w:r w:rsidRPr="00AC0D29">
        <w:rPr>
          <w:rFonts w:cstheme="minorHAnsi"/>
        </w:rPr>
        <w:t xml:space="preserve"> Assist the agency to assess the current effectiveness of their business engagement and/or business relations activities.</w:t>
      </w:r>
    </w:p>
    <w:p w14:paraId="39D2B901" w14:textId="77777777" w:rsidR="00777541" w:rsidRPr="00AC0D29" w:rsidRDefault="00777541" w:rsidP="00777541">
      <w:pPr>
        <w:spacing w:after="0"/>
        <w:rPr>
          <w:rFonts w:cstheme="minorHAnsi"/>
        </w:rPr>
      </w:pPr>
      <w:r w:rsidRPr="00AC0D29">
        <w:rPr>
          <w:rFonts w:cstheme="minorHAnsi"/>
          <w:b/>
          <w:bCs/>
        </w:rPr>
        <w:t>Output A:</w:t>
      </w:r>
      <w:r w:rsidRPr="00AC0D29">
        <w:rPr>
          <w:rFonts w:cstheme="minorHAnsi"/>
        </w:rPr>
        <w:t xml:space="preserve"> A completed assessment that identifies strengths of the agency’s current business engagement and/or business relations activities and areas where development is needed.</w:t>
      </w:r>
    </w:p>
    <w:p w14:paraId="6410246B" w14:textId="77777777" w:rsidR="00777541" w:rsidRPr="00AC0D29" w:rsidRDefault="00777541" w:rsidP="00777541">
      <w:pPr>
        <w:spacing w:after="0"/>
        <w:rPr>
          <w:rFonts w:cstheme="minorHAnsi"/>
        </w:rPr>
      </w:pPr>
    </w:p>
    <w:p w14:paraId="5A51FA88" w14:textId="77777777" w:rsidR="00777541" w:rsidRPr="00AC0D29" w:rsidRDefault="00777541" w:rsidP="00777541">
      <w:pPr>
        <w:spacing w:after="0"/>
        <w:rPr>
          <w:rFonts w:cstheme="minorHAnsi"/>
        </w:rPr>
      </w:pPr>
      <w:r w:rsidRPr="00AC0D29">
        <w:rPr>
          <w:rFonts w:cstheme="minorHAnsi"/>
          <w:noProof/>
          <w:lang w:eastAsia="ko-KR"/>
        </w:rPr>
        <w:drawing>
          <wp:inline distT="0" distB="0" distL="0" distR="0" wp14:anchorId="13C21755" wp14:editId="30318461">
            <wp:extent cx="2728636" cy="5038726"/>
            <wp:effectExtent l="0" t="0" r="14605" b="9525"/>
            <wp:docPr id="159" name="Chart 159" descr="Business engagement activity 2 chart">
              <a:extLst xmlns:a="http://schemas.openxmlformats.org/drawingml/2006/main">
                <a:ext uri="{FF2B5EF4-FFF2-40B4-BE49-F238E27FC236}">
                  <a16:creationId xmlns:a16="http://schemas.microsoft.com/office/drawing/2014/main" id="{4D01D9BC-3322-480C-930A-7682E4A29ADF}"/>
                </a:ex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4"/>
              </a:graphicData>
            </a:graphic>
          </wp:inline>
        </w:drawing>
      </w:r>
    </w:p>
    <w:p w14:paraId="16050F32" w14:textId="77777777" w:rsidR="00777541" w:rsidRPr="00AC0D29" w:rsidRDefault="00777541" w:rsidP="00777541">
      <w:pPr>
        <w:spacing w:after="0"/>
        <w:rPr>
          <w:rFonts w:cstheme="minorHAnsi"/>
        </w:rPr>
      </w:pPr>
      <w:r w:rsidRPr="00AC0D29">
        <w:rPr>
          <w:rFonts w:cstheme="minorHAnsi"/>
          <w:b/>
          <w:bCs/>
        </w:rPr>
        <w:t>Activity 2:</w:t>
      </w:r>
      <w:r w:rsidRPr="00AC0D29">
        <w:rPr>
          <w:rFonts w:cstheme="minorHAnsi"/>
        </w:rPr>
        <w:t xml:space="preserve"> Assist the agency to develop a Standard Operating Protocol for business engagement/relations for all staff engaged in these activities.</w:t>
      </w:r>
    </w:p>
    <w:p w14:paraId="5B24B832" w14:textId="77777777" w:rsidR="00777541" w:rsidRPr="00AC0D29" w:rsidRDefault="00777541" w:rsidP="00777541">
      <w:pPr>
        <w:spacing w:after="0"/>
        <w:rPr>
          <w:rFonts w:cstheme="minorHAnsi"/>
        </w:rPr>
      </w:pPr>
      <w:r w:rsidRPr="00AC0D29">
        <w:rPr>
          <w:rFonts w:cstheme="minorHAnsi"/>
          <w:b/>
          <w:bCs/>
        </w:rPr>
        <w:t>Output B:</w:t>
      </w:r>
      <w:r w:rsidRPr="00AC0D29">
        <w:rPr>
          <w:rFonts w:cstheme="minorHAnsi"/>
        </w:rPr>
        <w:t xml:space="preserve"> A draft SOP that includes the areas identified as essential by the agency.</w:t>
      </w:r>
    </w:p>
    <w:p w14:paraId="2ABB377F" w14:textId="77777777" w:rsidR="00777541" w:rsidRPr="00AC0D29" w:rsidRDefault="00777541" w:rsidP="00777541">
      <w:pPr>
        <w:spacing w:after="0"/>
        <w:rPr>
          <w:rFonts w:cstheme="minorHAnsi"/>
        </w:rPr>
      </w:pPr>
    </w:p>
    <w:p w14:paraId="6B4CDB1A" w14:textId="77777777" w:rsidR="00777541" w:rsidRPr="00AC0D29" w:rsidRDefault="00777541" w:rsidP="00777541">
      <w:pPr>
        <w:spacing w:after="0"/>
        <w:rPr>
          <w:rFonts w:cstheme="minorHAnsi"/>
        </w:rPr>
      </w:pPr>
      <w:r w:rsidRPr="00AC0D29">
        <w:rPr>
          <w:rFonts w:cstheme="minorHAnsi"/>
          <w:noProof/>
          <w:lang w:eastAsia="ko-KR"/>
        </w:rPr>
        <w:lastRenderedPageBreak/>
        <w:drawing>
          <wp:inline distT="0" distB="0" distL="0" distR="0" wp14:anchorId="331A7F6D" wp14:editId="78BE15E4">
            <wp:extent cx="2728634" cy="5038726"/>
            <wp:effectExtent l="0" t="0" r="14605" b="9525"/>
            <wp:docPr id="160" name="Chart 160" descr="Business engagement activity 3 chart">
              <a:extLst xmlns:a="http://schemas.openxmlformats.org/drawingml/2006/main">
                <a:ext uri="{FF2B5EF4-FFF2-40B4-BE49-F238E27FC236}">
                  <a16:creationId xmlns:a16="http://schemas.microsoft.com/office/drawing/2014/main" id="{6EE3E5DF-A803-4DF9-A251-43F2E0518B62}"/>
                </a:ex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5"/>
              </a:graphicData>
            </a:graphic>
          </wp:inline>
        </w:drawing>
      </w:r>
    </w:p>
    <w:p w14:paraId="7E7E57B9" w14:textId="77777777" w:rsidR="00777541" w:rsidRPr="00AC0D29" w:rsidRDefault="00777541" w:rsidP="00777541">
      <w:pPr>
        <w:spacing w:after="0"/>
        <w:rPr>
          <w:rFonts w:cstheme="minorHAnsi"/>
        </w:rPr>
      </w:pPr>
      <w:r w:rsidRPr="00AC0D29">
        <w:rPr>
          <w:rFonts w:cstheme="minorHAnsi"/>
          <w:b/>
          <w:bCs/>
        </w:rPr>
        <w:t>Activity 3:</w:t>
      </w:r>
      <w:r w:rsidRPr="00AC0D29">
        <w:rPr>
          <w:rFonts w:cstheme="minorHAnsi"/>
        </w:rPr>
        <w:t xml:space="preserve"> Assist the agency to develop a business engagement tracking tool that will record information necessary for tracking and reporting on the effectiveness in serving employers outcome measure.</w:t>
      </w:r>
    </w:p>
    <w:p w14:paraId="4FF847F8" w14:textId="77777777" w:rsidR="00777541" w:rsidRPr="00AC0D29" w:rsidRDefault="00777541" w:rsidP="00777541">
      <w:pPr>
        <w:spacing w:after="0"/>
        <w:rPr>
          <w:rFonts w:cstheme="minorHAnsi"/>
        </w:rPr>
      </w:pPr>
      <w:r w:rsidRPr="00AC0D29">
        <w:rPr>
          <w:rFonts w:cstheme="minorHAnsi"/>
          <w:b/>
          <w:bCs/>
        </w:rPr>
        <w:t>Output C:</w:t>
      </w:r>
      <w:r w:rsidRPr="00AC0D29">
        <w:rPr>
          <w:rFonts w:cstheme="minorHAnsi"/>
        </w:rPr>
        <w:t xml:space="preserve"> A completed draft of the tool.</w:t>
      </w:r>
    </w:p>
    <w:p w14:paraId="02EDE75D" w14:textId="77777777" w:rsidR="00777541" w:rsidRPr="00AC0D29" w:rsidRDefault="00777541" w:rsidP="00777541">
      <w:pPr>
        <w:spacing w:after="0"/>
        <w:rPr>
          <w:rFonts w:cstheme="minorHAnsi"/>
        </w:rPr>
      </w:pPr>
    </w:p>
    <w:p w14:paraId="7BD18E55" w14:textId="77777777" w:rsidR="00777541" w:rsidRPr="00AC0D29" w:rsidRDefault="00777541" w:rsidP="00777541">
      <w:pPr>
        <w:spacing w:after="0"/>
        <w:rPr>
          <w:rFonts w:cstheme="minorHAnsi"/>
        </w:rPr>
      </w:pPr>
      <w:r w:rsidRPr="00AC0D29">
        <w:rPr>
          <w:rFonts w:cstheme="minorHAnsi"/>
          <w:noProof/>
          <w:lang w:eastAsia="ko-KR"/>
        </w:rPr>
        <w:drawing>
          <wp:inline distT="0" distB="0" distL="0" distR="0" wp14:anchorId="3AF77C36" wp14:editId="5648A9A1">
            <wp:extent cx="2728635" cy="5038726"/>
            <wp:effectExtent l="0" t="0" r="14605" b="9525"/>
            <wp:docPr id="161" name="Chart 161" descr="Business engagement activity 4 chart">
              <a:extLst xmlns:a="http://schemas.openxmlformats.org/drawingml/2006/main">
                <a:ext uri="{FF2B5EF4-FFF2-40B4-BE49-F238E27FC236}">
                  <a16:creationId xmlns:a16="http://schemas.microsoft.com/office/drawing/2014/main" id="{683D8185-2805-4285-B566-78288D729B0A}"/>
                </a:ex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6"/>
              </a:graphicData>
            </a:graphic>
          </wp:inline>
        </w:drawing>
      </w:r>
    </w:p>
    <w:p w14:paraId="314E51E3" w14:textId="77777777" w:rsidR="00777541" w:rsidRPr="00AC0D29" w:rsidRDefault="00777541" w:rsidP="00777541">
      <w:pPr>
        <w:spacing w:after="0"/>
        <w:rPr>
          <w:rFonts w:cstheme="minorHAnsi"/>
        </w:rPr>
      </w:pPr>
      <w:r w:rsidRPr="00AC0D29">
        <w:rPr>
          <w:rFonts w:cstheme="minorHAnsi"/>
          <w:b/>
          <w:bCs/>
        </w:rPr>
        <w:t>Activity 4:</w:t>
      </w:r>
      <w:r w:rsidRPr="00AC0D29">
        <w:rPr>
          <w:rFonts w:cstheme="minorHAnsi"/>
        </w:rPr>
        <w:t xml:space="preserve"> Assist the agency to develop training curriculum that will increase staff capacity and competency to engage in business engagement and/or relations.</w:t>
      </w:r>
    </w:p>
    <w:p w14:paraId="24A83760" w14:textId="77777777" w:rsidR="00777541" w:rsidRPr="00AC0D29" w:rsidRDefault="00777541" w:rsidP="00777541">
      <w:pPr>
        <w:spacing w:after="0"/>
        <w:rPr>
          <w:rFonts w:cstheme="minorHAnsi"/>
        </w:rPr>
      </w:pPr>
      <w:r w:rsidRPr="00AC0D29">
        <w:rPr>
          <w:rFonts w:cstheme="minorHAnsi"/>
          <w:b/>
          <w:bCs/>
        </w:rPr>
        <w:t>Output D:</w:t>
      </w:r>
      <w:r w:rsidRPr="00AC0D29">
        <w:rPr>
          <w:rFonts w:cstheme="minorHAnsi"/>
        </w:rPr>
        <w:t xml:space="preserve"> Draft of curriculum.</w:t>
      </w:r>
    </w:p>
    <w:p w14:paraId="64612368" w14:textId="77777777" w:rsidR="00777541" w:rsidRPr="00AC0D29" w:rsidRDefault="00777541" w:rsidP="00777541">
      <w:pPr>
        <w:spacing w:after="0"/>
        <w:rPr>
          <w:rFonts w:cstheme="minorHAnsi"/>
        </w:rPr>
      </w:pPr>
    </w:p>
    <w:p w14:paraId="7D983C32" w14:textId="77777777" w:rsidR="00777541" w:rsidRPr="00AC0D29" w:rsidRDefault="00777541" w:rsidP="00777541">
      <w:pPr>
        <w:spacing w:after="0"/>
        <w:rPr>
          <w:rFonts w:cstheme="minorHAnsi"/>
        </w:rPr>
      </w:pPr>
      <w:r w:rsidRPr="00AC0D29">
        <w:rPr>
          <w:rFonts w:cstheme="minorHAnsi"/>
          <w:noProof/>
          <w:lang w:eastAsia="ko-KR"/>
        </w:rPr>
        <w:lastRenderedPageBreak/>
        <w:drawing>
          <wp:inline distT="0" distB="0" distL="0" distR="0" wp14:anchorId="15A11491" wp14:editId="6BDD77B4">
            <wp:extent cx="2728634" cy="5038726"/>
            <wp:effectExtent l="0" t="0" r="14605" b="9525"/>
            <wp:docPr id="162" name="Chart 162" descr="Business engagement activity 5 chart">
              <a:extLst xmlns:a="http://schemas.openxmlformats.org/drawingml/2006/main">
                <a:ext uri="{FF2B5EF4-FFF2-40B4-BE49-F238E27FC236}">
                  <a16:creationId xmlns:a16="http://schemas.microsoft.com/office/drawing/2014/main" id="{5A3FF801-3F9F-461D-81C5-EE5B975ED9FB}"/>
                </a:ex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7"/>
              </a:graphicData>
            </a:graphic>
          </wp:inline>
        </w:drawing>
      </w:r>
    </w:p>
    <w:p w14:paraId="544A4E30" w14:textId="77777777" w:rsidR="00777541" w:rsidRPr="00AC0D29" w:rsidRDefault="00777541" w:rsidP="00777541">
      <w:pPr>
        <w:spacing w:after="0"/>
        <w:rPr>
          <w:rFonts w:cstheme="minorHAnsi"/>
        </w:rPr>
      </w:pPr>
      <w:r w:rsidRPr="00AC0D29">
        <w:rPr>
          <w:rFonts w:cstheme="minorHAnsi"/>
          <w:b/>
          <w:bCs/>
        </w:rPr>
        <w:t>Activity 5:</w:t>
      </w:r>
      <w:r w:rsidRPr="00AC0D29">
        <w:rPr>
          <w:rFonts w:cstheme="minorHAnsi"/>
        </w:rPr>
        <w:t xml:space="preserve"> Provide training on effective business engagement/relations to agency staff.</w:t>
      </w:r>
    </w:p>
    <w:p w14:paraId="41A66360" w14:textId="77777777" w:rsidR="00777541" w:rsidRPr="00AC0D29" w:rsidRDefault="00777541" w:rsidP="00777541">
      <w:pPr>
        <w:spacing w:after="0"/>
        <w:rPr>
          <w:rFonts w:cstheme="minorHAnsi"/>
        </w:rPr>
      </w:pPr>
      <w:r w:rsidRPr="00AC0D29">
        <w:rPr>
          <w:rFonts w:cstheme="minorHAnsi"/>
          <w:b/>
          <w:bCs/>
        </w:rPr>
        <w:t>Output E:</w:t>
      </w:r>
      <w:r w:rsidRPr="00AC0D29">
        <w:rPr>
          <w:rFonts w:cstheme="minorHAnsi"/>
        </w:rPr>
        <w:t xml:space="preserve"> The number of individuals that complete the training.</w:t>
      </w:r>
    </w:p>
    <w:p w14:paraId="273F2ED8" w14:textId="77777777" w:rsidR="00777541" w:rsidRPr="00AC0D29" w:rsidRDefault="00777541" w:rsidP="00777541">
      <w:pPr>
        <w:spacing w:after="0"/>
        <w:rPr>
          <w:rFonts w:cstheme="minorHAnsi"/>
        </w:rPr>
      </w:pPr>
      <w:r w:rsidRPr="00AC0D29">
        <w:rPr>
          <w:rFonts w:cstheme="minorHAnsi"/>
          <w:noProof/>
          <w:lang w:eastAsia="ko-KR"/>
        </w:rPr>
        <w:drawing>
          <wp:inline distT="0" distB="0" distL="0" distR="0" wp14:anchorId="6547FDCC" wp14:editId="64C8A124">
            <wp:extent cx="2728636" cy="5038726"/>
            <wp:effectExtent l="0" t="0" r="14605" b="9525"/>
            <wp:docPr id="163" name="Chart 163" descr="Business engagement activity 6 chart">
              <a:extLst xmlns:a="http://schemas.openxmlformats.org/drawingml/2006/main">
                <a:ext uri="{FF2B5EF4-FFF2-40B4-BE49-F238E27FC236}">
                  <a16:creationId xmlns:a16="http://schemas.microsoft.com/office/drawing/2014/main" id="{A6079AEB-EB5C-4A97-B265-5005D755E0E2}"/>
                </a:ex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8"/>
              </a:graphicData>
            </a:graphic>
          </wp:inline>
        </w:drawing>
      </w:r>
    </w:p>
    <w:p w14:paraId="3DF4ED8F" w14:textId="77777777" w:rsidR="00777541" w:rsidRPr="00AC0D29" w:rsidRDefault="00777541" w:rsidP="00777541">
      <w:pPr>
        <w:spacing w:after="0"/>
        <w:rPr>
          <w:rFonts w:cstheme="minorHAnsi"/>
        </w:rPr>
      </w:pPr>
      <w:r w:rsidRPr="00AC0D29">
        <w:rPr>
          <w:rFonts w:cstheme="minorHAnsi"/>
          <w:b/>
          <w:bCs/>
        </w:rPr>
        <w:t>Activity 6:</w:t>
      </w:r>
      <w:r w:rsidRPr="00AC0D29">
        <w:rPr>
          <w:rFonts w:cstheme="minorHAnsi"/>
        </w:rPr>
        <w:t xml:space="preserve"> Assist the agency to develop educational and/or marketing materials for use with businesses.</w:t>
      </w:r>
    </w:p>
    <w:p w14:paraId="784A5FA9" w14:textId="77777777" w:rsidR="00777541" w:rsidRPr="00AC0D29" w:rsidRDefault="00777541" w:rsidP="00777541">
      <w:pPr>
        <w:spacing w:after="0"/>
        <w:rPr>
          <w:rFonts w:cstheme="minorHAnsi"/>
        </w:rPr>
      </w:pPr>
      <w:r w:rsidRPr="00AC0D29">
        <w:rPr>
          <w:rFonts w:cstheme="minorHAnsi"/>
          <w:b/>
          <w:bCs/>
        </w:rPr>
        <w:t>Output F:</w:t>
      </w:r>
      <w:r w:rsidRPr="00AC0D29">
        <w:rPr>
          <w:rFonts w:cstheme="minorHAnsi"/>
        </w:rPr>
        <w:t xml:space="preserve"> A draft of completed educational and/or marketing materials.</w:t>
      </w:r>
    </w:p>
    <w:p w14:paraId="5844D8FE" w14:textId="77777777" w:rsidR="00777541" w:rsidRPr="00AC0D29" w:rsidRDefault="00777541" w:rsidP="00777541">
      <w:pPr>
        <w:spacing w:after="0"/>
        <w:rPr>
          <w:rFonts w:cstheme="minorHAnsi"/>
        </w:rPr>
      </w:pPr>
      <w:r w:rsidRPr="00AC0D29">
        <w:rPr>
          <w:rFonts w:cstheme="minorHAnsi"/>
          <w:noProof/>
          <w:lang w:eastAsia="ko-KR"/>
        </w:rPr>
        <w:lastRenderedPageBreak/>
        <w:drawing>
          <wp:inline distT="0" distB="0" distL="0" distR="0" wp14:anchorId="5BA60EBF" wp14:editId="37F01D46">
            <wp:extent cx="2728634" cy="5038726"/>
            <wp:effectExtent l="0" t="0" r="14605" b="9525"/>
            <wp:docPr id="164" name="Chart 164" descr="Business engagement unique activity chart">
              <a:extLst xmlns:a="http://schemas.openxmlformats.org/drawingml/2006/main">
                <a:ext uri="{FF2B5EF4-FFF2-40B4-BE49-F238E27FC236}">
                  <a16:creationId xmlns:a16="http://schemas.microsoft.com/office/drawing/2014/main" id="{CB4FA880-FE06-4BE2-A00E-7A6626D188A2}"/>
                </a:ex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9"/>
              </a:graphicData>
            </a:graphic>
          </wp:inline>
        </w:drawing>
      </w:r>
    </w:p>
    <w:p w14:paraId="64457930" w14:textId="77777777" w:rsidR="00777541" w:rsidRPr="00AC0D29" w:rsidRDefault="00777541" w:rsidP="00777541">
      <w:pPr>
        <w:spacing w:after="0"/>
        <w:rPr>
          <w:rFonts w:cstheme="minorHAnsi"/>
        </w:rPr>
      </w:pPr>
      <w:r w:rsidRPr="00AC0D29">
        <w:rPr>
          <w:rFonts w:cstheme="minorHAnsi"/>
          <w:b/>
          <w:bCs/>
        </w:rPr>
        <w:t>Activity Unique:</w:t>
      </w:r>
      <w:r w:rsidRPr="00AC0D29">
        <w:rPr>
          <w:rFonts w:cstheme="minorHAnsi"/>
        </w:rPr>
        <w:t xml:space="preserve"> Form regional collaboratives for business engagement in concert with </w:t>
      </w:r>
      <w:r>
        <w:rPr>
          <w:rFonts w:cstheme="minorHAnsi"/>
        </w:rPr>
        <w:t>state</w:t>
      </w:r>
      <w:r w:rsidRPr="00AC0D29">
        <w:rPr>
          <w:rFonts w:cstheme="minorHAnsi"/>
        </w:rPr>
        <w:t>, Behavioral Health, Education and other partners.</w:t>
      </w:r>
    </w:p>
    <w:p w14:paraId="58471C60" w14:textId="77777777" w:rsidR="00777541" w:rsidRPr="00AC0D29" w:rsidRDefault="00777541" w:rsidP="00777541">
      <w:pPr>
        <w:spacing w:after="0"/>
        <w:rPr>
          <w:rFonts w:cstheme="minorHAnsi"/>
        </w:rPr>
      </w:pPr>
      <w:r w:rsidRPr="00AC0D29">
        <w:rPr>
          <w:rFonts w:cstheme="minorHAnsi"/>
          <w:b/>
          <w:bCs/>
        </w:rPr>
        <w:t>Output Unique:</w:t>
      </w:r>
      <w:r w:rsidRPr="00AC0D29">
        <w:rPr>
          <w:rFonts w:cstheme="minorHAnsi"/>
        </w:rPr>
        <w:t xml:space="preserve"> Develop and implement a system of 4 regional collaboratives as focal points for business engagement activities.</w:t>
      </w:r>
    </w:p>
    <w:p w14:paraId="3B1864F8" w14:textId="77777777" w:rsidR="00777541" w:rsidRDefault="00777541" w:rsidP="00777541"/>
    <w:p w14:paraId="31E64C9F" w14:textId="77777777" w:rsidR="00777541" w:rsidRDefault="00777541" w:rsidP="00777541">
      <w:pPr>
        <w:sectPr w:rsidR="00777541" w:rsidSect="00D27D05">
          <w:pgSz w:w="12240" w:h="15840"/>
          <w:pgMar w:top="720" w:right="720" w:bottom="720" w:left="720" w:header="720" w:footer="720" w:gutter="0"/>
          <w:pgBorders w:offsetFrom="page">
            <w:top w:val="thinThickSmallGap" w:sz="24" w:space="24" w:color="2F5496" w:themeColor="accent1" w:themeShade="BF"/>
            <w:left w:val="thinThickSmallGap" w:sz="24" w:space="24" w:color="2F5496" w:themeColor="accent1" w:themeShade="BF"/>
            <w:bottom w:val="thickThinSmallGap" w:sz="24" w:space="24" w:color="2F5496" w:themeColor="accent1" w:themeShade="BF"/>
            <w:right w:val="thickThinSmallGap" w:sz="24" w:space="24" w:color="2F5496" w:themeColor="accent1" w:themeShade="BF"/>
          </w:pgBorders>
          <w:cols w:num="2" w:space="720"/>
          <w:docGrid w:linePitch="381"/>
        </w:sectPr>
      </w:pPr>
    </w:p>
    <w:p w14:paraId="6B163106" w14:textId="77777777" w:rsidR="00777541" w:rsidRDefault="00777541" w:rsidP="00BA0D82">
      <w:pPr>
        <w:pStyle w:val="Heading2"/>
        <w:numPr>
          <w:ilvl w:val="0"/>
          <w:numId w:val="0"/>
        </w:numPr>
      </w:pPr>
      <w:r>
        <w:lastRenderedPageBreak/>
        <w:tab/>
      </w:r>
      <w:bookmarkStart w:id="145" w:name="_Toc27904630"/>
      <w:bookmarkStart w:id="146" w:name="_Toc28011465"/>
      <w:r>
        <w:t xml:space="preserve">BUSINESS ENGAGEMENT: </w:t>
      </w:r>
      <w:r>
        <w:br/>
        <w:t>OUTCOMES PROGRESS DASHBOARDS</w:t>
      </w:r>
      <w:bookmarkEnd w:id="145"/>
      <w:bookmarkEnd w:id="146"/>
    </w:p>
    <w:p w14:paraId="4D639509" w14:textId="77777777" w:rsidR="00777541" w:rsidRDefault="00777541" w:rsidP="00777541">
      <w:pPr>
        <w:jc w:val="center"/>
        <w:rPr>
          <w:noProof/>
        </w:rPr>
      </w:pPr>
    </w:p>
    <w:p w14:paraId="00595CCE" w14:textId="77777777" w:rsidR="00777541" w:rsidRDefault="00777541" w:rsidP="00777541">
      <w:pPr>
        <w:jc w:val="center"/>
      </w:pPr>
      <w:r>
        <w:rPr>
          <w:noProof/>
          <w:lang w:eastAsia="ko-KR"/>
        </w:rPr>
        <w:drawing>
          <wp:inline distT="0" distB="0" distL="0" distR="0" wp14:anchorId="24DB6751" wp14:editId="1017522A">
            <wp:extent cx="5086350" cy="3333750"/>
            <wp:effectExtent l="0" t="0" r="0" b="0"/>
            <wp:docPr id="165" name="Picture 165" descr="&quot;Speed Dial&quot; Chart (half-donut chart) reflecting progress on outcomes for Business Engagement:&#10;89% have not yet started;&#10;6% are 25% complete;&#10;6% are complete.&#10;(Numbers do not add to 100 because of rounding.)"/>
            <wp:cNvGraphicFramePr/>
            <a:graphic xmlns:a="http://schemas.openxmlformats.org/drawingml/2006/main">
              <a:graphicData uri="http://schemas.openxmlformats.org/drawingml/2006/picture">
                <pic:pic xmlns:pic="http://schemas.openxmlformats.org/drawingml/2006/picture">
                  <pic:nvPicPr>
                    <pic:cNvPr id="41" name="Picture 41"/>
                    <pic:cNvPicPr/>
                  </pic:nvPicPr>
                  <pic:blipFill rotWithShape="1">
                    <a:blip r:embed="rId450">
                      <a:extLst>
                        <a:ext uri="{28A0092B-C50C-407E-A947-70E740481C1C}">
                          <a14:useLocalDpi xmlns:a14="http://schemas.microsoft.com/office/drawing/2010/main" val="0"/>
                        </a:ext>
                      </a:extLst>
                    </a:blip>
                    <a:srcRect l="21987" t="1675" r="20539" b="34941"/>
                    <a:stretch/>
                  </pic:blipFill>
                  <pic:spPr bwMode="auto">
                    <a:xfrm>
                      <a:off x="0" y="0"/>
                      <a:ext cx="5086350" cy="3333750"/>
                    </a:xfrm>
                    <a:prstGeom prst="rect">
                      <a:avLst/>
                    </a:prstGeom>
                    <a:noFill/>
                    <a:ln>
                      <a:noFill/>
                    </a:ln>
                    <a:extLst>
                      <a:ext uri="{53640926-AAD7-44D8-BBD7-CCE9431645EC}">
                        <a14:shadowObscured xmlns:a14="http://schemas.microsoft.com/office/drawing/2010/main"/>
                      </a:ext>
                    </a:extLst>
                  </pic:spPr>
                </pic:pic>
              </a:graphicData>
            </a:graphic>
          </wp:inline>
        </w:drawing>
      </w:r>
    </w:p>
    <w:p w14:paraId="7F49F8D7" w14:textId="77777777" w:rsidR="00777541" w:rsidRDefault="00777541" w:rsidP="00777541"/>
    <w:p w14:paraId="53DC3E2D" w14:textId="77777777" w:rsidR="00777541" w:rsidRDefault="00777541" w:rsidP="006578A5">
      <w:pPr>
        <w:ind w:firstLine="720"/>
      </w:pPr>
      <w:r>
        <w:t>Progress on outcomes is low as much of the work initiated by the Business Engagement team is more recent and a significant enough amount of time to reach outcomes has not yet been reached.   Overall outcomes progress is at 7% with 89% of outcomes “not started.”  Six percent are complete.</w:t>
      </w:r>
    </w:p>
    <w:p w14:paraId="434A2621" w14:textId="77777777" w:rsidR="00777541" w:rsidRDefault="00777541" w:rsidP="00777541">
      <w:pPr>
        <w:pBdr>
          <w:bottom w:val="single" w:sz="24" w:space="1" w:color="auto"/>
        </w:pBdr>
        <w:jc w:val="center"/>
        <w:rPr>
          <w:b/>
          <w:sz w:val="36"/>
        </w:rPr>
      </w:pPr>
      <w:r>
        <w:rPr>
          <w:b/>
          <w:sz w:val="36"/>
        </w:rPr>
        <w:br w:type="page"/>
      </w:r>
    </w:p>
    <w:p w14:paraId="0EA59B67" w14:textId="77777777" w:rsidR="00777541" w:rsidRPr="004B327C" w:rsidRDefault="00777541" w:rsidP="00BA0D82">
      <w:pPr>
        <w:pStyle w:val="Heading2"/>
        <w:numPr>
          <w:ilvl w:val="0"/>
          <w:numId w:val="0"/>
        </w:numPr>
      </w:pPr>
      <w:bookmarkStart w:id="147" w:name="_Toc27904631"/>
      <w:bookmarkStart w:id="148" w:name="_Toc28011466"/>
      <w:r>
        <w:lastRenderedPageBreak/>
        <w:t xml:space="preserve">BUSINESS </w:t>
      </w:r>
      <w:r w:rsidRPr="00354CA1">
        <w:t>ENGAGEMENT</w:t>
      </w:r>
      <w:r w:rsidRPr="004B327C">
        <w:t xml:space="preserve"> ITAs: RESOURCES</w:t>
      </w:r>
      <w:bookmarkEnd w:id="147"/>
      <w:bookmarkEnd w:id="148"/>
    </w:p>
    <w:p w14:paraId="024788FA" w14:textId="77777777" w:rsidR="00777541" w:rsidRPr="0052236D" w:rsidRDefault="00777541" w:rsidP="00777541">
      <w:pPr>
        <w:spacing w:after="0" w:line="240" w:lineRule="auto"/>
        <w:rPr>
          <w:rFonts w:eastAsia="Times New Roman" w:cstheme="minorHAnsi"/>
        </w:rPr>
      </w:pPr>
      <w:r w:rsidRPr="0052236D">
        <w:rPr>
          <w:rFonts w:eastAsia="Times New Roman" w:cstheme="minorHAnsi"/>
        </w:rPr>
        <w:t xml:space="preserve">Available on the WINTAC website, the </w:t>
      </w:r>
      <w:r>
        <w:rPr>
          <w:rFonts w:eastAsia="Times New Roman" w:cstheme="minorHAnsi"/>
        </w:rPr>
        <w:t>Business Engagement (BE)</w:t>
      </w:r>
      <w:r w:rsidRPr="0052236D">
        <w:rPr>
          <w:rFonts w:eastAsia="Times New Roman" w:cstheme="minorHAnsi"/>
        </w:rPr>
        <w:t xml:space="preserve"> team has developed a number of resources to support TA and training and provide guidance to SVRAs</w:t>
      </w:r>
      <w:r>
        <w:rPr>
          <w:rFonts w:eastAsia="Times New Roman" w:cstheme="minorHAnsi"/>
        </w:rPr>
        <w:t>:</w:t>
      </w:r>
    </w:p>
    <w:p w14:paraId="0D5E8809" w14:textId="77777777" w:rsidR="00777541" w:rsidRPr="00523733" w:rsidRDefault="00777541" w:rsidP="00777541">
      <w:pPr>
        <w:spacing w:after="0" w:line="240" w:lineRule="auto"/>
        <w:rPr>
          <w:rFonts w:eastAsia="Times New Roman" w:cstheme="minorHAnsi"/>
          <w:sz w:val="24"/>
          <w:szCs w:val="24"/>
        </w:rPr>
      </w:pPr>
    </w:p>
    <w:p w14:paraId="7E9570FF" w14:textId="77777777" w:rsidR="00777541" w:rsidRPr="0052236D" w:rsidRDefault="00777541" w:rsidP="00076336">
      <w:pPr>
        <w:pStyle w:val="ListParagraph"/>
        <w:numPr>
          <w:ilvl w:val="0"/>
          <w:numId w:val="50"/>
        </w:numPr>
        <w:ind w:left="360"/>
        <w:rPr>
          <w:rFonts w:cstheme="minorHAnsi"/>
          <w:b/>
          <w:bCs/>
        </w:rPr>
      </w:pPr>
      <w:r w:rsidRPr="0052236D">
        <w:rPr>
          <w:rFonts w:cstheme="minorHAnsi"/>
          <w:b/>
          <w:bCs/>
        </w:rPr>
        <w:t>Partnerships</w:t>
      </w:r>
    </w:p>
    <w:p w14:paraId="461CF287" w14:textId="77777777" w:rsidR="00777541" w:rsidRPr="0052236D" w:rsidRDefault="00366D34" w:rsidP="00076336">
      <w:pPr>
        <w:pStyle w:val="ListParagraph"/>
        <w:numPr>
          <w:ilvl w:val="1"/>
          <w:numId w:val="50"/>
        </w:numPr>
        <w:rPr>
          <w:rFonts w:cstheme="minorHAnsi"/>
        </w:rPr>
      </w:pPr>
      <w:hyperlink r:id="rId451" w:tgtFrame="_blank" w:history="1">
        <w:r w:rsidR="00777541" w:rsidRPr="0052236D">
          <w:rPr>
            <w:rStyle w:val="Hyperlink"/>
            <w:rFonts w:cstheme="minorHAnsi"/>
            <w:b/>
            <w:bCs/>
          </w:rPr>
          <w:t>Employer Engagement in the National Fund for Workforce Solutions [PDF]</w:t>
        </w:r>
      </w:hyperlink>
    </w:p>
    <w:p w14:paraId="5F9103AD" w14:textId="77777777" w:rsidR="00777541" w:rsidRPr="0052236D" w:rsidRDefault="00366D34" w:rsidP="00076336">
      <w:pPr>
        <w:pStyle w:val="ListParagraph"/>
        <w:numPr>
          <w:ilvl w:val="1"/>
          <w:numId w:val="50"/>
        </w:numPr>
        <w:rPr>
          <w:rFonts w:cstheme="minorHAnsi"/>
        </w:rPr>
      </w:pPr>
      <w:hyperlink r:id="rId452" w:tgtFrame="_blank" w:history="1">
        <w:r w:rsidR="00777541" w:rsidRPr="0052236D">
          <w:rPr>
            <w:rStyle w:val="Hyperlink"/>
            <w:rFonts w:cstheme="minorHAnsi"/>
            <w:b/>
            <w:bCs/>
          </w:rPr>
          <w:t>Recruitment and Retention of Older Workers: Application to People with Disabilities</w:t>
        </w:r>
      </w:hyperlink>
    </w:p>
    <w:p w14:paraId="5946ED7F" w14:textId="77777777" w:rsidR="00777541" w:rsidRPr="0052236D" w:rsidRDefault="00366D34" w:rsidP="00076336">
      <w:pPr>
        <w:pStyle w:val="ListParagraph"/>
        <w:numPr>
          <w:ilvl w:val="1"/>
          <w:numId w:val="50"/>
        </w:numPr>
        <w:rPr>
          <w:rFonts w:cstheme="minorHAnsi"/>
        </w:rPr>
      </w:pPr>
      <w:hyperlink r:id="rId453" w:tgtFrame="_blank" w:history="1">
        <w:r w:rsidR="00777541" w:rsidRPr="0052236D">
          <w:rPr>
            <w:rStyle w:val="Hyperlink"/>
            <w:rFonts w:cstheme="minorHAnsi"/>
            <w:b/>
            <w:bCs/>
          </w:rPr>
          <w:t>Increasing Placement Through Professional Networking</w:t>
        </w:r>
      </w:hyperlink>
    </w:p>
    <w:p w14:paraId="1111FF53" w14:textId="77777777" w:rsidR="00777541" w:rsidRPr="0052236D" w:rsidRDefault="00777541" w:rsidP="00076336">
      <w:pPr>
        <w:pStyle w:val="ListParagraph"/>
        <w:numPr>
          <w:ilvl w:val="0"/>
          <w:numId w:val="50"/>
        </w:numPr>
        <w:ind w:left="360"/>
        <w:rPr>
          <w:rFonts w:cstheme="minorHAnsi"/>
          <w:b/>
          <w:bCs/>
        </w:rPr>
      </w:pPr>
      <w:r w:rsidRPr="0052236D">
        <w:rPr>
          <w:rFonts w:cstheme="minorHAnsi"/>
          <w:b/>
          <w:bCs/>
        </w:rPr>
        <w:t>Structure</w:t>
      </w:r>
    </w:p>
    <w:p w14:paraId="7A7CD2FD" w14:textId="77777777" w:rsidR="00777541" w:rsidRPr="0052236D" w:rsidRDefault="00366D34" w:rsidP="00076336">
      <w:pPr>
        <w:pStyle w:val="ListParagraph"/>
        <w:numPr>
          <w:ilvl w:val="1"/>
          <w:numId w:val="50"/>
        </w:numPr>
        <w:rPr>
          <w:rFonts w:cstheme="minorHAnsi"/>
        </w:rPr>
      </w:pPr>
      <w:hyperlink r:id="rId454" w:tgtFrame="_blank" w:history="1">
        <w:r w:rsidR="00777541" w:rsidRPr="0052236D">
          <w:rPr>
            <w:rStyle w:val="Hyperlink"/>
            <w:rFonts w:cstheme="minorHAnsi"/>
            <w:b/>
            <w:bCs/>
          </w:rPr>
          <w:t>32nd IRI: The VR-Business Network: Charting Your Course</w:t>
        </w:r>
      </w:hyperlink>
    </w:p>
    <w:p w14:paraId="21B72AD3" w14:textId="77777777" w:rsidR="00777541" w:rsidRPr="0052236D" w:rsidRDefault="00366D34" w:rsidP="00076336">
      <w:pPr>
        <w:pStyle w:val="ListParagraph"/>
        <w:numPr>
          <w:ilvl w:val="1"/>
          <w:numId w:val="50"/>
        </w:numPr>
        <w:rPr>
          <w:rFonts w:cstheme="minorHAnsi"/>
        </w:rPr>
      </w:pPr>
      <w:hyperlink r:id="rId455" w:tgtFrame="_blank" w:history="1">
        <w:r w:rsidR="00777541" w:rsidRPr="0052236D">
          <w:rPr>
            <w:rStyle w:val="Hyperlink"/>
            <w:rFonts w:cstheme="minorHAnsi"/>
            <w:b/>
            <w:bCs/>
          </w:rPr>
          <w:t>Creating Mentoring Opportunities for Youth with Disabilities: Issues and Suggested Strategies</w:t>
        </w:r>
      </w:hyperlink>
    </w:p>
    <w:p w14:paraId="0AF29E52" w14:textId="77777777" w:rsidR="00777541" w:rsidRPr="0052236D" w:rsidRDefault="00366D34" w:rsidP="00076336">
      <w:pPr>
        <w:pStyle w:val="ListParagraph"/>
        <w:numPr>
          <w:ilvl w:val="1"/>
          <w:numId w:val="50"/>
        </w:numPr>
        <w:rPr>
          <w:rFonts w:cstheme="minorHAnsi"/>
        </w:rPr>
      </w:pPr>
      <w:hyperlink r:id="rId456" w:tgtFrame="_blank" w:history="1">
        <w:r w:rsidR="00777541" w:rsidRPr="0052236D">
          <w:rPr>
            <w:rStyle w:val="Hyperlink"/>
            <w:rFonts w:cstheme="minorHAnsi"/>
            <w:b/>
            <w:bCs/>
          </w:rPr>
          <w:t>2011 Report of the AccessSTEM/AccessComputing/DO-IT Longitudinal Transition Study (ALTS)</w:t>
        </w:r>
      </w:hyperlink>
    </w:p>
    <w:p w14:paraId="18B07613" w14:textId="77777777" w:rsidR="00777541" w:rsidRPr="00CF74DA" w:rsidRDefault="00366D34" w:rsidP="00076336">
      <w:pPr>
        <w:numPr>
          <w:ilvl w:val="1"/>
          <w:numId w:val="50"/>
        </w:numPr>
        <w:rPr>
          <w:rFonts w:cstheme="minorHAnsi"/>
          <w:b/>
          <w:bCs/>
        </w:rPr>
      </w:pPr>
      <w:hyperlink r:id="rId457" w:anchor="collapseTen" w:history="1">
        <w:r w:rsidR="00777541" w:rsidRPr="00CF74DA">
          <w:rPr>
            <w:rStyle w:val="Hyperlink"/>
            <w:rFonts w:cstheme="minorHAnsi"/>
            <w:b/>
            <w:bCs/>
          </w:rPr>
          <w:t>BRIEFS</w:t>
        </w:r>
      </w:hyperlink>
    </w:p>
    <w:p w14:paraId="44AE78EA" w14:textId="77777777" w:rsidR="00777541" w:rsidRPr="00CF74DA" w:rsidRDefault="00366D34" w:rsidP="00076336">
      <w:pPr>
        <w:numPr>
          <w:ilvl w:val="1"/>
          <w:numId w:val="50"/>
        </w:numPr>
        <w:rPr>
          <w:rFonts w:cstheme="minorHAnsi"/>
          <w:b/>
          <w:bCs/>
        </w:rPr>
      </w:pPr>
      <w:hyperlink r:id="rId458" w:anchor="collapseEleven" w:history="1">
        <w:r w:rsidR="00777541" w:rsidRPr="00CF74DA">
          <w:rPr>
            <w:rStyle w:val="Hyperlink"/>
            <w:rFonts w:cstheme="minorHAnsi"/>
            <w:b/>
            <w:bCs/>
          </w:rPr>
          <w:t>CURRICULA &amp; LEARNING GUIDES</w:t>
        </w:r>
      </w:hyperlink>
    </w:p>
    <w:p w14:paraId="746183D1" w14:textId="77777777" w:rsidR="00777541" w:rsidRPr="00CF74DA" w:rsidRDefault="00366D34" w:rsidP="00076336">
      <w:pPr>
        <w:numPr>
          <w:ilvl w:val="1"/>
          <w:numId w:val="50"/>
        </w:numPr>
        <w:rPr>
          <w:rFonts w:cstheme="minorHAnsi"/>
          <w:b/>
          <w:bCs/>
        </w:rPr>
      </w:pPr>
      <w:hyperlink r:id="rId459" w:anchor="collapseTwelve" w:history="1">
        <w:r w:rsidR="00777541" w:rsidRPr="00CF74DA">
          <w:rPr>
            <w:rStyle w:val="Hyperlink"/>
            <w:rFonts w:cstheme="minorHAnsi"/>
            <w:b/>
            <w:bCs/>
          </w:rPr>
          <w:t xml:space="preserve">WEBINAR </w:t>
        </w:r>
      </w:hyperlink>
    </w:p>
    <w:p w14:paraId="5C0AEED2" w14:textId="77777777" w:rsidR="00777541" w:rsidRPr="00CF74DA" w:rsidRDefault="00366D34" w:rsidP="00076336">
      <w:pPr>
        <w:numPr>
          <w:ilvl w:val="1"/>
          <w:numId w:val="50"/>
        </w:numPr>
        <w:rPr>
          <w:rFonts w:cstheme="minorHAnsi"/>
          <w:b/>
          <w:bCs/>
        </w:rPr>
      </w:pPr>
      <w:hyperlink r:id="rId460" w:anchor="collapseThirteen" w:history="1">
        <w:r w:rsidR="00777541" w:rsidRPr="00CF74DA">
          <w:rPr>
            <w:rStyle w:val="Hyperlink"/>
            <w:rFonts w:cstheme="minorHAnsi"/>
            <w:b/>
            <w:bCs/>
          </w:rPr>
          <w:t>WEBSITES</w:t>
        </w:r>
      </w:hyperlink>
    </w:p>
    <w:p w14:paraId="2A78DEE8" w14:textId="77777777" w:rsidR="00777541" w:rsidRPr="00CF74DA" w:rsidRDefault="00366D34" w:rsidP="00076336">
      <w:pPr>
        <w:numPr>
          <w:ilvl w:val="1"/>
          <w:numId w:val="50"/>
        </w:numPr>
        <w:rPr>
          <w:rFonts w:cstheme="minorHAnsi"/>
          <w:b/>
          <w:bCs/>
        </w:rPr>
      </w:pPr>
      <w:hyperlink r:id="rId461" w:anchor="collapseFourteen" w:history="1">
        <w:r w:rsidR="00777541" w:rsidRPr="00CF74DA">
          <w:rPr>
            <w:rStyle w:val="Hyperlink"/>
            <w:rFonts w:cstheme="minorHAnsi"/>
            <w:b/>
            <w:bCs/>
          </w:rPr>
          <w:t xml:space="preserve">VIDEOS </w:t>
        </w:r>
      </w:hyperlink>
    </w:p>
    <w:p w14:paraId="7A0C4458" w14:textId="77777777" w:rsidR="00777541" w:rsidRPr="00CF74DA" w:rsidRDefault="00366D34" w:rsidP="00076336">
      <w:pPr>
        <w:numPr>
          <w:ilvl w:val="1"/>
          <w:numId w:val="50"/>
        </w:numPr>
        <w:rPr>
          <w:rFonts w:cstheme="minorHAnsi"/>
          <w:b/>
          <w:bCs/>
        </w:rPr>
      </w:pPr>
      <w:hyperlink r:id="rId462" w:anchor="collapseFifteen" w:history="1">
        <w:r w:rsidR="00777541" w:rsidRPr="00CF74DA">
          <w:rPr>
            <w:rStyle w:val="Hyperlink"/>
            <w:rFonts w:cstheme="minorHAnsi"/>
            <w:b/>
            <w:bCs/>
          </w:rPr>
          <w:t>JOB DESCRIPTIONS</w:t>
        </w:r>
      </w:hyperlink>
    </w:p>
    <w:p w14:paraId="43A6CA8C" w14:textId="77777777" w:rsidR="00777541" w:rsidRPr="0052236D" w:rsidRDefault="00777541" w:rsidP="00076336">
      <w:pPr>
        <w:pStyle w:val="ListParagraph"/>
        <w:numPr>
          <w:ilvl w:val="0"/>
          <w:numId w:val="50"/>
        </w:numPr>
        <w:ind w:left="360"/>
        <w:rPr>
          <w:rFonts w:cstheme="minorHAnsi"/>
          <w:b/>
          <w:bCs/>
        </w:rPr>
      </w:pPr>
      <w:r w:rsidRPr="0052236D">
        <w:rPr>
          <w:rFonts w:cstheme="minorHAnsi"/>
          <w:b/>
          <w:bCs/>
        </w:rPr>
        <w:t>Hiring and Managing Employees with Disabilities</w:t>
      </w:r>
    </w:p>
    <w:p w14:paraId="70B529F5" w14:textId="77777777" w:rsidR="00777541" w:rsidRPr="0052236D" w:rsidRDefault="00366D34" w:rsidP="00076336">
      <w:pPr>
        <w:pStyle w:val="ListParagraph"/>
        <w:numPr>
          <w:ilvl w:val="1"/>
          <w:numId w:val="50"/>
        </w:numPr>
        <w:rPr>
          <w:rFonts w:cstheme="minorHAnsi"/>
        </w:rPr>
      </w:pPr>
      <w:hyperlink r:id="rId463" w:tgtFrame="_blank" w:history="1">
        <w:r w:rsidR="00777541" w:rsidRPr="0052236D">
          <w:rPr>
            <w:rStyle w:val="Hyperlink"/>
            <w:rFonts w:cstheme="minorHAnsi"/>
            <w:b/>
            <w:bCs/>
          </w:rPr>
          <w:t>Answering Common Employer Questions and Concerns [DOCX]</w:t>
        </w:r>
      </w:hyperlink>
    </w:p>
    <w:p w14:paraId="711798AF" w14:textId="77777777" w:rsidR="00777541" w:rsidRPr="0052236D" w:rsidRDefault="00366D34" w:rsidP="00076336">
      <w:pPr>
        <w:pStyle w:val="ListParagraph"/>
        <w:numPr>
          <w:ilvl w:val="1"/>
          <w:numId w:val="50"/>
        </w:numPr>
        <w:rPr>
          <w:rFonts w:cstheme="minorHAnsi"/>
        </w:rPr>
      </w:pPr>
      <w:hyperlink r:id="rId464" w:tgtFrame="_blank" w:history="1">
        <w:r w:rsidR="00777541" w:rsidRPr="0052236D">
          <w:rPr>
            <w:rStyle w:val="Hyperlink"/>
            <w:rFonts w:cstheme="minorHAnsi"/>
            <w:b/>
            <w:bCs/>
          </w:rPr>
          <w:t>Windmills: Hiring and Retaining People with Disabilities: Train the Trainer Program</w:t>
        </w:r>
      </w:hyperlink>
    </w:p>
    <w:p w14:paraId="31495501" w14:textId="77777777" w:rsidR="00777541" w:rsidRPr="0052236D" w:rsidRDefault="00366D34" w:rsidP="00076336">
      <w:pPr>
        <w:pStyle w:val="ListParagraph"/>
        <w:numPr>
          <w:ilvl w:val="1"/>
          <w:numId w:val="50"/>
        </w:numPr>
        <w:rPr>
          <w:rFonts w:cstheme="minorHAnsi"/>
        </w:rPr>
      </w:pPr>
      <w:hyperlink r:id="rId465" w:tgtFrame="_blank" w:history="1">
        <w:r w:rsidR="00777541" w:rsidRPr="0052236D">
          <w:rPr>
            <w:rStyle w:val="Hyperlink"/>
            <w:rFonts w:cstheme="minorHAnsi"/>
            <w:b/>
            <w:bCs/>
          </w:rPr>
          <w:t>Alabama RAVE Program (Retaining A Valued Employee) [PDF]</w:t>
        </w:r>
      </w:hyperlink>
    </w:p>
    <w:p w14:paraId="654EE2B3" w14:textId="77777777" w:rsidR="00777541" w:rsidRPr="0052236D" w:rsidRDefault="00366D34" w:rsidP="00076336">
      <w:pPr>
        <w:pStyle w:val="ListParagraph"/>
        <w:numPr>
          <w:ilvl w:val="1"/>
          <w:numId w:val="50"/>
        </w:numPr>
        <w:rPr>
          <w:rFonts w:cstheme="minorHAnsi"/>
        </w:rPr>
      </w:pPr>
      <w:hyperlink r:id="rId466" w:tgtFrame="_blank" w:history="1">
        <w:r w:rsidR="00777541" w:rsidRPr="0052236D">
          <w:rPr>
            <w:rStyle w:val="Hyperlink"/>
            <w:rFonts w:cstheme="minorHAnsi"/>
            <w:b/>
            <w:bCs/>
          </w:rPr>
          <w:t>Work Rules Relevant to Youth with Disabilities [DOCX]</w:t>
        </w:r>
      </w:hyperlink>
    </w:p>
    <w:p w14:paraId="1E5BD6FA" w14:textId="77777777" w:rsidR="00777541" w:rsidRPr="0052236D" w:rsidRDefault="00366D34" w:rsidP="00076336">
      <w:pPr>
        <w:pStyle w:val="ListParagraph"/>
        <w:numPr>
          <w:ilvl w:val="1"/>
          <w:numId w:val="50"/>
        </w:numPr>
        <w:rPr>
          <w:rFonts w:cstheme="minorHAnsi"/>
        </w:rPr>
      </w:pPr>
      <w:hyperlink r:id="rId467" w:tgtFrame="_blank" w:history="1">
        <w:r w:rsidR="00777541" w:rsidRPr="0052236D">
          <w:rPr>
            <w:rStyle w:val="Hyperlink"/>
            <w:rFonts w:cstheme="minorHAnsi"/>
            <w:b/>
            <w:bCs/>
          </w:rPr>
          <w:t>EARN website: Supervision &amp; Management Section</w:t>
        </w:r>
      </w:hyperlink>
    </w:p>
    <w:p w14:paraId="44530884" w14:textId="77777777" w:rsidR="00777541" w:rsidRPr="0052236D" w:rsidRDefault="00366D34" w:rsidP="00076336">
      <w:pPr>
        <w:pStyle w:val="ListParagraph"/>
        <w:numPr>
          <w:ilvl w:val="1"/>
          <w:numId w:val="50"/>
        </w:numPr>
        <w:rPr>
          <w:rFonts w:cstheme="minorHAnsi"/>
        </w:rPr>
      </w:pPr>
      <w:hyperlink r:id="rId468" w:tgtFrame="_blank" w:history="1">
        <w:r w:rsidR="00777541" w:rsidRPr="0052236D">
          <w:rPr>
            <w:rStyle w:val="Hyperlink"/>
            <w:rFonts w:cstheme="minorHAnsi"/>
            <w:b/>
            <w:bCs/>
          </w:rPr>
          <w:t>Disability and HR: Tips for Human Resources Professionals</w:t>
        </w:r>
      </w:hyperlink>
    </w:p>
    <w:p w14:paraId="407A85AC" w14:textId="77777777" w:rsidR="00777541" w:rsidRPr="0052236D" w:rsidRDefault="00366D34" w:rsidP="00076336">
      <w:pPr>
        <w:pStyle w:val="ListParagraph"/>
        <w:numPr>
          <w:ilvl w:val="1"/>
          <w:numId w:val="50"/>
        </w:numPr>
        <w:rPr>
          <w:rFonts w:cstheme="minorHAnsi"/>
        </w:rPr>
      </w:pPr>
      <w:hyperlink r:id="rId469" w:tgtFrame="_blank" w:history="1">
        <w:r w:rsidR="00777541" w:rsidRPr="0052236D">
          <w:rPr>
            <w:rStyle w:val="Hyperlink"/>
            <w:rFonts w:cstheme="minorHAnsi"/>
            <w:b/>
            <w:bCs/>
          </w:rPr>
          <w:t>Supervising People with Disabilities -  Hint, It Really Isn't Very Different Than Anyone Else</w:t>
        </w:r>
      </w:hyperlink>
    </w:p>
    <w:p w14:paraId="3766E988" w14:textId="77777777" w:rsidR="00777541" w:rsidRPr="0052236D" w:rsidRDefault="00366D34" w:rsidP="00076336">
      <w:pPr>
        <w:pStyle w:val="ListParagraph"/>
        <w:numPr>
          <w:ilvl w:val="1"/>
          <w:numId w:val="50"/>
        </w:numPr>
        <w:rPr>
          <w:rFonts w:cstheme="minorHAnsi"/>
        </w:rPr>
      </w:pPr>
      <w:hyperlink r:id="rId470" w:tgtFrame="_blank" w:history="1">
        <w:r w:rsidR="00777541" w:rsidRPr="0052236D">
          <w:rPr>
            <w:rStyle w:val="Hyperlink"/>
            <w:rFonts w:cstheme="minorHAnsi"/>
            <w:b/>
            <w:bCs/>
          </w:rPr>
          <w:t>Workplace Culture Survey</w:t>
        </w:r>
      </w:hyperlink>
    </w:p>
    <w:p w14:paraId="0219DC47" w14:textId="77777777" w:rsidR="00777541" w:rsidRPr="0052236D" w:rsidRDefault="00366D34" w:rsidP="00076336">
      <w:pPr>
        <w:pStyle w:val="ListParagraph"/>
        <w:numPr>
          <w:ilvl w:val="1"/>
          <w:numId w:val="50"/>
        </w:numPr>
        <w:rPr>
          <w:rFonts w:cstheme="minorHAnsi"/>
        </w:rPr>
      </w:pPr>
      <w:hyperlink r:id="rId471" w:tgtFrame="_blank" w:history="1">
        <w:r w:rsidR="00777541" w:rsidRPr="0052236D">
          <w:rPr>
            <w:rStyle w:val="Hyperlink"/>
            <w:rFonts w:cstheme="minorHAnsi"/>
            <w:b/>
            <w:bCs/>
          </w:rPr>
          <w:t>Employer Resource Guide [PDF]</w:t>
        </w:r>
      </w:hyperlink>
    </w:p>
    <w:p w14:paraId="3524496A" w14:textId="77777777" w:rsidR="00777541" w:rsidRPr="0052236D" w:rsidRDefault="00366D34" w:rsidP="00076336">
      <w:pPr>
        <w:pStyle w:val="ListParagraph"/>
        <w:numPr>
          <w:ilvl w:val="1"/>
          <w:numId w:val="50"/>
        </w:numPr>
        <w:rPr>
          <w:rFonts w:cstheme="minorHAnsi"/>
        </w:rPr>
      </w:pPr>
      <w:hyperlink r:id="rId472" w:history="1">
        <w:r w:rsidR="00777541" w:rsidRPr="0052236D">
          <w:rPr>
            <w:rStyle w:val="Hyperlink"/>
            <w:rFonts w:cstheme="minorHAnsi"/>
            <w:b/>
            <w:bCs/>
          </w:rPr>
          <w:t>Tips for Employers: Making Web-Based Job Application Forms Accessible [DOCX]</w:t>
        </w:r>
      </w:hyperlink>
    </w:p>
    <w:p w14:paraId="4C213523" w14:textId="77777777" w:rsidR="00777541" w:rsidRPr="0052236D" w:rsidRDefault="00366D34" w:rsidP="00076336">
      <w:pPr>
        <w:pStyle w:val="ListParagraph"/>
        <w:numPr>
          <w:ilvl w:val="1"/>
          <w:numId w:val="50"/>
        </w:numPr>
        <w:rPr>
          <w:rFonts w:cstheme="minorHAnsi"/>
        </w:rPr>
      </w:pPr>
      <w:hyperlink r:id="rId473" w:tgtFrame="_blank" w:history="1">
        <w:r w:rsidR="00777541" w:rsidRPr="0052236D">
          <w:rPr>
            <w:rStyle w:val="Hyperlink"/>
            <w:rFonts w:cstheme="minorHAnsi"/>
            <w:b/>
            <w:bCs/>
          </w:rPr>
          <w:t>DeafTEC</w:t>
        </w:r>
      </w:hyperlink>
    </w:p>
    <w:p w14:paraId="31005117" w14:textId="77777777" w:rsidR="00777541" w:rsidRPr="0052236D" w:rsidRDefault="00366D34" w:rsidP="00076336">
      <w:pPr>
        <w:pStyle w:val="ListParagraph"/>
        <w:numPr>
          <w:ilvl w:val="1"/>
          <w:numId w:val="50"/>
        </w:numPr>
        <w:rPr>
          <w:rFonts w:cstheme="minorHAnsi"/>
        </w:rPr>
      </w:pPr>
      <w:hyperlink r:id="rId474" w:anchor="!" w:tgtFrame="_blank" w:history="1">
        <w:r w:rsidR="00777541" w:rsidRPr="0052236D">
          <w:rPr>
            <w:rStyle w:val="Hyperlink"/>
            <w:rFonts w:cstheme="minorHAnsi"/>
            <w:b/>
            <w:bCs/>
          </w:rPr>
          <w:t>Introduction to Inclusive Talent Acquisition</w:t>
        </w:r>
      </w:hyperlink>
    </w:p>
    <w:p w14:paraId="74339CDE" w14:textId="77777777" w:rsidR="00777541" w:rsidRPr="0052236D" w:rsidRDefault="00366D34" w:rsidP="00076336">
      <w:pPr>
        <w:pStyle w:val="ListParagraph"/>
        <w:numPr>
          <w:ilvl w:val="1"/>
          <w:numId w:val="50"/>
        </w:numPr>
        <w:rPr>
          <w:rFonts w:cstheme="minorHAnsi"/>
        </w:rPr>
      </w:pPr>
      <w:hyperlink r:id="rId475" w:history="1">
        <w:r w:rsidR="00777541" w:rsidRPr="0052236D">
          <w:rPr>
            <w:rStyle w:val="Hyperlink"/>
            <w:rFonts w:cstheme="minorHAnsi"/>
            <w:b/>
            <w:bCs/>
          </w:rPr>
          <w:t>Assistive Technology for People with Mental Health Disabilities [DOCX]</w:t>
        </w:r>
      </w:hyperlink>
    </w:p>
    <w:p w14:paraId="7B15F5B8" w14:textId="77777777" w:rsidR="00777541" w:rsidRPr="0052236D" w:rsidRDefault="00777541" w:rsidP="00076336">
      <w:pPr>
        <w:pStyle w:val="ListParagraph"/>
        <w:numPr>
          <w:ilvl w:val="0"/>
          <w:numId w:val="50"/>
        </w:numPr>
        <w:ind w:left="360"/>
        <w:rPr>
          <w:rFonts w:cstheme="minorHAnsi"/>
          <w:b/>
          <w:bCs/>
        </w:rPr>
      </w:pPr>
      <w:r w:rsidRPr="0052236D">
        <w:rPr>
          <w:rFonts w:cstheme="minorHAnsi"/>
          <w:b/>
          <w:bCs/>
        </w:rPr>
        <w:t>Supporting Employees with Disabilities</w:t>
      </w:r>
    </w:p>
    <w:p w14:paraId="14808477" w14:textId="77777777" w:rsidR="00777541" w:rsidRPr="0052236D" w:rsidRDefault="00366D34" w:rsidP="00076336">
      <w:pPr>
        <w:pStyle w:val="ListParagraph"/>
        <w:numPr>
          <w:ilvl w:val="1"/>
          <w:numId w:val="50"/>
        </w:numPr>
        <w:rPr>
          <w:rFonts w:cstheme="minorHAnsi"/>
        </w:rPr>
      </w:pPr>
      <w:hyperlink r:id="rId476" w:tgtFrame="_blank" w:history="1">
        <w:r w:rsidR="00777541" w:rsidRPr="0052236D">
          <w:rPr>
            <w:rStyle w:val="Hyperlink"/>
            <w:rFonts w:cstheme="minorHAnsi"/>
            <w:b/>
            <w:bCs/>
          </w:rPr>
          <w:t>Job Coaching in the Workplace</w:t>
        </w:r>
      </w:hyperlink>
    </w:p>
    <w:p w14:paraId="21667D02" w14:textId="77777777" w:rsidR="00777541" w:rsidRPr="00CF72B1" w:rsidRDefault="00366D34" w:rsidP="00076336">
      <w:pPr>
        <w:pStyle w:val="ListParagraph"/>
        <w:numPr>
          <w:ilvl w:val="1"/>
          <w:numId w:val="50"/>
        </w:numPr>
        <w:rPr>
          <w:rFonts w:cstheme="minorHAnsi"/>
        </w:rPr>
      </w:pPr>
      <w:hyperlink r:id="rId477" w:tgtFrame="_blank" w:history="1">
        <w:r w:rsidR="00777541" w:rsidRPr="0052236D">
          <w:rPr>
            <w:rStyle w:val="Hyperlink"/>
            <w:rFonts w:cstheme="minorHAnsi"/>
            <w:b/>
            <w:bCs/>
          </w:rPr>
          <w:t>Support through Mentorship: Accessible Supervision of Employees with Intellectual and Developmental Disabilities</w:t>
        </w:r>
      </w:hyperlink>
      <w:r w:rsidR="00777541">
        <w:rPr>
          <w:rFonts w:cstheme="minorHAnsi"/>
        </w:rPr>
        <w:t xml:space="preserve"> - </w:t>
      </w:r>
      <w:hyperlink r:id="rId478" w:tgtFrame="_blank" w:history="1">
        <w:r w:rsidR="00777541" w:rsidRPr="00CF72B1">
          <w:rPr>
            <w:rStyle w:val="Hyperlink"/>
            <w:rFonts w:cstheme="minorHAnsi"/>
            <w:b/>
            <w:bCs/>
          </w:rPr>
          <w:t>Watch this video</w:t>
        </w:r>
      </w:hyperlink>
      <w:r w:rsidR="00777541" w:rsidRPr="00CF72B1">
        <w:rPr>
          <w:rFonts w:cstheme="minorHAnsi"/>
        </w:rPr>
        <w:t xml:space="preserve"> to hear </w:t>
      </w:r>
      <w:r w:rsidR="00777541">
        <w:rPr>
          <w:rFonts w:cstheme="minorHAnsi"/>
        </w:rPr>
        <w:t>Ashley Wolfe at ICI</w:t>
      </w:r>
      <w:r w:rsidR="00777541" w:rsidRPr="00CF72B1">
        <w:rPr>
          <w:rFonts w:cstheme="minorHAnsi"/>
        </w:rPr>
        <w:t xml:space="preserve"> and her supervisors talk about her experience and support on the job.</w:t>
      </w:r>
    </w:p>
    <w:p w14:paraId="73D67CE8" w14:textId="77777777" w:rsidR="00777541" w:rsidRPr="0052236D" w:rsidRDefault="00366D34" w:rsidP="00076336">
      <w:pPr>
        <w:pStyle w:val="ListParagraph"/>
        <w:numPr>
          <w:ilvl w:val="1"/>
          <w:numId w:val="50"/>
        </w:numPr>
        <w:rPr>
          <w:rFonts w:cstheme="minorHAnsi"/>
        </w:rPr>
      </w:pPr>
      <w:hyperlink r:id="rId479" w:tgtFrame="_blank" w:history="1">
        <w:r w:rsidR="00777541" w:rsidRPr="0052236D">
          <w:rPr>
            <w:rStyle w:val="Hyperlink"/>
            <w:rFonts w:cstheme="minorHAnsi"/>
            <w:b/>
            <w:bCs/>
          </w:rPr>
          <w:t>America's Heroes At Work: Veterans Hiring Toolkit</w:t>
        </w:r>
      </w:hyperlink>
    </w:p>
    <w:p w14:paraId="0682BF8E" w14:textId="77777777" w:rsidR="00777541" w:rsidRPr="0052236D" w:rsidRDefault="00366D34" w:rsidP="00076336">
      <w:pPr>
        <w:pStyle w:val="ListParagraph"/>
        <w:numPr>
          <w:ilvl w:val="1"/>
          <w:numId w:val="50"/>
        </w:numPr>
        <w:rPr>
          <w:rFonts w:cstheme="minorHAnsi"/>
        </w:rPr>
      </w:pPr>
      <w:hyperlink r:id="rId480" w:tgtFrame="_blank" w:history="1">
        <w:r w:rsidR="00777541" w:rsidRPr="0052236D">
          <w:rPr>
            <w:rStyle w:val="Hyperlink"/>
            <w:rFonts w:cstheme="minorHAnsi"/>
            <w:b/>
            <w:bCs/>
          </w:rPr>
          <w:t>VARK: A Guide to Learning Styles</w:t>
        </w:r>
      </w:hyperlink>
    </w:p>
    <w:p w14:paraId="60FB5405" w14:textId="77777777" w:rsidR="00777541" w:rsidRPr="0052236D" w:rsidRDefault="00366D34" w:rsidP="00076336">
      <w:pPr>
        <w:pStyle w:val="ListParagraph"/>
        <w:numPr>
          <w:ilvl w:val="1"/>
          <w:numId w:val="50"/>
        </w:numPr>
        <w:rPr>
          <w:rFonts w:cstheme="minorHAnsi"/>
        </w:rPr>
      </w:pPr>
      <w:hyperlink r:id="rId481" w:tgtFrame="_blank" w:history="1">
        <w:r w:rsidR="00777541" w:rsidRPr="0052236D">
          <w:rPr>
            <w:rStyle w:val="Hyperlink"/>
            <w:rFonts w:cstheme="minorHAnsi"/>
            <w:b/>
            <w:bCs/>
          </w:rPr>
          <w:t>Coffee Breaks and Birthday Cakes</w:t>
        </w:r>
      </w:hyperlink>
    </w:p>
    <w:p w14:paraId="24D32ED1" w14:textId="77777777" w:rsidR="00777541" w:rsidRPr="0052236D" w:rsidRDefault="00777541" w:rsidP="00076336">
      <w:pPr>
        <w:pStyle w:val="ListParagraph"/>
        <w:numPr>
          <w:ilvl w:val="0"/>
          <w:numId w:val="50"/>
        </w:numPr>
        <w:ind w:left="360"/>
        <w:rPr>
          <w:rFonts w:cstheme="minorHAnsi"/>
          <w:b/>
          <w:bCs/>
        </w:rPr>
      </w:pPr>
      <w:r w:rsidRPr="0052236D">
        <w:rPr>
          <w:rFonts w:cstheme="minorHAnsi"/>
          <w:b/>
          <w:bCs/>
        </w:rPr>
        <w:t>Reasonable Accommodations</w:t>
      </w:r>
    </w:p>
    <w:p w14:paraId="54B7CA16" w14:textId="77777777" w:rsidR="00777541" w:rsidRPr="0052236D" w:rsidRDefault="00366D34" w:rsidP="00076336">
      <w:pPr>
        <w:pStyle w:val="ListParagraph"/>
        <w:numPr>
          <w:ilvl w:val="1"/>
          <w:numId w:val="50"/>
        </w:numPr>
        <w:rPr>
          <w:rFonts w:cstheme="minorHAnsi"/>
        </w:rPr>
      </w:pPr>
      <w:hyperlink r:id="rId482" w:tgtFrame="_blank" w:history="1">
        <w:r w:rsidR="00777541" w:rsidRPr="0052236D">
          <w:rPr>
            <w:rStyle w:val="Hyperlink"/>
            <w:rFonts w:cstheme="minorHAnsi"/>
            <w:b/>
            <w:bCs/>
          </w:rPr>
          <w:t>Reasonable Accommodations Process Guide for VR Counselors [PDF]</w:t>
        </w:r>
      </w:hyperlink>
    </w:p>
    <w:p w14:paraId="29D096BE" w14:textId="77777777" w:rsidR="00777541" w:rsidRPr="0052236D" w:rsidRDefault="00366D34" w:rsidP="00076336">
      <w:pPr>
        <w:pStyle w:val="ListParagraph"/>
        <w:numPr>
          <w:ilvl w:val="1"/>
          <w:numId w:val="50"/>
        </w:numPr>
        <w:rPr>
          <w:rFonts w:cstheme="minorHAnsi"/>
        </w:rPr>
      </w:pPr>
      <w:hyperlink r:id="rId483" w:tgtFrame="_blank" w:history="1">
        <w:r w:rsidR="00777541" w:rsidRPr="0052236D">
          <w:rPr>
            <w:rStyle w:val="Hyperlink"/>
            <w:rFonts w:cstheme="minorHAnsi"/>
            <w:b/>
            <w:bCs/>
          </w:rPr>
          <w:t>Employers' Practical Guide to Reasonable Accommodation Under the Americans with Disabilities Act [PDF]</w:t>
        </w:r>
      </w:hyperlink>
    </w:p>
    <w:p w14:paraId="4233CE51" w14:textId="77777777" w:rsidR="00777541" w:rsidRPr="0052236D" w:rsidRDefault="00366D34" w:rsidP="00076336">
      <w:pPr>
        <w:pStyle w:val="ListParagraph"/>
        <w:numPr>
          <w:ilvl w:val="1"/>
          <w:numId w:val="50"/>
        </w:numPr>
        <w:rPr>
          <w:rFonts w:cstheme="minorHAnsi"/>
        </w:rPr>
      </w:pPr>
      <w:hyperlink r:id="rId484" w:tgtFrame="_blank" w:history="1">
        <w:r w:rsidR="00777541" w:rsidRPr="0052236D">
          <w:rPr>
            <w:rStyle w:val="Hyperlink"/>
            <w:rFonts w:cstheme="minorHAnsi"/>
            <w:b/>
            <w:bCs/>
          </w:rPr>
          <w:t>Service Animals As An Employment Accommodation [PDF]</w:t>
        </w:r>
      </w:hyperlink>
    </w:p>
    <w:p w14:paraId="587EC45A" w14:textId="77777777" w:rsidR="00777541" w:rsidRPr="0052236D" w:rsidRDefault="00366D34" w:rsidP="00076336">
      <w:pPr>
        <w:pStyle w:val="ListParagraph"/>
        <w:numPr>
          <w:ilvl w:val="1"/>
          <w:numId w:val="50"/>
        </w:numPr>
        <w:rPr>
          <w:rFonts w:cstheme="minorHAnsi"/>
        </w:rPr>
      </w:pPr>
      <w:hyperlink r:id="rId485" w:tgtFrame="_blank" w:history="1">
        <w:r w:rsidR="00777541" w:rsidRPr="0052236D">
          <w:rPr>
            <w:rStyle w:val="Hyperlink"/>
            <w:rFonts w:cstheme="minorHAnsi"/>
            <w:b/>
            <w:bCs/>
          </w:rPr>
          <w:t>Workplace Accommodations: Low Cost, High Impact</w:t>
        </w:r>
      </w:hyperlink>
    </w:p>
    <w:p w14:paraId="123FA31D" w14:textId="77777777" w:rsidR="00777541" w:rsidRPr="0052236D" w:rsidRDefault="00366D34" w:rsidP="00076336">
      <w:pPr>
        <w:pStyle w:val="ListParagraph"/>
        <w:numPr>
          <w:ilvl w:val="1"/>
          <w:numId w:val="50"/>
        </w:numPr>
        <w:rPr>
          <w:rFonts w:cstheme="minorHAnsi"/>
        </w:rPr>
      </w:pPr>
      <w:hyperlink r:id="rId486" w:tgtFrame="_blank" w:history="1">
        <w:r w:rsidR="00777541" w:rsidRPr="0052236D">
          <w:rPr>
            <w:rStyle w:val="Hyperlink"/>
            <w:rFonts w:cstheme="minorHAnsi"/>
            <w:b/>
            <w:bCs/>
          </w:rPr>
          <w:t>Small Employers and Reasonable Accommodations</w:t>
        </w:r>
      </w:hyperlink>
    </w:p>
    <w:p w14:paraId="2E615106" w14:textId="77777777" w:rsidR="00777541" w:rsidRPr="0052236D" w:rsidRDefault="00366D34" w:rsidP="00076336">
      <w:pPr>
        <w:pStyle w:val="ListParagraph"/>
        <w:numPr>
          <w:ilvl w:val="1"/>
          <w:numId w:val="50"/>
        </w:numPr>
        <w:rPr>
          <w:rFonts w:cstheme="minorHAnsi"/>
        </w:rPr>
      </w:pPr>
      <w:hyperlink r:id="rId487" w:tgtFrame="_blank" w:history="1">
        <w:r w:rsidR="00777541" w:rsidRPr="0052236D">
          <w:rPr>
            <w:rStyle w:val="Hyperlink"/>
            <w:rFonts w:cstheme="minorHAnsi"/>
            <w:b/>
            <w:bCs/>
          </w:rPr>
          <w:t>Enforcement Guidance on Reasonable Accommodation and Undue Hardship Under the ADA</w:t>
        </w:r>
      </w:hyperlink>
    </w:p>
    <w:p w14:paraId="666E2393" w14:textId="77777777" w:rsidR="00777541" w:rsidRPr="0052236D" w:rsidRDefault="00366D34" w:rsidP="00076336">
      <w:pPr>
        <w:pStyle w:val="ListParagraph"/>
        <w:numPr>
          <w:ilvl w:val="1"/>
          <w:numId w:val="50"/>
        </w:numPr>
        <w:rPr>
          <w:rFonts w:cstheme="minorHAnsi"/>
        </w:rPr>
      </w:pPr>
      <w:hyperlink r:id="rId488" w:tgtFrame="_blank" w:history="1">
        <w:r w:rsidR="00777541" w:rsidRPr="0052236D">
          <w:rPr>
            <w:rStyle w:val="Hyperlink"/>
            <w:rFonts w:cstheme="minorHAnsi"/>
            <w:b/>
            <w:bCs/>
          </w:rPr>
          <w:t>Providing Reasonable Accommodation to Employees with Post Traumatic Stress Disorder</w:t>
        </w:r>
      </w:hyperlink>
    </w:p>
    <w:p w14:paraId="2A57BAC9" w14:textId="77777777" w:rsidR="00777541" w:rsidRPr="0052236D" w:rsidRDefault="00366D34" w:rsidP="00076336">
      <w:pPr>
        <w:pStyle w:val="ListParagraph"/>
        <w:numPr>
          <w:ilvl w:val="1"/>
          <w:numId w:val="50"/>
        </w:numPr>
        <w:rPr>
          <w:rFonts w:cstheme="minorHAnsi"/>
        </w:rPr>
      </w:pPr>
      <w:hyperlink r:id="rId489" w:tgtFrame="_blank" w:history="1">
        <w:r w:rsidR="00777541" w:rsidRPr="0052236D">
          <w:rPr>
            <w:rStyle w:val="Hyperlink"/>
            <w:rFonts w:cstheme="minorHAnsi"/>
            <w:b/>
            <w:bCs/>
          </w:rPr>
          <w:t>Job Accommodations for Persons with Mental Health Conditions</w:t>
        </w:r>
      </w:hyperlink>
    </w:p>
    <w:p w14:paraId="02A57895" w14:textId="77777777" w:rsidR="00777541" w:rsidRPr="0052236D" w:rsidRDefault="00366D34" w:rsidP="00076336">
      <w:pPr>
        <w:pStyle w:val="ListParagraph"/>
        <w:numPr>
          <w:ilvl w:val="1"/>
          <w:numId w:val="50"/>
        </w:numPr>
        <w:rPr>
          <w:rFonts w:cstheme="minorHAnsi"/>
        </w:rPr>
      </w:pPr>
      <w:hyperlink r:id="rId490" w:tgtFrame="_blank" w:history="1">
        <w:r w:rsidR="00777541" w:rsidRPr="0052236D">
          <w:rPr>
            <w:rStyle w:val="Hyperlink"/>
            <w:rFonts w:cstheme="minorHAnsi"/>
            <w:b/>
            <w:bCs/>
          </w:rPr>
          <w:t>AbleData</w:t>
        </w:r>
      </w:hyperlink>
    </w:p>
    <w:p w14:paraId="210F8B27" w14:textId="77777777" w:rsidR="00777541" w:rsidRPr="0052236D" w:rsidRDefault="00366D34" w:rsidP="00076336">
      <w:pPr>
        <w:pStyle w:val="ListParagraph"/>
        <w:numPr>
          <w:ilvl w:val="1"/>
          <w:numId w:val="50"/>
        </w:numPr>
        <w:rPr>
          <w:rFonts w:cstheme="minorHAnsi"/>
        </w:rPr>
      </w:pPr>
      <w:hyperlink r:id="rId491" w:tgtFrame="_blank" w:history="1">
        <w:r w:rsidR="00777541" w:rsidRPr="0052236D">
          <w:rPr>
            <w:rStyle w:val="Hyperlink"/>
            <w:rFonts w:cstheme="minorHAnsi"/>
            <w:b/>
            <w:bCs/>
          </w:rPr>
          <w:t>Partnership on Employment &amp; Accessible Technology (PEAT)</w:t>
        </w:r>
      </w:hyperlink>
    </w:p>
    <w:p w14:paraId="6C5A1249" w14:textId="77777777" w:rsidR="00777541" w:rsidRPr="0052236D" w:rsidRDefault="00777541" w:rsidP="00076336">
      <w:pPr>
        <w:pStyle w:val="ListParagraph"/>
        <w:numPr>
          <w:ilvl w:val="0"/>
          <w:numId w:val="50"/>
        </w:numPr>
        <w:ind w:left="360"/>
        <w:rPr>
          <w:rFonts w:cstheme="minorHAnsi"/>
          <w:b/>
          <w:bCs/>
        </w:rPr>
      </w:pPr>
      <w:r w:rsidRPr="0052236D">
        <w:rPr>
          <w:rFonts w:cstheme="minorHAnsi"/>
          <w:b/>
          <w:bCs/>
        </w:rPr>
        <w:t>Labor Market and ADA Compliance</w:t>
      </w:r>
    </w:p>
    <w:p w14:paraId="567C776D" w14:textId="77777777" w:rsidR="00777541" w:rsidRPr="0052236D" w:rsidRDefault="00366D34" w:rsidP="00076336">
      <w:pPr>
        <w:pStyle w:val="ListParagraph"/>
        <w:numPr>
          <w:ilvl w:val="1"/>
          <w:numId w:val="50"/>
        </w:numPr>
        <w:rPr>
          <w:rFonts w:cstheme="minorHAnsi"/>
        </w:rPr>
      </w:pPr>
      <w:hyperlink r:id="rId492" w:tgtFrame="_blank" w:history="1">
        <w:r w:rsidR="00777541" w:rsidRPr="0052236D">
          <w:rPr>
            <w:rStyle w:val="Hyperlink"/>
            <w:rFonts w:cstheme="minorHAnsi"/>
            <w:b/>
            <w:bCs/>
          </w:rPr>
          <w:t>America's Career InfoNet</w:t>
        </w:r>
      </w:hyperlink>
    </w:p>
    <w:p w14:paraId="7FFE62A4" w14:textId="77777777" w:rsidR="00777541" w:rsidRPr="0052236D" w:rsidRDefault="00366D34" w:rsidP="00076336">
      <w:pPr>
        <w:pStyle w:val="ListParagraph"/>
        <w:numPr>
          <w:ilvl w:val="1"/>
          <w:numId w:val="50"/>
        </w:numPr>
        <w:rPr>
          <w:rFonts w:cstheme="minorHAnsi"/>
        </w:rPr>
      </w:pPr>
      <w:hyperlink r:id="rId493" w:tgtFrame="_blank" w:history="1">
        <w:r w:rsidR="00777541" w:rsidRPr="0052236D">
          <w:rPr>
            <w:rStyle w:val="Hyperlink"/>
            <w:rFonts w:cstheme="minorHAnsi"/>
            <w:b/>
            <w:bCs/>
          </w:rPr>
          <w:t>The impact of business size on employer ADA response. Rehabilitation Counseling Bulletin, 49(4), 194-206</w:t>
        </w:r>
      </w:hyperlink>
    </w:p>
    <w:p w14:paraId="5D1B29CF" w14:textId="77777777" w:rsidR="00777541" w:rsidRPr="0052236D" w:rsidRDefault="00366D34" w:rsidP="00076336">
      <w:pPr>
        <w:pStyle w:val="ListParagraph"/>
        <w:numPr>
          <w:ilvl w:val="1"/>
          <w:numId w:val="50"/>
        </w:numPr>
        <w:rPr>
          <w:rFonts w:cstheme="minorHAnsi"/>
        </w:rPr>
      </w:pPr>
      <w:hyperlink r:id="rId494" w:tgtFrame="_blank" w:history="1">
        <w:r w:rsidR="00777541" w:rsidRPr="0052236D">
          <w:rPr>
            <w:rStyle w:val="Hyperlink"/>
            <w:rFonts w:cstheme="minorHAnsi"/>
            <w:b/>
            <w:bCs/>
          </w:rPr>
          <w:t>ADA Training for VR Agency Staff [DOCX]</w:t>
        </w:r>
      </w:hyperlink>
    </w:p>
    <w:bookmarkStart w:id="149" w:name="Culture_of_Inclusion_Roadmap"/>
    <w:p w14:paraId="761FCA54" w14:textId="77777777" w:rsidR="00777541" w:rsidRPr="0052236D" w:rsidRDefault="00777541" w:rsidP="00076336">
      <w:pPr>
        <w:pStyle w:val="ListParagraph"/>
        <w:numPr>
          <w:ilvl w:val="1"/>
          <w:numId w:val="50"/>
        </w:numPr>
        <w:rPr>
          <w:rFonts w:cstheme="minorHAnsi"/>
        </w:rPr>
      </w:pPr>
      <w:r w:rsidRPr="0052236D">
        <w:rPr>
          <w:rFonts w:cstheme="minorHAnsi"/>
          <w:b/>
          <w:bCs/>
        </w:rPr>
        <w:fldChar w:fldCharType="begin"/>
      </w:r>
      <w:r w:rsidRPr="0052236D">
        <w:rPr>
          <w:rFonts w:cstheme="minorHAnsi"/>
          <w:b/>
          <w:bCs/>
        </w:rPr>
        <w:instrText xml:space="preserve"> HYPERLINK "http://wintac-s3.s3-us-west-2.amazonaws.com/topic-areas/ta06_BesinessEngagement/additional_resources/Culture_of_Inclusion_Roadmap.pdf" \t "_blank" </w:instrText>
      </w:r>
      <w:r w:rsidRPr="0052236D">
        <w:rPr>
          <w:rFonts w:cstheme="minorHAnsi"/>
          <w:b/>
          <w:bCs/>
        </w:rPr>
        <w:fldChar w:fldCharType="separate"/>
      </w:r>
      <w:r w:rsidRPr="0052236D">
        <w:rPr>
          <w:rStyle w:val="Hyperlink"/>
          <w:rFonts w:cstheme="minorHAnsi"/>
          <w:b/>
          <w:bCs/>
        </w:rPr>
        <w:t>Culture of Inclusion Roadmap [PDF]</w:t>
      </w:r>
      <w:r w:rsidRPr="0052236D">
        <w:rPr>
          <w:rFonts w:cstheme="minorHAnsi"/>
        </w:rPr>
        <w:fldChar w:fldCharType="end"/>
      </w:r>
      <w:bookmarkEnd w:id="149"/>
    </w:p>
    <w:p w14:paraId="3CA1FA71" w14:textId="77777777" w:rsidR="00777541" w:rsidRPr="00896269" w:rsidRDefault="00777541" w:rsidP="00777541"/>
    <w:p w14:paraId="2D1199B1" w14:textId="77777777" w:rsidR="00777541" w:rsidRDefault="00777541" w:rsidP="00777541">
      <w:pPr>
        <w:pBdr>
          <w:bottom w:val="single" w:sz="24" w:space="1" w:color="auto"/>
        </w:pBdr>
        <w:jc w:val="center"/>
        <w:rPr>
          <w:b/>
          <w:sz w:val="36"/>
        </w:rPr>
      </w:pPr>
      <w:r>
        <w:rPr>
          <w:b/>
          <w:sz w:val="36"/>
        </w:rPr>
        <w:br w:type="page"/>
      </w:r>
    </w:p>
    <w:p w14:paraId="1741F092" w14:textId="77777777" w:rsidR="00777541" w:rsidRPr="004B327C" w:rsidRDefault="00777541" w:rsidP="00BA0D82">
      <w:pPr>
        <w:pStyle w:val="Heading2"/>
        <w:numPr>
          <w:ilvl w:val="0"/>
          <w:numId w:val="0"/>
        </w:numPr>
      </w:pPr>
      <w:bookmarkStart w:id="150" w:name="_Toc27904632"/>
      <w:bookmarkStart w:id="151" w:name="_Toc28011467"/>
      <w:r>
        <w:lastRenderedPageBreak/>
        <w:t>BUSINESS ENGAGEMENT</w:t>
      </w:r>
      <w:r w:rsidRPr="004B327C">
        <w:t xml:space="preserve"> ITAs: </w:t>
      </w:r>
      <w:r w:rsidRPr="00354CA1">
        <w:t>PROGRESS</w:t>
      </w:r>
      <w:r w:rsidRPr="004B327C">
        <w:t xml:space="preserve"> NARRATIVE</w:t>
      </w:r>
      <w:bookmarkEnd w:id="150"/>
      <w:bookmarkEnd w:id="151"/>
    </w:p>
    <w:p w14:paraId="57B6DFA3" w14:textId="77777777" w:rsidR="00777541" w:rsidRPr="00354CA1" w:rsidRDefault="00777541" w:rsidP="00C22384">
      <w:pPr>
        <w:pStyle w:val="Heading3"/>
        <w:numPr>
          <w:ilvl w:val="0"/>
          <w:numId w:val="0"/>
        </w:numPr>
        <w:ind w:left="810" w:hanging="810"/>
      </w:pPr>
      <w:bookmarkStart w:id="152" w:name="_Toc27904633"/>
      <w:r w:rsidRPr="00354CA1">
        <w:t>National Lens</w:t>
      </w:r>
      <w:bookmarkEnd w:id="152"/>
    </w:p>
    <w:p w14:paraId="1DAE5ED0" w14:textId="77777777" w:rsidR="00777541" w:rsidRPr="00035CD7" w:rsidRDefault="00777541" w:rsidP="00777541">
      <w:pPr>
        <w:ind w:firstLine="360"/>
      </w:pPr>
      <w:r>
        <w:t>Business engagement (BE) involves serving businesses/employers in order to serve VR clients and this “dual-customer” approach is encouraged by WIOA as an effective strategy for improving competitive, integrated employment outcomes and building relationships that create employment pipelines.  As noted in the BE TA Team’s overview on the WINTAC webpage, these relationships can be “transactional” or “strategic,” with the latter offering the maximum impact.  Indeed, mandates in the Rehabilitation Act formally support the strategic approach by requiring at least four of fifteen mmbers of State Rehabilitation Councils to be employers and requiring articulation of how employers will be engaged by the Workforce Development System in the Unified State Plan (CSAVR, 2016).  The commitment to business engagement occurs at all levels, with RSA engaging employers through roundtable discussions in 2016 (CSAVR).  Despite these mandates, and the engagement of federal funders on this issue, a 2018 GAO report (18-577) found that VR agencies still lacked adequate information about when and how they could use VR funds to engage with employers.  WINTAC’s BE focus is thus timely and still relevant.</w:t>
      </w:r>
    </w:p>
    <w:p w14:paraId="457808EF" w14:textId="77777777" w:rsidR="00777541" w:rsidRPr="00035CD7" w:rsidRDefault="00777541" w:rsidP="00C22384">
      <w:pPr>
        <w:pStyle w:val="Heading3"/>
        <w:numPr>
          <w:ilvl w:val="0"/>
          <w:numId w:val="0"/>
        </w:numPr>
        <w:ind w:left="810" w:hanging="810"/>
      </w:pPr>
      <w:bookmarkStart w:id="153" w:name="_Toc27904634"/>
      <w:r w:rsidRPr="00035CD7">
        <w:t>WINTAC Lens</w:t>
      </w:r>
      <w:bookmarkEnd w:id="153"/>
    </w:p>
    <w:p w14:paraId="28FB9B95" w14:textId="77777777" w:rsidR="00777541" w:rsidRPr="00035CD7" w:rsidRDefault="00777541" w:rsidP="00777541">
      <w:pPr>
        <w:tabs>
          <w:tab w:val="left" w:pos="360"/>
        </w:tabs>
      </w:pPr>
      <w:r>
        <w:tab/>
        <w:t>Business Engagement</w:t>
      </w:r>
      <w:r w:rsidRPr="00035CD7">
        <w:t xml:space="preserve"> is one of WINTAC’s </w:t>
      </w:r>
      <w:r>
        <w:t>newer topic areas (beginning in April 2018), with only four</w:t>
      </w:r>
      <w:r w:rsidRPr="00035CD7">
        <w:t xml:space="preserve"> formal intensive technical assistance agreements (ITAAs) in place.  These ITAAs draw from a menu of activities identified in the logic model, which each have an associated output and contribute to a set of defined short-term outcomes expected to be achieved within this funding cycle.  </w:t>
      </w:r>
    </w:p>
    <w:p w14:paraId="578C660A" w14:textId="77777777" w:rsidR="00777541" w:rsidRDefault="00777541" w:rsidP="00777541">
      <w:pPr>
        <w:tabs>
          <w:tab w:val="left" w:pos="360"/>
        </w:tabs>
        <w:rPr>
          <w:szCs w:val="14"/>
        </w:rPr>
      </w:pPr>
      <w:r>
        <w:rPr>
          <w:szCs w:val="14"/>
        </w:rPr>
        <w:tab/>
      </w:r>
      <w:r w:rsidRPr="00533653">
        <w:rPr>
          <w:b/>
          <w:bCs/>
          <w:i/>
          <w:iCs/>
          <w:szCs w:val="14"/>
          <w:u w:val="single"/>
        </w:rPr>
        <w:t>TA Progress.</w:t>
      </w:r>
      <w:r>
        <w:rPr>
          <w:szCs w:val="14"/>
        </w:rPr>
        <w:t xml:space="preserve"> Across the topic area of Business Engagement, progress for the majority of activities (70%) are 50% or less complete (first dashboard).  Below that average activity progress bar, using “thermometer charts,” the progress rate is broken out by specific activity with the linked outputs’ progress rates provided side-by-side.  For the most part, we see a one-to-one correspondence between the rate of completion for an activity and its associated output.  Activity six, involving assistance to agencies in development of educational and marketing materials for use with businesses, shows the highest rate of completion of any of the activities (at 25%). Activities five and three, involving business engagement trainings and tracking tool development respectively, are the next most completed activities.  Treating businesses/employers as a customer is not a new approach in the field, so the priority of agencies in these three activities may reflect the need for practical and contemporary tools and trainings.</w:t>
      </w:r>
    </w:p>
    <w:p w14:paraId="40336F57" w14:textId="77777777" w:rsidR="00777541" w:rsidRDefault="00777541" w:rsidP="00777541">
      <w:pPr>
        <w:tabs>
          <w:tab w:val="left" w:pos="360"/>
        </w:tabs>
        <w:rPr>
          <w:szCs w:val="14"/>
        </w:rPr>
      </w:pPr>
      <w:r>
        <w:rPr>
          <w:szCs w:val="14"/>
        </w:rPr>
        <w:tab/>
      </w:r>
      <w:r w:rsidRPr="00662F12">
        <w:rPr>
          <w:b/>
          <w:bCs/>
          <w:i/>
          <w:iCs/>
          <w:szCs w:val="14"/>
          <w:u w:val="single"/>
        </w:rPr>
        <w:t>Challenges Overcome.</w:t>
      </w:r>
      <w:r>
        <w:rPr>
          <w:i/>
          <w:iCs/>
          <w:szCs w:val="14"/>
        </w:rPr>
        <w:t xml:space="preserve"> </w:t>
      </w:r>
      <w:r w:rsidRPr="00662F12">
        <w:rPr>
          <w:szCs w:val="14"/>
        </w:rPr>
        <w:t xml:space="preserve"> </w:t>
      </w:r>
      <w:r>
        <w:rPr>
          <w:szCs w:val="14"/>
        </w:rPr>
        <w:t xml:space="preserve">WIOA’s mandates make clear that tracking data on performance is critical to improving it.  The BE TA team narratives indicate that none of the agencies receiving intensive (and significant targeted) TA from them collected BE data prior to their interventions.  Now five of the agencies are working with them to implement a system to do so.  </w:t>
      </w:r>
    </w:p>
    <w:p w14:paraId="1043310E" w14:textId="77777777" w:rsidR="00777541" w:rsidRPr="00D43F44" w:rsidRDefault="00777541" w:rsidP="00777541">
      <w:pPr>
        <w:tabs>
          <w:tab w:val="left" w:pos="360"/>
        </w:tabs>
        <w:rPr>
          <w:rFonts w:cstheme="minorHAnsi"/>
        </w:rPr>
      </w:pPr>
      <w:r>
        <w:rPr>
          <w:szCs w:val="14"/>
        </w:rPr>
        <w:tab/>
        <w:t>Other challenges plaguing the agencies are those that are repeated across chapters and team reports: significant staff and leadership turnover and delays in filling open positions rendered agencies’ human capacity low.  Coupled with the deadlines for WIOA mandates on other issues (e.g., Pre-ETS and CPMs) the low agency bandwidth to attend to non-urgent/non-deadline activities resulted</w:t>
      </w:r>
      <w:r w:rsidRPr="00D43F44">
        <w:rPr>
          <w:rFonts w:cstheme="minorHAnsi"/>
        </w:rPr>
        <w:t xml:space="preserve"> </w:t>
      </w:r>
      <w:r>
        <w:rPr>
          <w:rFonts w:cstheme="minorHAnsi"/>
        </w:rPr>
        <w:t xml:space="preserve">in slow progress and BE activities often being put on hold.  Still, agencies working with the BE TA team found solutions to work around these challenges, leveraging the power of collaboration with state partners in </w:t>
      </w:r>
      <w:r>
        <w:rPr>
          <w:rFonts w:cstheme="minorHAnsi"/>
        </w:rPr>
        <w:lastRenderedPageBreak/>
        <w:t>business-oriented events.  Ultimately, in five agencies, the BE TA Team supported five agencies in hiring and onboarding new staff dedicated to business engagement roles – building capacity and making system changes to these agencies.</w:t>
      </w:r>
      <w:r w:rsidRPr="00D43F44">
        <w:rPr>
          <w:rFonts w:cstheme="minorHAnsi"/>
        </w:rPr>
        <w:t xml:space="preserve"> </w:t>
      </w:r>
    </w:p>
    <w:p w14:paraId="7CBD8E65" w14:textId="77777777" w:rsidR="00777541" w:rsidRPr="00D43F44" w:rsidRDefault="00777541" w:rsidP="00777541">
      <w:pPr>
        <w:tabs>
          <w:tab w:val="left" w:pos="360"/>
        </w:tabs>
        <w:rPr>
          <w:rFonts w:cstheme="minorHAnsi"/>
        </w:rPr>
      </w:pPr>
      <w:r w:rsidRPr="00D43F44">
        <w:rPr>
          <w:rFonts w:cstheme="minorHAnsi"/>
          <w:i/>
          <w:iCs/>
        </w:rPr>
        <w:tab/>
      </w:r>
      <w:r w:rsidRPr="00AD7B12">
        <w:rPr>
          <w:rFonts w:cstheme="minorHAnsi"/>
          <w:b/>
          <w:bCs/>
          <w:i/>
          <w:iCs/>
          <w:u w:val="single"/>
        </w:rPr>
        <w:t>Impact</w:t>
      </w:r>
      <w:r w:rsidRPr="00D43F44">
        <w:rPr>
          <w:rFonts w:cstheme="minorHAnsi"/>
          <w:i/>
          <w:iCs/>
        </w:rPr>
        <w:t>.</w:t>
      </w:r>
      <w:r w:rsidRPr="00AD7B12">
        <w:rPr>
          <w:rFonts w:cstheme="minorHAnsi"/>
        </w:rPr>
        <w:t xml:space="preserve">  </w:t>
      </w:r>
      <w:r>
        <w:rPr>
          <w:rFonts w:cstheme="minorHAnsi"/>
        </w:rPr>
        <w:t>Because of the short time frame during which BE ITAAs have been in place, it is not expected yet that outcomes will have been attained.  As noted above, many of the agencies whose ITAAs include BE have activities related to data tracking.  As such, it Is anticipated in the future that agency and client outcomes (systems changes and impacts) will be able to be easily reported as they occur.  In the interim, states are beginning to embark upon internal systems changes.  A change in knowledge is one of the first short-term outcomes often articulated in a logic model.  Change the knowledge, change the attitude, change the behavior – and accordingly, change the results.  The BE Team’s efforts are already yielding success with the first element; to wit, pre- and post-tests demonstrate that agency staff have begun to improve their understanding of business engagement strategies, learning effective communication strategies such as “business” speak and elevator pitches, and learning about initial outreach and follow-up strategies.  Despite challenges with turnover and transformations of agencies by leadership at the administrative or state level, concrete steps are in place to hire and/or train dedicated personnel whose focus is on business engagement.  The important foundational work is being done and future longer-term evaluations should be able to document measurable changes in interactions with businesses, and ultimately, successful client outcomes.  In addition, with some of the agencies reaching out to - and creating partnerships with - the Workforce Systems in their states, collaboration is already resulting in meaningful systems change as encouraged by WIOA and its included focus on Workforce Integration.</w:t>
      </w:r>
    </w:p>
    <w:p w14:paraId="0F0CAE42" w14:textId="77777777" w:rsidR="00777541" w:rsidRPr="00592427" w:rsidRDefault="00777541" w:rsidP="00777541">
      <w:pPr>
        <w:tabs>
          <w:tab w:val="left" w:pos="360"/>
        </w:tabs>
        <w:rPr>
          <w:rFonts w:cstheme="minorHAnsi"/>
        </w:rPr>
      </w:pPr>
      <w:r w:rsidRPr="00C947E0">
        <w:rPr>
          <w:rFonts w:ascii="Times New Roman" w:hAnsi="Times New Roman" w:cs="Times New Roman"/>
          <w:noProof/>
          <w:sz w:val="24"/>
          <w:szCs w:val="24"/>
          <w:lang w:eastAsia="ko-KR"/>
        </w:rPr>
        <mc:AlternateContent>
          <mc:Choice Requires="wps">
            <w:drawing>
              <wp:anchor distT="182880" distB="182880" distL="182880" distR="182880" simplePos="0" relativeHeight="251680768" behindDoc="0" locked="0" layoutInCell="1" allowOverlap="1" wp14:anchorId="69B7D086" wp14:editId="4BC79885">
                <wp:simplePos x="0" y="0"/>
                <wp:positionH relativeFrom="margin">
                  <wp:posOffset>86995</wp:posOffset>
                </wp:positionH>
                <wp:positionV relativeFrom="margin">
                  <wp:posOffset>4152265</wp:posOffset>
                </wp:positionV>
                <wp:extent cx="4770120" cy="1113155"/>
                <wp:effectExtent l="0" t="0" r="0" b="0"/>
                <wp:wrapSquare wrapText="bothSides"/>
                <wp:docPr id="155" name="Snip Single Corner Rectangle 117"/>
                <wp:cNvGraphicFramePr/>
                <a:graphic xmlns:a="http://schemas.openxmlformats.org/drawingml/2006/main">
                  <a:graphicData uri="http://schemas.microsoft.com/office/word/2010/wordprocessingShape">
                    <wps:wsp>
                      <wps:cNvSpPr/>
                      <wps:spPr>
                        <a:xfrm>
                          <a:off x="0" y="0"/>
                          <a:ext cx="4770120" cy="1113155"/>
                        </a:xfrm>
                        <a:prstGeom prst="snip1Rect">
                          <a:avLst/>
                        </a:prstGeom>
                        <a:ln>
                          <a:noFill/>
                        </a:ln>
                      </wps:spPr>
                      <wps:style>
                        <a:lnRef idx="2">
                          <a:schemeClr val="accent1">
                            <a:shade val="50000"/>
                          </a:schemeClr>
                        </a:lnRef>
                        <a:fillRef idx="1003">
                          <a:schemeClr val="dk2"/>
                        </a:fillRef>
                        <a:effectRef idx="0">
                          <a:schemeClr val="accent1"/>
                        </a:effectRef>
                        <a:fontRef idx="minor">
                          <a:schemeClr val="lt1"/>
                        </a:fontRef>
                      </wps:style>
                      <wps:txbx>
                        <w:txbxContent>
                          <w:p w14:paraId="163F6645" w14:textId="77777777" w:rsidR="00366D34" w:rsidRPr="00972F82" w:rsidRDefault="00366D34" w:rsidP="00777541">
                            <w:pPr>
                              <w:spacing w:after="0" w:line="276" w:lineRule="auto"/>
                              <w:ind w:left="1080"/>
                              <w:rPr>
                                <w:rFonts w:ascii="Times New Roman" w:hAnsi="Times New Roman" w:cs="Times New Roman"/>
                                <w:b/>
                                <w:bCs/>
                                <w:i/>
                                <w:iCs/>
                                <w:sz w:val="32"/>
                                <w:szCs w:val="32"/>
                              </w:rPr>
                            </w:pPr>
                            <w:r w:rsidRPr="00972F82">
                              <w:rPr>
                                <w:rFonts w:ascii="Times New Roman" w:hAnsi="Times New Roman" w:cs="Times New Roman"/>
                                <w:i/>
                                <w:iCs/>
                                <w:sz w:val="24"/>
                                <w:szCs w:val="24"/>
                              </w:rPr>
                              <w:t>Changes made, as well as those in process are designed with sustainability in mind.  TA provided includes discussions of how to make outputs and outcomes ongoing following project end.</w:t>
                            </w:r>
                          </w:p>
                        </w:txbxContent>
                      </wps:txbx>
                      <wps:bodyPr rot="0" spcFirstLastPara="0" vertOverflow="overflow" horzOverflow="overflow" vert="horz" wrap="square" lIns="137160" tIns="91440" rIns="91440" bIns="9144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B7D086" id="_x0000_s1057" style="position:absolute;margin-left:6.85pt;margin-top:326.95pt;width:375.6pt;height:87.65pt;z-index:251680768;visibility:visible;mso-wrap-style:square;mso-width-percent:0;mso-height-percent:0;mso-wrap-distance-left:14.4pt;mso-wrap-distance-top:14.4pt;mso-wrap-distance-right:14.4pt;mso-wrap-distance-bottom:14.4pt;mso-position-horizontal:absolute;mso-position-horizontal-relative:margin;mso-position-vertical:absolute;mso-position-vertical-relative:margin;mso-width-percent:0;mso-height-percent:0;mso-width-relative:margin;mso-height-relative:margin;v-text-anchor:top" coordsize="4770120,111315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" adj="-11796480,,5400" path="m,l4584590,r185530,185530l4770120,1113155,,1113155,,xe" fillcolor="#4d5f78 [2994]" stroked="f" strokeweight="1pt">
                <v:fill color2="#2a3442 [2018]" rotate="t" colors="0 #5d6d85;.5 #485972;1 #334258" focus="100%" type="gradient">
                  <o:fill v:ext="view" type="gradientUnscaled"/>
                </v:fill>
                <v:stroke joinstyle="miter"/>
                <v:formulas/>
                <v:path arrowok="t" o:connecttype="custom" o:connectlocs="0,0;4584590,0;4770120,185530;4770120,1113155;0,1113155;0,0" o:connectangles="0,0,0,0,0,0" textboxrect="0,0,4770120,1113155"/>
                <v:textbox inset="10.8pt,7.2pt,,7.2pt">
                  <w:txbxContent>
                    <w:p w14:paraId="163F6645" w14:textId="77777777" w:rsidR="00366D34" w:rsidRPr="00972F82" w:rsidRDefault="00366D34" w:rsidP="00777541">
                      <w:pPr>
                        <w:spacing w:after="0" w:line="276" w:lineRule="auto"/>
                        <w:ind w:left="1080"/>
                        <w:rPr>
                          <w:rFonts w:ascii="Times New Roman" w:hAnsi="Times New Roman" w:cs="Times New Roman"/>
                          <w:b/>
                          <w:bCs/>
                          <w:i/>
                          <w:iCs/>
                          <w:sz w:val="32"/>
                          <w:szCs w:val="32"/>
                        </w:rPr>
                      </w:pPr>
                      <w:r w:rsidRPr="00972F82">
                        <w:rPr>
                          <w:rFonts w:ascii="Times New Roman" w:hAnsi="Times New Roman" w:cs="Times New Roman"/>
                          <w:i/>
                          <w:iCs/>
                          <w:sz w:val="24"/>
                          <w:szCs w:val="24"/>
                        </w:rPr>
                        <w:t>Changes made, as well as those in process are designed with sustainability in mind.  TA provided includes discussions of how to make outputs and outcomes ongoing following project end.</w:t>
                      </w:r>
                    </w:p>
                  </w:txbxContent>
                </v:textbox>
                <w10:wrap type="square" anchorx="margin" anchory="margin"/>
              </v:shape>
            </w:pict>
          </mc:Fallback>
        </mc:AlternateContent>
      </w:r>
    </w:p>
    <w:p w14:paraId="7485CD4D" w14:textId="77777777" w:rsidR="00777541" w:rsidRDefault="00777541" w:rsidP="00777541">
      <w:pPr>
        <w:tabs>
          <w:tab w:val="left" w:pos="360"/>
        </w:tabs>
        <w:rPr>
          <w:rFonts w:ascii="Times New Roman" w:hAnsi="Times New Roman" w:cs="Times New Roman"/>
          <w:sz w:val="24"/>
          <w:szCs w:val="24"/>
        </w:rPr>
      </w:pPr>
    </w:p>
    <w:p w14:paraId="4C21ED12" w14:textId="77777777" w:rsidR="00777541" w:rsidRPr="00592427" w:rsidRDefault="00777541" w:rsidP="00777541">
      <w:pPr>
        <w:tabs>
          <w:tab w:val="left" w:pos="360"/>
        </w:tabs>
        <w:rPr>
          <w:rFonts w:cstheme="minorHAnsi"/>
        </w:rPr>
      </w:pPr>
    </w:p>
    <w:p w14:paraId="4C90AD2C" w14:textId="77777777" w:rsidR="00777541" w:rsidRPr="00592427" w:rsidRDefault="00777541" w:rsidP="00777541">
      <w:pPr>
        <w:tabs>
          <w:tab w:val="left" w:pos="360"/>
        </w:tabs>
        <w:rPr>
          <w:rFonts w:cstheme="minorHAnsi"/>
        </w:rPr>
      </w:pPr>
    </w:p>
    <w:p w14:paraId="65503E75" w14:textId="77777777" w:rsidR="00777541" w:rsidRPr="00592427" w:rsidRDefault="00777541" w:rsidP="00777541">
      <w:pPr>
        <w:tabs>
          <w:tab w:val="left" w:pos="360"/>
        </w:tabs>
        <w:rPr>
          <w:rFonts w:cstheme="minorHAnsi"/>
        </w:rPr>
      </w:pPr>
    </w:p>
    <w:p w14:paraId="527907AA" w14:textId="77777777" w:rsidR="00777541" w:rsidRPr="00592427" w:rsidRDefault="00777541" w:rsidP="00777541">
      <w:pPr>
        <w:tabs>
          <w:tab w:val="left" w:pos="360"/>
        </w:tabs>
        <w:rPr>
          <w:rFonts w:cstheme="minorHAnsi"/>
        </w:rPr>
      </w:pPr>
    </w:p>
    <w:p w14:paraId="0827D396" w14:textId="77777777" w:rsidR="00777541" w:rsidRPr="001F752C" w:rsidRDefault="00777541" w:rsidP="00777541">
      <w:pPr>
        <w:tabs>
          <w:tab w:val="left" w:pos="360"/>
        </w:tabs>
        <w:rPr>
          <w:rFonts w:cstheme="minorHAnsi"/>
        </w:rPr>
      </w:pPr>
      <w:r w:rsidRPr="001F752C">
        <w:rPr>
          <w:rFonts w:cstheme="minorHAnsi"/>
        </w:rPr>
        <w:tab/>
      </w:r>
      <w:r w:rsidRPr="001F752C">
        <w:rPr>
          <w:rFonts w:cstheme="minorHAnsi"/>
          <w:b/>
          <w:bCs/>
          <w:i/>
          <w:iCs/>
          <w:u w:val="single"/>
        </w:rPr>
        <w:t>Evaluation Recommendations.</w:t>
      </w:r>
      <w:r w:rsidRPr="001F752C">
        <w:rPr>
          <w:rFonts w:cstheme="minorHAnsi"/>
        </w:rPr>
        <w:t xml:space="preserve">  The TA Team is establishing all the right foundational steps, particularly tracking of concrete data related to BE performance, that will enable </w:t>
      </w:r>
      <w:r>
        <w:rPr>
          <w:rFonts w:cstheme="minorHAnsi"/>
        </w:rPr>
        <w:t>agencies to track their progress, connect it to outcomes, and adjust their processes to improve their results.  Although some of the agencies could establish performance metrics and benchmarks for themselves, the BE TA Team narratives indicate the agencies have been reluctant to do so just yet.  While annual goals may seem daunting, small quarterly goals can be established to make the most of Year Five and motivate agency staff to practice their newly acquired skills in engaging businesses – practice being something the TA Team’s narratives note is critical when implementing new strategies such as these.  And, similar to the TA Team’s own recommendations, it will be important to revisit ITAA plans with agencies and set priorities for the time that is remaining.</w:t>
      </w:r>
    </w:p>
    <w:p w14:paraId="7AECD843" w14:textId="77777777" w:rsidR="00777541" w:rsidRPr="00AE7895" w:rsidRDefault="00777541" w:rsidP="00777541"/>
    <w:p w14:paraId="30B5C409" w14:textId="77777777" w:rsidR="00777541" w:rsidRDefault="00777541" w:rsidP="00A816B4">
      <w:pPr>
        <w:ind w:firstLine="360"/>
        <w:sectPr w:rsidR="00777541" w:rsidSect="00D27D05">
          <w:headerReference w:type="even" r:id="rId495"/>
          <w:headerReference w:type="default" r:id="rId496"/>
          <w:footerReference w:type="even" r:id="rId497"/>
          <w:footerReference w:type="default" r:id="rId498"/>
          <w:headerReference w:type="first" r:id="rId499"/>
          <w:footerReference w:type="first" r:id="rId500"/>
          <w:pgSz w:w="12240" w:h="15840"/>
          <w:pgMar w:top="1440" w:right="1440" w:bottom="1440" w:left="1440" w:header="720" w:footer="720" w:gutter="0"/>
          <w:pgBorders w:offsetFrom="page">
            <w:top w:val="thinThickSmallGap" w:sz="24" w:space="24" w:color="2F5496" w:themeColor="accent1" w:themeShade="BF"/>
            <w:left w:val="thinThickSmallGap" w:sz="24" w:space="24" w:color="2F5496" w:themeColor="accent1" w:themeShade="BF"/>
            <w:bottom w:val="thickThinSmallGap" w:sz="24" w:space="24" w:color="2F5496" w:themeColor="accent1" w:themeShade="BF"/>
            <w:right w:val="thickThinSmallGap" w:sz="24" w:space="24" w:color="2F5496" w:themeColor="accent1" w:themeShade="BF"/>
          </w:pgBorders>
          <w:cols w:space="720"/>
          <w:docGrid w:linePitch="360"/>
        </w:sectPr>
      </w:pPr>
    </w:p>
    <w:p w14:paraId="4C08AD1E" w14:textId="13A02415" w:rsidR="00777541" w:rsidRPr="00E17DA9" w:rsidRDefault="00596784" w:rsidP="00596784">
      <w:pPr>
        <w:pStyle w:val="Heading1"/>
        <w:numPr>
          <w:ilvl w:val="0"/>
          <w:numId w:val="0"/>
        </w:numPr>
        <w:pBdr>
          <w:bottom w:val="single" w:sz="18" w:space="1" w:color="auto"/>
        </w:pBdr>
        <w:shd w:val="clear" w:color="auto" w:fill="auto"/>
        <w:ind w:left="360"/>
        <w:rPr>
          <w:szCs w:val="52"/>
        </w:rPr>
      </w:pPr>
      <w:bookmarkStart w:id="154" w:name="_Toc27904635"/>
      <w:bookmarkStart w:id="155" w:name="_Toc28011468"/>
      <w:r>
        <w:rPr>
          <w:szCs w:val="52"/>
        </w:rPr>
        <w:lastRenderedPageBreak/>
        <w:t xml:space="preserve">L. </w:t>
      </w:r>
      <w:r w:rsidR="00777541" w:rsidRPr="00E17DA9">
        <w:rPr>
          <w:szCs w:val="52"/>
        </w:rPr>
        <w:t>APPRENTICESHIP</w:t>
      </w:r>
      <w:bookmarkEnd w:id="154"/>
      <w:bookmarkEnd w:id="155"/>
    </w:p>
    <w:p w14:paraId="03E643CD" w14:textId="77777777" w:rsidR="00777541" w:rsidRDefault="00777541" w:rsidP="00777541"/>
    <w:p w14:paraId="33C3B22A" w14:textId="458E4A84" w:rsidR="00777541" w:rsidRDefault="00A637E1" w:rsidP="003F2FE8">
      <w:pPr>
        <w:ind w:left="-450"/>
        <w:jc w:val="center"/>
        <w:rPr>
          <w:noProof/>
        </w:rPr>
      </w:pPr>
      <w:r>
        <w:rPr>
          <w:noProof/>
          <w:lang w:eastAsia="ko-KR"/>
        </w:rPr>
        <w:drawing>
          <wp:inline distT="0" distB="0" distL="0" distR="0" wp14:anchorId="7ECD921A" wp14:editId="7AB7C2A5">
            <wp:extent cx="5943600" cy="4320540"/>
            <wp:effectExtent l="323850" t="323850" r="323850" b="327660"/>
            <wp:docPr id="167" name="Picture 167" descr="A map of the United States depicting which states have Apprenticeship ITAAs, which include: AK, IA, 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Apprenticeship ITA Map Y4.png"/>
                    <pic:cNvPicPr/>
                  </pic:nvPicPr>
                  <pic:blipFill>
                    <a:blip r:embed="rId501" cstate="print">
                      <a:extLst>
                        <a:ext uri="{28A0092B-C50C-407E-A947-70E740481C1C}">
                          <a14:useLocalDpi xmlns:a14="http://schemas.microsoft.com/office/drawing/2010/main" val="0"/>
                        </a:ext>
                      </a:extLst>
                    </a:blip>
                    <a:stretch>
                      <a:fillRect/>
                    </a:stretch>
                  </pic:blipFill>
                  <pic:spPr>
                    <a:xfrm>
                      <a:off x="0" y="0"/>
                      <a:ext cx="5943600" cy="432054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p>
    <w:p w14:paraId="7596D2EA" w14:textId="77777777" w:rsidR="00777541" w:rsidRDefault="00777541" w:rsidP="00777541"/>
    <w:p w14:paraId="36265D29" w14:textId="77777777" w:rsidR="00777541" w:rsidRDefault="00777541" w:rsidP="00777541">
      <w:pPr>
        <w:sectPr w:rsidR="00777541" w:rsidSect="00D27D05">
          <w:footerReference w:type="default" r:id="rId502"/>
          <w:pgSz w:w="12240" w:h="15840" w:code="1"/>
          <w:pgMar w:top="1440" w:right="1440" w:bottom="1440" w:left="1440" w:header="720" w:footer="720" w:gutter="0"/>
          <w:pgBorders w:offsetFrom="page">
            <w:top w:val="thinThickSmallGap" w:sz="24" w:space="24" w:color="2F5496" w:themeColor="accent1" w:themeShade="BF"/>
            <w:left w:val="thinThickSmallGap" w:sz="24" w:space="24" w:color="2F5496" w:themeColor="accent1" w:themeShade="BF"/>
            <w:bottom w:val="thickThinSmallGap" w:sz="24" w:space="24" w:color="2F5496" w:themeColor="accent1" w:themeShade="BF"/>
            <w:right w:val="thickThinSmallGap" w:sz="24" w:space="24" w:color="2F5496" w:themeColor="accent1" w:themeShade="BF"/>
          </w:pgBorders>
          <w:pgNumType w:chapStyle="1"/>
          <w:cols w:space="720"/>
          <w:vAlign w:val="center"/>
          <w:docGrid w:linePitch="360"/>
        </w:sectPr>
      </w:pPr>
    </w:p>
    <w:p w14:paraId="78D0B500" w14:textId="77777777" w:rsidR="00777541" w:rsidRPr="00987BC7" w:rsidRDefault="00777541" w:rsidP="00BA0D82">
      <w:pPr>
        <w:pStyle w:val="Heading2"/>
        <w:numPr>
          <w:ilvl w:val="0"/>
          <w:numId w:val="0"/>
        </w:numPr>
        <w:shd w:val="clear" w:color="auto" w:fill="8EAADB" w:themeFill="accent1" w:themeFillTint="99"/>
      </w:pPr>
      <w:bookmarkStart w:id="156" w:name="_Toc27904636"/>
      <w:bookmarkStart w:id="157" w:name="_Toc28011469"/>
      <w:r>
        <w:lastRenderedPageBreak/>
        <w:t>APPRENTICESHIP</w:t>
      </w:r>
      <w:r w:rsidRPr="00987BC7">
        <w:t xml:space="preserve"> – </w:t>
      </w:r>
      <w:r>
        <w:t xml:space="preserve">ITA </w:t>
      </w:r>
      <w:r w:rsidRPr="00987BC7">
        <w:t>Logic Model</w:t>
      </w:r>
      <w:bookmarkEnd w:id="156"/>
      <w:bookmarkEnd w:id="157"/>
    </w:p>
    <w:tbl>
      <w:tblPr>
        <w:tblStyle w:val="TableGrid"/>
        <w:tblW w:w="5000" w:type="pct"/>
        <w:tblLook w:val="04A0" w:firstRow="1" w:lastRow="0" w:firstColumn="1" w:lastColumn="0" w:noHBand="0" w:noVBand="1"/>
        <w:tblCaption w:val="Apprenticeship Logic Model"/>
        <w:tblDescription w:val="Apprenticeship Logic Model"/>
      </w:tblPr>
      <w:tblGrid>
        <w:gridCol w:w="5950"/>
        <w:gridCol w:w="4840"/>
      </w:tblGrid>
      <w:tr w:rsidR="00777541" w:rsidRPr="00206792" w14:paraId="05B9AFA9" w14:textId="77777777" w:rsidTr="00366D34">
        <w:trPr>
          <w:tblHeader/>
        </w:trPr>
        <w:tc>
          <w:tcPr>
            <w:tcW w:w="2757" w:type="pct"/>
            <w:shd w:val="clear" w:color="auto" w:fill="D9E2F3" w:themeFill="accent1" w:themeFillTint="33"/>
          </w:tcPr>
          <w:p w14:paraId="79BCA94C" w14:textId="77777777" w:rsidR="00777541" w:rsidRPr="00206792" w:rsidRDefault="00777541" w:rsidP="00C22384">
            <w:pPr>
              <w:pStyle w:val="Heading3"/>
              <w:numPr>
                <w:ilvl w:val="0"/>
                <w:numId w:val="0"/>
              </w:numPr>
              <w:ind w:left="810" w:hanging="810"/>
              <w:outlineLvl w:val="2"/>
            </w:pPr>
            <w:bookmarkStart w:id="158" w:name="_Toc27904637"/>
            <w:bookmarkStart w:id="159" w:name="_Hlk27723402"/>
            <w:r w:rsidRPr="00206792">
              <w:t>Activities</w:t>
            </w:r>
            <w:bookmarkEnd w:id="158"/>
          </w:p>
        </w:tc>
        <w:tc>
          <w:tcPr>
            <w:tcW w:w="2243" w:type="pct"/>
            <w:shd w:val="clear" w:color="auto" w:fill="D9E2F3" w:themeFill="accent1" w:themeFillTint="33"/>
          </w:tcPr>
          <w:p w14:paraId="55B7C2D1" w14:textId="77777777" w:rsidR="00777541" w:rsidRPr="00206792" w:rsidRDefault="00777541" w:rsidP="00C22384">
            <w:pPr>
              <w:pStyle w:val="Heading3"/>
              <w:numPr>
                <w:ilvl w:val="0"/>
                <w:numId w:val="0"/>
              </w:numPr>
              <w:ind w:left="810" w:hanging="810"/>
              <w:outlineLvl w:val="2"/>
            </w:pPr>
            <w:bookmarkStart w:id="160" w:name="_Toc27904638"/>
            <w:r w:rsidRPr="00206792">
              <w:t>Outputs</w:t>
            </w:r>
            <w:bookmarkEnd w:id="160"/>
          </w:p>
        </w:tc>
      </w:tr>
      <w:tr w:rsidR="00777541" w:rsidRPr="00206792" w14:paraId="0033F333" w14:textId="77777777" w:rsidTr="003B6148">
        <w:trPr>
          <w:trHeight w:val="980"/>
        </w:trPr>
        <w:tc>
          <w:tcPr>
            <w:tcW w:w="2757" w:type="pct"/>
          </w:tcPr>
          <w:p w14:paraId="3F9490CE" w14:textId="77777777" w:rsidR="00777541" w:rsidRPr="00206792" w:rsidRDefault="00777541" w:rsidP="00076336">
            <w:pPr>
              <w:pStyle w:val="ListParagraph"/>
              <w:numPr>
                <w:ilvl w:val="0"/>
                <w:numId w:val="52"/>
              </w:numPr>
            </w:pPr>
            <w:r w:rsidRPr="00206792">
              <w:rPr>
                <w:color w:val="000000"/>
              </w:rPr>
              <w:t>Assist agency to identify resources that will promote and increase the use of apprenticeships in the VR service delivery system</w:t>
            </w:r>
            <w:r>
              <w:rPr>
                <w:color w:val="000000"/>
              </w:rPr>
              <w:t>.</w:t>
            </w:r>
          </w:p>
        </w:tc>
        <w:tc>
          <w:tcPr>
            <w:tcW w:w="2243" w:type="pct"/>
          </w:tcPr>
          <w:p w14:paraId="41840155" w14:textId="77777777" w:rsidR="00777541" w:rsidRPr="00206792" w:rsidRDefault="00777541" w:rsidP="00076336">
            <w:pPr>
              <w:pStyle w:val="ListParagraph"/>
              <w:numPr>
                <w:ilvl w:val="0"/>
                <w:numId w:val="53"/>
              </w:numPr>
              <w:ind w:left="309"/>
            </w:pPr>
            <w:r w:rsidRPr="00206792">
              <w:rPr>
                <w:color w:val="000000"/>
              </w:rPr>
              <w:t>The information and resources provided to the agency</w:t>
            </w:r>
            <w:r w:rsidRPr="00206792">
              <w:t>.</w:t>
            </w:r>
          </w:p>
        </w:tc>
      </w:tr>
      <w:tr w:rsidR="00777541" w:rsidRPr="00206792" w14:paraId="572A9B29" w14:textId="77777777" w:rsidTr="003B6148">
        <w:trPr>
          <w:trHeight w:val="854"/>
        </w:trPr>
        <w:tc>
          <w:tcPr>
            <w:tcW w:w="2757" w:type="pct"/>
          </w:tcPr>
          <w:p w14:paraId="64058C6B" w14:textId="77777777" w:rsidR="00777541" w:rsidRPr="00206792" w:rsidRDefault="00777541" w:rsidP="00076336">
            <w:pPr>
              <w:pStyle w:val="ListParagraph"/>
              <w:numPr>
                <w:ilvl w:val="0"/>
                <w:numId w:val="52"/>
              </w:numPr>
            </w:pPr>
            <w:r w:rsidRPr="00206792">
              <w:rPr>
                <w:color w:val="000000"/>
              </w:rPr>
              <w:t>Assist in the development of new or revised policies and procedures to implement apprenticeship opportunities</w:t>
            </w:r>
            <w:r w:rsidRPr="00206792">
              <w:t>.</w:t>
            </w:r>
          </w:p>
        </w:tc>
        <w:tc>
          <w:tcPr>
            <w:tcW w:w="2243" w:type="pct"/>
          </w:tcPr>
          <w:p w14:paraId="43E8DB1C" w14:textId="77777777" w:rsidR="00777541" w:rsidRPr="00206792" w:rsidRDefault="00777541" w:rsidP="00076336">
            <w:pPr>
              <w:pStyle w:val="ListParagraph"/>
              <w:numPr>
                <w:ilvl w:val="0"/>
                <w:numId w:val="53"/>
              </w:numPr>
              <w:ind w:left="346"/>
            </w:pPr>
            <w:r w:rsidRPr="00206792">
              <w:rPr>
                <w:color w:val="000000"/>
              </w:rPr>
              <w:t>Draft of new and/or revised policies and procedures related to apprenticeships</w:t>
            </w:r>
            <w:r w:rsidRPr="00206792">
              <w:t>.</w:t>
            </w:r>
          </w:p>
        </w:tc>
      </w:tr>
      <w:tr w:rsidR="00777541" w:rsidRPr="00206792" w14:paraId="412E3B11" w14:textId="77777777" w:rsidTr="003B6148">
        <w:trPr>
          <w:trHeight w:val="854"/>
        </w:trPr>
        <w:tc>
          <w:tcPr>
            <w:tcW w:w="2757" w:type="pct"/>
          </w:tcPr>
          <w:p w14:paraId="188F5381" w14:textId="77777777" w:rsidR="00777541" w:rsidRPr="00206792" w:rsidRDefault="00777541" w:rsidP="00076336">
            <w:pPr>
              <w:pStyle w:val="ListParagraph"/>
              <w:numPr>
                <w:ilvl w:val="0"/>
                <w:numId w:val="52"/>
              </w:numPr>
            </w:pPr>
            <w:r w:rsidRPr="00206792">
              <w:rPr>
                <w:color w:val="000000"/>
              </w:rPr>
              <w:t>Provide training to VR (and any other partners) on apprenticeships.</w:t>
            </w:r>
          </w:p>
        </w:tc>
        <w:tc>
          <w:tcPr>
            <w:tcW w:w="2243" w:type="pct"/>
          </w:tcPr>
          <w:p w14:paraId="4D834D03" w14:textId="77777777" w:rsidR="00777541" w:rsidRPr="00206792" w:rsidRDefault="00777541" w:rsidP="00076336">
            <w:pPr>
              <w:pStyle w:val="ListParagraph"/>
              <w:numPr>
                <w:ilvl w:val="0"/>
                <w:numId w:val="53"/>
              </w:numPr>
              <w:ind w:left="346"/>
            </w:pPr>
            <w:r w:rsidRPr="00206792">
              <w:rPr>
                <w:color w:val="000000"/>
              </w:rPr>
              <w:t>The number of individuals that complete the training by agency and the content delivered</w:t>
            </w:r>
            <w:r>
              <w:rPr>
                <w:color w:val="000000"/>
              </w:rPr>
              <w:t>.</w:t>
            </w:r>
          </w:p>
        </w:tc>
      </w:tr>
      <w:tr w:rsidR="00777541" w:rsidRPr="00420A1B" w14:paraId="246594E9" w14:textId="77777777" w:rsidTr="003B6148">
        <w:trPr>
          <w:trHeight w:val="647"/>
        </w:trPr>
        <w:tc>
          <w:tcPr>
            <w:tcW w:w="5000" w:type="pct"/>
            <w:gridSpan w:val="2"/>
            <w:shd w:val="clear" w:color="auto" w:fill="D9E2F3" w:themeFill="accent1" w:themeFillTint="33"/>
            <w:vAlign w:val="center"/>
          </w:tcPr>
          <w:p w14:paraId="259CBFE3" w14:textId="77777777" w:rsidR="00777541" w:rsidRPr="00206792" w:rsidRDefault="00777541" w:rsidP="003B6148">
            <w:pPr>
              <w:jc w:val="center"/>
              <w:rPr>
                <w:b/>
              </w:rPr>
            </w:pPr>
            <w:r w:rsidRPr="00206792">
              <w:rPr>
                <w:b/>
              </w:rPr>
              <w:t>Short-Term Outcomes</w:t>
            </w:r>
          </w:p>
          <w:p w14:paraId="097A3099" w14:textId="77777777" w:rsidR="00777541" w:rsidRDefault="00777541" w:rsidP="00076336">
            <w:pPr>
              <w:pStyle w:val="ListParagraph"/>
              <w:numPr>
                <w:ilvl w:val="0"/>
                <w:numId w:val="9"/>
              </w:numPr>
              <w:rPr>
                <w:color w:val="000000"/>
              </w:rPr>
            </w:pPr>
            <w:r w:rsidRPr="00206792">
              <w:t xml:space="preserve">Outcome 1:  </w:t>
            </w:r>
            <w:r w:rsidRPr="00231A92">
              <w:rPr>
                <w:color w:val="000000"/>
              </w:rPr>
              <w:t>The number of VR consumers that participate in apprenticeships will be established as a baseline at the beginning of the ITA, and then identified from the VR program's CMS annually and compared to the previous year</w:t>
            </w:r>
            <w:r>
              <w:rPr>
                <w:color w:val="000000"/>
              </w:rPr>
              <w:t xml:space="preserve">.  </w:t>
            </w:r>
            <w:r w:rsidRPr="00206792">
              <w:rPr>
                <w:color w:val="000000"/>
              </w:rPr>
              <w:t xml:space="preserve">There will be an increase of (x percent or number) in the number of VR consumers that </w:t>
            </w:r>
            <w:r>
              <w:rPr>
                <w:color w:val="000000"/>
              </w:rPr>
              <w:t xml:space="preserve">participate in apprenticeships each year.  </w:t>
            </w:r>
          </w:p>
          <w:p w14:paraId="2FA71BD9" w14:textId="77777777" w:rsidR="00777541" w:rsidRPr="00206792" w:rsidRDefault="00777541" w:rsidP="00076336">
            <w:pPr>
              <w:pStyle w:val="ListParagraph"/>
              <w:numPr>
                <w:ilvl w:val="1"/>
                <w:numId w:val="9"/>
              </w:numPr>
              <w:rPr>
                <w:color w:val="000000"/>
              </w:rPr>
            </w:pPr>
            <w:r>
              <w:rPr>
                <w:color w:val="000000"/>
              </w:rPr>
              <w:t xml:space="preserve">Measure:  </w:t>
            </w:r>
            <w:r w:rsidRPr="00005C58">
              <w:rPr>
                <w:color w:val="000000"/>
              </w:rPr>
              <w:t>VR agency will report the number of customers engaged in apprenticeship activity through their case management system</w:t>
            </w:r>
            <w:r>
              <w:rPr>
                <w:color w:val="000000"/>
              </w:rPr>
              <w:t>.</w:t>
            </w:r>
          </w:p>
          <w:p w14:paraId="38E42B80" w14:textId="77777777" w:rsidR="00777541" w:rsidRPr="00206792" w:rsidRDefault="00777541" w:rsidP="00076336">
            <w:pPr>
              <w:pStyle w:val="ListParagraph"/>
              <w:numPr>
                <w:ilvl w:val="0"/>
                <w:numId w:val="51"/>
              </w:numPr>
            </w:pPr>
            <w:r>
              <w:t>Outcome 2:  There will be an increase of (x percent or number) in the number of students who include apprenticeships in their IEP planning process.</w:t>
            </w:r>
          </w:p>
        </w:tc>
      </w:tr>
      <w:bookmarkEnd w:id="159"/>
    </w:tbl>
    <w:p w14:paraId="680E6617" w14:textId="77777777" w:rsidR="00777541" w:rsidRDefault="00777541" w:rsidP="00BA0D82">
      <w:pPr>
        <w:pStyle w:val="Heading2"/>
        <w:numPr>
          <w:ilvl w:val="0"/>
          <w:numId w:val="0"/>
        </w:numPr>
        <w:pBdr>
          <w:bottom w:val="single" w:sz="12" w:space="1" w:color="auto"/>
        </w:pBdr>
        <w:rPr>
          <w:szCs w:val="36"/>
        </w:rPr>
      </w:pPr>
      <w:r>
        <w:rPr>
          <w:szCs w:val="36"/>
        </w:rPr>
        <w:br w:type="page"/>
      </w:r>
    </w:p>
    <w:p w14:paraId="0B6F6A15" w14:textId="77777777" w:rsidR="00777541" w:rsidRPr="004B327C" w:rsidRDefault="00777541" w:rsidP="00BA0D82">
      <w:pPr>
        <w:pStyle w:val="Heading2"/>
        <w:numPr>
          <w:ilvl w:val="0"/>
          <w:numId w:val="0"/>
        </w:numPr>
        <w:pBdr>
          <w:bottom w:val="single" w:sz="12" w:space="1" w:color="auto"/>
        </w:pBdr>
        <w:rPr>
          <w:szCs w:val="36"/>
        </w:rPr>
      </w:pPr>
      <w:bookmarkStart w:id="161" w:name="_Toc27904639"/>
      <w:bookmarkStart w:id="162" w:name="_Toc28011470"/>
      <w:r>
        <w:rPr>
          <w:szCs w:val="36"/>
        </w:rPr>
        <w:lastRenderedPageBreak/>
        <w:t>APPRENTICESHIP</w:t>
      </w:r>
      <w:r w:rsidRPr="004B327C">
        <w:rPr>
          <w:szCs w:val="36"/>
        </w:rPr>
        <w:t xml:space="preserve">: ACTIVITIES &amp; OUTPUTS </w:t>
      </w:r>
      <w:r>
        <w:rPr>
          <w:szCs w:val="36"/>
        </w:rPr>
        <w:br/>
      </w:r>
      <w:r w:rsidRPr="004B327C">
        <w:rPr>
          <w:szCs w:val="36"/>
        </w:rPr>
        <w:t>PROGRESS DASHBOARDS</w:t>
      </w:r>
      <w:bookmarkEnd w:id="161"/>
      <w:bookmarkEnd w:id="162"/>
    </w:p>
    <w:p w14:paraId="4C45666B" w14:textId="77777777" w:rsidR="00777541" w:rsidRDefault="00777541" w:rsidP="00777541"/>
    <w:p w14:paraId="1D76F8F4" w14:textId="77777777" w:rsidR="00777541" w:rsidRDefault="00777541" w:rsidP="00777541">
      <w:pPr>
        <w:rPr>
          <w:sz w:val="36"/>
        </w:rPr>
      </w:pPr>
      <w:r>
        <w:rPr>
          <w:noProof/>
          <w:lang w:eastAsia="ko-KR"/>
        </w:rPr>
        <w:drawing>
          <wp:inline distT="0" distB="0" distL="0" distR="0" wp14:anchorId="4A640977" wp14:editId="7ACBFC62">
            <wp:extent cx="6858000" cy="2583815"/>
            <wp:effectExtent l="0" t="0" r="0" b="6985"/>
            <wp:docPr id="168" name="Chart 168" descr="chart showing outcomes progress apprenticeships activities.  60%, 75% completed 14%, 100% completed 13%.">
              <a:extLst xmlns:a="http://schemas.openxmlformats.org/drawingml/2006/main">
                <a:ext uri="{FF2B5EF4-FFF2-40B4-BE49-F238E27FC236}">
                  <a16:creationId xmlns:a16="http://schemas.microsoft.com/office/drawing/2014/main" id="{42CEFF30-0CED-4B12-8BA2-A00166998FB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03"/>
              </a:graphicData>
            </a:graphic>
          </wp:inline>
        </w:drawing>
      </w:r>
    </w:p>
    <w:p w14:paraId="7839798F" w14:textId="35890A5D" w:rsidR="00777541" w:rsidRPr="00AF4EBF" w:rsidRDefault="00777541" w:rsidP="00A637E1">
      <w:pPr>
        <w:ind w:firstLine="720"/>
        <w:rPr>
          <w:sz w:val="24"/>
          <w:szCs w:val="24"/>
        </w:rPr>
      </w:pPr>
      <w:r>
        <w:rPr>
          <w:sz w:val="24"/>
          <w:szCs w:val="24"/>
        </w:rPr>
        <w:t>A</w:t>
      </w:r>
      <w:r w:rsidRPr="00AF4EBF">
        <w:rPr>
          <w:sz w:val="24"/>
          <w:szCs w:val="24"/>
        </w:rPr>
        <w:t>ctivities are complete (</w:t>
      </w:r>
      <w:r>
        <w:rPr>
          <w:sz w:val="24"/>
          <w:szCs w:val="24"/>
        </w:rPr>
        <w:t>4</w:t>
      </w:r>
      <w:r w:rsidRPr="00AF4EBF">
        <w:rPr>
          <w:sz w:val="24"/>
          <w:szCs w:val="24"/>
        </w:rPr>
        <w:t>0%) or moving to completion</w:t>
      </w:r>
      <w:r>
        <w:rPr>
          <w:sz w:val="24"/>
          <w:szCs w:val="24"/>
        </w:rPr>
        <w:t xml:space="preserve"> with a progress rate of 75%</w:t>
      </w:r>
      <w:r w:rsidRPr="00AF4EBF">
        <w:rPr>
          <w:sz w:val="24"/>
          <w:szCs w:val="24"/>
        </w:rPr>
        <w:t xml:space="preserve"> (</w:t>
      </w:r>
      <w:r>
        <w:rPr>
          <w:sz w:val="24"/>
          <w:szCs w:val="24"/>
        </w:rPr>
        <w:t>60</w:t>
      </w:r>
      <w:r w:rsidRPr="00AF4EBF">
        <w:rPr>
          <w:sz w:val="24"/>
          <w:szCs w:val="24"/>
        </w:rPr>
        <w:t xml:space="preserve">%).  Below, thermometers demonstrate the level of completion for the different activities and outputs as defined in the logic model.  </w:t>
      </w:r>
    </w:p>
    <w:p w14:paraId="4FF969BF" w14:textId="77777777" w:rsidR="00777541" w:rsidRDefault="00777541" w:rsidP="00777541"/>
    <w:p w14:paraId="2E5A9589" w14:textId="77777777" w:rsidR="00777541" w:rsidRDefault="00777541" w:rsidP="00777541">
      <w:pPr>
        <w:sectPr w:rsidR="00777541" w:rsidSect="00D27D05">
          <w:pgSz w:w="12240" w:h="15840"/>
          <w:pgMar w:top="720" w:right="720" w:bottom="720" w:left="720" w:header="720" w:footer="720" w:gutter="0"/>
          <w:pgBorders w:offsetFrom="page">
            <w:top w:val="thinThickSmallGap" w:sz="24" w:space="24" w:color="2F5496" w:themeColor="accent1" w:themeShade="BF"/>
            <w:left w:val="thinThickSmallGap" w:sz="24" w:space="24" w:color="2F5496" w:themeColor="accent1" w:themeShade="BF"/>
            <w:bottom w:val="thickThinSmallGap" w:sz="24" w:space="24" w:color="2F5496" w:themeColor="accent1" w:themeShade="BF"/>
            <w:right w:val="thickThinSmallGap" w:sz="24" w:space="24" w:color="2F5496" w:themeColor="accent1" w:themeShade="BF"/>
          </w:pgBorders>
          <w:cols w:space="720"/>
          <w:docGrid w:linePitch="381"/>
        </w:sectPr>
      </w:pPr>
    </w:p>
    <w:p w14:paraId="642777BE" w14:textId="77777777" w:rsidR="00777541" w:rsidRPr="00F0402F" w:rsidRDefault="00777541" w:rsidP="00777541">
      <w:pPr>
        <w:spacing w:after="0"/>
        <w:rPr>
          <w:rFonts w:cstheme="minorHAnsi"/>
        </w:rPr>
      </w:pPr>
      <w:r w:rsidRPr="00F0402F">
        <w:rPr>
          <w:rFonts w:cstheme="minorHAnsi"/>
          <w:noProof/>
          <w:lang w:eastAsia="ko-KR"/>
        </w:rPr>
        <w:lastRenderedPageBreak/>
        <w:drawing>
          <wp:inline distT="0" distB="0" distL="0" distR="0" wp14:anchorId="7E9E39DA" wp14:editId="0411CDFF">
            <wp:extent cx="2791842" cy="5145242"/>
            <wp:effectExtent l="0" t="0" r="8890" b="17780"/>
            <wp:docPr id="169" name="Chart 169" descr="Activity #1 67% completed 100% activity, 33% completed 65% activity and 67% completed 100% activity, 33% completed 65%  outputs">
              <a:extLst xmlns:a="http://schemas.openxmlformats.org/drawingml/2006/main">
                <a:ext uri="{FF2B5EF4-FFF2-40B4-BE49-F238E27FC236}">
                  <a16:creationId xmlns:a16="http://schemas.microsoft.com/office/drawing/2014/main" id="{C5BD91A9-A0E3-48A2-BC57-51F6DA7770D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04"/>
              </a:graphicData>
            </a:graphic>
          </wp:inline>
        </w:drawing>
      </w:r>
    </w:p>
    <w:p w14:paraId="59299F18" w14:textId="77777777" w:rsidR="00777541" w:rsidRPr="00F0402F" w:rsidRDefault="00777541" w:rsidP="00777541">
      <w:pPr>
        <w:spacing w:after="0"/>
        <w:rPr>
          <w:rFonts w:cstheme="minorHAnsi"/>
        </w:rPr>
      </w:pPr>
      <w:r w:rsidRPr="00F0402F">
        <w:rPr>
          <w:rFonts w:cstheme="minorHAnsi"/>
          <w:b/>
          <w:bCs/>
        </w:rPr>
        <w:t xml:space="preserve">Activity </w:t>
      </w:r>
      <w:r>
        <w:rPr>
          <w:rFonts w:cstheme="minorHAnsi"/>
          <w:b/>
          <w:bCs/>
        </w:rPr>
        <w:t>1</w:t>
      </w:r>
      <w:r w:rsidRPr="00F0402F">
        <w:rPr>
          <w:rFonts w:cstheme="minorHAnsi"/>
          <w:b/>
          <w:bCs/>
        </w:rPr>
        <w:t>:</w:t>
      </w:r>
      <w:r w:rsidRPr="00F0402F">
        <w:rPr>
          <w:rFonts w:cstheme="minorHAnsi"/>
        </w:rPr>
        <w:t xml:space="preserve"> Assist agency to identify resources that will promote and increase the use of apprenticeships in the VR service delivery system.</w:t>
      </w:r>
    </w:p>
    <w:p w14:paraId="2CC94B37" w14:textId="77777777" w:rsidR="00777541" w:rsidRPr="00F0402F" w:rsidRDefault="00777541" w:rsidP="00777541">
      <w:pPr>
        <w:spacing w:after="0"/>
        <w:rPr>
          <w:rFonts w:cstheme="minorHAnsi"/>
        </w:rPr>
      </w:pPr>
      <w:r w:rsidRPr="00F0402F">
        <w:rPr>
          <w:rFonts w:cstheme="minorHAnsi"/>
          <w:b/>
          <w:bCs/>
        </w:rPr>
        <w:t>Output</w:t>
      </w:r>
      <w:r>
        <w:rPr>
          <w:rFonts w:cstheme="minorHAnsi"/>
          <w:b/>
          <w:bCs/>
        </w:rPr>
        <w:t xml:space="preserve"> A</w:t>
      </w:r>
      <w:r w:rsidRPr="00F0402F">
        <w:rPr>
          <w:rFonts w:cstheme="minorHAnsi"/>
          <w:b/>
          <w:bCs/>
        </w:rPr>
        <w:t>:</w:t>
      </w:r>
      <w:r w:rsidRPr="00F0402F">
        <w:rPr>
          <w:rFonts w:cstheme="minorHAnsi"/>
        </w:rPr>
        <w:t xml:space="preserve"> Assist Agency to identify resources that will promote and increase the use of apprenticeships in the VR service delivery system.</w:t>
      </w:r>
    </w:p>
    <w:p w14:paraId="41573B3F" w14:textId="77777777" w:rsidR="00777541" w:rsidRPr="00F0402F" w:rsidRDefault="00777541" w:rsidP="00777541">
      <w:pPr>
        <w:spacing w:after="0"/>
        <w:rPr>
          <w:rFonts w:cstheme="minorHAnsi"/>
        </w:rPr>
      </w:pPr>
      <w:r w:rsidRPr="00F0402F">
        <w:rPr>
          <w:rFonts w:cstheme="minorHAnsi"/>
          <w:b/>
          <w:bCs/>
        </w:rPr>
        <w:t>Output:</w:t>
      </w:r>
      <w:r w:rsidRPr="00F0402F">
        <w:rPr>
          <w:rFonts w:cstheme="minorHAnsi"/>
        </w:rPr>
        <w:t xml:space="preserve"> The information and resources provided to the agency. </w:t>
      </w:r>
    </w:p>
    <w:p w14:paraId="4A88B78D" w14:textId="77777777" w:rsidR="00777541" w:rsidRPr="00F0402F" w:rsidRDefault="00777541" w:rsidP="00777541">
      <w:pPr>
        <w:spacing w:after="0"/>
        <w:rPr>
          <w:rFonts w:cstheme="minorHAnsi"/>
        </w:rPr>
      </w:pPr>
      <w:r w:rsidRPr="00F0402F">
        <w:rPr>
          <w:rFonts w:cstheme="minorHAnsi"/>
          <w:noProof/>
          <w:lang w:eastAsia="ko-KR"/>
        </w:rPr>
        <w:drawing>
          <wp:inline distT="0" distB="0" distL="0" distR="0" wp14:anchorId="03C6B669" wp14:editId="2E2E1289">
            <wp:extent cx="2791842" cy="5145242"/>
            <wp:effectExtent l="0" t="0" r="8890" b="17780"/>
            <wp:docPr id="170" name="Chart 170" descr="Activity #1 100% completed 75% activity and 100% completed 75% outputs">
              <a:extLst xmlns:a="http://schemas.openxmlformats.org/drawingml/2006/main">
                <a:ext uri="{FF2B5EF4-FFF2-40B4-BE49-F238E27FC236}">
                  <a16:creationId xmlns:a16="http://schemas.microsoft.com/office/drawing/2014/main" id="{16F8D692-0EBB-43DF-9B4E-B32162345AD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05"/>
              </a:graphicData>
            </a:graphic>
          </wp:inline>
        </w:drawing>
      </w:r>
    </w:p>
    <w:p w14:paraId="79F689FD" w14:textId="77777777" w:rsidR="00777541" w:rsidRPr="00F0402F" w:rsidRDefault="00777541" w:rsidP="00777541">
      <w:pPr>
        <w:spacing w:after="0"/>
        <w:rPr>
          <w:rFonts w:cstheme="minorHAnsi"/>
        </w:rPr>
      </w:pPr>
      <w:r w:rsidRPr="00F0402F">
        <w:rPr>
          <w:rFonts w:cstheme="minorHAnsi"/>
          <w:b/>
          <w:bCs/>
        </w:rPr>
        <w:t xml:space="preserve">Activity </w:t>
      </w:r>
      <w:r>
        <w:rPr>
          <w:rFonts w:cstheme="minorHAnsi"/>
          <w:b/>
          <w:bCs/>
        </w:rPr>
        <w:t>2</w:t>
      </w:r>
      <w:r w:rsidRPr="00F0402F">
        <w:rPr>
          <w:rFonts w:cstheme="minorHAnsi"/>
          <w:b/>
          <w:bCs/>
        </w:rPr>
        <w:t>:</w:t>
      </w:r>
      <w:r w:rsidRPr="00F0402F">
        <w:rPr>
          <w:rFonts w:cstheme="minorHAnsi"/>
        </w:rPr>
        <w:t xml:space="preserve"> Assist in the development of new or revised policies and procedures to implement apprenticeship opportunities.</w:t>
      </w:r>
    </w:p>
    <w:p w14:paraId="0218B316" w14:textId="77777777" w:rsidR="00777541" w:rsidRDefault="00777541" w:rsidP="00777541">
      <w:pPr>
        <w:spacing w:after="0"/>
        <w:rPr>
          <w:rFonts w:cstheme="minorHAnsi"/>
        </w:rPr>
      </w:pPr>
      <w:r w:rsidRPr="00F0402F">
        <w:rPr>
          <w:rFonts w:cstheme="minorHAnsi"/>
          <w:b/>
          <w:bCs/>
        </w:rPr>
        <w:t>Output</w:t>
      </w:r>
      <w:r>
        <w:rPr>
          <w:rFonts w:cstheme="minorHAnsi"/>
          <w:b/>
          <w:bCs/>
        </w:rPr>
        <w:t xml:space="preserve"> B</w:t>
      </w:r>
      <w:r w:rsidRPr="00F0402F">
        <w:rPr>
          <w:rFonts w:cstheme="minorHAnsi"/>
          <w:b/>
          <w:bCs/>
        </w:rPr>
        <w:t>:</w:t>
      </w:r>
      <w:r w:rsidRPr="00F0402F">
        <w:rPr>
          <w:rFonts w:cstheme="minorHAnsi"/>
        </w:rPr>
        <w:t xml:space="preserve"> Draft of new and/or revised policies and procedures related to apprenticeships.</w:t>
      </w:r>
    </w:p>
    <w:p w14:paraId="089B165B" w14:textId="77777777" w:rsidR="00777541" w:rsidRDefault="00777541" w:rsidP="00777541">
      <w:pPr>
        <w:spacing w:after="0"/>
        <w:rPr>
          <w:rFonts w:cstheme="minorHAnsi"/>
        </w:rPr>
      </w:pPr>
    </w:p>
    <w:p w14:paraId="40B55FDA" w14:textId="77777777" w:rsidR="00777541" w:rsidRDefault="00777541" w:rsidP="00777541">
      <w:pPr>
        <w:spacing w:after="0"/>
        <w:rPr>
          <w:rFonts w:cstheme="minorHAnsi"/>
        </w:rPr>
      </w:pPr>
    </w:p>
    <w:p w14:paraId="092B00E9" w14:textId="77777777" w:rsidR="00777541" w:rsidRDefault="00777541" w:rsidP="00777541">
      <w:pPr>
        <w:spacing w:after="0"/>
        <w:rPr>
          <w:rFonts w:cstheme="minorHAnsi"/>
        </w:rPr>
      </w:pPr>
    </w:p>
    <w:p w14:paraId="51CEA337" w14:textId="77777777" w:rsidR="00777541" w:rsidRDefault="00777541" w:rsidP="00777541">
      <w:pPr>
        <w:spacing w:after="0"/>
        <w:rPr>
          <w:rFonts w:cstheme="minorHAnsi"/>
        </w:rPr>
      </w:pPr>
    </w:p>
    <w:p w14:paraId="7F585423" w14:textId="77777777" w:rsidR="00777541" w:rsidRDefault="00777541" w:rsidP="00777541">
      <w:pPr>
        <w:spacing w:after="0"/>
        <w:rPr>
          <w:rFonts w:cstheme="minorHAnsi"/>
        </w:rPr>
        <w:sectPr w:rsidR="00777541" w:rsidSect="00D27D05">
          <w:pgSz w:w="12240" w:h="15840"/>
          <w:pgMar w:top="720" w:right="720" w:bottom="720" w:left="720" w:header="720" w:footer="720" w:gutter="0"/>
          <w:pgBorders w:offsetFrom="page">
            <w:top w:val="thinThickSmallGap" w:sz="24" w:space="24" w:color="2F5496" w:themeColor="accent1" w:themeShade="BF"/>
            <w:left w:val="thinThickSmallGap" w:sz="24" w:space="24" w:color="2F5496" w:themeColor="accent1" w:themeShade="BF"/>
            <w:bottom w:val="thickThinSmallGap" w:sz="24" w:space="24" w:color="2F5496" w:themeColor="accent1" w:themeShade="BF"/>
            <w:right w:val="thickThinSmallGap" w:sz="24" w:space="24" w:color="2F5496" w:themeColor="accent1" w:themeShade="BF"/>
          </w:pgBorders>
          <w:cols w:num="2" w:space="720"/>
          <w:docGrid w:linePitch="381"/>
        </w:sectPr>
      </w:pPr>
    </w:p>
    <w:p w14:paraId="0290D813" w14:textId="77777777" w:rsidR="00777541" w:rsidRDefault="00777541" w:rsidP="00BA0D82">
      <w:pPr>
        <w:pStyle w:val="Heading2"/>
        <w:numPr>
          <w:ilvl w:val="0"/>
          <w:numId w:val="0"/>
        </w:numPr>
      </w:pPr>
      <w:bookmarkStart w:id="163" w:name="_Toc27904640"/>
      <w:bookmarkStart w:id="164" w:name="_Toc28011471"/>
      <w:r>
        <w:lastRenderedPageBreak/>
        <w:t xml:space="preserve">APPRENTICESHIP: </w:t>
      </w:r>
      <w:r>
        <w:br/>
        <w:t>OUTCOMES PROGRESS DASHBOARDS</w:t>
      </w:r>
      <w:bookmarkEnd w:id="163"/>
      <w:bookmarkEnd w:id="164"/>
    </w:p>
    <w:p w14:paraId="09BDF40C" w14:textId="77777777" w:rsidR="00777541" w:rsidRDefault="00777541" w:rsidP="00777541">
      <w:pPr>
        <w:jc w:val="center"/>
        <w:rPr>
          <w:noProof/>
        </w:rPr>
      </w:pPr>
    </w:p>
    <w:p w14:paraId="57482B1B" w14:textId="77777777" w:rsidR="00777541" w:rsidRDefault="00777541" w:rsidP="00777541">
      <w:pPr>
        <w:jc w:val="center"/>
      </w:pPr>
      <w:r>
        <w:rPr>
          <w:noProof/>
          <w:lang w:eastAsia="ko-KR"/>
        </w:rPr>
        <w:drawing>
          <wp:inline distT="0" distB="0" distL="0" distR="0" wp14:anchorId="1F8FDE61" wp14:editId="6D52F6CB">
            <wp:extent cx="5003976" cy="3228975"/>
            <wp:effectExtent l="0" t="0" r="6350" b="0"/>
            <wp:docPr id="171" name="Picture 171" descr="Speedometer graphic (donut chart) depicting outcomes progress for the Apprenticeship topic area.&#10;Overall progress is 67%.&#10;33% of activities are 50% complete.&#10;67% of activities are 67% complete."/>
            <wp:cNvGraphicFramePr/>
            <a:graphic xmlns:a="http://schemas.openxmlformats.org/drawingml/2006/main">
              <a:graphicData uri="http://schemas.openxmlformats.org/drawingml/2006/picture">
                <pic:pic xmlns:pic="http://schemas.openxmlformats.org/drawingml/2006/picture">
                  <pic:nvPicPr>
                    <pic:cNvPr id="39" name="Picture 39"/>
                    <pic:cNvPicPr/>
                  </pic:nvPicPr>
                  <pic:blipFill rotWithShape="1">
                    <a:blip r:embed="rId506">
                      <a:extLst>
                        <a:ext uri="{28A0092B-C50C-407E-A947-70E740481C1C}">
                          <a14:useLocalDpi xmlns:a14="http://schemas.microsoft.com/office/drawing/2010/main" val="0"/>
                        </a:ext>
                      </a:extLst>
                    </a:blip>
                    <a:srcRect l="20815" t="2512" r="23906" b="37159"/>
                    <a:stretch/>
                  </pic:blipFill>
                  <pic:spPr bwMode="auto">
                    <a:xfrm>
                      <a:off x="0" y="0"/>
                      <a:ext cx="5036590" cy="3250020"/>
                    </a:xfrm>
                    <a:prstGeom prst="rect">
                      <a:avLst/>
                    </a:prstGeom>
                    <a:noFill/>
                    <a:ln>
                      <a:noFill/>
                    </a:ln>
                    <a:extLst>
                      <a:ext uri="{53640926-AAD7-44D8-BBD7-CCE9431645EC}">
                        <a14:shadowObscured xmlns:a14="http://schemas.microsoft.com/office/drawing/2010/main"/>
                      </a:ext>
                    </a:extLst>
                  </pic:spPr>
                </pic:pic>
              </a:graphicData>
            </a:graphic>
          </wp:inline>
        </w:drawing>
      </w:r>
    </w:p>
    <w:p w14:paraId="06AA84DE" w14:textId="77777777" w:rsidR="00777541" w:rsidRDefault="00777541" w:rsidP="00777541"/>
    <w:p w14:paraId="56B7E993" w14:textId="2039FBB4" w:rsidR="00777541" w:rsidRDefault="00777541" w:rsidP="00A637E1">
      <w:pPr>
        <w:ind w:firstLine="720"/>
      </w:pPr>
      <w:r>
        <w:t xml:space="preserve">Progress on outcomes is strong, with 33% of activities at a 50% progress rate and 67% of activities at a </w:t>
      </w:r>
      <w:r w:rsidR="00A637E1">
        <w:t>75</w:t>
      </w:r>
      <w:r>
        <w:t xml:space="preserve">% progress rate.  The overall outcomes progress is thus 67%.  </w:t>
      </w:r>
    </w:p>
    <w:p w14:paraId="68889DB1" w14:textId="77777777" w:rsidR="00777541" w:rsidRDefault="00777541" w:rsidP="00777541">
      <w:pPr>
        <w:pBdr>
          <w:bottom w:val="single" w:sz="24" w:space="1" w:color="auto"/>
        </w:pBdr>
        <w:jc w:val="center"/>
        <w:rPr>
          <w:b/>
          <w:sz w:val="36"/>
        </w:rPr>
      </w:pPr>
      <w:r>
        <w:rPr>
          <w:b/>
          <w:sz w:val="36"/>
        </w:rPr>
        <w:br w:type="page"/>
      </w:r>
    </w:p>
    <w:p w14:paraId="5C1681B7" w14:textId="77777777" w:rsidR="00777541" w:rsidRPr="004B327C" w:rsidRDefault="00777541" w:rsidP="00BA0D82">
      <w:pPr>
        <w:pStyle w:val="Heading2"/>
        <w:numPr>
          <w:ilvl w:val="0"/>
          <w:numId w:val="0"/>
        </w:numPr>
        <w:pBdr>
          <w:bottom w:val="single" w:sz="12" w:space="1" w:color="auto"/>
        </w:pBdr>
        <w:rPr>
          <w:szCs w:val="36"/>
        </w:rPr>
      </w:pPr>
      <w:bookmarkStart w:id="165" w:name="_Toc27904641"/>
      <w:bookmarkStart w:id="166" w:name="_Toc28011472"/>
      <w:r>
        <w:rPr>
          <w:szCs w:val="36"/>
        </w:rPr>
        <w:lastRenderedPageBreak/>
        <w:t>APPRENTICESHIP</w:t>
      </w:r>
      <w:r w:rsidRPr="004B327C">
        <w:rPr>
          <w:szCs w:val="36"/>
        </w:rPr>
        <w:t xml:space="preserve"> ITAs: RESOURCES</w:t>
      </w:r>
      <w:bookmarkEnd w:id="165"/>
      <w:bookmarkEnd w:id="166"/>
    </w:p>
    <w:p w14:paraId="667B3154" w14:textId="77777777" w:rsidR="00777541" w:rsidRPr="0052236D" w:rsidRDefault="00777541" w:rsidP="00777541">
      <w:pPr>
        <w:spacing w:after="0" w:line="240" w:lineRule="auto"/>
        <w:rPr>
          <w:rFonts w:eastAsia="Times New Roman" w:cstheme="minorHAnsi"/>
        </w:rPr>
      </w:pPr>
      <w:r w:rsidRPr="0052236D">
        <w:rPr>
          <w:rFonts w:eastAsia="Times New Roman" w:cstheme="minorHAnsi"/>
        </w:rPr>
        <w:t xml:space="preserve">Available on the WINTAC website, the </w:t>
      </w:r>
      <w:r>
        <w:rPr>
          <w:rFonts w:eastAsia="Times New Roman" w:cstheme="minorHAnsi"/>
        </w:rPr>
        <w:t>Apprenticeship</w:t>
      </w:r>
      <w:r w:rsidRPr="0052236D">
        <w:rPr>
          <w:rFonts w:eastAsia="Times New Roman" w:cstheme="minorHAnsi"/>
        </w:rPr>
        <w:t xml:space="preserve"> team has developed a number of resources to support TA and training and provide guidance to SVRAs</w:t>
      </w:r>
      <w:r>
        <w:rPr>
          <w:rFonts w:eastAsia="Times New Roman" w:cstheme="minorHAnsi"/>
        </w:rPr>
        <w:t>:</w:t>
      </w:r>
    </w:p>
    <w:p w14:paraId="1F205A47" w14:textId="77777777" w:rsidR="00777541" w:rsidRPr="00523733" w:rsidRDefault="00777541" w:rsidP="00777541">
      <w:pPr>
        <w:spacing w:after="0" w:line="240" w:lineRule="auto"/>
        <w:rPr>
          <w:rFonts w:eastAsia="Times New Roman" w:cstheme="minorHAnsi"/>
          <w:sz w:val="24"/>
          <w:szCs w:val="24"/>
        </w:rPr>
      </w:pPr>
    </w:p>
    <w:p w14:paraId="37342BD0" w14:textId="77777777" w:rsidR="00777541" w:rsidRPr="00EA77D7" w:rsidRDefault="00777541" w:rsidP="00076336">
      <w:pPr>
        <w:pStyle w:val="ListParagraph"/>
        <w:numPr>
          <w:ilvl w:val="1"/>
          <w:numId w:val="54"/>
        </w:numPr>
        <w:ind w:left="360"/>
        <w:rPr>
          <w:rFonts w:cstheme="minorHAnsi"/>
          <w:b/>
          <w:bCs/>
        </w:rPr>
      </w:pPr>
      <w:bookmarkStart w:id="167" w:name="apprenticeships"/>
      <w:bookmarkEnd w:id="167"/>
      <w:r w:rsidRPr="00EA77D7">
        <w:rPr>
          <w:rFonts w:cstheme="minorHAnsi"/>
          <w:b/>
          <w:bCs/>
        </w:rPr>
        <w:t>Apprenticeships: Resources</w:t>
      </w:r>
    </w:p>
    <w:p w14:paraId="6781921E" w14:textId="77777777" w:rsidR="00777541" w:rsidRPr="00EA77D7" w:rsidRDefault="00366D34" w:rsidP="00076336">
      <w:pPr>
        <w:pStyle w:val="ListParagraph"/>
        <w:numPr>
          <w:ilvl w:val="1"/>
          <w:numId w:val="55"/>
        </w:numPr>
        <w:rPr>
          <w:rFonts w:cstheme="minorHAnsi"/>
        </w:rPr>
      </w:pPr>
      <w:hyperlink r:id="rId507" w:tgtFrame="_blank" w:history="1">
        <w:r w:rsidR="00777541" w:rsidRPr="00EA77D7">
          <w:rPr>
            <w:rStyle w:val="Hyperlink"/>
            <w:rFonts w:cstheme="minorHAnsi"/>
          </w:rPr>
          <w:t>Apprenticeship Sponsor database by location</w:t>
        </w:r>
      </w:hyperlink>
    </w:p>
    <w:p w14:paraId="70CF74A5" w14:textId="77777777" w:rsidR="00777541" w:rsidRPr="00EA77D7" w:rsidRDefault="00366D34" w:rsidP="00076336">
      <w:pPr>
        <w:pStyle w:val="ListParagraph"/>
        <w:numPr>
          <w:ilvl w:val="1"/>
          <w:numId w:val="55"/>
        </w:numPr>
        <w:rPr>
          <w:rFonts w:cstheme="minorHAnsi"/>
        </w:rPr>
      </w:pPr>
      <w:hyperlink r:id="rId508" w:tgtFrame="_blank" w:history="1">
        <w:r w:rsidR="00777541" w:rsidRPr="00EA77D7">
          <w:rPr>
            <w:rStyle w:val="Hyperlink"/>
            <w:rFonts w:cstheme="minorHAnsi"/>
          </w:rPr>
          <w:t>JDVRTAC guide to pre-apprenticeship</w:t>
        </w:r>
      </w:hyperlink>
    </w:p>
    <w:p w14:paraId="61BABF6C" w14:textId="77777777" w:rsidR="00777541" w:rsidRPr="00EA77D7" w:rsidRDefault="00366D34" w:rsidP="00076336">
      <w:pPr>
        <w:pStyle w:val="ListParagraph"/>
        <w:numPr>
          <w:ilvl w:val="1"/>
          <w:numId w:val="55"/>
        </w:numPr>
        <w:rPr>
          <w:rFonts w:cstheme="minorHAnsi"/>
        </w:rPr>
      </w:pPr>
      <w:hyperlink r:id="rId509" w:tgtFrame="_blank" w:history="1">
        <w:r w:rsidR="00777541" w:rsidRPr="00EA77D7">
          <w:rPr>
            <w:rStyle w:val="Hyperlink"/>
            <w:rFonts w:cstheme="minorHAnsi"/>
          </w:rPr>
          <w:t>Step-by-Step Apprenticeship Implementation Guide for VR agencies</w:t>
        </w:r>
      </w:hyperlink>
    </w:p>
    <w:p w14:paraId="544E7836" w14:textId="77777777" w:rsidR="00777541" w:rsidRPr="00EA77D7" w:rsidRDefault="00366D34" w:rsidP="00076336">
      <w:pPr>
        <w:pStyle w:val="ListParagraph"/>
        <w:numPr>
          <w:ilvl w:val="1"/>
          <w:numId w:val="55"/>
        </w:numPr>
        <w:rPr>
          <w:rFonts w:cstheme="minorHAnsi"/>
        </w:rPr>
      </w:pPr>
      <w:hyperlink r:id="rId510" w:tgtFrame="_blank" w:history="1">
        <w:r w:rsidR="00777541" w:rsidRPr="00EA77D7">
          <w:rPr>
            <w:rStyle w:val="Hyperlink"/>
            <w:rFonts w:cstheme="minorHAnsi"/>
          </w:rPr>
          <w:t>Apprenticeship Works Video Series</w:t>
        </w:r>
      </w:hyperlink>
    </w:p>
    <w:p w14:paraId="6166919F" w14:textId="77777777" w:rsidR="00777541" w:rsidRPr="00EA77D7" w:rsidRDefault="00366D34" w:rsidP="00076336">
      <w:pPr>
        <w:pStyle w:val="ListParagraph"/>
        <w:numPr>
          <w:ilvl w:val="1"/>
          <w:numId w:val="55"/>
        </w:numPr>
        <w:rPr>
          <w:rFonts w:cstheme="minorHAnsi"/>
        </w:rPr>
      </w:pPr>
      <w:hyperlink r:id="rId511" w:tgtFrame="_blank" w:history="1">
        <w:r w:rsidR="00777541" w:rsidRPr="00EA77D7">
          <w:rPr>
            <w:rStyle w:val="Hyperlink"/>
            <w:rFonts w:cstheme="minorHAnsi"/>
          </w:rPr>
          <w:t>Fact Sheet on updated EEO regulations that pertain to Apprenticeship</w:t>
        </w:r>
      </w:hyperlink>
    </w:p>
    <w:p w14:paraId="36ED7115" w14:textId="77777777" w:rsidR="00777541" w:rsidRPr="00EA77D7" w:rsidRDefault="00366D34" w:rsidP="00076336">
      <w:pPr>
        <w:pStyle w:val="ListParagraph"/>
        <w:numPr>
          <w:ilvl w:val="1"/>
          <w:numId w:val="55"/>
        </w:numPr>
        <w:rPr>
          <w:rFonts w:cstheme="minorHAnsi"/>
        </w:rPr>
      </w:pPr>
      <w:hyperlink r:id="rId512" w:tgtFrame="_blank" w:history="1">
        <w:r w:rsidR="00777541" w:rsidRPr="00EA77D7">
          <w:rPr>
            <w:rStyle w:val="Hyperlink"/>
            <w:rFonts w:cstheme="minorHAnsi"/>
          </w:rPr>
          <w:t>ApprenticeshipUSA Toolkit</w:t>
        </w:r>
      </w:hyperlink>
    </w:p>
    <w:p w14:paraId="4E17F0D2" w14:textId="77777777" w:rsidR="00777541" w:rsidRPr="00EA77D7" w:rsidRDefault="00366D34" w:rsidP="00076336">
      <w:pPr>
        <w:pStyle w:val="ListParagraph"/>
        <w:numPr>
          <w:ilvl w:val="1"/>
          <w:numId w:val="55"/>
        </w:numPr>
        <w:rPr>
          <w:rFonts w:cstheme="minorHAnsi"/>
        </w:rPr>
      </w:pPr>
      <w:hyperlink r:id="rId513" w:tgtFrame="_blank" w:history="1">
        <w:r w:rsidR="00777541" w:rsidRPr="00EA77D7">
          <w:rPr>
            <w:rStyle w:val="Hyperlink"/>
            <w:rFonts w:cstheme="minorHAnsi"/>
          </w:rPr>
          <w:t>Apprenticeship and VA benefits</w:t>
        </w:r>
      </w:hyperlink>
    </w:p>
    <w:p w14:paraId="077E78FE" w14:textId="77777777" w:rsidR="00777541" w:rsidRPr="00EA77D7" w:rsidRDefault="00366D34" w:rsidP="00076336">
      <w:pPr>
        <w:pStyle w:val="ListParagraph"/>
        <w:numPr>
          <w:ilvl w:val="1"/>
          <w:numId w:val="55"/>
        </w:numPr>
        <w:rPr>
          <w:rFonts w:cstheme="minorHAnsi"/>
        </w:rPr>
      </w:pPr>
      <w:hyperlink r:id="rId514" w:tgtFrame="_blank" w:history="1">
        <w:r w:rsidR="00777541" w:rsidRPr="00EA77D7">
          <w:rPr>
            <w:rStyle w:val="Hyperlink"/>
            <w:rFonts w:cstheme="minorHAnsi"/>
          </w:rPr>
          <w:t>Leveraging partners: WIOA authorized use of Title I funds for apprenticeship</w:t>
        </w:r>
      </w:hyperlink>
    </w:p>
    <w:p w14:paraId="19F44D71" w14:textId="77777777" w:rsidR="00777541" w:rsidRPr="00EA77D7" w:rsidRDefault="00366D34" w:rsidP="00076336">
      <w:pPr>
        <w:pStyle w:val="ListParagraph"/>
        <w:numPr>
          <w:ilvl w:val="1"/>
          <w:numId w:val="55"/>
        </w:numPr>
        <w:rPr>
          <w:rFonts w:cstheme="minorHAnsi"/>
        </w:rPr>
      </w:pPr>
      <w:hyperlink r:id="rId515" w:history="1">
        <w:r w:rsidR="00777541" w:rsidRPr="00EA77D7">
          <w:rPr>
            <w:rStyle w:val="Hyperlink"/>
            <w:rFonts w:cstheme="minorHAnsi"/>
          </w:rPr>
          <w:t>WINTAC Career Pathways Community of Practice</w:t>
        </w:r>
      </w:hyperlink>
    </w:p>
    <w:p w14:paraId="4C4B9F1F" w14:textId="77777777" w:rsidR="00777541" w:rsidRPr="00EA77D7" w:rsidRDefault="00366D34" w:rsidP="00076336">
      <w:pPr>
        <w:pStyle w:val="ListParagraph"/>
        <w:numPr>
          <w:ilvl w:val="1"/>
          <w:numId w:val="55"/>
        </w:numPr>
        <w:rPr>
          <w:rFonts w:cstheme="minorHAnsi"/>
        </w:rPr>
      </w:pPr>
      <w:hyperlink r:id="rId516" w:tgtFrame="_blank" w:history="1">
        <w:r w:rsidR="00777541" w:rsidRPr="00EA77D7">
          <w:rPr>
            <w:rStyle w:val="Hyperlink"/>
            <w:rFonts w:cstheme="minorHAnsi"/>
          </w:rPr>
          <w:t>Apprenticeship Fact Sheet</w:t>
        </w:r>
      </w:hyperlink>
    </w:p>
    <w:p w14:paraId="0C245583" w14:textId="77777777" w:rsidR="00777541" w:rsidRPr="00EA77D7" w:rsidRDefault="00777541" w:rsidP="00076336">
      <w:pPr>
        <w:pStyle w:val="ListParagraph"/>
        <w:numPr>
          <w:ilvl w:val="1"/>
          <w:numId w:val="54"/>
        </w:numPr>
        <w:ind w:left="360"/>
        <w:rPr>
          <w:rFonts w:cstheme="minorHAnsi"/>
          <w:b/>
          <w:bCs/>
        </w:rPr>
      </w:pPr>
      <w:r w:rsidRPr="00EA77D7">
        <w:rPr>
          <w:rFonts w:cstheme="minorHAnsi"/>
          <w:b/>
          <w:bCs/>
        </w:rPr>
        <w:t>Apprenticeships: Training</w:t>
      </w:r>
    </w:p>
    <w:p w14:paraId="68F12F9F" w14:textId="77777777" w:rsidR="00777541" w:rsidRPr="00EA77D7" w:rsidRDefault="00366D34" w:rsidP="00076336">
      <w:pPr>
        <w:pStyle w:val="ListParagraph"/>
        <w:numPr>
          <w:ilvl w:val="2"/>
          <w:numId w:val="54"/>
        </w:numPr>
        <w:ind w:left="1440"/>
        <w:rPr>
          <w:rFonts w:cstheme="minorHAnsi"/>
        </w:rPr>
      </w:pPr>
      <w:hyperlink r:id="rId517" w:history="1">
        <w:r w:rsidR="00777541" w:rsidRPr="00EA77D7">
          <w:rPr>
            <w:rStyle w:val="Hyperlink"/>
            <w:rFonts w:cstheme="minorHAnsi"/>
          </w:rPr>
          <w:t>Pennsylvania Apprenticeship Approach</w:t>
        </w:r>
      </w:hyperlink>
      <w:r w:rsidR="00777541" w:rsidRPr="00EA77D7">
        <w:rPr>
          <w:rFonts w:cstheme="minorHAnsi"/>
        </w:rPr>
        <w:t xml:space="preserve"> (Login required)</w:t>
      </w:r>
    </w:p>
    <w:p w14:paraId="07BCC6F9" w14:textId="77777777" w:rsidR="00777541" w:rsidRPr="0041079B" w:rsidRDefault="00777541" w:rsidP="00076336">
      <w:pPr>
        <w:pStyle w:val="ListParagraph"/>
        <w:numPr>
          <w:ilvl w:val="2"/>
          <w:numId w:val="54"/>
        </w:numPr>
        <w:ind w:left="1440"/>
        <w:rPr>
          <w:rFonts w:cstheme="minorHAnsi"/>
        </w:rPr>
      </w:pPr>
      <w:r w:rsidRPr="00EA77D7">
        <w:rPr>
          <w:rFonts w:cstheme="minorHAnsi"/>
        </w:rPr>
        <w:t>U.S. Department of Labor Apprenticeship Toolkit</w:t>
      </w:r>
      <w:r w:rsidRPr="0041079B">
        <w:rPr>
          <w:rFonts w:cstheme="minorHAnsi"/>
        </w:rPr>
        <w:t xml:space="preserve"> - </w:t>
      </w:r>
      <w:hyperlink r:id="rId518" w:tgtFrame="_blank" w:history="1">
        <w:r w:rsidRPr="0041079B">
          <w:rPr>
            <w:rFonts w:cstheme="minorHAnsi"/>
          </w:rPr>
          <w:t>T</w:t>
        </w:r>
        <w:r w:rsidRPr="0041079B">
          <w:rPr>
            <w:rStyle w:val="Hyperlink"/>
            <w:rFonts w:cstheme="minorHAnsi"/>
          </w:rPr>
          <w:t>raining modules.</w:t>
        </w:r>
      </w:hyperlink>
    </w:p>
    <w:p w14:paraId="7029FA9F" w14:textId="77777777" w:rsidR="00777541" w:rsidRPr="00EA77D7" w:rsidRDefault="00777541" w:rsidP="00076336">
      <w:pPr>
        <w:pStyle w:val="ListParagraph"/>
        <w:numPr>
          <w:ilvl w:val="1"/>
          <w:numId w:val="54"/>
        </w:numPr>
        <w:ind w:left="360"/>
        <w:rPr>
          <w:rFonts w:cstheme="minorHAnsi"/>
          <w:b/>
          <w:bCs/>
        </w:rPr>
      </w:pPr>
      <w:bookmarkStart w:id="168" w:name="customized-training"/>
      <w:bookmarkEnd w:id="168"/>
      <w:r w:rsidRPr="00EA77D7">
        <w:rPr>
          <w:rFonts w:cstheme="minorHAnsi"/>
          <w:b/>
          <w:bCs/>
        </w:rPr>
        <w:t>Customized Training: "Building Capacity"</w:t>
      </w:r>
    </w:p>
    <w:p w14:paraId="1580A07F" w14:textId="77777777" w:rsidR="00777541" w:rsidRPr="00EA77D7" w:rsidRDefault="00366D34" w:rsidP="00076336">
      <w:pPr>
        <w:pStyle w:val="ListParagraph"/>
        <w:numPr>
          <w:ilvl w:val="2"/>
          <w:numId w:val="54"/>
        </w:numPr>
        <w:ind w:left="1440"/>
        <w:rPr>
          <w:rFonts w:cstheme="minorHAnsi"/>
          <w:b/>
          <w:bCs/>
        </w:rPr>
      </w:pPr>
      <w:hyperlink r:id="rId519" w:history="1">
        <w:r w:rsidR="00777541" w:rsidRPr="00EA77D7">
          <w:rPr>
            <w:rStyle w:val="Hyperlink"/>
            <w:rFonts w:cstheme="minorHAnsi"/>
            <w:b/>
            <w:bCs/>
          </w:rPr>
          <w:t>LMI</w:t>
        </w:r>
      </w:hyperlink>
      <w:r w:rsidR="00777541" w:rsidRPr="00EA77D7">
        <w:rPr>
          <w:rFonts w:cstheme="minorHAnsi"/>
          <w:b/>
          <w:bCs/>
        </w:rPr>
        <w:t xml:space="preserve"> </w:t>
      </w:r>
    </w:p>
    <w:p w14:paraId="0299EFFF" w14:textId="77777777" w:rsidR="00777541" w:rsidRPr="00EA77D7" w:rsidRDefault="00366D34" w:rsidP="00076336">
      <w:pPr>
        <w:pStyle w:val="ListParagraph"/>
        <w:numPr>
          <w:ilvl w:val="2"/>
          <w:numId w:val="54"/>
        </w:numPr>
        <w:ind w:left="1440"/>
        <w:rPr>
          <w:rFonts w:cstheme="minorHAnsi"/>
          <w:b/>
          <w:bCs/>
        </w:rPr>
      </w:pPr>
      <w:hyperlink r:id="rId520" w:tgtFrame="_blank" w:history="1">
        <w:r w:rsidR="00777541" w:rsidRPr="00EA77D7">
          <w:rPr>
            <w:rStyle w:val="Hyperlink"/>
            <w:rFonts w:cstheme="minorHAnsi"/>
            <w:b/>
            <w:bCs/>
          </w:rPr>
          <w:t>middle skills</w:t>
        </w:r>
      </w:hyperlink>
    </w:p>
    <w:p w14:paraId="6698C487" w14:textId="77777777" w:rsidR="00777541" w:rsidRPr="00EA77D7" w:rsidRDefault="00366D34" w:rsidP="00076336">
      <w:pPr>
        <w:pStyle w:val="ListParagraph"/>
        <w:numPr>
          <w:ilvl w:val="2"/>
          <w:numId w:val="54"/>
        </w:numPr>
        <w:ind w:left="1440"/>
        <w:rPr>
          <w:rFonts w:cstheme="minorHAnsi"/>
          <w:b/>
          <w:bCs/>
        </w:rPr>
      </w:pPr>
      <w:hyperlink r:id="rId521" w:history="1">
        <w:r w:rsidR="00777541" w:rsidRPr="00EA77D7">
          <w:rPr>
            <w:rStyle w:val="Hyperlink"/>
            <w:rFonts w:cstheme="minorHAnsi"/>
            <w:b/>
            <w:bCs/>
          </w:rPr>
          <w:t>Promising Practices</w:t>
        </w:r>
      </w:hyperlink>
      <w:r w:rsidR="00777541" w:rsidRPr="00EA77D7">
        <w:rPr>
          <w:rFonts w:cstheme="minorHAnsi"/>
          <w:b/>
          <w:bCs/>
        </w:rPr>
        <w:t xml:space="preserve"> </w:t>
      </w:r>
    </w:p>
    <w:p w14:paraId="0DB86669" w14:textId="77777777" w:rsidR="00777541" w:rsidRPr="00EA77D7" w:rsidRDefault="00366D34" w:rsidP="00076336">
      <w:pPr>
        <w:pStyle w:val="ListParagraph"/>
        <w:numPr>
          <w:ilvl w:val="2"/>
          <w:numId w:val="54"/>
        </w:numPr>
        <w:ind w:left="1440"/>
        <w:rPr>
          <w:rFonts w:cstheme="minorHAnsi"/>
          <w:b/>
          <w:bCs/>
        </w:rPr>
      </w:pPr>
      <w:hyperlink r:id="rId522" w:tgtFrame="_blank" w:history="1">
        <w:r w:rsidR="00777541" w:rsidRPr="00EA77D7">
          <w:rPr>
            <w:rStyle w:val="Hyperlink"/>
            <w:rFonts w:cstheme="minorHAnsi"/>
            <w:b/>
            <w:bCs/>
            <w:i/>
            <w:iCs/>
          </w:rPr>
          <w:t>Recovery: Job Growth and Education Requirements Through 2020, Executive Summary [PDF]</w:t>
        </w:r>
      </w:hyperlink>
    </w:p>
    <w:p w14:paraId="763D7BD2" w14:textId="77777777" w:rsidR="00777541" w:rsidRPr="00EA77D7" w:rsidRDefault="00366D34" w:rsidP="00076336">
      <w:pPr>
        <w:pStyle w:val="ListParagraph"/>
        <w:numPr>
          <w:ilvl w:val="2"/>
          <w:numId w:val="54"/>
        </w:numPr>
        <w:ind w:left="1440"/>
        <w:rPr>
          <w:rFonts w:cstheme="minorHAnsi"/>
          <w:b/>
          <w:bCs/>
        </w:rPr>
      </w:pPr>
      <w:hyperlink r:id="rId523" w:tgtFrame="_blank" w:history="1">
        <w:r w:rsidR="00777541" w:rsidRPr="00EA77D7">
          <w:rPr>
            <w:rStyle w:val="Hyperlink"/>
            <w:rFonts w:cstheme="minorHAnsi"/>
            <w:b/>
            <w:bCs/>
          </w:rPr>
          <w:t>Monthly Labor Review: Occupational employment projections to 2024 [PDF]</w:t>
        </w:r>
      </w:hyperlink>
    </w:p>
    <w:p w14:paraId="2FC4118A" w14:textId="77777777" w:rsidR="00777541" w:rsidRPr="00EA77D7" w:rsidRDefault="00366D34" w:rsidP="00076336">
      <w:pPr>
        <w:pStyle w:val="ListParagraph"/>
        <w:numPr>
          <w:ilvl w:val="2"/>
          <w:numId w:val="54"/>
        </w:numPr>
        <w:ind w:left="1440"/>
        <w:rPr>
          <w:rFonts w:cstheme="minorHAnsi"/>
          <w:b/>
          <w:bCs/>
        </w:rPr>
      </w:pPr>
      <w:hyperlink r:id="rId524" w:history="1">
        <w:r w:rsidR="00777541" w:rsidRPr="00EA77D7">
          <w:rPr>
            <w:rStyle w:val="Hyperlink"/>
            <w:rFonts w:cstheme="minorHAnsi"/>
            <w:b/>
            <w:bCs/>
          </w:rPr>
          <w:t>Promising Practices</w:t>
        </w:r>
      </w:hyperlink>
      <w:r w:rsidR="00777541" w:rsidRPr="00EA77D7">
        <w:rPr>
          <w:rFonts w:cstheme="minorHAnsi"/>
          <w:b/>
          <w:bCs/>
        </w:rPr>
        <w:t xml:space="preserve"> section of the CT Toolkit</w:t>
      </w:r>
    </w:p>
    <w:p w14:paraId="0FE1A47E" w14:textId="77777777" w:rsidR="00777541" w:rsidRDefault="00777541" w:rsidP="00076336">
      <w:pPr>
        <w:pStyle w:val="ListParagraph"/>
        <w:numPr>
          <w:ilvl w:val="2"/>
          <w:numId w:val="54"/>
        </w:numPr>
        <w:ind w:left="1440"/>
      </w:pPr>
      <w:r w:rsidRPr="00EA77D7">
        <w:rPr>
          <w:rFonts w:cstheme="minorHAnsi"/>
          <w:b/>
          <w:bCs/>
        </w:rPr>
        <w:t>Brigance and McNeil: Customized Training and VR</w:t>
      </w:r>
      <w:r w:rsidRPr="00C63820">
        <w:rPr>
          <w:rFonts w:cstheme="minorHAnsi"/>
          <w:b/>
          <w:bCs/>
        </w:rPr>
        <w:t xml:space="preserve"> - </w:t>
      </w:r>
      <w:hyperlink r:id="rId525" w:tgtFrame="_blank" w:history="1">
        <w:r w:rsidRPr="00EA77D7">
          <w:rPr>
            <w:rStyle w:val="Hyperlink"/>
            <w:rFonts w:cstheme="minorHAnsi"/>
            <w:b/>
            <w:bCs/>
          </w:rPr>
          <w:t>Terry Brigance</w:t>
        </w:r>
      </w:hyperlink>
      <w:r w:rsidRPr="00EA77D7">
        <w:rPr>
          <w:rFonts w:cstheme="minorHAnsi"/>
          <w:b/>
          <w:bCs/>
        </w:rPr>
        <w:t xml:space="preserve"> </w:t>
      </w:r>
    </w:p>
    <w:p w14:paraId="5E702294" w14:textId="77777777" w:rsidR="00777541" w:rsidRPr="00EA77D7" w:rsidRDefault="00366D34" w:rsidP="00076336">
      <w:pPr>
        <w:pStyle w:val="ListParagraph"/>
        <w:numPr>
          <w:ilvl w:val="2"/>
          <w:numId w:val="54"/>
        </w:numPr>
        <w:ind w:left="1440"/>
        <w:rPr>
          <w:rFonts w:cstheme="minorHAnsi"/>
          <w:b/>
          <w:bCs/>
        </w:rPr>
      </w:pPr>
      <w:hyperlink r:id="rId526" w:tgtFrame="_blank" w:history="1">
        <w:r w:rsidR="00777541" w:rsidRPr="00EA77D7">
          <w:rPr>
            <w:rStyle w:val="Hyperlink"/>
            <w:rFonts w:cstheme="minorHAnsi"/>
            <w:b/>
            <w:bCs/>
          </w:rPr>
          <w:t>An analysis of evidence-based best practices in the public vocational rehabilitation program: Gaps, future directions, and recommended steps to move forward</w:t>
        </w:r>
      </w:hyperlink>
      <w:r w:rsidR="00777541" w:rsidRPr="00EA77D7">
        <w:rPr>
          <w:rFonts w:cstheme="minorHAnsi"/>
          <w:b/>
          <w:bCs/>
        </w:rPr>
        <w:t xml:space="preserve">. </w:t>
      </w:r>
    </w:p>
    <w:p w14:paraId="0EEB796F" w14:textId="77777777" w:rsidR="00777541" w:rsidRPr="00EA77D7" w:rsidRDefault="00777541" w:rsidP="00076336">
      <w:pPr>
        <w:pStyle w:val="ListParagraph"/>
        <w:numPr>
          <w:ilvl w:val="1"/>
          <w:numId w:val="54"/>
        </w:numPr>
        <w:ind w:left="360"/>
        <w:rPr>
          <w:rFonts w:cstheme="minorHAnsi"/>
          <w:b/>
          <w:bCs/>
        </w:rPr>
      </w:pPr>
      <w:r w:rsidRPr="00EA77D7">
        <w:rPr>
          <w:rFonts w:cstheme="minorHAnsi"/>
          <w:b/>
          <w:bCs/>
        </w:rPr>
        <w:t>Building a Customized Training Program</w:t>
      </w:r>
    </w:p>
    <w:p w14:paraId="7A9E5FDA" w14:textId="77777777" w:rsidR="00777541" w:rsidRPr="00EA77D7" w:rsidRDefault="00366D34" w:rsidP="00076336">
      <w:pPr>
        <w:pStyle w:val="ListParagraph"/>
        <w:numPr>
          <w:ilvl w:val="2"/>
          <w:numId w:val="54"/>
        </w:numPr>
        <w:ind w:left="1440"/>
        <w:rPr>
          <w:rFonts w:cstheme="minorHAnsi"/>
          <w:b/>
          <w:bCs/>
        </w:rPr>
      </w:pPr>
      <w:hyperlink r:id="rId527" w:tgtFrame="_blank" w:history="1">
        <w:r w:rsidR="00777541" w:rsidRPr="00EA77D7">
          <w:rPr>
            <w:rStyle w:val="Hyperlink"/>
            <w:rFonts w:cstheme="minorHAnsi"/>
            <w:b/>
            <w:bCs/>
            <w:i/>
            <w:iCs/>
          </w:rPr>
          <w:t> Download the PDF</w:t>
        </w:r>
      </w:hyperlink>
      <w:r w:rsidR="00777541" w:rsidRPr="00EA77D7">
        <w:rPr>
          <w:rFonts w:cstheme="minorHAnsi"/>
          <w:b/>
          <w:bCs/>
          <w:i/>
          <w:iCs/>
        </w:rPr>
        <w:t> version of this checklist.</w:t>
      </w:r>
    </w:p>
    <w:p w14:paraId="28D027CE" w14:textId="77777777" w:rsidR="00777541" w:rsidRPr="00022D4C" w:rsidRDefault="00366D34" w:rsidP="00076336">
      <w:pPr>
        <w:pStyle w:val="ListParagraph"/>
        <w:numPr>
          <w:ilvl w:val="1"/>
          <w:numId w:val="54"/>
        </w:numPr>
        <w:ind w:left="360"/>
        <w:rPr>
          <w:rFonts w:cstheme="minorHAnsi"/>
          <w:b/>
          <w:bCs/>
        </w:rPr>
      </w:pPr>
      <w:hyperlink r:id="rId528" w:history="1">
        <w:r w:rsidR="00777541" w:rsidRPr="00EA77D7">
          <w:rPr>
            <w:rStyle w:val="Hyperlink"/>
            <w:rFonts w:cstheme="minorHAnsi"/>
            <w:b/>
            <w:bCs/>
          </w:rPr>
          <w:t>Customized Training: Additional Resources</w:t>
        </w:r>
      </w:hyperlink>
    </w:p>
    <w:p w14:paraId="5493DC2E" w14:textId="77777777" w:rsidR="00777541" w:rsidRPr="00896269" w:rsidRDefault="00777541" w:rsidP="00777541"/>
    <w:p w14:paraId="4772C274" w14:textId="77777777" w:rsidR="00777541" w:rsidRDefault="00777541" w:rsidP="00777541">
      <w:pPr>
        <w:pBdr>
          <w:bottom w:val="single" w:sz="24" w:space="1" w:color="auto"/>
        </w:pBdr>
        <w:jc w:val="center"/>
        <w:rPr>
          <w:b/>
          <w:sz w:val="36"/>
        </w:rPr>
      </w:pPr>
      <w:r>
        <w:rPr>
          <w:b/>
          <w:sz w:val="36"/>
        </w:rPr>
        <w:br w:type="page"/>
      </w:r>
    </w:p>
    <w:p w14:paraId="189AABA4" w14:textId="77777777" w:rsidR="00777541" w:rsidRPr="004B327C" w:rsidRDefault="00777541" w:rsidP="00BA0D82">
      <w:pPr>
        <w:pStyle w:val="Heading2"/>
        <w:numPr>
          <w:ilvl w:val="0"/>
          <w:numId w:val="0"/>
        </w:numPr>
        <w:pBdr>
          <w:bottom w:val="single" w:sz="12" w:space="1" w:color="auto"/>
        </w:pBdr>
        <w:rPr>
          <w:szCs w:val="36"/>
        </w:rPr>
      </w:pPr>
      <w:bookmarkStart w:id="169" w:name="_Toc27904642"/>
      <w:bookmarkStart w:id="170" w:name="_Toc28011473"/>
      <w:r>
        <w:rPr>
          <w:szCs w:val="36"/>
        </w:rPr>
        <w:lastRenderedPageBreak/>
        <w:t>APPRENTICESHIP</w:t>
      </w:r>
      <w:r w:rsidRPr="004B327C">
        <w:rPr>
          <w:szCs w:val="36"/>
        </w:rPr>
        <w:t xml:space="preserve"> ITAs: PROGRESS NARRATIVE</w:t>
      </w:r>
      <w:bookmarkEnd w:id="169"/>
      <w:bookmarkEnd w:id="170"/>
    </w:p>
    <w:p w14:paraId="00B781B5" w14:textId="77777777" w:rsidR="00777541" w:rsidRDefault="00777541" w:rsidP="00C22384">
      <w:pPr>
        <w:pStyle w:val="Heading3"/>
        <w:numPr>
          <w:ilvl w:val="0"/>
          <w:numId w:val="0"/>
        </w:numPr>
        <w:ind w:left="810" w:hanging="810"/>
      </w:pPr>
      <w:bookmarkStart w:id="171" w:name="_Toc27904643"/>
      <w:r>
        <w:t>National Lens</w:t>
      </w:r>
      <w:bookmarkEnd w:id="171"/>
    </w:p>
    <w:p w14:paraId="1AF7A90A" w14:textId="77777777" w:rsidR="00777541" w:rsidRDefault="00777541" w:rsidP="00777541">
      <w:pPr>
        <w:ind w:firstLine="360"/>
      </w:pPr>
      <w:r>
        <w:t xml:space="preserve">Under WIOA, apprenticeships that are “registered apprenticeships” or simply “apprenticeships” are useful for supporting competitive integrated employment outcomes for youth and adults with disabilities and are an important area of implementation for the workforce system as a whole as part of a career pathways approach.  The Departments of Labor and Education both administer apprenticeship aspects of WIOA to support the use of apprenticeships and offer joint guidance and technical assistance documents to ensure coordination between WIOA Youth programs and VR programs (May, 2019 Joint Guidance on Collaboration Opportunities).  Apprenticeship USA delineates how an apprenticeship model combines WIOA mandated and encouraged strategies involving a focus on career pathways, work-based learning, business engagement, and consideration of high-growth sectors (Apprenticeship USA, n.d.).  All of these areas are covered by WINTAC services and TA Teams and coordination across the teams has been ensuring the work of agencies is integrated in alignment with this model.  </w:t>
      </w:r>
    </w:p>
    <w:p w14:paraId="2A1CA586" w14:textId="77777777" w:rsidR="00777541" w:rsidRPr="00035CD7" w:rsidRDefault="00777541" w:rsidP="00777541">
      <w:pPr>
        <w:ind w:firstLine="360"/>
      </w:pPr>
      <w:r>
        <w:t xml:space="preserve">The opportunities exist.  In 2017 the National Association of Workforce Boards and Jobs for the Future conducted a survey of workforce boards; 145 boards responded (24% of all state and local boards) and of those, 63% had apprenticeship programs.  The report notes that many boards partner with VR, though it did not present statistics; 49% of respondents did indicate considering issues related to equity and diversity.  Critically for our purposes, boards indicated a desire for technical assistance to meet current WIOA requirements regarding apprenticeships (Bergman &amp; Kobes, n.d.).  In concert with WINTAC’s Integration TA Team’s work, the WINTAC Apprenticeship TA Team can support the partnership between VR and the Workforce Development System – including these boards – to facilitate inclusion of people with disabilities in apprenticeship programs as students and adults on a career pathway.  Those systems have obligations under WIOA to provide reasonable accommodations, conduct outreach and recruitment that is inclusive of persons with disabilities, and to set an aspirational goal of 7% of apprentices being a person with a disability (DOL ETA, 2019).  Program Year 2017 WIOA and Wagner-Peyser Data show that only 1 in 100 jobseekers in training programs is a registered apprentice (Berkowitz, 2019).  The need for WINTAC TA is manifest; as is the opportunity. </w:t>
      </w:r>
    </w:p>
    <w:p w14:paraId="2806D033" w14:textId="77777777" w:rsidR="00777541" w:rsidRPr="00035CD7" w:rsidRDefault="00777541" w:rsidP="00C22384">
      <w:pPr>
        <w:pStyle w:val="Heading3"/>
        <w:numPr>
          <w:ilvl w:val="0"/>
          <w:numId w:val="0"/>
        </w:numPr>
        <w:ind w:left="810" w:hanging="810"/>
      </w:pPr>
      <w:bookmarkStart w:id="172" w:name="_Toc27904644"/>
      <w:r w:rsidRPr="00035CD7">
        <w:t>WINTAC Lens</w:t>
      </w:r>
      <w:bookmarkEnd w:id="172"/>
    </w:p>
    <w:p w14:paraId="286DED70" w14:textId="77777777" w:rsidR="00777541" w:rsidRPr="00035CD7" w:rsidRDefault="00777541" w:rsidP="00777541">
      <w:pPr>
        <w:tabs>
          <w:tab w:val="left" w:pos="360"/>
        </w:tabs>
      </w:pPr>
      <w:r>
        <w:tab/>
        <w:t>Apprenticeship</w:t>
      </w:r>
      <w:r w:rsidRPr="00035CD7">
        <w:t xml:space="preserve"> </w:t>
      </w:r>
      <w:r>
        <w:t>was previously a set of activities combined with the Workforce Integration topic area and has since become a stand-alone topic area with three</w:t>
      </w:r>
      <w:r w:rsidRPr="00035CD7">
        <w:t xml:space="preserve"> formal intensive technical assistance agreements (ITAAs) in place.  These ITAAs draw from a menu of activities identified in </w:t>
      </w:r>
      <w:r>
        <w:t>an initial, brief</w:t>
      </w:r>
      <w:r w:rsidRPr="00035CD7">
        <w:t xml:space="preserve"> logic model which each have an associated output and contribute to a set of defined short-term outcomes expected to be achieved within this funding cycle.  </w:t>
      </w:r>
    </w:p>
    <w:p w14:paraId="1C3AA6A9" w14:textId="77777777" w:rsidR="00777541" w:rsidRDefault="00777541" w:rsidP="00777541">
      <w:pPr>
        <w:tabs>
          <w:tab w:val="left" w:pos="360"/>
        </w:tabs>
        <w:rPr>
          <w:szCs w:val="14"/>
        </w:rPr>
      </w:pPr>
      <w:r>
        <w:rPr>
          <w:szCs w:val="14"/>
        </w:rPr>
        <w:tab/>
      </w:r>
      <w:r w:rsidRPr="00533653">
        <w:rPr>
          <w:b/>
          <w:bCs/>
          <w:i/>
          <w:iCs/>
          <w:szCs w:val="14"/>
          <w:u w:val="single"/>
        </w:rPr>
        <w:t>TA Progress.</w:t>
      </w:r>
      <w:r>
        <w:rPr>
          <w:szCs w:val="14"/>
        </w:rPr>
        <w:t xml:space="preserve"> Across the topic area of Apprenticeship, progress on activities is either complete (40% of activities) or 75% complete (60% of activities)(first dashboard).  Below that average activity progress bar, using “thermometer charts,” the progress rate is broken out by specific activity with the linked outputs’ progress rates provided side-by-side.  These dashboards show a one-to-one correspondence between the rate of completion for Apprenticeship activities and associated outputs.  Activity one, assisting agencies to identify resources promoting and increasing use of apprenticeshis by VR, is further along with a two-thirds completion rate.  Activity two, developing new or revised apprenticeship policies and procedures, is strongly progressing as well.</w:t>
      </w:r>
    </w:p>
    <w:p w14:paraId="11186FBC" w14:textId="18E61E25" w:rsidR="00866325" w:rsidRPr="00D43F44" w:rsidRDefault="00777541" w:rsidP="00866325">
      <w:pPr>
        <w:tabs>
          <w:tab w:val="left" w:pos="360"/>
        </w:tabs>
        <w:rPr>
          <w:rFonts w:cstheme="minorHAnsi"/>
        </w:rPr>
      </w:pPr>
      <w:r>
        <w:rPr>
          <w:szCs w:val="14"/>
        </w:rPr>
        <w:lastRenderedPageBreak/>
        <w:tab/>
      </w:r>
      <w:r w:rsidRPr="00662F12">
        <w:rPr>
          <w:b/>
          <w:bCs/>
          <w:i/>
          <w:iCs/>
          <w:szCs w:val="14"/>
          <w:u w:val="single"/>
        </w:rPr>
        <w:t>Challenges Overcome.</w:t>
      </w:r>
      <w:r>
        <w:rPr>
          <w:i/>
          <w:iCs/>
          <w:szCs w:val="14"/>
        </w:rPr>
        <w:t xml:space="preserve"> </w:t>
      </w:r>
      <w:r w:rsidRPr="00662F12">
        <w:rPr>
          <w:szCs w:val="14"/>
        </w:rPr>
        <w:t xml:space="preserve"> </w:t>
      </w:r>
    </w:p>
    <w:p w14:paraId="71834251" w14:textId="2C984B01" w:rsidR="00777541" w:rsidRPr="00D43F44" w:rsidRDefault="007513D3" w:rsidP="00777541">
      <w:pPr>
        <w:tabs>
          <w:tab w:val="left" w:pos="360"/>
        </w:tabs>
        <w:rPr>
          <w:rFonts w:cstheme="minorHAnsi"/>
        </w:rPr>
      </w:pPr>
      <w:r>
        <w:rPr>
          <w:rFonts w:cstheme="minorHAnsi"/>
        </w:rPr>
        <w:tab/>
        <w:t xml:space="preserve">Apprenticeship is newly a “stand-alone” area, recently broken out from the </w:t>
      </w:r>
      <w:r w:rsidR="00C70AA5">
        <w:rPr>
          <w:rFonts w:cstheme="minorHAnsi"/>
        </w:rPr>
        <w:t xml:space="preserve">Workforce </w:t>
      </w:r>
      <w:r>
        <w:rPr>
          <w:rFonts w:cstheme="minorHAnsi"/>
        </w:rPr>
        <w:t xml:space="preserve">Integration topic area </w:t>
      </w:r>
      <w:r w:rsidR="00523A3E">
        <w:rPr>
          <w:rFonts w:cstheme="minorHAnsi"/>
        </w:rPr>
        <w:t xml:space="preserve"> </w:t>
      </w:r>
      <w:r>
        <w:rPr>
          <w:rFonts w:cstheme="minorHAnsi"/>
        </w:rPr>
        <w:t>but still very much connected to i</w:t>
      </w:r>
      <w:r w:rsidR="00C70AA5">
        <w:rPr>
          <w:rFonts w:cstheme="minorHAnsi"/>
        </w:rPr>
        <w:t xml:space="preserve">t.  The TA Team does not articulate significant challenges with respect to the Apprenticeship area, </w:t>
      </w:r>
      <w:r w:rsidR="00507318">
        <w:rPr>
          <w:rFonts w:cstheme="minorHAnsi"/>
        </w:rPr>
        <w:t xml:space="preserve">but as a sub-topic within Workforce Integration would have been impacted early on by the challenges </w:t>
      </w:r>
      <w:r w:rsidR="00A34033">
        <w:rPr>
          <w:rFonts w:cstheme="minorHAnsi"/>
        </w:rPr>
        <w:t xml:space="preserve">described in that chapter (e.g., agency capacity and staffing changes and delayed prioritization due to mandatory deadlines for other topic areas). </w:t>
      </w:r>
      <w:r w:rsidR="003455D5">
        <w:rPr>
          <w:rFonts w:cstheme="minorHAnsi"/>
        </w:rPr>
        <w:t xml:space="preserve"> Apprenticeship certainly benefited from the joint efforts with the Workforce Integration area since many apprenticeship efforts at state levels were ongoing or beginning in concert with other state partners in the workforce development system as encouraged by </w:t>
      </w:r>
      <w:r w:rsidR="00E12AFA">
        <w:rPr>
          <w:rFonts w:cstheme="minorHAnsi"/>
        </w:rPr>
        <w:t>ODEP and ETA in the Federal Department of Labor.</w:t>
      </w:r>
    </w:p>
    <w:p w14:paraId="53941CC4" w14:textId="1A3D7689" w:rsidR="00777541" w:rsidRPr="00521DA6" w:rsidRDefault="00E12AFA" w:rsidP="00777541">
      <w:pPr>
        <w:tabs>
          <w:tab w:val="left" w:pos="360"/>
        </w:tabs>
        <w:rPr>
          <w:rFonts w:cstheme="minorHAnsi"/>
        </w:rPr>
      </w:pPr>
      <w:r w:rsidRPr="00C947E0">
        <w:rPr>
          <w:rFonts w:ascii="Times New Roman" w:hAnsi="Times New Roman" w:cs="Times New Roman"/>
          <w:noProof/>
          <w:sz w:val="24"/>
          <w:szCs w:val="24"/>
          <w:lang w:eastAsia="ko-KR"/>
        </w:rPr>
        <mc:AlternateContent>
          <mc:Choice Requires="wps">
            <w:drawing>
              <wp:anchor distT="182880" distB="182880" distL="182880" distR="182880" simplePos="0" relativeHeight="251682816" behindDoc="0" locked="0" layoutInCell="1" allowOverlap="1" wp14:anchorId="22D2B57F" wp14:editId="77B29BFF">
                <wp:simplePos x="0" y="0"/>
                <wp:positionH relativeFrom="margin">
                  <wp:align>right</wp:align>
                </wp:positionH>
                <wp:positionV relativeFrom="margin">
                  <wp:posOffset>3565277</wp:posOffset>
                </wp:positionV>
                <wp:extent cx="5891530" cy="4001135"/>
                <wp:effectExtent l="0" t="0" r="0" b="0"/>
                <wp:wrapSquare wrapText="bothSides"/>
                <wp:docPr id="166" name="Snip Single Corner Rectangle 117"/>
                <wp:cNvGraphicFramePr/>
                <a:graphic xmlns:a="http://schemas.openxmlformats.org/drawingml/2006/main">
                  <a:graphicData uri="http://schemas.microsoft.com/office/word/2010/wordprocessingShape">
                    <wps:wsp>
                      <wps:cNvSpPr/>
                      <wps:spPr>
                        <a:xfrm>
                          <a:off x="0" y="0"/>
                          <a:ext cx="5891530" cy="4001135"/>
                        </a:xfrm>
                        <a:prstGeom prst="snip1Rect">
                          <a:avLst/>
                        </a:prstGeom>
                        <a:ln>
                          <a:noFill/>
                        </a:ln>
                      </wps:spPr>
                      <wps:style>
                        <a:lnRef idx="2">
                          <a:schemeClr val="accent1">
                            <a:shade val="50000"/>
                          </a:schemeClr>
                        </a:lnRef>
                        <a:fillRef idx="1003">
                          <a:schemeClr val="dk2"/>
                        </a:fillRef>
                        <a:effectRef idx="0">
                          <a:schemeClr val="accent1"/>
                        </a:effectRef>
                        <a:fontRef idx="minor">
                          <a:schemeClr val="lt1"/>
                        </a:fontRef>
                      </wps:style>
                      <wps:txbx>
                        <w:txbxContent>
                          <w:p w14:paraId="15D084A4" w14:textId="77777777" w:rsidR="00366D34" w:rsidRPr="00142BA3" w:rsidRDefault="00366D34" w:rsidP="00777541">
                            <w:pPr>
                              <w:spacing w:after="0" w:line="276" w:lineRule="auto"/>
                              <w:ind w:left="720"/>
                              <w:rPr>
                                <w:rFonts w:ascii="Times New Roman" w:hAnsi="Times New Roman" w:cs="Times New Roman"/>
                                <w:b/>
                                <w:bCs/>
                                <w:sz w:val="24"/>
                                <w:szCs w:val="24"/>
                                <w:u w:val="single"/>
                              </w:rPr>
                            </w:pPr>
                            <w:r w:rsidRPr="00142BA3">
                              <w:rPr>
                                <w:rFonts w:ascii="Times New Roman" w:hAnsi="Times New Roman" w:cs="Times New Roman"/>
                                <w:b/>
                                <w:bCs/>
                                <w:sz w:val="24"/>
                                <w:szCs w:val="24"/>
                                <w:u w:val="single"/>
                              </w:rPr>
                              <w:t>Feedback also presented in the integration chapter from one state:</w:t>
                            </w:r>
                          </w:p>
                          <w:p w14:paraId="7B7D4744" w14:textId="77777777" w:rsidR="00366D34" w:rsidRPr="00972F82" w:rsidRDefault="00366D34" w:rsidP="00777541">
                            <w:pPr>
                              <w:spacing w:after="0" w:line="276" w:lineRule="auto"/>
                              <w:ind w:left="720"/>
                              <w:rPr>
                                <w:rFonts w:ascii="Times New Roman" w:hAnsi="Times New Roman" w:cs="Times New Roman"/>
                                <w:b/>
                                <w:bCs/>
                                <w:i/>
                                <w:iCs/>
                                <w:sz w:val="32"/>
                                <w:szCs w:val="32"/>
                              </w:rPr>
                            </w:pPr>
                            <w:bookmarkStart w:id="173" w:name="_Hlk27650864"/>
                            <w:r w:rsidRPr="00BC517F">
                              <w:rPr>
                                <w:rFonts w:ascii="Times New Roman" w:hAnsi="Times New Roman" w:cs="Times New Roman"/>
                                <w:i/>
                                <w:sz w:val="24"/>
                                <w:szCs w:val="24"/>
                              </w:rPr>
                              <w:t>WINTAC has provided so much information and technical assistance across all areas</w:t>
                            </w:r>
                            <w:r>
                              <w:rPr>
                                <w:rFonts w:ascii="Times New Roman" w:hAnsi="Times New Roman" w:cs="Times New Roman"/>
                                <w:i/>
                                <w:sz w:val="24"/>
                                <w:szCs w:val="24"/>
                              </w:rPr>
                              <w:t>…</w:t>
                            </w:r>
                            <w:r w:rsidRPr="00BC517F">
                              <w:rPr>
                                <w:rFonts w:ascii="Times New Roman" w:hAnsi="Times New Roman" w:cs="Times New Roman"/>
                                <w:i/>
                                <w:sz w:val="24"/>
                                <w:szCs w:val="24"/>
                              </w:rPr>
                              <w:t xml:space="preserve">We wouldn’t be where we are without it. They’ve helped us focus on all of these things the same time. As a small agency, with a lot of changes we’ve been going through, the steps we’ve been taking would have been impossible to take alone. We have a long way to go in many ways, but due to the WINTAC support we are a lot more comfortable in our direction and progress. With PreETS we’re better with our engagement with youth, and what we count and report in performance.  </w:t>
                            </w:r>
                            <w:r w:rsidRPr="00894CBA">
                              <w:rPr>
                                <w:rFonts w:ascii="Times New Roman" w:hAnsi="Times New Roman" w:cs="Times New Roman"/>
                                <w:i/>
                                <w:sz w:val="24"/>
                                <w:szCs w:val="24"/>
                                <w:u w:val="single"/>
                              </w:rPr>
                              <w:t xml:space="preserve">We have a good focus with what we’re doing in </w:t>
                            </w:r>
                            <w:r w:rsidRPr="00894CBA">
                              <w:rPr>
                                <w:rFonts w:ascii="Times New Roman" w:hAnsi="Times New Roman" w:cs="Times New Roman"/>
                                <w:b/>
                                <w:bCs/>
                                <w:i/>
                                <w:sz w:val="24"/>
                                <w:szCs w:val="24"/>
                                <w:u w:val="single"/>
                              </w:rPr>
                              <w:t>apprenticeship</w:t>
                            </w:r>
                            <w:r w:rsidRPr="00894CBA">
                              <w:rPr>
                                <w:rFonts w:ascii="Times New Roman" w:hAnsi="Times New Roman" w:cs="Times New Roman"/>
                                <w:i/>
                                <w:sz w:val="24"/>
                                <w:szCs w:val="24"/>
                                <w:u w:val="single"/>
                              </w:rPr>
                              <w:t xml:space="preserve"> with our partners, improving our overall alignment and building on the integrated resource team strategy.</w:t>
                            </w:r>
                            <w:r w:rsidRPr="00142BA3">
                              <w:rPr>
                                <w:rFonts w:ascii="Times New Roman" w:hAnsi="Times New Roman" w:cs="Times New Roman"/>
                                <w:i/>
                                <w:sz w:val="24"/>
                                <w:szCs w:val="24"/>
                              </w:rPr>
                              <w:t xml:space="preserve"> The help with TCI+ has integrated the use of LMI in our counseling process, strengthening how we engage clients with Career Pathways. The WINTAC team has supported our overall </w:t>
                            </w:r>
                            <w:r w:rsidRPr="00894CBA">
                              <w:rPr>
                                <w:rFonts w:ascii="Times New Roman" w:hAnsi="Times New Roman" w:cs="Times New Roman"/>
                                <w:i/>
                                <w:sz w:val="24"/>
                                <w:szCs w:val="24"/>
                              </w:rPr>
                              <w:t>assessment and improvement of our rehabilitation services in the WIOA focus.  These changes for us in the past few years, with so much information coming our way, we’ve gained some comfort in knowing what to focus on, and how to stage the changes we’ve been going through.</w:t>
                            </w:r>
                            <w:bookmarkEnd w:id="173"/>
                          </w:p>
                        </w:txbxContent>
                      </wps:txbx>
                      <wps:bodyPr rot="0" spcFirstLastPara="0" vertOverflow="overflow" horzOverflow="overflow" vert="horz" wrap="square" lIns="137160" tIns="91440" rIns="91440" bIns="9144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D2B57F" id="_x0000_s1058" style="position:absolute;margin-left:412.7pt;margin-top:280.75pt;width:463.9pt;height:315.05pt;z-index:251682816;visibility:visible;mso-wrap-style:square;mso-width-percent:0;mso-height-percent:0;mso-wrap-distance-left:14.4pt;mso-wrap-distance-top:14.4pt;mso-wrap-distance-right:14.4pt;mso-wrap-distance-bottom:14.4pt;mso-position-horizontal:right;mso-position-horizontal-relative:margin;mso-position-vertical:absolute;mso-position-vertical-relative:margin;mso-width-percent:0;mso-height-percent:0;mso-width-relative:margin;mso-height-relative:margin;v-text-anchor:top" coordsize="5891530,400113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" adj="-11796480,,5400" path="m,l5224661,r666869,666869l5891530,4001135,,4001135,,xe" fillcolor="#4d5f78 [2994]" stroked="f" strokeweight="1pt">
                <v:fill color2="#2a3442 [2018]" rotate="t" colors="0 #5d6d85;.5 #485972;1 #334258" focus="100%" type="gradient">
                  <o:fill v:ext="view" type="gradientUnscaled"/>
                </v:fill>
                <v:stroke joinstyle="miter"/>
                <v:formulas/>
                <v:path arrowok="t" o:connecttype="custom" o:connectlocs="0,0;5224661,0;5891530,666869;5891530,4001135;0,4001135;0,0" o:connectangles="0,0,0,0,0,0" textboxrect="0,0,5891530,4001135"/>
                <v:textbox inset="10.8pt,7.2pt,,7.2pt">
                  <w:txbxContent>
                    <w:p w14:paraId="15D084A4" w14:textId="77777777" w:rsidR="00366D34" w:rsidRPr="00142BA3" w:rsidRDefault="00366D34" w:rsidP="00777541">
                      <w:pPr>
                        <w:spacing w:after="0" w:line="276" w:lineRule="auto"/>
                        <w:ind w:left="720"/>
                        <w:rPr>
                          <w:rFonts w:ascii="Times New Roman" w:hAnsi="Times New Roman" w:cs="Times New Roman"/>
                          <w:b/>
                          <w:bCs/>
                          <w:sz w:val="24"/>
                          <w:szCs w:val="24"/>
                          <w:u w:val="single"/>
                        </w:rPr>
                      </w:pPr>
                      <w:r w:rsidRPr="00142BA3">
                        <w:rPr>
                          <w:rFonts w:ascii="Times New Roman" w:hAnsi="Times New Roman" w:cs="Times New Roman"/>
                          <w:b/>
                          <w:bCs/>
                          <w:sz w:val="24"/>
                          <w:szCs w:val="24"/>
                          <w:u w:val="single"/>
                        </w:rPr>
                        <w:t>Feedback also presented in the integration chapter from one state:</w:t>
                      </w:r>
                    </w:p>
                    <w:p w14:paraId="7B7D4744" w14:textId="77777777" w:rsidR="00366D34" w:rsidRPr="00972F82" w:rsidRDefault="00366D34" w:rsidP="00777541">
                      <w:pPr>
                        <w:spacing w:after="0" w:line="276" w:lineRule="auto"/>
                        <w:ind w:left="720"/>
                        <w:rPr>
                          <w:rFonts w:ascii="Times New Roman" w:hAnsi="Times New Roman" w:cs="Times New Roman"/>
                          <w:b/>
                          <w:bCs/>
                          <w:i/>
                          <w:iCs/>
                          <w:sz w:val="32"/>
                          <w:szCs w:val="32"/>
                        </w:rPr>
                      </w:pPr>
                      <w:bookmarkStart w:id="174" w:name="_Hlk27650864"/>
                      <w:r w:rsidRPr="00BC517F">
                        <w:rPr>
                          <w:rFonts w:ascii="Times New Roman" w:hAnsi="Times New Roman" w:cs="Times New Roman"/>
                          <w:i/>
                          <w:sz w:val="24"/>
                          <w:szCs w:val="24"/>
                        </w:rPr>
                        <w:t>WINTAC has provided so much information and technical assistance across all areas</w:t>
                      </w:r>
                      <w:r>
                        <w:rPr>
                          <w:rFonts w:ascii="Times New Roman" w:hAnsi="Times New Roman" w:cs="Times New Roman"/>
                          <w:i/>
                          <w:sz w:val="24"/>
                          <w:szCs w:val="24"/>
                        </w:rPr>
                        <w:t>…</w:t>
                      </w:r>
                      <w:r w:rsidRPr="00BC517F">
                        <w:rPr>
                          <w:rFonts w:ascii="Times New Roman" w:hAnsi="Times New Roman" w:cs="Times New Roman"/>
                          <w:i/>
                          <w:sz w:val="24"/>
                          <w:szCs w:val="24"/>
                        </w:rPr>
                        <w:t xml:space="preserve">We wouldn’t be where we are without it. They’ve helped us focus on all of these things the same time. As a small agency, with a lot of changes we’ve been going through, the steps we’ve been taking would have been impossible to take alone. We have a long way to go in many ways, but due to the WINTAC support we are a lot more comfortable in our direction and progress. With PreETS we’re better with our engagement with youth, and what we count and report in performance.  </w:t>
                      </w:r>
                      <w:r w:rsidRPr="00894CBA">
                        <w:rPr>
                          <w:rFonts w:ascii="Times New Roman" w:hAnsi="Times New Roman" w:cs="Times New Roman"/>
                          <w:i/>
                          <w:sz w:val="24"/>
                          <w:szCs w:val="24"/>
                          <w:u w:val="single"/>
                        </w:rPr>
                        <w:t xml:space="preserve">We have a good focus with what we’re doing in </w:t>
                      </w:r>
                      <w:r w:rsidRPr="00894CBA">
                        <w:rPr>
                          <w:rFonts w:ascii="Times New Roman" w:hAnsi="Times New Roman" w:cs="Times New Roman"/>
                          <w:b/>
                          <w:bCs/>
                          <w:i/>
                          <w:sz w:val="24"/>
                          <w:szCs w:val="24"/>
                          <w:u w:val="single"/>
                        </w:rPr>
                        <w:t>apprenticeship</w:t>
                      </w:r>
                      <w:r w:rsidRPr="00894CBA">
                        <w:rPr>
                          <w:rFonts w:ascii="Times New Roman" w:hAnsi="Times New Roman" w:cs="Times New Roman"/>
                          <w:i/>
                          <w:sz w:val="24"/>
                          <w:szCs w:val="24"/>
                          <w:u w:val="single"/>
                        </w:rPr>
                        <w:t xml:space="preserve"> with our partners, improving our overall alignment and building on the integrated resource team strategy.</w:t>
                      </w:r>
                      <w:r w:rsidRPr="00142BA3">
                        <w:rPr>
                          <w:rFonts w:ascii="Times New Roman" w:hAnsi="Times New Roman" w:cs="Times New Roman"/>
                          <w:i/>
                          <w:sz w:val="24"/>
                          <w:szCs w:val="24"/>
                        </w:rPr>
                        <w:t xml:space="preserve"> The help with TCI+ has integrated the use of LMI in our counseling process, strengthening how we engage clients with Career Pathways. The WINTAC team has supported our overall </w:t>
                      </w:r>
                      <w:r w:rsidRPr="00894CBA">
                        <w:rPr>
                          <w:rFonts w:ascii="Times New Roman" w:hAnsi="Times New Roman" w:cs="Times New Roman"/>
                          <w:i/>
                          <w:sz w:val="24"/>
                          <w:szCs w:val="24"/>
                        </w:rPr>
                        <w:t>assessment and improvement of our rehabilitation services in the WIOA focus.  These changes for us in the past few years, with so much information coming our way, we’ve gained some comfort in knowing what to focus on, and how to stage the changes we’ve been going through.</w:t>
                      </w:r>
                      <w:bookmarkEnd w:id="174"/>
                    </w:p>
                  </w:txbxContent>
                </v:textbox>
                <w10:wrap type="square" anchorx="margin" anchory="margin"/>
              </v:shape>
            </w:pict>
          </mc:Fallback>
        </mc:AlternateContent>
      </w:r>
      <w:r w:rsidR="00777541" w:rsidRPr="00D43F44">
        <w:rPr>
          <w:rFonts w:cstheme="minorHAnsi"/>
          <w:i/>
          <w:iCs/>
        </w:rPr>
        <w:tab/>
      </w:r>
      <w:r w:rsidR="00777541" w:rsidRPr="00AD7B12">
        <w:rPr>
          <w:rFonts w:cstheme="minorHAnsi"/>
          <w:b/>
          <w:bCs/>
          <w:i/>
          <w:iCs/>
          <w:u w:val="single"/>
        </w:rPr>
        <w:t>Impact</w:t>
      </w:r>
      <w:r w:rsidR="00777541" w:rsidRPr="00D43F44">
        <w:rPr>
          <w:rFonts w:cstheme="minorHAnsi"/>
          <w:i/>
          <w:iCs/>
        </w:rPr>
        <w:t>.</w:t>
      </w:r>
      <w:r w:rsidR="00777541" w:rsidRPr="00AD7B12">
        <w:rPr>
          <w:rFonts w:cstheme="minorHAnsi"/>
        </w:rPr>
        <w:t xml:space="preserve">  </w:t>
      </w:r>
      <w:r w:rsidR="00777541">
        <w:rPr>
          <w:rFonts w:cstheme="minorHAnsi"/>
        </w:rPr>
        <w:t xml:space="preserve">Outcomes for the Apprenticeship topic area are also progressing well, with 67% of outcomes at least 75% complete and 33% of outcomes at the 50% completion level for an overall outcomes completion rate of 67%. Across the three ITA states, 2, 7, and 11 individuals are engaged or about to be engaged in apprenticeships for a total of 20.  These numbers demonstrate that all ITAA states are making headway on </w:t>
      </w:r>
      <w:r w:rsidR="00777541">
        <w:rPr>
          <w:rFonts w:cstheme="minorHAnsi"/>
          <w:i/>
          <w:iCs/>
        </w:rPr>
        <w:t>the</w:t>
      </w:r>
      <w:r w:rsidR="00777541">
        <w:rPr>
          <w:rFonts w:cstheme="minorHAnsi"/>
        </w:rPr>
        <w:t xml:space="preserve"> concrete outcome for this topic area and that systems are in place to track the progress in a measurable way at each agency.  As these numbers grow, future reporting could put them in context by noting the industries or SOC codes and relating that to the high growth industries for that state.  Are they permanent pipelines that VR can continue to make placements into?</w:t>
      </w:r>
    </w:p>
    <w:p w14:paraId="74206CAF" w14:textId="79750B3F" w:rsidR="00777541" w:rsidRDefault="00777541" w:rsidP="00777541">
      <w:pPr>
        <w:tabs>
          <w:tab w:val="left" w:pos="360"/>
        </w:tabs>
        <w:rPr>
          <w:rFonts w:cstheme="minorHAnsi"/>
        </w:rPr>
      </w:pPr>
      <w:r w:rsidRPr="00894CBA">
        <w:rPr>
          <w:rFonts w:cstheme="minorHAnsi"/>
        </w:rPr>
        <w:tab/>
      </w:r>
      <w:r w:rsidRPr="001F752C">
        <w:rPr>
          <w:rFonts w:cstheme="minorHAnsi"/>
          <w:b/>
          <w:bCs/>
          <w:i/>
          <w:iCs/>
          <w:u w:val="single"/>
        </w:rPr>
        <w:t>Evaluation Recommendations.</w:t>
      </w:r>
      <w:r w:rsidRPr="001F752C">
        <w:rPr>
          <w:rFonts w:cstheme="minorHAnsi"/>
        </w:rPr>
        <w:t xml:space="preserve">  </w:t>
      </w:r>
      <w:r>
        <w:rPr>
          <w:rFonts w:cstheme="minorHAnsi"/>
        </w:rPr>
        <w:t xml:space="preserve">The numbers of apprenticeships is being tracked by agencies.  As noted above, the next step can be to provide context to these numbers.  How many apprenticeships is </w:t>
      </w:r>
      <w:r>
        <w:rPr>
          <w:rFonts w:cstheme="minorHAnsi"/>
        </w:rPr>
        <w:lastRenderedPageBreak/>
        <w:t xml:space="preserve">the rest of the workforce development system taking advantage of for people without disabilities?  (This can help examine disparities or the ned to improve targeted outreach.)  In what industries?  Are those the high growth ones for the state?  Are they established pipelines or particular opportunities that came up?  Are they students or adults?  Were these aligned to goals in IEPs or IPEs?  Are they registered apprenticeships?  How many programs are there in the state and is the state nearing its aspirational goals for people with disabilities in state apprenticeship programs?  Is VR making these strides unilaterally, or in concert with workforce boards and their members from apprenticeship programs?  How is the state coordinating its apprenticeship work with other WINTAC topic areas such as Workforce Integration, Pre-ETS, TCI+/LMI, or Business Engagement?  </w:t>
      </w:r>
    </w:p>
    <w:p w14:paraId="06078A3C" w14:textId="6A4ECE1A" w:rsidR="00755285" w:rsidRDefault="00755285" w:rsidP="00777541">
      <w:pPr>
        <w:tabs>
          <w:tab w:val="left" w:pos="360"/>
        </w:tabs>
        <w:rPr>
          <w:rFonts w:cstheme="minorHAnsi"/>
        </w:rPr>
      </w:pPr>
    </w:p>
    <w:p w14:paraId="05E66DFB" w14:textId="77777777" w:rsidR="00755285" w:rsidRDefault="00755285" w:rsidP="00777541">
      <w:pPr>
        <w:tabs>
          <w:tab w:val="left" w:pos="360"/>
        </w:tabs>
        <w:rPr>
          <w:rFonts w:cstheme="minorHAnsi"/>
        </w:rPr>
        <w:sectPr w:rsidR="00755285" w:rsidSect="00D27D05">
          <w:headerReference w:type="even" r:id="rId529"/>
          <w:headerReference w:type="default" r:id="rId530"/>
          <w:footerReference w:type="even" r:id="rId531"/>
          <w:footerReference w:type="default" r:id="rId532"/>
          <w:headerReference w:type="first" r:id="rId533"/>
          <w:footerReference w:type="first" r:id="rId534"/>
          <w:pgSz w:w="12240" w:h="15840"/>
          <w:pgMar w:top="1440" w:right="1440" w:bottom="1440" w:left="1440" w:header="720" w:footer="720" w:gutter="0"/>
          <w:pgBorders w:offsetFrom="page">
            <w:top w:val="thinThickSmallGap" w:sz="24" w:space="24" w:color="2F5496" w:themeColor="accent1" w:themeShade="BF"/>
            <w:left w:val="thinThickSmallGap" w:sz="24" w:space="24" w:color="2F5496" w:themeColor="accent1" w:themeShade="BF"/>
            <w:bottom w:val="thickThinSmallGap" w:sz="24" w:space="24" w:color="2F5496" w:themeColor="accent1" w:themeShade="BF"/>
            <w:right w:val="thickThinSmallGap" w:sz="24" w:space="24" w:color="2F5496" w:themeColor="accent1" w:themeShade="BF"/>
          </w:pgBorders>
          <w:cols w:space="720"/>
          <w:docGrid w:linePitch="360"/>
        </w:sectPr>
      </w:pPr>
    </w:p>
    <w:p w14:paraId="4BDA7E6A" w14:textId="77777777" w:rsidR="008C3223" w:rsidRDefault="008C3223" w:rsidP="00596784">
      <w:pPr>
        <w:pStyle w:val="Heading1"/>
        <w:numPr>
          <w:ilvl w:val="0"/>
          <w:numId w:val="0"/>
        </w:numPr>
        <w:pBdr>
          <w:bottom w:val="single" w:sz="18" w:space="1" w:color="auto"/>
        </w:pBdr>
        <w:shd w:val="clear" w:color="auto" w:fill="auto"/>
      </w:pPr>
      <w:bookmarkStart w:id="175" w:name="_Toc28011474"/>
      <w:r>
        <w:lastRenderedPageBreak/>
        <w:t>Summary and Recommendations</w:t>
      </w:r>
      <w:bookmarkEnd w:id="175"/>
    </w:p>
    <w:p w14:paraId="2D2705AF" w14:textId="2B9D47DC" w:rsidR="008C3223" w:rsidRDefault="008C3223" w:rsidP="008C3223">
      <w:pPr>
        <w:pStyle w:val="Heading2"/>
        <w:numPr>
          <w:ilvl w:val="0"/>
          <w:numId w:val="0"/>
        </w:numPr>
      </w:pPr>
      <w:bookmarkStart w:id="176" w:name="_Toc28011475"/>
      <w:r>
        <w:t>SUMMARY</w:t>
      </w:r>
      <w:bookmarkEnd w:id="176"/>
    </w:p>
    <w:p w14:paraId="4D11CD1C" w14:textId="7D3EFBBB" w:rsidR="008C3223" w:rsidRDefault="008C3223" w:rsidP="008C3223">
      <w:pPr>
        <w:ind w:firstLine="720"/>
      </w:pPr>
      <w:r>
        <w:t xml:space="preserve">This report speaks volumes about the breadth and depth of work undertaken and </w:t>
      </w:r>
      <w:r w:rsidR="008702A2">
        <w:t xml:space="preserve">the </w:t>
      </w:r>
      <w:r>
        <w:t xml:space="preserve">impacts achieved with WINTAC’s intensive technical assistance. It also shows how WINTAC’s approach to TA has evolved to accommodate changing needs and </w:t>
      </w:r>
      <w:r w:rsidR="008702A2">
        <w:t>obtain</w:t>
      </w:r>
      <w:r>
        <w:t xml:space="preserve"> results (or at least move the needle) on long-standing issues in the VR community. It documents positive change for VR consumers, state systems</w:t>
      </w:r>
      <w:r w:rsidR="008702A2">
        <w:t>,</w:t>
      </w:r>
      <w:r>
        <w:t xml:space="preserve"> and the state of the art in VR service delivery. It also shares lessons learned and remaining challenges, and provides recommendations for future action, in particular pertaining to evaluation and sustainability.</w:t>
      </w:r>
    </w:p>
    <w:p w14:paraId="3EF69066" w14:textId="1541F3EB" w:rsidR="008C3223" w:rsidRDefault="008C3223" w:rsidP="008C3223">
      <w:pPr>
        <w:ind w:firstLine="720"/>
      </w:pPr>
      <w:r>
        <w:t xml:space="preserve">A consistent TA theme from one area to the next is that the need, and the corresponding nature of the work, is less about transferring information or introducing new tools and more about promoting and supporting systems change – structural, cultural, institutional – within and across organizations: from shifting attitudes about employability to instinctively working collaboratively </w:t>
      </w:r>
      <w:r w:rsidR="00F229B4">
        <w:t>to</w:t>
      </w:r>
      <w:r>
        <w:t xml:space="preserve"> planning for sustainability from the start. Over the course of this project we have observed unprecedented and measurable advances in terms of partnering, leveraging resources</w:t>
      </w:r>
      <w:r w:rsidR="003218D3">
        <w:t>,</w:t>
      </w:r>
      <w:r>
        <w:t xml:space="preserve"> and building capacity. </w:t>
      </w:r>
      <w:r w:rsidR="001C1BFB">
        <w:t xml:space="preserve">In many different ways, </w:t>
      </w:r>
      <w:r>
        <w:t xml:space="preserve">VR </w:t>
      </w:r>
      <w:r w:rsidR="001C1BFB">
        <w:t>now is not on</w:t>
      </w:r>
      <w:r>
        <w:t>ly at the table but often assum</w:t>
      </w:r>
      <w:r w:rsidR="003218D3">
        <w:t>es</w:t>
      </w:r>
      <w:r>
        <w:t xml:space="preserve"> a lead role</w:t>
      </w:r>
      <w:r w:rsidR="001C1BFB">
        <w:t>.  Similarly</w:t>
      </w:r>
      <w:r w:rsidR="00880071">
        <w:t xml:space="preserve">, </w:t>
      </w:r>
      <w:r>
        <w:t>the alignment of policies, procedures</w:t>
      </w:r>
      <w:r w:rsidR="00880071">
        <w:t>,</w:t>
      </w:r>
      <w:r>
        <w:t xml:space="preserve"> and funding across agencies that historically have had nothing to do with each other – including General and Blind agencies</w:t>
      </w:r>
      <w:r w:rsidR="00880071">
        <w:t xml:space="preserve"> – is creating transformational change impacting clients</w:t>
      </w:r>
      <w:r w:rsidR="00B516BA">
        <w:t>’ everyday interactions</w:t>
      </w:r>
      <w:r>
        <w:t>.</w:t>
      </w:r>
    </w:p>
    <w:p w14:paraId="140E821B" w14:textId="417B362C" w:rsidR="008C3223" w:rsidRDefault="008C3223" w:rsidP="008C3223">
      <w:pPr>
        <w:ind w:firstLine="720"/>
      </w:pPr>
      <w:r>
        <w:t xml:space="preserve">Given the time it takes to bring about these changes, the anticipated consumer impacts are slower to come. </w:t>
      </w:r>
      <w:r w:rsidR="00B516BA">
        <w:t>Indeed, for long-term outcomes</w:t>
      </w:r>
      <w:r w:rsidR="00CE5997">
        <w:t xml:space="preserve"> one wouldn’t expect to see them accrue until after at least four or more years after beginning work on a major initiative and most of WINTAC’s TA and VR’s shifts in service models </w:t>
      </w:r>
      <w:r w:rsidR="00DA71DA">
        <w:t xml:space="preserve">have not yet reached that time scale.  Nevertheless, </w:t>
      </w:r>
      <w:r>
        <w:t>evidence of improved capacity, efficiencies achieved</w:t>
      </w:r>
      <w:r w:rsidR="00B516BA">
        <w:t>,</w:t>
      </w:r>
      <w:r>
        <w:t xml:space="preserve"> and individuals being served – even on a small scale – </w:t>
      </w:r>
      <w:r w:rsidR="00DA71DA">
        <w:t>are being seen and seem</w:t>
      </w:r>
      <w:r>
        <w:t xml:space="preserve"> strong enough to predict promising outcomes as the systems, infrastructures</w:t>
      </w:r>
      <w:r w:rsidR="00B516BA">
        <w:t>,</w:t>
      </w:r>
      <w:r>
        <w:t xml:space="preserve"> and programs mature. </w:t>
      </w:r>
      <w:r w:rsidR="00DA71DA">
        <w:t>I</w:t>
      </w:r>
      <w:r>
        <w:t>mportantly, VR and partners are putting mechanisms in place to track and review the results of their actions and factor the findings into future systems improvements.</w:t>
      </w:r>
    </w:p>
    <w:p w14:paraId="0BA2129D" w14:textId="77777777" w:rsidR="008C3223" w:rsidRDefault="008C3223" w:rsidP="008C3223">
      <w:pPr>
        <w:ind w:firstLine="720"/>
      </w:pPr>
      <w:r w:rsidRPr="00F37BD5">
        <w:t>The challenges</w:t>
      </w:r>
      <w:r>
        <w:t xml:space="preserve"> encountered are complex and wide-ranging. The one cited in most every area is posed by epic rates of turnover in personnel. The implications for states and TA teams alike are enormous: New leadership may abandon agreements that took months (years?) to negotiate. New VR staff may not buy into a process or practice whose integrity requires commitment from all parties. Service delivery staff trained at great expense may move on to greener pastures leaving vacancies unfilled because of the heavy investment in finding or training qualified replacements. Two other commonly cited challenges that can impede successful TA and have required significant resourcefulness to address relate to site readiness (to comply with a regulation or adopt or adapt a given program or practice) and system or program sustainability. As noted in this report, WINTAC has invested significant time and energy in clearly defining and addressing (or beginning to address) these and other barriers to achieving TA objectives.</w:t>
      </w:r>
    </w:p>
    <w:p w14:paraId="63B0CB7A" w14:textId="3E9FFFAC" w:rsidR="008C3223" w:rsidRDefault="008C3223" w:rsidP="008C3223">
      <w:pPr>
        <w:ind w:firstLine="720"/>
      </w:pPr>
      <w:r>
        <w:t xml:space="preserve">WINTAC manages these accomplishments and challenges with a team of diverse and highly regarded national experts and with ongoing innovation in TA practice that increases its reach, </w:t>
      </w:r>
      <w:r>
        <w:lastRenderedPageBreak/>
        <w:t>productivity</w:t>
      </w:r>
      <w:r w:rsidR="00EE6200">
        <w:t>,</w:t>
      </w:r>
      <w:r>
        <w:t xml:space="preserve"> and effectiveness. Partnering is perhaps the best example of innovative TA – joining with collaborators and competitors alike: Nationally, cultivating relationships with other TACs, associations, universities</w:t>
      </w:r>
      <w:r w:rsidR="00EE6200">
        <w:t>,</w:t>
      </w:r>
      <w:r>
        <w:t xml:space="preserve"> and government entities to advance the state of the art in VR practice or advocate for statutory or regulatory changes that will improve services to individuals with disabilities. At the state level</w:t>
      </w:r>
      <w:r w:rsidR="00EE6200">
        <w:t>,</w:t>
      </w:r>
      <w:r>
        <w:t xml:space="preserve"> </w:t>
      </w:r>
      <w:r w:rsidR="00EE6200">
        <w:t xml:space="preserve">WINTAC </w:t>
      </w:r>
      <w:r>
        <w:t>recruit</w:t>
      </w:r>
      <w:r w:rsidR="00EE6200">
        <w:t>s</w:t>
      </w:r>
      <w:r>
        <w:t xml:space="preserve"> partners and resources to wrap richer supports around agencies and individuals and move virtual mountains by facilitating and nurturing relationships across and within agencies. Finally, at the TA operations level, </w:t>
      </w:r>
      <w:r w:rsidR="00330731">
        <w:t xml:space="preserve">WINTAC </w:t>
      </w:r>
      <w:r>
        <w:t>structur</w:t>
      </w:r>
      <w:r w:rsidR="00330731">
        <w:t>es</w:t>
      </w:r>
      <w:r>
        <w:t xml:space="preserve"> open communications with RSA and internal collaborations across TA areas.</w:t>
      </w:r>
    </w:p>
    <w:p w14:paraId="107AFB3D" w14:textId="1B202D26" w:rsidR="008C3223" w:rsidRDefault="008C3223" w:rsidP="008C3223">
      <w:pPr>
        <w:ind w:firstLine="720"/>
      </w:pPr>
      <w:r>
        <w:t>Another innovation in WINTAC’s intensive TA is a culture of continuity: WINTAC teams inform themselves about (if not immerse themselves in) the state’s VR affairs – establishing hands-on connections, customizing their assistance</w:t>
      </w:r>
      <w:r w:rsidR="00330731">
        <w:t>,</w:t>
      </w:r>
      <w:r>
        <w:t xml:space="preserve"> and demonstrating that they are in it through thick and thin. They collaborate with each other to coordinate and maximize resources. They facilitate communities of practice and offer other supplemental forms of contact. As a result, states view the teams as an ongoing, reliable source of support and expertise and are more likely to seek assistance before their needs or problems worsen.</w:t>
      </w:r>
    </w:p>
    <w:p w14:paraId="5905068F" w14:textId="13AEBC88" w:rsidR="008C3223" w:rsidRDefault="008C3223" w:rsidP="008C3223">
      <w:pPr>
        <w:ind w:firstLine="720"/>
        <w:rPr>
          <w:rFonts w:cstheme="minorHAnsi"/>
        </w:rPr>
      </w:pPr>
      <w:r>
        <w:t>Our observations about the work in Customized Employment apply equally to all ITA topic areas</w:t>
      </w:r>
      <w:r w:rsidR="00CA66A6">
        <w:t>:</w:t>
      </w:r>
      <w:r>
        <w:t xml:space="preserve"> </w:t>
      </w:r>
      <w:r w:rsidR="00CA66A6">
        <w:t>“</w:t>
      </w:r>
      <w:r w:rsidRPr="00925FD8">
        <w:rPr>
          <w:rFonts w:cstheme="minorHAnsi"/>
          <w:i/>
        </w:rPr>
        <w:t>The numbers are already promising, in terms of [systems,</w:t>
      </w:r>
      <w:r>
        <w:rPr>
          <w:rFonts w:cstheme="minorHAnsi"/>
          <w:i/>
        </w:rPr>
        <w:t xml:space="preserve"> resources</w:t>
      </w:r>
      <w:r w:rsidRPr="00925FD8">
        <w:rPr>
          <w:rFonts w:cstheme="minorHAnsi"/>
          <w:i/>
        </w:rPr>
        <w:t xml:space="preserve">] partnerships, capacity and consumers served. The experiences behind the numbers tell more of the story, in terms of the degree of collaboration and cultural and systems change it has taken to get to this point, what it will take to sustain the effort and how intensive the TA will still need to be to support it all. It is complicated and multi-layered: </w:t>
      </w:r>
      <w:r>
        <w:rPr>
          <w:rFonts w:cstheme="minorHAnsi"/>
          <w:i/>
        </w:rPr>
        <w:t>The SVRA layer being about a</w:t>
      </w:r>
      <w:r w:rsidRPr="00925FD8">
        <w:rPr>
          <w:rFonts w:cstheme="minorHAnsi"/>
          <w:i/>
        </w:rPr>
        <w:t xml:space="preserve">dopting and sustaining [a new </w:t>
      </w:r>
      <w:r>
        <w:rPr>
          <w:rFonts w:cstheme="minorHAnsi"/>
          <w:i/>
        </w:rPr>
        <w:t xml:space="preserve">policy or </w:t>
      </w:r>
      <w:r w:rsidRPr="00925FD8">
        <w:rPr>
          <w:rFonts w:cstheme="minorHAnsi"/>
          <w:i/>
        </w:rPr>
        <w:t>practice];</w:t>
      </w:r>
      <w:r>
        <w:rPr>
          <w:rFonts w:cstheme="minorHAnsi"/>
          <w:i/>
        </w:rPr>
        <w:t xml:space="preserve"> the TA layer being about</w:t>
      </w:r>
      <w:r w:rsidRPr="00925FD8">
        <w:rPr>
          <w:rFonts w:cstheme="minorHAnsi"/>
          <w:i/>
        </w:rPr>
        <w:t xml:space="preserve"> designing, implementing and evaluating a [</w:t>
      </w:r>
      <w:r>
        <w:rPr>
          <w:rFonts w:cstheme="minorHAnsi"/>
          <w:i/>
        </w:rPr>
        <w:t>projec</w:t>
      </w:r>
      <w:r w:rsidRPr="00925FD8">
        <w:rPr>
          <w:rFonts w:cstheme="minorHAnsi"/>
          <w:i/>
        </w:rPr>
        <w:t>t];</w:t>
      </w:r>
      <w:r>
        <w:rPr>
          <w:rFonts w:cstheme="minorHAnsi"/>
          <w:i/>
        </w:rPr>
        <w:t xml:space="preserve"> and the systems layer being</w:t>
      </w:r>
      <w:r w:rsidRPr="00925FD8">
        <w:rPr>
          <w:rFonts w:cstheme="minorHAnsi"/>
          <w:i/>
        </w:rPr>
        <w:t xml:space="preserve"> </w:t>
      </w:r>
      <w:r>
        <w:rPr>
          <w:rFonts w:cstheme="minorHAnsi"/>
          <w:i/>
        </w:rPr>
        <w:t xml:space="preserve">about </w:t>
      </w:r>
      <w:r w:rsidRPr="00925FD8">
        <w:rPr>
          <w:rFonts w:cstheme="minorHAnsi"/>
          <w:i/>
        </w:rPr>
        <w:t>bringing it all together in a way that [</w:t>
      </w:r>
      <w:r>
        <w:rPr>
          <w:rFonts w:cstheme="minorHAnsi"/>
          <w:i/>
        </w:rPr>
        <w:t>the new policy or practice</w:t>
      </w:r>
      <w:r w:rsidRPr="00925FD8">
        <w:rPr>
          <w:rFonts w:cstheme="minorHAnsi"/>
          <w:i/>
        </w:rPr>
        <w:t>] is integral to VR service delivery. There are challenges at every turn. But to its credit, WINTAC has the expertise, the access, credibility and finesse to bring it together, and the track record to see it through going forward as time and resources permit.</w:t>
      </w:r>
      <w:r w:rsidR="00CA66A6">
        <w:rPr>
          <w:rFonts w:cstheme="minorHAnsi"/>
          <w:i/>
        </w:rPr>
        <w:t>”</w:t>
      </w:r>
    </w:p>
    <w:p w14:paraId="3A597767" w14:textId="317DC7F8" w:rsidR="008C3223" w:rsidRDefault="008C3223" w:rsidP="008C3223">
      <w:pPr>
        <w:pStyle w:val="Heading2"/>
        <w:numPr>
          <w:ilvl w:val="0"/>
          <w:numId w:val="0"/>
        </w:numPr>
      </w:pPr>
      <w:bookmarkStart w:id="177" w:name="_Toc28011476"/>
      <w:r>
        <w:t>RECOMMENDATIONS</w:t>
      </w:r>
      <w:bookmarkEnd w:id="177"/>
    </w:p>
    <w:p w14:paraId="15468B01" w14:textId="4F64CA5D" w:rsidR="008C3223" w:rsidRDefault="008C3223" w:rsidP="008C3223">
      <w:r>
        <w:tab/>
        <w:t xml:space="preserve">The recommended next steps and solutions identified in the preceding chapters follow several common themes. This summary focuses on those most related to evaluation. Whereas most of our evaluation work and reporting thus far has focused on the progress in completing activities and outputs, in Year Five we will be shifting emphasis to outcomes. While </w:t>
      </w:r>
      <w:r w:rsidR="0084296F">
        <w:t>even then it will</w:t>
      </w:r>
      <w:r>
        <w:t xml:space="preserve"> still </w:t>
      </w:r>
      <w:r w:rsidR="0084296F">
        <w:t xml:space="preserve">be too </w:t>
      </w:r>
      <w:r>
        <w:t>early to see major impact</w:t>
      </w:r>
      <w:r w:rsidR="0084296F">
        <w:t>,</w:t>
      </w:r>
      <w:r>
        <w:t xml:space="preserve"> we need to </w:t>
      </w:r>
      <w:r w:rsidR="0084296F">
        <w:t xml:space="preserve">lay the foundation </w:t>
      </w:r>
      <w:r>
        <w:t xml:space="preserve">to </w:t>
      </w:r>
      <w:r w:rsidR="003F67BE">
        <w:t xml:space="preserve">be able to effectively </w:t>
      </w:r>
      <w:r>
        <w:t>measure it as the time comes.</w:t>
      </w:r>
    </w:p>
    <w:p w14:paraId="4E4F5E02" w14:textId="77777777" w:rsidR="008C3223" w:rsidRDefault="008C3223" w:rsidP="008C3223"/>
    <w:p w14:paraId="55D658DA" w14:textId="54AE43A1" w:rsidR="008C3223" w:rsidRPr="00F567AA" w:rsidRDefault="008C3223" w:rsidP="008C3223">
      <w:pPr>
        <w:pStyle w:val="ListParagraph"/>
        <w:numPr>
          <w:ilvl w:val="0"/>
          <w:numId w:val="72"/>
        </w:numPr>
        <w:spacing w:after="0" w:line="240" w:lineRule="auto"/>
        <w:rPr>
          <w:i/>
        </w:rPr>
      </w:pPr>
      <w:r w:rsidRPr="003F67BE">
        <w:rPr>
          <w:i/>
          <w:u w:val="single"/>
        </w:rPr>
        <w:t>Targets and baselines</w:t>
      </w:r>
      <w:r w:rsidRPr="004A1F5C">
        <w:rPr>
          <w:i/>
        </w:rPr>
        <w:t>:</w:t>
      </w:r>
      <w:r>
        <w:t xml:space="preserve"> The Evaluation Team will work with </w:t>
      </w:r>
      <w:r w:rsidR="0098514F">
        <w:t>WINTAC Leadership and Topic A</w:t>
      </w:r>
      <w:r>
        <w:t xml:space="preserve">rea </w:t>
      </w:r>
      <w:r w:rsidR="0098514F">
        <w:t>T</w:t>
      </w:r>
      <w:r>
        <w:t>eams to revisit the outcomes articulated in states’ ITAAs. The first task will be to confirm or adjust the outcomes themselves to ensure they realistically can be expected from the respective actions and outputs. The second will be to identify measurable baselines and targets for all confirmed outcomes.</w:t>
      </w:r>
    </w:p>
    <w:p w14:paraId="1B1B9324" w14:textId="77777777" w:rsidR="008C3223" w:rsidRPr="0047163A" w:rsidRDefault="008C3223" w:rsidP="008C3223">
      <w:pPr>
        <w:pStyle w:val="ListParagraph"/>
        <w:numPr>
          <w:ilvl w:val="0"/>
          <w:numId w:val="72"/>
        </w:numPr>
        <w:spacing w:after="0" w:line="240" w:lineRule="auto"/>
        <w:rPr>
          <w:i/>
        </w:rPr>
      </w:pPr>
      <w:r w:rsidRPr="003F67BE">
        <w:rPr>
          <w:i/>
          <w:u w:val="single"/>
        </w:rPr>
        <w:t>Context</w:t>
      </w:r>
      <w:r>
        <w:rPr>
          <w:i/>
        </w:rPr>
        <w:t xml:space="preserve">: </w:t>
      </w:r>
      <w:r>
        <w:t xml:space="preserve">So far, the level of context by which to interpret reported interactions and observed impacts varies from area to area. We will support teams in tracking and reporting on basic </w:t>
      </w:r>
      <w:r>
        <w:lastRenderedPageBreak/>
        <w:t>questions about the nature of their engagement with SVRAs in order to better understand their impact and the changes that have resulted.</w:t>
      </w:r>
    </w:p>
    <w:p w14:paraId="0BE88DCB" w14:textId="77777777" w:rsidR="008C3223" w:rsidRPr="0047163A" w:rsidRDefault="008C3223" w:rsidP="008C3223">
      <w:pPr>
        <w:pStyle w:val="ListParagraph"/>
        <w:numPr>
          <w:ilvl w:val="0"/>
          <w:numId w:val="72"/>
        </w:numPr>
        <w:spacing w:after="0" w:line="240" w:lineRule="auto"/>
        <w:rPr>
          <w:i/>
        </w:rPr>
      </w:pPr>
      <w:r w:rsidRPr="003F67BE">
        <w:rPr>
          <w:i/>
          <w:u w:val="single"/>
        </w:rPr>
        <w:t>Advanced analysis</w:t>
      </w:r>
      <w:r>
        <w:rPr>
          <w:i/>
        </w:rPr>
        <w:t>:</w:t>
      </w:r>
      <w:r>
        <w:t xml:space="preserve"> Data tracking requirements or mechanisms are embedded in the design and execution of some topic area activities and outputs. We hope to take fuller advantage of these capabilities – and assist in strengthening capability in other areas – to assess the effectiveness of services and conduct fiscal and cost-benefit analyses in greater depth.</w:t>
      </w:r>
    </w:p>
    <w:p w14:paraId="739463AF" w14:textId="1CA08639" w:rsidR="008C3223" w:rsidRPr="00352D8F" w:rsidRDefault="008C3223" w:rsidP="008C3223">
      <w:pPr>
        <w:pStyle w:val="ListParagraph"/>
        <w:numPr>
          <w:ilvl w:val="0"/>
          <w:numId w:val="72"/>
        </w:numPr>
        <w:spacing w:after="0" w:line="240" w:lineRule="auto"/>
        <w:rPr>
          <w:i/>
        </w:rPr>
      </w:pPr>
      <w:r w:rsidRPr="003F67BE">
        <w:rPr>
          <w:i/>
          <w:u w:val="single"/>
        </w:rPr>
        <w:t>Special studies</w:t>
      </w:r>
      <w:r>
        <w:rPr>
          <w:i/>
        </w:rPr>
        <w:t>:</w:t>
      </w:r>
      <w:r>
        <w:t xml:space="preserve"> The Evaluation Team will offer supports to interested states in articulating and exploring special questions (as identified in the individual chapters) using custom tracking systems, case studies</w:t>
      </w:r>
      <w:r w:rsidR="00EA56CA">
        <w:t>,</w:t>
      </w:r>
      <w:r>
        <w:t xml:space="preserve"> and</w:t>
      </w:r>
      <w:r w:rsidR="00EA56CA">
        <w:t>/or</w:t>
      </w:r>
      <w:r>
        <w:t xml:space="preserve"> targeted surveys or interviews.</w:t>
      </w:r>
    </w:p>
    <w:p w14:paraId="1EC12098" w14:textId="6172447B" w:rsidR="008C3223" w:rsidRPr="00352D8F" w:rsidRDefault="008C3223" w:rsidP="008C3223">
      <w:pPr>
        <w:pStyle w:val="ListParagraph"/>
        <w:numPr>
          <w:ilvl w:val="0"/>
          <w:numId w:val="72"/>
        </w:numPr>
        <w:spacing w:after="0" w:line="240" w:lineRule="auto"/>
        <w:rPr>
          <w:i/>
        </w:rPr>
      </w:pPr>
      <w:r w:rsidRPr="00EA56CA">
        <w:rPr>
          <w:i/>
          <w:u w:val="single"/>
        </w:rPr>
        <w:t>Replicable models</w:t>
      </w:r>
      <w:r>
        <w:rPr>
          <w:i/>
        </w:rPr>
        <w:t>:</w:t>
      </w:r>
      <w:r>
        <w:t xml:space="preserve"> Many teams and states have seen success with designs, methods</w:t>
      </w:r>
      <w:r w:rsidR="009335AA">
        <w:t>,</w:t>
      </w:r>
      <w:r>
        <w:t xml:space="preserve"> or protocols that might be of interest to other teams or states. The Evaluation Team will help to identify them and gain an understanding of what made them successful, key design features, the implementation process, </w:t>
      </w:r>
      <w:r w:rsidR="009335AA">
        <w:t xml:space="preserve">their </w:t>
      </w:r>
      <w:r>
        <w:t xml:space="preserve">cost-benefit, </w:t>
      </w:r>
      <w:r w:rsidR="009335AA">
        <w:t>and other contextual factors affecting replicability.</w:t>
      </w:r>
    </w:p>
    <w:p w14:paraId="720C2FF9" w14:textId="62E150C1" w:rsidR="008C3223" w:rsidRPr="00565DA6" w:rsidRDefault="008C3223" w:rsidP="008C3223">
      <w:pPr>
        <w:pStyle w:val="ListParagraph"/>
        <w:numPr>
          <w:ilvl w:val="0"/>
          <w:numId w:val="72"/>
        </w:numPr>
        <w:spacing w:after="0" w:line="240" w:lineRule="auto"/>
        <w:rPr>
          <w:i/>
        </w:rPr>
      </w:pPr>
      <w:r w:rsidRPr="00EA56CA">
        <w:rPr>
          <w:i/>
          <w:u w:val="single"/>
        </w:rPr>
        <w:t>Systems change</w:t>
      </w:r>
      <w:r>
        <w:rPr>
          <w:i/>
        </w:rPr>
        <w:t>:</w:t>
      </w:r>
      <w:r>
        <w:t xml:space="preserve"> </w:t>
      </w:r>
      <w:r w:rsidR="00B1021D">
        <w:t>Output and outcome tracking for WINTAC TA reveal significant</w:t>
      </w:r>
      <w:r>
        <w:t xml:space="preserve"> systems change </w:t>
      </w:r>
      <w:r w:rsidR="00B1021D">
        <w:t xml:space="preserve">processes taking place </w:t>
      </w:r>
      <w:r>
        <w:t>as a result of WINTAC’s intensive technical assistance</w:t>
      </w:r>
      <w:r w:rsidR="00B1021D">
        <w:t>; in Year 5, the</w:t>
      </w:r>
      <w:r w:rsidR="00894724">
        <w:t xml:space="preserve"> Evaluation Team can work with TA Teams to map the ways these changes have and will affect client services and outcomes directly and indirectly with a focus on the synergistic effects and </w:t>
      </w:r>
      <w:r w:rsidR="00202241">
        <w:t>use of measurable data from agencies and/or RSA</w:t>
      </w:r>
      <w:r>
        <w:t>.</w:t>
      </w:r>
    </w:p>
    <w:p w14:paraId="58994B9B" w14:textId="1636EAB2" w:rsidR="008C3223" w:rsidRPr="004A1F5C" w:rsidRDefault="008C3223" w:rsidP="008C3223">
      <w:pPr>
        <w:pStyle w:val="ListParagraph"/>
        <w:numPr>
          <w:ilvl w:val="0"/>
          <w:numId w:val="72"/>
        </w:numPr>
        <w:spacing w:after="0" w:line="240" w:lineRule="auto"/>
        <w:rPr>
          <w:i/>
        </w:rPr>
      </w:pPr>
      <w:r w:rsidRPr="00EA56CA">
        <w:rPr>
          <w:i/>
          <w:u w:val="single"/>
        </w:rPr>
        <w:t>Evaluation and sustainability plans</w:t>
      </w:r>
      <w:r>
        <w:rPr>
          <w:i/>
        </w:rPr>
        <w:t>:</w:t>
      </w:r>
      <w:r>
        <w:t xml:space="preserve"> For future TA purposes, the Evaluation Team strongly recommends that evaluation steps and resources as well as sustainability measures are more clearly defined  in the early stages of planning. This should include referencing the respective area’s logic model</w:t>
      </w:r>
      <w:r w:rsidRPr="00E83BB7">
        <w:t xml:space="preserve"> </w:t>
      </w:r>
      <w:r>
        <w:t>in the course of developing strategies and identifying outcomes</w:t>
      </w:r>
      <w:r w:rsidR="00D20E9A">
        <w:t xml:space="preserve"> baselines and benchmarks along with timelines and responsibilities for supporting measurement objectives</w:t>
      </w:r>
      <w:r>
        <w:t>.</w:t>
      </w:r>
    </w:p>
    <w:p w14:paraId="02603C36" w14:textId="77777777" w:rsidR="00BA0D82" w:rsidRDefault="00BA0D82" w:rsidP="00CE02FE">
      <w:pPr>
        <w:sectPr w:rsidR="00BA0D82" w:rsidSect="00D27D05">
          <w:headerReference w:type="even" r:id="rId535"/>
          <w:headerReference w:type="default" r:id="rId536"/>
          <w:footerReference w:type="even" r:id="rId537"/>
          <w:footerReference w:type="default" r:id="rId538"/>
          <w:headerReference w:type="first" r:id="rId539"/>
          <w:footerReference w:type="first" r:id="rId540"/>
          <w:pgSz w:w="12240" w:h="15840" w:code="1"/>
          <w:pgMar w:top="1440" w:right="1440" w:bottom="1440" w:left="1440" w:header="720" w:footer="720" w:gutter="0"/>
          <w:pgBorders w:offsetFrom="page">
            <w:top w:val="thinThickSmallGap" w:sz="24" w:space="24" w:color="2F5496" w:themeColor="accent1" w:themeShade="BF"/>
            <w:left w:val="thinThickSmallGap" w:sz="24" w:space="24" w:color="2F5496" w:themeColor="accent1" w:themeShade="BF"/>
            <w:bottom w:val="thickThinSmallGap" w:sz="24" w:space="24" w:color="2F5496" w:themeColor="accent1" w:themeShade="BF"/>
            <w:right w:val="thickThinSmallGap" w:sz="24" w:space="24" w:color="2F5496" w:themeColor="accent1" w:themeShade="BF"/>
          </w:pgBorders>
          <w:cols w:space="720"/>
          <w:docGrid w:linePitch="360"/>
        </w:sectPr>
      </w:pPr>
    </w:p>
    <w:p w14:paraId="40F292E6" w14:textId="3DDB6795" w:rsidR="00BA0D82" w:rsidRDefault="00BA0D82" w:rsidP="00BC793A">
      <w:pPr>
        <w:pStyle w:val="Heading1"/>
        <w:numPr>
          <w:ilvl w:val="0"/>
          <w:numId w:val="0"/>
        </w:numPr>
        <w:shd w:val="clear" w:color="auto" w:fill="auto"/>
        <w:spacing w:line="216" w:lineRule="auto"/>
      </w:pPr>
      <w:bookmarkStart w:id="178" w:name="_Toc28011477"/>
      <w:r w:rsidRPr="00835F5F">
        <w:lastRenderedPageBreak/>
        <w:t>Appendix</w:t>
      </w:r>
      <w:r w:rsidR="003E54B4">
        <w:t xml:space="preserve"> A</w:t>
      </w:r>
      <w:r w:rsidR="003E54B4">
        <w:br/>
      </w:r>
      <w:r w:rsidRPr="00835F5F">
        <w:t>ITA Activity Progress by Stat</w:t>
      </w:r>
      <w:r>
        <w:t>e</w:t>
      </w:r>
      <w:bookmarkEnd w:id="178"/>
    </w:p>
    <w:p w14:paraId="34FA4CA3" w14:textId="77777777" w:rsidR="00BA0D82" w:rsidRPr="00835F5F" w:rsidRDefault="00BA0D82" w:rsidP="00BC793A">
      <w:pPr>
        <w:pStyle w:val="TOCHeading"/>
        <w:spacing w:before="0" w:line="240" w:lineRule="auto"/>
        <w:rPr>
          <w:b/>
          <w:sz w:val="28"/>
          <w:szCs w:val="28"/>
        </w:rPr>
      </w:pPr>
      <w:r w:rsidRPr="00835F5F">
        <w:rPr>
          <w:b/>
          <w:sz w:val="28"/>
          <w:szCs w:val="28"/>
        </w:rPr>
        <w:t>Table of Contents</w:t>
      </w:r>
    </w:p>
    <w:p w14:paraId="015AD3D9" w14:textId="06CB4CB9" w:rsidR="00BA0D82" w:rsidRDefault="00BA0D82" w:rsidP="00BC793A">
      <w:pPr>
        <w:pStyle w:val="TOC2"/>
        <w:tabs>
          <w:tab w:val="right" w:leader="dot" w:pos="10790"/>
        </w:tabs>
        <w:spacing w:after="0" w:line="216" w:lineRule="auto"/>
        <w:rPr>
          <w:noProof/>
        </w:rPr>
      </w:pPr>
      <w:r>
        <w:rPr>
          <w:rFonts w:asciiTheme="majorHAnsi" w:eastAsiaTheme="majorEastAsia" w:hAnsiTheme="majorHAnsi" w:cstheme="majorBidi"/>
          <w:color w:val="2F5496" w:themeColor="accent1" w:themeShade="BF"/>
          <w:sz w:val="32"/>
          <w:szCs w:val="32"/>
        </w:rPr>
        <w:fldChar w:fldCharType="begin"/>
      </w:r>
      <w:r>
        <w:rPr>
          <w:rFonts w:asciiTheme="majorHAnsi" w:eastAsiaTheme="majorEastAsia" w:hAnsiTheme="majorHAnsi" w:cstheme="majorBidi"/>
          <w:color w:val="2F5496" w:themeColor="accent1" w:themeShade="BF"/>
          <w:sz w:val="32"/>
          <w:szCs w:val="32"/>
        </w:rPr>
        <w:instrText xml:space="preserve"> TOC \o "1-2" \h \z \u </w:instrText>
      </w:r>
      <w:r>
        <w:rPr>
          <w:rFonts w:asciiTheme="majorHAnsi" w:eastAsiaTheme="majorEastAsia" w:hAnsiTheme="majorHAnsi" w:cstheme="majorBidi"/>
          <w:color w:val="2F5496" w:themeColor="accent1" w:themeShade="BF"/>
          <w:sz w:val="32"/>
          <w:szCs w:val="32"/>
        </w:rPr>
        <w:fldChar w:fldCharType="separate"/>
      </w:r>
      <w:hyperlink w:anchor="_Toc27143179" w:history="1">
        <w:r w:rsidRPr="00743993">
          <w:rPr>
            <w:rStyle w:val="Hyperlink"/>
            <w:rFonts w:eastAsia="Times New Roman"/>
            <w:noProof/>
          </w:rPr>
          <w:t>All States</w:t>
        </w:r>
        <w:r>
          <w:rPr>
            <w:noProof/>
            <w:webHidden/>
          </w:rPr>
          <w:tab/>
        </w:r>
        <w:r>
          <w:rPr>
            <w:noProof/>
            <w:webHidden/>
          </w:rPr>
          <w:fldChar w:fldCharType="begin"/>
        </w:r>
        <w:r>
          <w:rPr>
            <w:noProof/>
            <w:webHidden/>
          </w:rPr>
          <w:instrText xml:space="preserve"> PAGEREF _Toc27143179 \h </w:instrText>
        </w:r>
        <w:r>
          <w:rPr>
            <w:noProof/>
            <w:webHidden/>
          </w:rPr>
        </w:r>
        <w:r>
          <w:rPr>
            <w:noProof/>
            <w:webHidden/>
          </w:rPr>
          <w:fldChar w:fldCharType="separate"/>
        </w:r>
        <w:r w:rsidR="00DB3AD8">
          <w:rPr>
            <w:noProof/>
            <w:webHidden/>
          </w:rPr>
          <w:t>2</w:t>
        </w:r>
        <w:r>
          <w:rPr>
            <w:noProof/>
            <w:webHidden/>
          </w:rPr>
          <w:fldChar w:fldCharType="end"/>
        </w:r>
      </w:hyperlink>
    </w:p>
    <w:p w14:paraId="147DDC04" w14:textId="1BA9DB74" w:rsidR="00BA0D82" w:rsidRDefault="00366D34" w:rsidP="00BC793A">
      <w:pPr>
        <w:pStyle w:val="TOC2"/>
        <w:tabs>
          <w:tab w:val="right" w:leader="dot" w:pos="10790"/>
        </w:tabs>
        <w:spacing w:after="0" w:line="216" w:lineRule="auto"/>
        <w:rPr>
          <w:noProof/>
        </w:rPr>
      </w:pPr>
      <w:hyperlink w:anchor="_Toc27143180" w:history="1">
        <w:r w:rsidR="00BA0D82" w:rsidRPr="00743993">
          <w:rPr>
            <w:rStyle w:val="Hyperlink"/>
            <w:rFonts w:eastAsia="Times New Roman"/>
            <w:noProof/>
          </w:rPr>
          <w:t>Alaska Combined</w:t>
        </w:r>
        <w:r w:rsidR="00BA0D82">
          <w:rPr>
            <w:noProof/>
            <w:webHidden/>
          </w:rPr>
          <w:tab/>
        </w:r>
        <w:r w:rsidR="00BA0D82">
          <w:rPr>
            <w:noProof/>
            <w:webHidden/>
          </w:rPr>
          <w:fldChar w:fldCharType="begin"/>
        </w:r>
        <w:r w:rsidR="00BA0D82">
          <w:rPr>
            <w:noProof/>
            <w:webHidden/>
          </w:rPr>
          <w:instrText xml:space="preserve"> PAGEREF _Toc27143180 \h </w:instrText>
        </w:r>
        <w:r w:rsidR="00BA0D82">
          <w:rPr>
            <w:noProof/>
            <w:webHidden/>
          </w:rPr>
        </w:r>
        <w:r w:rsidR="00BA0D82">
          <w:rPr>
            <w:noProof/>
            <w:webHidden/>
          </w:rPr>
          <w:fldChar w:fldCharType="separate"/>
        </w:r>
        <w:r w:rsidR="00DB3AD8">
          <w:rPr>
            <w:noProof/>
            <w:webHidden/>
          </w:rPr>
          <w:t>2</w:t>
        </w:r>
        <w:r w:rsidR="00BA0D82">
          <w:rPr>
            <w:noProof/>
            <w:webHidden/>
          </w:rPr>
          <w:fldChar w:fldCharType="end"/>
        </w:r>
      </w:hyperlink>
    </w:p>
    <w:p w14:paraId="3B6E3110" w14:textId="7183C453" w:rsidR="00BA0D82" w:rsidRDefault="00366D34" w:rsidP="00BC793A">
      <w:pPr>
        <w:pStyle w:val="TOC2"/>
        <w:tabs>
          <w:tab w:val="right" w:leader="dot" w:pos="10790"/>
        </w:tabs>
        <w:spacing w:after="0" w:line="216" w:lineRule="auto"/>
        <w:rPr>
          <w:noProof/>
        </w:rPr>
      </w:pPr>
      <w:hyperlink w:anchor="_Toc27143181" w:history="1">
        <w:r w:rsidR="00BA0D82" w:rsidRPr="00743993">
          <w:rPr>
            <w:rStyle w:val="Hyperlink"/>
            <w:rFonts w:eastAsia="Times New Roman"/>
            <w:noProof/>
          </w:rPr>
          <w:t>American Samoa Combined</w:t>
        </w:r>
        <w:r w:rsidR="00BA0D82">
          <w:rPr>
            <w:noProof/>
            <w:webHidden/>
          </w:rPr>
          <w:tab/>
        </w:r>
        <w:r w:rsidR="00BA0D82">
          <w:rPr>
            <w:noProof/>
            <w:webHidden/>
          </w:rPr>
          <w:fldChar w:fldCharType="begin"/>
        </w:r>
        <w:r w:rsidR="00BA0D82">
          <w:rPr>
            <w:noProof/>
            <w:webHidden/>
          </w:rPr>
          <w:instrText xml:space="preserve"> PAGEREF _Toc27143181 \h </w:instrText>
        </w:r>
        <w:r w:rsidR="00BA0D82">
          <w:rPr>
            <w:noProof/>
            <w:webHidden/>
          </w:rPr>
        </w:r>
        <w:r w:rsidR="00BA0D82">
          <w:rPr>
            <w:noProof/>
            <w:webHidden/>
          </w:rPr>
          <w:fldChar w:fldCharType="separate"/>
        </w:r>
        <w:r w:rsidR="00DB3AD8">
          <w:rPr>
            <w:noProof/>
            <w:webHidden/>
          </w:rPr>
          <w:t>3</w:t>
        </w:r>
        <w:r w:rsidR="00BA0D82">
          <w:rPr>
            <w:noProof/>
            <w:webHidden/>
          </w:rPr>
          <w:fldChar w:fldCharType="end"/>
        </w:r>
      </w:hyperlink>
    </w:p>
    <w:p w14:paraId="0D5D0D38" w14:textId="5CA599E0" w:rsidR="00BA0D82" w:rsidRDefault="00366D34" w:rsidP="00BC793A">
      <w:pPr>
        <w:pStyle w:val="TOC2"/>
        <w:tabs>
          <w:tab w:val="right" w:leader="dot" w:pos="10790"/>
        </w:tabs>
        <w:spacing w:after="0" w:line="216" w:lineRule="auto"/>
        <w:rPr>
          <w:noProof/>
        </w:rPr>
      </w:pPr>
      <w:hyperlink w:anchor="_Toc27143182" w:history="1">
        <w:r w:rsidR="00BA0D82" w:rsidRPr="00743993">
          <w:rPr>
            <w:rStyle w:val="Hyperlink"/>
            <w:rFonts w:eastAsia="Times New Roman"/>
            <w:noProof/>
          </w:rPr>
          <w:t>Arizona Combined</w:t>
        </w:r>
        <w:r w:rsidR="00BA0D82">
          <w:rPr>
            <w:noProof/>
            <w:webHidden/>
          </w:rPr>
          <w:tab/>
        </w:r>
        <w:r w:rsidR="00BA0D82">
          <w:rPr>
            <w:noProof/>
            <w:webHidden/>
          </w:rPr>
          <w:fldChar w:fldCharType="begin"/>
        </w:r>
        <w:r w:rsidR="00BA0D82">
          <w:rPr>
            <w:noProof/>
            <w:webHidden/>
          </w:rPr>
          <w:instrText xml:space="preserve"> PAGEREF _Toc27143182 \h </w:instrText>
        </w:r>
        <w:r w:rsidR="00BA0D82">
          <w:rPr>
            <w:noProof/>
            <w:webHidden/>
          </w:rPr>
        </w:r>
        <w:r w:rsidR="00BA0D82">
          <w:rPr>
            <w:noProof/>
            <w:webHidden/>
          </w:rPr>
          <w:fldChar w:fldCharType="separate"/>
        </w:r>
        <w:r w:rsidR="00DB3AD8">
          <w:rPr>
            <w:noProof/>
            <w:webHidden/>
          </w:rPr>
          <w:t>3</w:t>
        </w:r>
        <w:r w:rsidR="00BA0D82">
          <w:rPr>
            <w:noProof/>
            <w:webHidden/>
          </w:rPr>
          <w:fldChar w:fldCharType="end"/>
        </w:r>
      </w:hyperlink>
    </w:p>
    <w:p w14:paraId="45D0C368" w14:textId="07D09882" w:rsidR="00BA0D82" w:rsidRDefault="00366D34" w:rsidP="00BC793A">
      <w:pPr>
        <w:pStyle w:val="TOC2"/>
        <w:tabs>
          <w:tab w:val="right" w:leader="dot" w:pos="10790"/>
        </w:tabs>
        <w:spacing w:after="0" w:line="216" w:lineRule="auto"/>
        <w:rPr>
          <w:noProof/>
        </w:rPr>
      </w:pPr>
      <w:hyperlink w:anchor="_Toc27143183" w:history="1">
        <w:r w:rsidR="00BA0D82" w:rsidRPr="00743993">
          <w:rPr>
            <w:rStyle w:val="Hyperlink"/>
            <w:rFonts w:eastAsia="Times New Roman"/>
            <w:noProof/>
          </w:rPr>
          <w:t>Arkansas Blind</w:t>
        </w:r>
        <w:r w:rsidR="00BA0D82">
          <w:rPr>
            <w:noProof/>
            <w:webHidden/>
          </w:rPr>
          <w:tab/>
        </w:r>
        <w:r w:rsidR="00BA0D82">
          <w:rPr>
            <w:noProof/>
            <w:webHidden/>
          </w:rPr>
          <w:fldChar w:fldCharType="begin"/>
        </w:r>
        <w:r w:rsidR="00BA0D82">
          <w:rPr>
            <w:noProof/>
            <w:webHidden/>
          </w:rPr>
          <w:instrText xml:space="preserve"> PAGEREF _Toc27143183 \h </w:instrText>
        </w:r>
        <w:r w:rsidR="00BA0D82">
          <w:rPr>
            <w:noProof/>
            <w:webHidden/>
          </w:rPr>
        </w:r>
        <w:r w:rsidR="00BA0D82">
          <w:rPr>
            <w:noProof/>
            <w:webHidden/>
          </w:rPr>
          <w:fldChar w:fldCharType="separate"/>
        </w:r>
        <w:r w:rsidR="00DB3AD8">
          <w:rPr>
            <w:noProof/>
            <w:webHidden/>
          </w:rPr>
          <w:t>3</w:t>
        </w:r>
        <w:r w:rsidR="00BA0D82">
          <w:rPr>
            <w:noProof/>
            <w:webHidden/>
          </w:rPr>
          <w:fldChar w:fldCharType="end"/>
        </w:r>
      </w:hyperlink>
    </w:p>
    <w:p w14:paraId="74E5511B" w14:textId="464A48F8" w:rsidR="00BA0D82" w:rsidRDefault="00366D34" w:rsidP="00BC793A">
      <w:pPr>
        <w:pStyle w:val="TOC2"/>
        <w:tabs>
          <w:tab w:val="right" w:leader="dot" w:pos="10790"/>
        </w:tabs>
        <w:spacing w:after="0" w:line="216" w:lineRule="auto"/>
        <w:rPr>
          <w:noProof/>
        </w:rPr>
      </w:pPr>
      <w:hyperlink w:anchor="_Toc27143184" w:history="1">
        <w:r w:rsidR="00BA0D82" w:rsidRPr="00743993">
          <w:rPr>
            <w:rStyle w:val="Hyperlink"/>
            <w:rFonts w:eastAsia="Times New Roman"/>
            <w:noProof/>
          </w:rPr>
          <w:t>California Combined</w:t>
        </w:r>
        <w:r w:rsidR="00BA0D82">
          <w:rPr>
            <w:noProof/>
            <w:webHidden/>
          </w:rPr>
          <w:tab/>
        </w:r>
        <w:r w:rsidR="00BA0D82">
          <w:rPr>
            <w:noProof/>
            <w:webHidden/>
          </w:rPr>
          <w:fldChar w:fldCharType="begin"/>
        </w:r>
        <w:r w:rsidR="00BA0D82">
          <w:rPr>
            <w:noProof/>
            <w:webHidden/>
          </w:rPr>
          <w:instrText xml:space="preserve"> PAGEREF _Toc27143184 \h </w:instrText>
        </w:r>
        <w:r w:rsidR="00BA0D82">
          <w:rPr>
            <w:noProof/>
            <w:webHidden/>
          </w:rPr>
        </w:r>
        <w:r w:rsidR="00BA0D82">
          <w:rPr>
            <w:noProof/>
            <w:webHidden/>
          </w:rPr>
          <w:fldChar w:fldCharType="separate"/>
        </w:r>
        <w:r w:rsidR="00DB3AD8">
          <w:rPr>
            <w:noProof/>
            <w:webHidden/>
          </w:rPr>
          <w:t>3</w:t>
        </w:r>
        <w:r w:rsidR="00BA0D82">
          <w:rPr>
            <w:noProof/>
            <w:webHidden/>
          </w:rPr>
          <w:fldChar w:fldCharType="end"/>
        </w:r>
      </w:hyperlink>
    </w:p>
    <w:p w14:paraId="1C658155" w14:textId="2970542D" w:rsidR="00BA0D82" w:rsidRDefault="00366D34" w:rsidP="00BC793A">
      <w:pPr>
        <w:pStyle w:val="TOC2"/>
        <w:tabs>
          <w:tab w:val="right" w:leader="dot" w:pos="10790"/>
        </w:tabs>
        <w:spacing w:after="0" w:line="216" w:lineRule="auto"/>
        <w:rPr>
          <w:noProof/>
        </w:rPr>
      </w:pPr>
      <w:hyperlink w:anchor="_Toc27143185" w:history="1">
        <w:r w:rsidR="00BA0D82" w:rsidRPr="00743993">
          <w:rPr>
            <w:rStyle w:val="Hyperlink"/>
            <w:rFonts w:eastAsia="Times New Roman"/>
            <w:noProof/>
          </w:rPr>
          <w:t>CNMI Combined</w:t>
        </w:r>
        <w:r w:rsidR="00BA0D82">
          <w:rPr>
            <w:noProof/>
            <w:webHidden/>
          </w:rPr>
          <w:tab/>
        </w:r>
        <w:r w:rsidR="00BA0D82">
          <w:rPr>
            <w:noProof/>
            <w:webHidden/>
          </w:rPr>
          <w:fldChar w:fldCharType="begin"/>
        </w:r>
        <w:r w:rsidR="00BA0D82">
          <w:rPr>
            <w:noProof/>
            <w:webHidden/>
          </w:rPr>
          <w:instrText xml:space="preserve"> PAGEREF _Toc27143185 \h </w:instrText>
        </w:r>
        <w:r w:rsidR="00BA0D82">
          <w:rPr>
            <w:noProof/>
            <w:webHidden/>
          </w:rPr>
        </w:r>
        <w:r w:rsidR="00BA0D82">
          <w:rPr>
            <w:noProof/>
            <w:webHidden/>
          </w:rPr>
          <w:fldChar w:fldCharType="separate"/>
        </w:r>
        <w:r w:rsidR="00DB3AD8">
          <w:rPr>
            <w:noProof/>
            <w:webHidden/>
          </w:rPr>
          <w:t>4</w:t>
        </w:r>
        <w:r w:rsidR="00BA0D82">
          <w:rPr>
            <w:noProof/>
            <w:webHidden/>
          </w:rPr>
          <w:fldChar w:fldCharType="end"/>
        </w:r>
      </w:hyperlink>
    </w:p>
    <w:p w14:paraId="7D1F4B8E" w14:textId="7C881426" w:rsidR="00BA0D82" w:rsidRDefault="00366D34" w:rsidP="00BC793A">
      <w:pPr>
        <w:pStyle w:val="TOC2"/>
        <w:tabs>
          <w:tab w:val="right" w:leader="dot" w:pos="10790"/>
        </w:tabs>
        <w:spacing w:after="0" w:line="216" w:lineRule="auto"/>
        <w:rPr>
          <w:noProof/>
        </w:rPr>
      </w:pPr>
      <w:hyperlink w:anchor="_Toc27143186" w:history="1">
        <w:r w:rsidR="00BA0D82" w:rsidRPr="00743993">
          <w:rPr>
            <w:rStyle w:val="Hyperlink"/>
            <w:rFonts w:eastAsia="Times New Roman"/>
            <w:noProof/>
          </w:rPr>
          <w:t>Colorado Combined</w:t>
        </w:r>
        <w:r w:rsidR="00BA0D82">
          <w:rPr>
            <w:noProof/>
            <w:webHidden/>
          </w:rPr>
          <w:tab/>
        </w:r>
        <w:r w:rsidR="00BA0D82">
          <w:rPr>
            <w:noProof/>
            <w:webHidden/>
          </w:rPr>
          <w:fldChar w:fldCharType="begin"/>
        </w:r>
        <w:r w:rsidR="00BA0D82">
          <w:rPr>
            <w:noProof/>
            <w:webHidden/>
          </w:rPr>
          <w:instrText xml:space="preserve"> PAGEREF _Toc27143186 \h </w:instrText>
        </w:r>
        <w:r w:rsidR="00BA0D82">
          <w:rPr>
            <w:noProof/>
            <w:webHidden/>
          </w:rPr>
        </w:r>
        <w:r w:rsidR="00BA0D82">
          <w:rPr>
            <w:noProof/>
            <w:webHidden/>
          </w:rPr>
          <w:fldChar w:fldCharType="separate"/>
        </w:r>
        <w:r w:rsidR="00DB3AD8">
          <w:rPr>
            <w:noProof/>
            <w:webHidden/>
          </w:rPr>
          <w:t>4</w:t>
        </w:r>
        <w:r w:rsidR="00BA0D82">
          <w:rPr>
            <w:noProof/>
            <w:webHidden/>
          </w:rPr>
          <w:fldChar w:fldCharType="end"/>
        </w:r>
      </w:hyperlink>
    </w:p>
    <w:p w14:paraId="34A270D6" w14:textId="61E510C7" w:rsidR="00BA0D82" w:rsidRDefault="00366D34" w:rsidP="00BC793A">
      <w:pPr>
        <w:pStyle w:val="TOC2"/>
        <w:tabs>
          <w:tab w:val="right" w:leader="dot" w:pos="10790"/>
        </w:tabs>
        <w:spacing w:after="0" w:line="216" w:lineRule="auto"/>
        <w:rPr>
          <w:noProof/>
        </w:rPr>
      </w:pPr>
      <w:hyperlink w:anchor="_Toc27143187" w:history="1">
        <w:r w:rsidR="00BA0D82" w:rsidRPr="00743993">
          <w:rPr>
            <w:rStyle w:val="Hyperlink"/>
            <w:rFonts w:eastAsia="Times New Roman"/>
            <w:noProof/>
          </w:rPr>
          <w:t>Connecticut General</w:t>
        </w:r>
        <w:r w:rsidR="00BA0D82">
          <w:rPr>
            <w:noProof/>
            <w:webHidden/>
          </w:rPr>
          <w:tab/>
        </w:r>
        <w:r w:rsidR="00BA0D82">
          <w:rPr>
            <w:noProof/>
            <w:webHidden/>
          </w:rPr>
          <w:fldChar w:fldCharType="begin"/>
        </w:r>
        <w:r w:rsidR="00BA0D82">
          <w:rPr>
            <w:noProof/>
            <w:webHidden/>
          </w:rPr>
          <w:instrText xml:space="preserve"> PAGEREF _Toc27143187 \h </w:instrText>
        </w:r>
        <w:r w:rsidR="00BA0D82">
          <w:rPr>
            <w:noProof/>
            <w:webHidden/>
          </w:rPr>
        </w:r>
        <w:r w:rsidR="00BA0D82">
          <w:rPr>
            <w:noProof/>
            <w:webHidden/>
          </w:rPr>
          <w:fldChar w:fldCharType="separate"/>
        </w:r>
        <w:r w:rsidR="00DB3AD8">
          <w:rPr>
            <w:noProof/>
            <w:webHidden/>
          </w:rPr>
          <w:t>4</w:t>
        </w:r>
        <w:r w:rsidR="00BA0D82">
          <w:rPr>
            <w:noProof/>
            <w:webHidden/>
          </w:rPr>
          <w:fldChar w:fldCharType="end"/>
        </w:r>
      </w:hyperlink>
    </w:p>
    <w:p w14:paraId="56CF8B19" w14:textId="3C13EFDF" w:rsidR="00BA0D82" w:rsidRDefault="00366D34" w:rsidP="00BC793A">
      <w:pPr>
        <w:pStyle w:val="TOC2"/>
        <w:tabs>
          <w:tab w:val="right" w:leader="dot" w:pos="10790"/>
        </w:tabs>
        <w:spacing w:after="0" w:line="216" w:lineRule="auto"/>
        <w:rPr>
          <w:noProof/>
        </w:rPr>
      </w:pPr>
      <w:hyperlink w:anchor="_Toc27143188" w:history="1">
        <w:r w:rsidR="00BA0D82" w:rsidRPr="00743993">
          <w:rPr>
            <w:rStyle w:val="Hyperlink"/>
            <w:rFonts w:eastAsia="Times New Roman"/>
            <w:noProof/>
          </w:rPr>
          <w:t>Delaware Blind</w:t>
        </w:r>
        <w:r w:rsidR="00BA0D82">
          <w:rPr>
            <w:noProof/>
            <w:webHidden/>
          </w:rPr>
          <w:tab/>
        </w:r>
        <w:r w:rsidR="00BA0D82">
          <w:rPr>
            <w:noProof/>
            <w:webHidden/>
          </w:rPr>
          <w:fldChar w:fldCharType="begin"/>
        </w:r>
        <w:r w:rsidR="00BA0D82">
          <w:rPr>
            <w:noProof/>
            <w:webHidden/>
          </w:rPr>
          <w:instrText xml:space="preserve"> PAGEREF _Toc27143188 \h </w:instrText>
        </w:r>
        <w:r w:rsidR="00BA0D82">
          <w:rPr>
            <w:noProof/>
            <w:webHidden/>
          </w:rPr>
        </w:r>
        <w:r w:rsidR="00BA0D82">
          <w:rPr>
            <w:noProof/>
            <w:webHidden/>
          </w:rPr>
          <w:fldChar w:fldCharType="separate"/>
        </w:r>
        <w:r w:rsidR="00DB3AD8">
          <w:rPr>
            <w:noProof/>
            <w:webHidden/>
          </w:rPr>
          <w:t>4</w:t>
        </w:r>
        <w:r w:rsidR="00BA0D82">
          <w:rPr>
            <w:noProof/>
            <w:webHidden/>
          </w:rPr>
          <w:fldChar w:fldCharType="end"/>
        </w:r>
      </w:hyperlink>
    </w:p>
    <w:p w14:paraId="73181140" w14:textId="0EE5A415" w:rsidR="00BA0D82" w:rsidRDefault="00366D34" w:rsidP="00BC793A">
      <w:pPr>
        <w:pStyle w:val="TOC2"/>
        <w:tabs>
          <w:tab w:val="right" w:leader="dot" w:pos="10790"/>
        </w:tabs>
        <w:spacing w:after="0" w:line="216" w:lineRule="auto"/>
        <w:rPr>
          <w:noProof/>
        </w:rPr>
      </w:pPr>
      <w:hyperlink w:anchor="_Toc27143189" w:history="1">
        <w:r w:rsidR="00BA0D82" w:rsidRPr="00743993">
          <w:rPr>
            <w:rStyle w:val="Hyperlink"/>
            <w:rFonts w:eastAsia="Times New Roman"/>
            <w:noProof/>
          </w:rPr>
          <w:t>Delaware General</w:t>
        </w:r>
        <w:r w:rsidR="00BA0D82">
          <w:rPr>
            <w:noProof/>
            <w:webHidden/>
          </w:rPr>
          <w:tab/>
        </w:r>
        <w:r w:rsidR="00BA0D82">
          <w:rPr>
            <w:noProof/>
            <w:webHidden/>
          </w:rPr>
          <w:fldChar w:fldCharType="begin"/>
        </w:r>
        <w:r w:rsidR="00BA0D82">
          <w:rPr>
            <w:noProof/>
            <w:webHidden/>
          </w:rPr>
          <w:instrText xml:space="preserve"> PAGEREF _Toc27143189 \h </w:instrText>
        </w:r>
        <w:r w:rsidR="00BA0D82">
          <w:rPr>
            <w:noProof/>
            <w:webHidden/>
          </w:rPr>
        </w:r>
        <w:r w:rsidR="00BA0D82">
          <w:rPr>
            <w:noProof/>
            <w:webHidden/>
          </w:rPr>
          <w:fldChar w:fldCharType="separate"/>
        </w:r>
        <w:r w:rsidR="00DB3AD8">
          <w:rPr>
            <w:noProof/>
            <w:webHidden/>
          </w:rPr>
          <w:t>5</w:t>
        </w:r>
        <w:r w:rsidR="00BA0D82">
          <w:rPr>
            <w:noProof/>
            <w:webHidden/>
          </w:rPr>
          <w:fldChar w:fldCharType="end"/>
        </w:r>
      </w:hyperlink>
    </w:p>
    <w:p w14:paraId="7D5AB5EA" w14:textId="6597F1E1" w:rsidR="00BA0D82" w:rsidRDefault="00366D34" w:rsidP="00BC793A">
      <w:pPr>
        <w:pStyle w:val="TOC2"/>
        <w:tabs>
          <w:tab w:val="right" w:leader="dot" w:pos="10790"/>
        </w:tabs>
        <w:spacing w:after="0" w:line="216" w:lineRule="auto"/>
        <w:rPr>
          <w:noProof/>
        </w:rPr>
      </w:pPr>
      <w:hyperlink w:anchor="_Toc27143190" w:history="1">
        <w:r w:rsidR="00BA0D82" w:rsidRPr="00743993">
          <w:rPr>
            <w:rStyle w:val="Hyperlink"/>
            <w:rFonts w:eastAsia="Times New Roman"/>
            <w:noProof/>
          </w:rPr>
          <w:t>District of Columbia Combined</w:t>
        </w:r>
        <w:r w:rsidR="00BA0D82">
          <w:rPr>
            <w:noProof/>
            <w:webHidden/>
          </w:rPr>
          <w:tab/>
        </w:r>
        <w:r w:rsidR="00BA0D82">
          <w:rPr>
            <w:noProof/>
            <w:webHidden/>
          </w:rPr>
          <w:fldChar w:fldCharType="begin"/>
        </w:r>
        <w:r w:rsidR="00BA0D82">
          <w:rPr>
            <w:noProof/>
            <w:webHidden/>
          </w:rPr>
          <w:instrText xml:space="preserve"> PAGEREF _Toc27143190 \h </w:instrText>
        </w:r>
        <w:r w:rsidR="00BA0D82">
          <w:rPr>
            <w:noProof/>
            <w:webHidden/>
          </w:rPr>
        </w:r>
        <w:r w:rsidR="00BA0D82">
          <w:rPr>
            <w:noProof/>
            <w:webHidden/>
          </w:rPr>
          <w:fldChar w:fldCharType="separate"/>
        </w:r>
        <w:r w:rsidR="00DB3AD8">
          <w:rPr>
            <w:noProof/>
            <w:webHidden/>
          </w:rPr>
          <w:t>5</w:t>
        </w:r>
        <w:r w:rsidR="00BA0D82">
          <w:rPr>
            <w:noProof/>
            <w:webHidden/>
          </w:rPr>
          <w:fldChar w:fldCharType="end"/>
        </w:r>
      </w:hyperlink>
    </w:p>
    <w:p w14:paraId="1C01C0FB" w14:textId="282E1E83" w:rsidR="00BA0D82" w:rsidRDefault="00366D34" w:rsidP="00BC793A">
      <w:pPr>
        <w:pStyle w:val="TOC2"/>
        <w:tabs>
          <w:tab w:val="right" w:leader="dot" w:pos="10790"/>
        </w:tabs>
        <w:spacing w:after="0" w:line="216" w:lineRule="auto"/>
        <w:rPr>
          <w:noProof/>
        </w:rPr>
      </w:pPr>
      <w:hyperlink w:anchor="_Toc27143191" w:history="1">
        <w:r w:rsidR="00BA0D82" w:rsidRPr="00743993">
          <w:rPr>
            <w:rStyle w:val="Hyperlink"/>
            <w:rFonts w:eastAsia="Times New Roman"/>
            <w:noProof/>
          </w:rPr>
          <w:t>Florida Blind</w:t>
        </w:r>
        <w:r w:rsidR="00BA0D82">
          <w:rPr>
            <w:noProof/>
            <w:webHidden/>
          </w:rPr>
          <w:tab/>
        </w:r>
        <w:r w:rsidR="00BA0D82">
          <w:rPr>
            <w:noProof/>
            <w:webHidden/>
          </w:rPr>
          <w:fldChar w:fldCharType="begin"/>
        </w:r>
        <w:r w:rsidR="00BA0D82">
          <w:rPr>
            <w:noProof/>
            <w:webHidden/>
          </w:rPr>
          <w:instrText xml:space="preserve"> PAGEREF _Toc27143191 \h </w:instrText>
        </w:r>
        <w:r w:rsidR="00BA0D82">
          <w:rPr>
            <w:noProof/>
            <w:webHidden/>
          </w:rPr>
        </w:r>
        <w:r w:rsidR="00BA0D82">
          <w:rPr>
            <w:noProof/>
            <w:webHidden/>
          </w:rPr>
          <w:fldChar w:fldCharType="separate"/>
        </w:r>
        <w:r w:rsidR="00DB3AD8">
          <w:rPr>
            <w:noProof/>
            <w:webHidden/>
          </w:rPr>
          <w:t>5</w:t>
        </w:r>
        <w:r w:rsidR="00BA0D82">
          <w:rPr>
            <w:noProof/>
            <w:webHidden/>
          </w:rPr>
          <w:fldChar w:fldCharType="end"/>
        </w:r>
      </w:hyperlink>
    </w:p>
    <w:p w14:paraId="0A55111D" w14:textId="408AC186" w:rsidR="00BA0D82" w:rsidRDefault="00366D34" w:rsidP="00BC793A">
      <w:pPr>
        <w:pStyle w:val="TOC2"/>
        <w:tabs>
          <w:tab w:val="right" w:leader="dot" w:pos="10790"/>
        </w:tabs>
        <w:spacing w:after="0" w:line="216" w:lineRule="auto"/>
        <w:rPr>
          <w:noProof/>
        </w:rPr>
      </w:pPr>
      <w:hyperlink w:anchor="_Toc27143192" w:history="1">
        <w:r w:rsidR="00BA0D82" w:rsidRPr="00743993">
          <w:rPr>
            <w:rStyle w:val="Hyperlink"/>
            <w:rFonts w:eastAsia="Times New Roman"/>
            <w:noProof/>
          </w:rPr>
          <w:t>Florida General</w:t>
        </w:r>
        <w:r w:rsidR="00BA0D82">
          <w:rPr>
            <w:noProof/>
            <w:webHidden/>
          </w:rPr>
          <w:tab/>
        </w:r>
        <w:r w:rsidR="00BA0D82">
          <w:rPr>
            <w:noProof/>
            <w:webHidden/>
          </w:rPr>
          <w:fldChar w:fldCharType="begin"/>
        </w:r>
        <w:r w:rsidR="00BA0D82">
          <w:rPr>
            <w:noProof/>
            <w:webHidden/>
          </w:rPr>
          <w:instrText xml:space="preserve"> PAGEREF _Toc27143192 \h </w:instrText>
        </w:r>
        <w:r w:rsidR="00BA0D82">
          <w:rPr>
            <w:noProof/>
            <w:webHidden/>
          </w:rPr>
        </w:r>
        <w:r w:rsidR="00BA0D82">
          <w:rPr>
            <w:noProof/>
            <w:webHidden/>
          </w:rPr>
          <w:fldChar w:fldCharType="separate"/>
        </w:r>
        <w:r w:rsidR="00DB3AD8">
          <w:rPr>
            <w:noProof/>
            <w:webHidden/>
          </w:rPr>
          <w:t>5</w:t>
        </w:r>
        <w:r w:rsidR="00BA0D82">
          <w:rPr>
            <w:noProof/>
            <w:webHidden/>
          </w:rPr>
          <w:fldChar w:fldCharType="end"/>
        </w:r>
      </w:hyperlink>
    </w:p>
    <w:p w14:paraId="7C7E3449" w14:textId="75DC9EDB" w:rsidR="00BA0D82" w:rsidRDefault="00366D34" w:rsidP="00BC793A">
      <w:pPr>
        <w:pStyle w:val="TOC2"/>
        <w:tabs>
          <w:tab w:val="right" w:leader="dot" w:pos="10790"/>
        </w:tabs>
        <w:spacing w:after="0" w:line="216" w:lineRule="auto"/>
        <w:rPr>
          <w:noProof/>
        </w:rPr>
      </w:pPr>
      <w:hyperlink w:anchor="_Toc27143193" w:history="1">
        <w:r w:rsidR="00BA0D82" w:rsidRPr="00743993">
          <w:rPr>
            <w:rStyle w:val="Hyperlink"/>
            <w:rFonts w:eastAsia="Times New Roman"/>
            <w:noProof/>
          </w:rPr>
          <w:t>Georgia Combined</w:t>
        </w:r>
        <w:r w:rsidR="00BA0D82">
          <w:rPr>
            <w:noProof/>
            <w:webHidden/>
          </w:rPr>
          <w:tab/>
        </w:r>
        <w:r w:rsidR="00BA0D82">
          <w:rPr>
            <w:noProof/>
            <w:webHidden/>
          </w:rPr>
          <w:fldChar w:fldCharType="begin"/>
        </w:r>
        <w:r w:rsidR="00BA0D82">
          <w:rPr>
            <w:noProof/>
            <w:webHidden/>
          </w:rPr>
          <w:instrText xml:space="preserve"> PAGEREF _Toc27143193 \h </w:instrText>
        </w:r>
        <w:r w:rsidR="00BA0D82">
          <w:rPr>
            <w:noProof/>
            <w:webHidden/>
          </w:rPr>
        </w:r>
        <w:r w:rsidR="00BA0D82">
          <w:rPr>
            <w:noProof/>
            <w:webHidden/>
          </w:rPr>
          <w:fldChar w:fldCharType="separate"/>
        </w:r>
        <w:r w:rsidR="00DB3AD8">
          <w:rPr>
            <w:noProof/>
            <w:webHidden/>
          </w:rPr>
          <w:t>6</w:t>
        </w:r>
        <w:r w:rsidR="00BA0D82">
          <w:rPr>
            <w:noProof/>
            <w:webHidden/>
          </w:rPr>
          <w:fldChar w:fldCharType="end"/>
        </w:r>
      </w:hyperlink>
    </w:p>
    <w:p w14:paraId="10A8E1EA" w14:textId="1403AD8E" w:rsidR="00BA0D82" w:rsidRDefault="00366D34" w:rsidP="00BC793A">
      <w:pPr>
        <w:pStyle w:val="TOC2"/>
        <w:tabs>
          <w:tab w:val="right" w:leader="dot" w:pos="10790"/>
        </w:tabs>
        <w:spacing w:after="0" w:line="216" w:lineRule="auto"/>
        <w:rPr>
          <w:noProof/>
        </w:rPr>
      </w:pPr>
      <w:hyperlink w:anchor="_Toc27143194" w:history="1">
        <w:r w:rsidR="00BA0D82" w:rsidRPr="00743993">
          <w:rPr>
            <w:rStyle w:val="Hyperlink"/>
            <w:rFonts w:eastAsia="Times New Roman"/>
            <w:noProof/>
          </w:rPr>
          <w:t>Guam</w:t>
        </w:r>
        <w:r w:rsidR="00BA0D82">
          <w:rPr>
            <w:noProof/>
            <w:webHidden/>
          </w:rPr>
          <w:tab/>
        </w:r>
        <w:r w:rsidR="00BA0D82">
          <w:rPr>
            <w:noProof/>
            <w:webHidden/>
          </w:rPr>
          <w:fldChar w:fldCharType="begin"/>
        </w:r>
        <w:r w:rsidR="00BA0D82">
          <w:rPr>
            <w:noProof/>
            <w:webHidden/>
          </w:rPr>
          <w:instrText xml:space="preserve"> PAGEREF _Toc27143194 \h </w:instrText>
        </w:r>
        <w:r w:rsidR="00BA0D82">
          <w:rPr>
            <w:noProof/>
            <w:webHidden/>
          </w:rPr>
        </w:r>
        <w:r w:rsidR="00BA0D82">
          <w:rPr>
            <w:noProof/>
            <w:webHidden/>
          </w:rPr>
          <w:fldChar w:fldCharType="separate"/>
        </w:r>
        <w:r w:rsidR="00DB3AD8">
          <w:rPr>
            <w:noProof/>
            <w:webHidden/>
          </w:rPr>
          <w:t>6</w:t>
        </w:r>
        <w:r w:rsidR="00BA0D82">
          <w:rPr>
            <w:noProof/>
            <w:webHidden/>
          </w:rPr>
          <w:fldChar w:fldCharType="end"/>
        </w:r>
      </w:hyperlink>
    </w:p>
    <w:p w14:paraId="39EF7831" w14:textId="01B861D3" w:rsidR="00BA0D82" w:rsidRDefault="00366D34" w:rsidP="00BC793A">
      <w:pPr>
        <w:pStyle w:val="TOC2"/>
        <w:tabs>
          <w:tab w:val="right" w:leader="dot" w:pos="10790"/>
        </w:tabs>
        <w:spacing w:after="0" w:line="216" w:lineRule="auto"/>
        <w:rPr>
          <w:noProof/>
        </w:rPr>
      </w:pPr>
      <w:hyperlink w:anchor="_Toc27143195" w:history="1">
        <w:r w:rsidR="00BA0D82" w:rsidRPr="00743993">
          <w:rPr>
            <w:rStyle w:val="Hyperlink"/>
            <w:rFonts w:eastAsia="Times New Roman"/>
            <w:noProof/>
          </w:rPr>
          <w:t>Hawaii Combined</w:t>
        </w:r>
        <w:r w:rsidR="00BA0D82">
          <w:rPr>
            <w:noProof/>
            <w:webHidden/>
          </w:rPr>
          <w:tab/>
        </w:r>
        <w:r w:rsidR="00BA0D82">
          <w:rPr>
            <w:noProof/>
            <w:webHidden/>
          </w:rPr>
          <w:fldChar w:fldCharType="begin"/>
        </w:r>
        <w:r w:rsidR="00BA0D82">
          <w:rPr>
            <w:noProof/>
            <w:webHidden/>
          </w:rPr>
          <w:instrText xml:space="preserve"> PAGEREF _Toc27143195 \h </w:instrText>
        </w:r>
        <w:r w:rsidR="00BA0D82">
          <w:rPr>
            <w:noProof/>
            <w:webHidden/>
          </w:rPr>
        </w:r>
        <w:r w:rsidR="00BA0D82">
          <w:rPr>
            <w:noProof/>
            <w:webHidden/>
          </w:rPr>
          <w:fldChar w:fldCharType="separate"/>
        </w:r>
        <w:r w:rsidR="00DB3AD8">
          <w:rPr>
            <w:noProof/>
            <w:webHidden/>
          </w:rPr>
          <w:t>6</w:t>
        </w:r>
        <w:r w:rsidR="00BA0D82">
          <w:rPr>
            <w:noProof/>
            <w:webHidden/>
          </w:rPr>
          <w:fldChar w:fldCharType="end"/>
        </w:r>
      </w:hyperlink>
    </w:p>
    <w:p w14:paraId="32E2D3C2" w14:textId="682E65D9" w:rsidR="00BA0D82" w:rsidRDefault="00366D34" w:rsidP="00BC793A">
      <w:pPr>
        <w:pStyle w:val="TOC2"/>
        <w:tabs>
          <w:tab w:val="right" w:leader="dot" w:pos="10790"/>
        </w:tabs>
        <w:spacing w:after="0" w:line="216" w:lineRule="auto"/>
        <w:rPr>
          <w:noProof/>
        </w:rPr>
      </w:pPr>
      <w:hyperlink w:anchor="_Toc27143196" w:history="1">
        <w:r w:rsidR="00BA0D82" w:rsidRPr="00743993">
          <w:rPr>
            <w:rStyle w:val="Hyperlink"/>
            <w:rFonts w:eastAsia="Times New Roman"/>
            <w:noProof/>
          </w:rPr>
          <w:t>Idaho General</w:t>
        </w:r>
        <w:r w:rsidR="00BA0D82">
          <w:rPr>
            <w:noProof/>
            <w:webHidden/>
          </w:rPr>
          <w:tab/>
        </w:r>
        <w:r w:rsidR="00BA0D82">
          <w:rPr>
            <w:noProof/>
            <w:webHidden/>
          </w:rPr>
          <w:fldChar w:fldCharType="begin"/>
        </w:r>
        <w:r w:rsidR="00BA0D82">
          <w:rPr>
            <w:noProof/>
            <w:webHidden/>
          </w:rPr>
          <w:instrText xml:space="preserve"> PAGEREF _Toc27143196 \h </w:instrText>
        </w:r>
        <w:r w:rsidR="00BA0D82">
          <w:rPr>
            <w:noProof/>
            <w:webHidden/>
          </w:rPr>
        </w:r>
        <w:r w:rsidR="00BA0D82">
          <w:rPr>
            <w:noProof/>
            <w:webHidden/>
          </w:rPr>
          <w:fldChar w:fldCharType="separate"/>
        </w:r>
        <w:r w:rsidR="00DB3AD8">
          <w:rPr>
            <w:noProof/>
            <w:webHidden/>
          </w:rPr>
          <w:t>6</w:t>
        </w:r>
        <w:r w:rsidR="00BA0D82">
          <w:rPr>
            <w:noProof/>
            <w:webHidden/>
          </w:rPr>
          <w:fldChar w:fldCharType="end"/>
        </w:r>
      </w:hyperlink>
    </w:p>
    <w:p w14:paraId="42E278CB" w14:textId="222901E7" w:rsidR="00BA0D82" w:rsidRDefault="00366D34" w:rsidP="00BC793A">
      <w:pPr>
        <w:pStyle w:val="TOC2"/>
        <w:tabs>
          <w:tab w:val="right" w:leader="dot" w:pos="10790"/>
        </w:tabs>
        <w:spacing w:after="0" w:line="216" w:lineRule="auto"/>
        <w:rPr>
          <w:noProof/>
        </w:rPr>
      </w:pPr>
      <w:hyperlink w:anchor="_Toc27143197" w:history="1">
        <w:r w:rsidR="00BA0D82" w:rsidRPr="00743993">
          <w:rPr>
            <w:rStyle w:val="Hyperlink"/>
            <w:rFonts w:eastAsia="Times New Roman"/>
            <w:noProof/>
          </w:rPr>
          <w:t>Illinois Combined</w:t>
        </w:r>
        <w:r w:rsidR="00BA0D82">
          <w:rPr>
            <w:noProof/>
            <w:webHidden/>
          </w:rPr>
          <w:tab/>
        </w:r>
        <w:r w:rsidR="00BA0D82">
          <w:rPr>
            <w:noProof/>
            <w:webHidden/>
          </w:rPr>
          <w:fldChar w:fldCharType="begin"/>
        </w:r>
        <w:r w:rsidR="00BA0D82">
          <w:rPr>
            <w:noProof/>
            <w:webHidden/>
          </w:rPr>
          <w:instrText xml:space="preserve"> PAGEREF _Toc27143197 \h </w:instrText>
        </w:r>
        <w:r w:rsidR="00BA0D82">
          <w:rPr>
            <w:noProof/>
            <w:webHidden/>
          </w:rPr>
        </w:r>
        <w:r w:rsidR="00BA0D82">
          <w:rPr>
            <w:noProof/>
            <w:webHidden/>
          </w:rPr>
          <w:fldChar w:fldCharType="separate"/>
        </w:r>
        <w:r w:rsidR="00DB3AD8">
          <w:rPr>
            <w:noProof/>
            <w:webHidden/>
          </w:rPr>
          <w:t>7</w:t>
        </w:r>
        <w:r w:rsidR="00BA0D82">
          <w:rPr>
            <w:noProof/>
            <w:webHidden/>
          </w:rPr>
          <w:fldChar w:fldCharType="end"/>
        </w:r>
      </w:hyperlink>
    </w:p>
    <w:p w14:paraId="0540C9E2" w14:textId="5C65DAA4" w:rsidR="00BA0D82" w:rsidRDefault="00366D34" w:rsidP="00BC793A">
      <w:pPr>
        <w:pStyle w:val="TOC2"/>
        <w:tabs>
          <w:tab w:val="right" w:leader="dot" w:pos="10790"/>
        </w:tabs>
        <w:spacing w:after="0" w:line="216" w:lineRule="auto"/>
        <w:rPr>
          <w:noProof/>
        </w:rPr>
      </w:pPr>
      <w:hyperlink w:anchor="_Toc27143198" w:history="1">
        <w:r w:rsidR="00BA0D82" w:rsidRPr="00743993">
          <w:rPr>
            <w:rStyle w:val="Hyperlink"/>
            <w:rFonts w:eastAsia="Times New Roman"/>
            <w:noProof/>
          </w:rPr>
          <w:t>Indiana Combined</w:t>
        </w:r>
        <w:r w:rsidR="00BA0D82">
          <w:rPr>
            <w:noProof/>
            <w:webHidden/>
          </w:rPr>
          <w:tab/>
        </w:r>
        <w:r w:rsidR="00BA0D82">
          <w:rPr>
            <w:noProof/>
            <w:webHidden/>
          </w:rPr>
          <w:fldChar w:fldCharType="begin"/>
        </w:r>
        <w:r w:rsidR="00BA0D82">
          <w:rPr>
            <w:noProof/>
            <w:webHidden/>
          </w:rPr>
          <w:instrText xml:space="preserve"> PAGEREF _Toc27143198 \h </w:instrText>
        </w:r>
        <w:r w:rsidR="00BA0D82">
          <w:rPr>
            <w:noProof/>
            <w:webHidden/>
          </w:rPr>
        </w:r>
        <w:r w:rsidR="00BA0D82">
          <w:rPr>
            <w:noProof/>
            <w:webHidden/>
          </w:rPr>
          <w:fldChar w:fldCharType="separate"/>
        </w:r>
        <w:r w:rsidR="00DB3AD8">
          <w:rPr>
            <w:noProof/>
            <w:webHidden/>
          </w:rPr>
          <w:t>7</w:t>
        </w:r>
        <w:r w:rsidR="00BA0D82">
          <w:rPr>
            <w:noProof/>
            <w:webHidden/>
          </w:rPr>
          <w:fldChar w:fldCharType="end"/>
        </w:r>
      </w:hyperlink>
    </w:p>
    <w:p w14:paraId="218D972E" w14:textId="6BD02664" w:rsidR="00BA0D82" w:rsidRDefault="00366D34" w:rsidP="00BC793A">
      <w:pPr>
        <w:pStyle w:val="TOC2"/>
        <w:tabs>
          <w:tab w:val="right" w:leader="dot" w:pos="10790"/>
        </w:tabs>
        <w:spacing w:after="0" w:line="216" w:lineRule="auto"/>
        <w:rPr>
          <w:noProof/>
        </w:rPr>
      </w:pPr>
      <w:hyperlink w:anchor="_Toc27143199" w:history="1">
        <w:r w:rsidR="00BA0D82" w:rsidRPr="00743993">
          <w:rPr>
            <w:rStyle w:val="Hyperlink"/>
            <w:rFonts w:eastAsia="Times New Roman"/>
            <w:noProof/>
          </w:rPr>
          <w:t>Iowa Blind</w:t>
        </w:r>
        <w:r w:rsidR="00BA0D82">
          <w:rPr>
            <w:noProof/>
            <w:webHidden/>
          </w:rPr>
          <w:tab/>
        </w:r>
        <w:r w:rsidR="00BA0D82">
          <w:rPr>
            <w:noProof/>
            <w:webHidden/>
          </w:rPr>
          <w:fldChar w:fldCharType="begin"/>
        </w:r>
        <w:r w:rsidR="00BA0D82">
          <w:rPr>
            <w:noProof/>
            <w:webHidden/>
          </w:rPr>
          <w:instrText xml:space="preserve"> PAGEREF _Toc27143199 \h </w:instrText>
        </w:r>
        <w:r w:rsidR="00BA0D82">
          <w:rPr>
            <w:noProof/>
            <w:webHidden/>
          </w:rPr>
        </w:r>
        <w:r w:rsidR="00BA0D82">
          <w:rPr>
            <w:noProof/>
            <w:webHidden/>
          </w:rPr>
          <w:fldChar w:fldCharType="separate"/>
        </w:r>
        <w:r w:rsidR="00DB3AD8">
          <w:rPr>
            <w:noProof/>
            <w:webHidden/>
          </w:rPr>
          <w:t>7</w:t>
        </w:r>
        <w:r w:rsidR="00BA0D82">
          <w:rPr>
            <w:noProof/>
            <w:webHidden/>
          </w:rPr>
          <w:fldChar w:fldCharType="end"/>
        </w:r>
      </w:hyperlink>
    </w:p>
    <w:p w14:paraId="4FED7C67" w14:textId="46CE04FC" w:rsidR="00BA0D82" w:rsidRDefault="00366D34" w:rsidP="00BC793A">
      <w:pPr>
        <w:pStyle w:val="TOC2"/>
        <w:tabs>
          <w:tab w:val="right" w:leader="dot" w:pos="10790"/>
        </w:tabs>
        <w:spacing w:after="0" w:line="216" w:lineRule="auto"/>
        <w:rPr>
          <w:noProof/>
        </w:rPr>
      </w:pPr>
      <w:hyperlink w:anchor="_Toc27143200" w:history="1">
        <w:r w:rsidR="00BA0D82" w:rsidRPr="00743993">
          <w:rPr>
            <w:rStyle w:val="Hyperlink"/>
            <w:rFonts w:eastAsia="Times New Roman"/>
            <w:noProof/>
          </w:rPr>
          <w:t>Iowa General</w:t>
        </w:r>
        <w:r w:rsidR="00BA0D82">
          <w:rPr>
            <w:noProof/>
            <w:webHidden/>
          </w:rPr>
          <w:tab/>
        </w:r>
        <w:r w:rsidR="00BA0D82">
          <w:rPr>
            <w:noProof/>
            <w:webHidden/>
          </w:rPr>
          <w:fldChar w:fldCharType="begin"/>
        </w:r>
        <w:r w:rsidR="00BA0D82">
          <w:rPr>
            <w:noProof/>
            <w:webHidden/>
          </w:rPr>
          <w:instrText xml:space="preserve"> PAGEREF _Toc27143200 \h </w:instrText>
        </w:r>
        <w:r w:rsidR="00BA0D82">
          <w:rPr>
            <w:noProof/>
            <w:webHidden/>
          </w:rPr>
        </w:r>
        <w:r w:rsidR="00BA0D82">
          <w:rPr>
            <w:noProof/>
            <w:webHidden/>
          </w:rPr>
          <w:fldChar w:fldCharType="separate"/>
        </w:r>
        <w:r w:rsidR="00DB3AD8">
          <w:rPr>
            <w:noProof/>
            <w:webHidden/>
          </w:rPr>
          <w:t>7</w:t>
        </w:r>
        <w:r w:rsidR="00BA0D82">
          <w:rPr>
            <w:noProof/>
            <w:webHidden/>
          </w:rPr>
          <w:fldChar w:fldCharType="end"/>
        </w:r>
      </w:hyperlink>
    </w:p>
    <w:p w14:paraId="64CA5A33" w14:textId="2DA9E751" w:rsidR="00BA0D82" w:rsidRDefault="00366D34" w:rsidP="00BC793A">
      <w:pPr>
        <w:pStyle w:val="TOC2"/>
        <w:tabs>
          <w:tab w:val="right" w:leader="dot" w:pos="10790"/>
        </w:tabs>
        <w:spacing w:after="0" w:line="216" w:lineRule="auto"/>
        <w:rPr>
          <w:noProof/>
        </w:rPr>
      </w:pPr>
      <w:hyperlink w:anchor="_Toc27143201" w:history="1">
        <w:r w:rsidR="00BA0D82" w:rsidRPr="00743993">
          <w:rPr>
            <w:rStyle w:val="Hyperlink"/>
            <w:rFonts w:eastAsia="Times New Roman"/>
            <w:noProof/>
          </w:rPr>
          <w:t>Kentucky Combined</w:t>
        </w:r>
        <w:r w:rsidR="00BA0D82">
          <w:rPr>
            <w:noProof/>
            <w:webHidden/>
          </w:rPr>
          <w:tab/>
        </w:r>
        <w:r w:rsidR="00BA0D82">
          <w:rPr>
            <w:noProof/>
            <w:webHidden/>
          </w:rPr>
          <w:fldChar w:fldCharType="begin"/>
        </w:r>
        <w:r w:rsidR="00BA0D82">
          <w:rPr>
            <w:noProof/>
            <w:webHidden/>
          </w:rPr>
          <w:instrText xml:space="preserve"> PAGEREF _Toc27143201 \h </w:instrText>
        </w:r>
        <w:r w:rsidR="00BA0D82">
          <w:rPr>
            <w:noProof/>
            <w:webHidden/>
          </w:rPr>
        </w:r>
        <w:r w:rsidR="00BA0D82">
          <w:rPr>
            <w:noProof/>
            <w:webHidden/>
          </w:rPr>
          <w:fldChar w:fldCharType="separate"/>
        </w:r>
        <w:r w:rsidR="00DB3AD8">
          <w:rPr>
            <w:noProof/>
            <w:webHidden/>
          </w:rPr>
          <w:t>8</w:t>
        </w:r>
        <w:r w:rsidR="00BA0D82">
          <w:rPr>
            <w:noProof/>
            <w:webHidden/>
          </w:rPr>
          <w:fldChar w:fldCharType="end"/>
        </w:r>
      </w:hyperlink>
    </w:p>
    <w:p w14:paraId="41F34E1D" w14:textId="4B3A2F6B" w:rsidR="00BA0D82" w:rsidRDefault="00366D34" w:rsidP="00BC793A">
      <w:pPr>
        <w:pStyle w:val="TOC2"/>
        <w:tabs>
          <w:tab w:val="right" w:leader="dot" w:pos="10790"/>
        </w:tabs>
        <w:spacing w:after="0" w:line="216" w:lineRule="auto"/>
        <w:rPr>
          <w:noProof/>
        </w:rPr>
      </w:pPr>
      <w:hyperlink w:anchor="_Toc27143202" w:history="1">
        <w:r w:rsidR="00BA0D82" w:rsidRPr="00743993">
          <w:rPr>
            <w:rStyle w:val="Hyperlink"/>
            <w:rFonts w:eastAsia="Times New Roman"/>
            <w:noProof/>
          </w:rPr>
          <w:t>Louisiana Combined</w:t>
        </w:r>
        <w:r w:rsidR="00BA0D82">
          <w:rPr>
            <w:noProof/>
            <w:webHidden/>
          </w:rPr>
          <w:tab/>
        </w:r>
        <w:r w:rsidR="00BA0D82">
          <w:rPr>
            <w:noProof/>
            <w:webHidden/>
          </w:rPr>
          <w:fldChar w:fldCharType="begin"/>
        </w:r>
        <w:r w:rsidR="00BA0D82">
          <w:rPr>
            <w:noProof/>
            <w:webHidden/>
          </w:rPr>
          <w:instrText xml:space="preserve"> PAGEREF _Toc27143202 \h </w:instrText>
        </w:r>
        <w:r w:rsidR="00BA0D82">
          <w:rPr>
            <w:noProof/>
            <w:webHidden/>
          </w:rPr>
        </w:r>
        <w:r w:rsidR="00BA0D82">
          <w:rPr>
            <w:noProof/>
            <w:webHidden/>
          </w:rPr>
          <w:fldChar w:fldCharType="separate"/>
        </w:r>
        <w:r w:rsidR="00DB3AD8">
          <w:rPr>
            <w:noProof/>
            <w:webHidden/>
          </w:rPr>
          <w:t>8</w:t>
        </w:r>
        <w:r w:rsidR="00BA0D82">
          <w:rPr>
            <w:noProof/>
            <w:webHidden/>
          </w:rPr>
          <w:fldChar w:fldCharType="end"/>
        </w:r>
      </w:hyperlink>
    </w:p>
    <w:p w14:paraId="2E08847B" w14:textId="5599AD05" w:rsidR="00BA0D82" w:rsidRDefault="00366D34" w:rsidP="00BC793A">
      <w:pPr>
        <w:pStyle w:val="TOC2"/>
        <w:tabs>
          <w:tab w:val="right" w:leader="dot" w:pos="10790"/>
        </w:tabs>
        <w:spacing w:after="0" w:line="216" w:lineRule="auto"/>
        <w:rPr>
          <w:noProof/>
        </w:rPr>
      </w:pPr>
      <w:hyperlink w:anchor="_Toc27143203" w:history="1">
        <w:r w:rsidR="00BA0D82" w:rsidRPr="00743993">
          <w:rPr>
            <w:rStyle w:val="Hyperlink"/>
            <w:rFonts w:eastAsia="Times New Roman"/>
            <w:noProof/>
          </w:rPr>
          <w:t>Maine</w:t>
        </w:r>
        <w:r w:rsidR="00BA0D82">
          <w:rPr>
            <w:noProof/>
            <w:webHidden/>
          </w:rPr>
          <w:tab/>
        </w:r>
        <w:r w:rsidR="00BA0D82">
          <w:rPr>
            <w:noProof/>
            <w:webHidden/>
          </w:rPr>
          <w:fldChar w:fldCharType="begin"/>
        </w:r>
        <w:r w:rsidR="00BA0D82">
          <w:rPr>
            <w:noProof/>
            <w:webHidden/>
          </w:rPr>
          <w:instrText xml:space="preserve"> PAGEREF _Toc27143203 \h </w:instrText>
        </w:r>
        <w:r w:rsidR="00BA0D82">
          <w:rPr>
            <w:noProof/>
            <w:webHidden/>
          </w:rPr>
        </w:r>
        <w:r w:rsidR="00BA0D82">
          <w:rPr>
            <w:noProof/>
            <w:webHidden/>
          </w:rPr>
          <w:fldChar w:fldCharType="separate"/>
        </w:r>
        <w:r w:rsidR="00DB3AD8">
          <w:rPr>
            <w:noProof/>
            <w:webHidden/>
          </w:rPr>
          <w:t>8</w:t>
        </w:r>
        <w:r w:rsidR="00BA0D82">
          <w:rPr>
            <w:noProof/>
            <w:webHidden/>
          </w:rPr>
          <w:fldChar w:fldCharType="end"/>
        </w:r>
      </w:hyperlink>
    </w:p>
    <w:p w14:paraId="17CF2346" w14:textId="3267BA9C" w:rsidR="00BA0D82" w:rsidRDefault="00366D34" w:rsidP="00BC793A">
      <w:pPr>
        <w:pStyle w:val="TOC2"/>
        <w:tabs>
          <w:tab w:val="right" w:leader="dot" w:pos="10790"/>
        </w:tabs>
        <w:spacing w:after="0" w:line="216" w:lineRule="auto"/>
        <w:rPr>
          <w:noProof/>
        </w:rPr>
      </w:pPr>
      <w:hyperlink w:anchor="_Toc27143204" w:history="1">
        <w:r w:rsidR="00BA0D82" w:rsidRPr="00743993">
          <w:rPr>
            <w:rStyle w:val="Hyperlink"/>
            <w:rFonts w:eastAsia="Times New Roman"/>
            <w:noProof/>
          </w:rPr>
          <w:t>Maryland Combined</w:t>
        </w:r>
        <w:r w:rsidR="00BA0D82">
          <w:rPr>
            <w:noProof/>
            <w:webHidden/>
          </w:rPr>
          <w:tab/>
        </w:r>
        <w:r w:rsidR="00BA0D82">
          <w:rPr>
            <w:noProof/>
            <w:webHidden/>
          </w:rPr>
          <w:fldChar w:fldCharType="begin"/>
        </w:r>
        <w:r w:rsidR="00BA0D82">
          <w:rPr>
            <w:noProof/>
            <w:webHidden/>
          </w:rPr>
          <w:instrText xml:space="preserve"> PAGEREF _Toc27143204 \h </w:instrText>
        </w:r>
        <w:r w:rsidR="00BA0D82">
          <w:rPr>
            <w:noProof/>
            <w:webHidden/>
          </w:rPr>
        </w:r>
        <w:r w:rsidR="00BA0D82">
          <w:rPr>
            <w:noProof/>
            <w:webHidden/>
          </w:rPr>
          <w:fldChar w:fldCharType="separate"/>
        </w:r>
        <w:r w:rsidR="00DB3AD8">
          <w:rPr>
            <w:noProof/>
            <w:webHidden/>
          </w:rPr>
          <w:t>8</w:t>
        </w:r>
        <w:r w:rsidR="00BA0D82">
          <w:rPr>
            <w:noProof/>
            <w:webHidden/>
          </w:rPr>
          <w:fldChar w:fldCharType="end"/>
        </w:r>
      </w:hyperlink>
    </w:p>
    <w:p w14:paraId="0088FDF0" w14:textId="4183DEFC" w:rsidR="00BA0D82" w:rsidRDefault="00366D34" w:rsidP="00BC793A">
      <w:pPr>
        <w:pStyle w:val="TOC2"/>
        <w:tabs>
          <w:tab w:val="right" w:leader="dot" w:pos="10790"/>
        </w:tabs>
        <w:spacing w:after="0" w:line="216" w:lineRule="auto"/>
        <w:rPr>
          <w:noProof/>
        </w:rPr>
      </w:pPr>
      <w:hyperlink w:anchor="_Toc27143205" w:history="1">
        <w:r w:rsidR="00BA0D82" w:rsidRPr="00743993">
          <w:rPr>
            <w:rStyle w:val="Hyperlink"/>
            <w:rFonts w:eastAsia="Times New Roman"/>
            <w:noProof/>
          </w:rPr>
          <w:t>Massachusetts General</w:t>
        </w:r>
        <w:r w:rsidR="00BA0D82">
          <w:rPr>
            <w:noProof/>
            <w:webHidden/>
          </w:rPr>
          <w:tab/>
        </w:r>
        <w:r w:rsidR="00BA0D82">
          <w:rPr>
            <w:noProof/>
            <w:webHidden/>
          </w:rPr>
          <w:fldChar w:fldCharType="begin"/>
        </w:r>
        <w:r w:rsidR="00BA0D82">
          <w:rPr>
            <w:noProof/>
            <w:webHidden/>
          </w:rPr>
          <w:instrText xml:space="preserve"> PAGEREF _Toc27143205 \h </w:instrText>
        </w:r>
        <w:r w:rsidR="00BA0D82">
          <w:rPr>
            <w:noProof/>
            <w:webHidden/>
          </w:rPr>
        </w:r>
        <w:r w:rsidR="00BA0D82">
          <w:rPr>
            <w:noProof/>
            <w:webHidden/>
          </w:rPr>
          <w:fldChar w:fldCharType="separate"/>
        </w:r>
        <w:r w:rsidR="00DB3AD8">
          <w:rPr>
            <w:noProof/>
            <w:webHidden/>
          </w:rPr>
          <w:t>9</w:t>
        </w:r>
        <w:r w:rsidR="00BA0D82">
          <w:rPr>
            <w:noProof/>
            <w:webHidden/>
          </w:rPr>
          <w:fldChar w:fldCharType="end"/>
        </w:r>
      </w:hyperlink>
    </w:p>
    <w:p w14:paraId="22829AEF" w14:textId="6B16F756" w:rsidR="00BA0D82" w:rsidRDefault="00366D34" w:rsidP="00BC793A">
      <w:pPr>
        <w:pStyle w:val="TOC2"/>
        <w:tabs>
          <w:tab w:val="right" w:leader="dot" w:pos="10790"/>
        </w:tabs>
        <w:spacing w:after="0" w:line="216" w:lineRule="auto"/>
        <w:rPr>
          <w:noProof/>
        </w:rPr>
      </w:pPr>
      <w:hyperlink w:anchor="_Toc27143206" w:history="1">
        <w:r w:rsidR="00BA0D82" w:rsidRPr="00743993">
          <w:rPr>
            <w:rStyle w:val="Hyperlink"/>
            <w:rFonts w:eastAsia="Times New Roman"/>
            <w:noProof/>
          </w:rPr>
          <w:t>Michigan Blind</w:t>
        </w:r>
        <w:r w:rsidR="00BA0D82">
          <w:rPr>
            <w:noProof/>
            <w:webHidden/>
          </w:rPr>
          <w:tab/>
        </w:r>
        <w:r w:rsidR="00BA0D82">
          <w:rPr>
            <w:noProof/>
            <w:webHidden/>
          </w:rPr>
          <w:fldChar w:fldCharType="begin"/>
        </w:r>
        <w:r w:rsidR="00BA0D82">
          <w:rPr>
            <w:noProof/>
            <w:webHidden/>
          </w:rPr>
          <w:instrText xml:space="preserve"> PAGEREF _Toc27143206 \h </w:instrText>
        </w:r>
        <w:r w:rsidR="00BA0D82">
          <w:rPr>
            <w:noProof/>
            <w:webHidden/>
          </w:rPr>
        </w:r>
        <w:r w:rsidR="00BA0D82">
          <w:rPr>
            <w:noProof/>
            <w:webHidden/>
          </w:rPr>
          <w:fldChar w:fldCharType="separate"/>
        </w:r>
        <w:r w:rsidR="00DB3AD8">
          <w:rPr>
            <w:noProof/>
            <w:webHidden/>
          </w:rPr>
          <w:t>9</w:t>
        </w:r>
        <w:r w:rsidR="00BA0D82">
          <w:rPr>
            <w:noProof/>
            <w:webHidden/>
          </w:rPr>
          <w:fldChar w:fldCharType="end"/>
        </w:r>
      </w:hyperlink>
    </w:p>
    <w:p w14:paraId="077E85E4" w14:textId="1AC5EDC1" w:rsidR="00BA0D82" w:rsidRDefault="00366D34" w:rsidP="00BC793A">
      <w:pPr>
        <w:pStyle w:val="TOC2"/>
        <w:tabs>
          <w:tab w:val="right" w:leader="dot" w:pos="10790"/>
        </w:tabs>
        <w:spacing w:after="0" w:line="216" w:lineRule="auto"/>
        <w:rPr>
          <w:noProof/>
        </w:rPr>
      </w:pPr>
      <w:hyperlink w:anchor="_Toc27143207" w:history="1">
        <w:r w:rsidR="00BA0D82" w:rsidRPr="00743993">
          <w:rPr>
            <w:rStyle w:val="Hyperlink"/>
            <w:rFonts w:eastAsia="Times New Roman"/>
            <w:noProof/>
          </w:rPr>
          <w:t>Michigan General</w:t>
        </w:r>
        <w:r w:rsidR="00BA0D82">
          <w:rPr>
            <w:noProof/>
            <w:webHidden/>
          </w:rPr>
          <w:tab/>
        </w:r>
        <w:r w:rsidR="00BA0D82">
          <w:rPr>
            <w:noProof/>
            <w:webHidden/>
          </w:rPr>
          <w:fldChar w:fldCharType="begin"/>
        </w:r>
        <w:r w:rsidR="00BA0D82">
          <w:rPr>
            <w:noProof/>
            <w:webHidden/>
          </w:rPr>
          <w:instrText xml:space="preserve"> PAGEREF _Toc27143207 \h </w:instrText>
        </w:r>
        <w:r w:rsidR="00BA0D82">
          <w:rPr>
            <w:noProof/>
            <w:webHidden/>
          </w:rPr>
        </w:r>
        <w:r w:rsidR="00BA0D82">
          <w:rPr>
            <w:noProof/>
            <w:webHidden/>
          </w:rPr>
          <w:fldChar w:fldCharType="separate"/>
        </w:r>
        <w:r w:rsidR="00DB3AD8">
          <w:rPr>
            <w:noProof/>
            <w:webHidden/>
          </w:rPr>
          <w:t>9</w:t>
        </w:r>
        <w:r w:rsidR="00BA0D82">
          <w:rPr>
            <w:noProof/>
            <w:webHidden/>
          </w:rPr>
          <w:fldChar w:fldCharType="end"/>
        </w:r>
      </w:hyperlink>
    </w:p>
    <w:p w14:paraId="1BE32A40" w14:textId="20A0BA7E" w:rsidR="00BA0D82" w:rsidRDefault="00366D34" w:rsidP="00BC793A">
      <w:pPr>
        <w:pStyle w:val="TOC2"/>
        <w:tabs>
          <w:tab w:val="right" w:leader="dot" w:pos="10790"/>
        </w:tabs>
        <w:spacing w:after="0" w:line="216" w:lineRule="auto"/>
        <w:rPr>
          <w:noProof/>
        </w:rPr>
      </w:pPr>
      <w:hyperlink w:anchor="_Toc27143208" w:history="1">
        <w:r w:rsidR="00BA0D82" w:rsidRPr="00743993">
          <w:rPr>
            <w:rStyle w:val="Hyperlink"/>
            <w:rFonts w:eastAsia="Times New Roman"/>
            <w:noProof/>
          </w:rPr>
          <w:t>Minnesota Blind</w:t>
        </w:r>
        <w:r w:rsidR="00BA0D82">
          <w:rPr>
            <w:noProof/>
            <w:webHidden/>
          </w:rPr>
          <w:tab/>
        </w:r>
        <w:r w:rsidR="00BA0D82">
          <w:rPr>
            <w:noProof/>
            <w:webHidden/>
          </w:rPr>
          <w:fldChar w:fldCharType="begin"/>
        </w:r>
        <w:r w:rsidR="00BA0D82">
          <w:rPr>
            <w:noProof/>
            <w:webHidden/>
          </w:rPr>
          <w:instrText xml:space="preserve"> PAGEREF _Toc27143208 \h </w:instrText>
        </w:r>
        <w:r w:rsidR="00BA0D82">
          <w:rPr>
            <w:noProof/>
            <w:webHidden/>
          </w:rPr>
        </w:r>
        <w:r w:rsidR="00BA0D82">
          <w:rPr>
            <w:noProof/>
            <w:webHidden/>
          </w:rPr>
          <w:fldChar w:fldCharType="separate"/>
        </w:r>
        <w:r w:rsidR="00DB3AD8">
          <w:rPr>
            <w:noProof/>
            <w:webHidden/>
          </w:rPr>
          <w:t>10</w:t>
        </w:r>
        <w:r w:rsidR="00BA0D82">
          <w:rPr>
            <w:noProof/>
            <w:webHidden/>
          </w:rPr>
          <w:fldChar w:fldCharType="end"/>
        </w:r>
      </w:hyperlink>
    </w:p>
    <w:p w14:paraId="74D88DBC" w14:textId="3708A7B1" w:rsidR="00BA0D82" w:rsidRDefault="00366D34" w:rsidP="00BC793A">
      <w:pPr>
        <w:pStyle w:val="TOC2"/>
        <w:tabs>
          <w:tab w:val="right" w:leader="dot" w:pos="10790"/>
        </w:tabs>
        <w:spacing w:after="0" w:line="216" w:lineRule="auto"/>
        <w:rPr>
          <w:noProof/>
        </w:rPr>
      </w:pPr>
      <w:hyperlink w:anchor="_Toc27143209" w:history="1">
        <w:r w:rsidR="00BA0D82" w:rsidRPr="00743993">
          <w:rPr>
            <w:rStyle w:val="Hyperlink"/>
            <w:rFonts w:eastAsia="Times New Roman"/>
            <w:noProof/>
          </w:rPr>
          <w:t>Minnesota General</w:t>
        </w:r>
        <w:r w:rsidR="00BA0D82">
          <w:rPr>
            <w:noProof/>
            <w:webHidden/>
          </w:rPr>
          <w:tab/>
        </w:r>
        <w:r w:rsidR="00BA0D82">
          <w:rPr>
            <w:noProof/>
            <w:webHidden/>
          </w:rPr>
          <w:fldChar w:fldCharType="begin"/>
        </w:r>
        <w:r w:rsidR="00BA0D82">
          <w:rPr>
            <w:noProof/>
            <w:webHidden/>
          </w:rPr>
          <w:instrText xml:space="preserve"> PAGEREF _Toc27143209 \h </w:instrText>
        </w:r>
        <w:r w:rsidR="00BA0D82">
          <w:rPr>
            <w:noProof/>
            <w:webHidden/>
          </w:rPr>
        </w:r>
        <w:r w:rsidR="00BA0D82">
          <w:rPr>
            <w:noProof/>
            <w:webHidden/>
          </w:rPr>
          <w:fldChar w:fldCharType="separate"/>
        </w:r>
        <w:r w:rsidR="00DB3AD8">
          <w:rPr>
            <w:noProof/>
            <w:webHidden/>
          </w:rPr>
          <w:t>10</w:t>
        </w:r>
        <w:r w:rsidR="00BA0D82">
          <w:rPr>
            <w:noProof/>
            <w:webHidden/>
          </w:rPr>
          <w:fldChar w:fldCharType="end"/>
        </w:r>
      </w:hyperlink>
    </w:p>
    <w:p w14:paraId="32C25B7F" w14:textId="04262533" w:rsidR="00BA0D82" w:rsidRDefault="00366D34" w:rsidP="00BC793A">
      <w:pPr>
        <w:pStyle w:val="TOC2"/>
        <w:tabs>
          <w:tab w:val="right" w:leader="dot" w:pos="10790"/>
        </w:tabs>
        <w:spacing w:after="0" w:line="216" w:lineRule="auto"/>
        <w:rPr>
          <w:noProof/>
        </w:rPr>
      </w:pPr>
      <w:hyperlink w:anchor="_Toc27143210" w:history="1">
        <w:r w:rsidR="00BA0D82" w:rsidRPr="00743993">
          <w:rPr>
            <w:rStyle w:val="Hyperlink"/>
            <w:rFonts w:eastAsia="Times New Roman"/>
            <w:noProof/>
          </w:rPr>
          <w:t>Missouri General</w:t>
        </w:r>
        <w:r w:rsidR="00BA0D82">
          <w:rPr>
            <w:noProof/>
            <w:webHidden/>
          </w:rPr>
          <w:tab/>
        </w:r>
        <w:r w:rsidR="00BA0D82">
          <w:rPr>
            <w:noProof/>
            <w:webHidden/>
          </w:rPr>
          <w:fldChar w:fldCharType="begin"/>
        </w:r>
        <w:r w:rsidR="00BA0D82">
          <w:rPr>
            <w:noProof/>
            <w:webHidden/>
          </w:rPr>
          <w:instrText xml:space="preserve"> PAGEREF _Toc27143210 \h </w:instrText>
        </w:r>
        <w:r w:rsidR="00BA0D82">
          <w:rPr>
            <w:noProof/>
            <w:webHidden/>
          </w:rPr>
        </w:r>
        <w:r w:rsidR="00BA0D82">
          <w:rPr>
            <w:noProof/>
            <w:webHidden/>
          </w:rPr>
          <w:fldChar w:fldCharType="separate"/>
        </w:r>
        <w:r w:rsidR="00DB3AD8">
          <w:rPr>
            <w:noProof/>
            <w:webHidden/>
          </w:rPr>
          <w:t>10</w:t>
        </w:r>
        <w:r w:rsidR="00BA0D82">
          <w:rPr>
            <w:noProof/>
            <w:webHidden/>
          </w:rPr>
          <w:fldChar w:fldCharType="end"/>
        </w:r>
      </w:hyperlink>
    </w:p>
    <w:p w14:paraId="653CF279" w14:textId="7E23AD41" w:rsidR="00BA0D82" w:rsidRDefault="00366D34" w:rsidP="00BC793A">
      <w:pPr>
        <w:pStyle w:val="TOC2"/>
        <w:tabs>
          <w:tab w:val="right" w:leader="dot" w:pos="10790"/>
        </w:tabs>
        <w:spacing w:after="0" w:line="216" w:lineRule="auto"/>
        <w:rPr>
          <w:noProof/>
        </w:rPr>
      </w:pPr>
      <w:hyperlink w:anchor="_Toc27143211" w:history="1">
        <w:r w:rsidR="00BA0D82" w:rsidRPr="00743993">
          <w:rPr>
            <w:rStyle w:val="Hyperlink"/>
            <w:rFonts w:eastAsia="Times New Roman"/>
            <w:noProof/>
          </w:rPr>
          <w:t>Missouri General and Blind</w:t>
        </w:r>
        <w:r w:rsidR="00BA0D82">
          <w:rPr>
            <w:noProof/>
            <w:webHidden/>
          </w:rPr>
          <w:tab/>
        </w:r>
        <w:r w:rsidR="00BA0D82">
          <w:rPr>
            <w:noProof/>
            <w:webHidden/>
          </w:rPr>
          <w:fldChar w:fldCharType="begin"/>
        </w:r>
        <w:r w:rsidR="00BA0D82">
          <w:rPr>
            <w:noProof/>
            <w:webHidden/>
          </w:rPr>
          <w:instrText xml:space="preserve"> PAGEREF _Toc27143211 \h </w:instrText>
        </w:r>
        <w:r w:rsidR="00BA0D82">
          <w:rPr>
            <w:noProof/>
            <w:webHidden/>
          </w:rPr>
        </w:r>
        <w:r w:rsidR="00BA0D82">
          <w:rPr>
            <w:noProof/>
            <w:webHidden/>
          </w:rPr>
          <w:fldChar w:fldCharType="separate"/>
        </w:r>
        <w:r w:rsidR="00DB3AD8">
          <w:rPr>
            <w:noProof/>
            <w:webHidden/>
          </w:rPr>
          <w:t>10</w:t>
        </w:r>
        <w:r w:rsidR="00BA0D82">
          <w:rPr>
            <w:noProof/>
            <w:webHidden/>
          </w:rPr>
          <w:fldChar w:fldCharType="end"/>
        </w:r>
      </w:hyperlink>
    </w:p>
    <w:p w14:paraId="6E2EF5E7" w14:textId="458C296F" w:rsidR="00BA0D82" w:rsidRDefault="00366D34" w:rsidP="00BC793A">
      <w:pPr>
        <w:pStyle w:val="TOC2"/>
        <w:tabs>
          <w:tab w:val="right" w:leader="dot" w:pos="10790"/>
        </w:tabs>
        <w:spacing w:after="0" w:line="216" w:lineRule="auto"/>
        <w:rPr>
          <w:noProof/>
        </w:rPr>
      </w:pPr>
      <w:hyperlink w:anchor="_Toc27143212" w:history="1">
        <w:r w:rsidR="00BA0D82" w:rsidRPr="00743993">
          <w:rPr>
            <w:rStyle w:val="Hyperlink"/>
            <w:rFonts w:eastAsia="Times New Roman"/>
            <w:noProof/>
          </w:rPr>
          <w:t>Mississippi Combined</w:t>
        </w:r>
        <w:r w:rsidR="00BA0D82">
          <w:rPr>
            <w:noProof/>
            <w:webHidden/>
          </w:rPr>
          <w:tab/>
        </w:r>
        <w:r w:rsidR="00BA0D82">
          <w:rPr>
            <w:noProof/>
            <w:webHidden/>
          </w:rPr>
          <w:fldChar w:fldCharType="begin"/>
        </w:r>
        <w:r w:rsidR="00BA0D82">
          <w:rPr>
            <w:noProof/>
            <w:webHidden/>
          </w:rPr>
          <w:instrText xml:space="preserve"> PAGEREF _Toc27143212 \h </w:instrText>
        </w:r>
        <w:r w:rsidR="00BA0D82">
          <w:rPr>
            <w:noProof/>
            <w:webHidden/>
          </w:rPr>
        </w:r>
        <w:r w:rsidR="00BA0D82">
          <w:rPr>
            <w:noProof/>
            <w:webHidden/>
          </w:rPr>
          <w:fldChar w:fldCharType="separate"/>
        </w:r>
        <w:r w:rsidR="00DB3AD8">
          <w:rPr>
            <w:noProof/>
            <w:webHidden/>
          </w:rPr>
          <w:t>11</w:t>
        </w:r>
        <w:r w:rsidR="00BA0D82">
          <w:rPr>
            <w:noProof/>
            <w:webHidden/>
          </w:rPr>
          <w:fldChar w:fldCharType="end"/>
        </w:r>
      </w:hyperlink>
    </w:p>
    <w:p w14:paraId="1A9C98FB" w14:textId="7F4C1367" w:rsidR="00BA0D82" w:rsidRDefault="00366D34" w:rsidP="00BC793A">
      <w:pPr>
        <w:pStyle w:val="TOC2"/>
        <w:tabs>
          <w:tab w:val="right" w:leader="dot" w:pos="10790"/>
        </w:tabs>
        <w:spacing w:after="0" w:line="216" w:lineRule="auto"/>
        <w:rPr>
          <w:noProof/>
        </w:rPr>
      </w:pPr>
      <w:hyperlink w:anchor="_Toc27143213" w:history="1">
        <w:r w:rsidR="00BA0D82" w:rsidRPr="00743993">
          <w:rPr>
            <w:rStyle w:val="Hyperlink"/>
            <w:rFonts w:eastAsia="Times New Roman"/>
            <w:noProof/>
          </w:rPr>
          <w:t>Montana Combined</w:t>
        </w:r>
        <w:r w:rsidR="00BA0D82">
          <w:rPr>
            <w:noProof/>
            <w:webHidden/>
          </w:rPr>
          <w:tab/>
        </w:r>
        <w:r w:rsidR="00BA0D82">
          <w:rPr>
            <w:noProof/>
            <w:webHidden/>
          </w:rPr>
          <w:fldChar w:fldCharType="begin"/>
        </w:r>
        <w:r w:rsidR="00BA0D82">
          <w:rPr>
            <w:noProof/>
            <w:webHidden/>
          </w:rPr>
          <w:instrText xml:space="preserve"> PAGEREF _Toc27143213 \h </w:instrText>
        </w:r>
        <w:r w:rsidR="00BA0D82">
          <w:rPr>
            <w:noProof/>
            <w:webHidden/>
          </w:rPr>
        </w:r>
        <w:r w:rsidR="00BA0D82">
          <w:rPr>
            <w:noProof/>
            <w:webHidden/>
          </w:rPr>
          <w:fldChar w:fldCharType="separate"/>
        </w:r>
        <w:r w:rsidR="00DB3AD8">
          <w:rPr>
            <w:noProof/>
            <w:webHidden/>
          </w:rPr>
          <w:t>11</w:t>
        </w:r>
        <w:r w:rsidR="00BA0D82">
          <w:rPr>
            <w:noProof/>
            <w:webHidden/>
          </w:rPr>
          <w:fldChar w:fldCharType="end"/>
        </w:r>
      </w:hyperlink>
    </w:p>
    <w:p w14:paraId="04A5849E" w14:textId="77923979" w:rsidR="00BA0D82" w:rsidRDefault="00366D34" w:rsidP="00BC793A">
      <w:pPr>
        <w:pStyle w:val="TOC2"/>
        <w:tabs>
          <w:tab w:val="right" w:leader="dot" w:pos="10790"/>
        </w:tabs>
        <w:spacing w:after="0" w:line="216" w:lineRule="auto"/>
        <w:rPr>
          <w:noProof/>
        </w:rPr>
      </w:pPr>
      <w:hyperlink w:anchor="_Toc27143214" w:history="1">
        <w:r w:rsidR="00BA0D82" w:rsidRPr="00743993">
          <w:rPr>
            <w:rStyle w:val="Hyperlink"/>
            <w:rFonts w:eastAsia="Times New Roman"/>
            <w:noProof/>
          </w:rPr>
          <w:t>Nebraska General</w:t>
        </w:r>
        <w:r w:rsidR="00BA0D82">
          <w:rPr>
            <w:noProof/>
            <w:webHidden/>
          </w:rPr>
          <w:tab/>
        </w:r>
        <w:r w:rsidR="00BA0D82">
          <w:rPr>
            <w:noProof/>
            <w:webHidden/>
          </w:rPr>
          <w:fldChar w:fldCharType="begin"/>
        </w:r>
        <w:r w:rsidR="00BA0D82">
          <w:rPr>
            <w:noProof/>
            <w:webHidden/>
          </w:rPr>
          <w:instrText xml:space="preserve"> PAGEREF _Toc27143214 \h </w:instrText>
        </w:r>
        <w:r w:rsidR="00BA0D82">
          <w:rPr>
            <w:noProof/>
            <w:webHidden/>
          </w:rPr>
        </w:r>
        <w:r w:rsidR="00BA0D82">
          <w:rPr>
            <w:noProof/>
            <w:webHidden/>
          </w:rPr>
          <w:fldChar w:fldCharType="separate"/>
        </w:r>
        <w:r w:rsidR="00DB3AD8">
          <w:rPr>
            <w:noProof/>
            <w:webHidden/>
          </w:rPr>
          <w:t>11</w:t>
        </w:r>
        <w:r w:rsidR="00BA0D82">
          <w:rPr>
            <w:noProof/>
            <w:webHidden/>
          </w:rPr>
          <w:fldChar w:fldCharType="end"/>
        </w:r>
      </w:hyperlink>
    </w:p>
    <w:p w14:paraId="5CDD540C" w14:textId="6FB14477" w:rsidR="00BA0D82" w:rsidRDefault="00366D34" w:rsidP="00BC793A">
      <w:pPr>
        <w:pStyle w:val="TOC2"/>
        <w:tabs>
          <w:tab w:val="right" w:leader="dot" w:pos="10790"/>
        </w:tabs>
        <w:spacing w:after="0" w:line="216" w:lineRule="auto"/>
        <w:rPr>
          <w:noProof/>
        </w:rPr>
      </w:pPr>
      <w:hyperlink w:anchor="_Toc27143215" w:history="1">
        <w:r w:rsidR="00BA0D82" w:rsidRPr="00743993">
          <w:rPr>
            <w:rStyle w:val="Hyperlink"/>
            <w:rFonts w:eastAsia="Times New Roman"/>
            <w:noProof/>
          </w:rPr>
          <w:t>Nevada Combined</w:t>
        </w:r>
        <w:r w:rsidR="00BA0D82">
          <w:rPr>
            <w:noProof/>
            <w:webHidden/>
          </w:rPr>
          <w:tab/>
        </w:r>
        <w:r w:rsidR="00BA0D82">
          <w:rPr>
            <w:noProof/>
            <w:webHidden/>
          </w:rPr>
          <w:fldChar w:fldCharType="begin"/>
        </w:r>
        <w:r w:rsidR="00BA0D82">
          <w:rPr>
            <w:noProof/>
            <w:webHidden/>
          </w:rPr>
          <w:instrText xml:space="preserve"> PAGEREF _Toc27143215 \h </w:instrText>
        </w:r>
        <w:r w:rsidR="00BA0D82">
          <w:rPr>
            <w:noProof/>
            <w:webHidden/>
          </w:rPr>
        </w:r>
        <w:r w:rsidR="00BA0D82">
          <w:rPr>
            <w:noProof/>
            <w:webHidden/>
          </w:rPr>
          <w:fldChar w:fldCharType="separate"/>
        </w:r>
        <w:r w:rsidR="00DB3AD8">
          <w:rPr>
            <w:noProof/>
            <w:webHidden/>
          </w:rPr>
          <w:t>12</w:t>
        </w:r>
        <w:r w:rsidR="00BA0D82">
          <w:rPr>
            <w:noProof/>
            <w:webHidden/>
          </w:rPr>
          <w:fldChar w:fldCharType="end"/>
        </w:r>
      </w:hyperlink>
    </w:p>
    <w:p w14:paraId="31EE4878" w14:textId="55E6DDEE" w:rsidR="00BA0D82" w:rsidRDefault="00366D34" w:rsidP="00BC793A">
      <w:pPr>
        <w:pStyle w:val="TOC2"/>
        <w:tabs>
          <w:tab w:val="right" w:leader="dot" w:pos="10790"/>
        </w:tabs>
        <w:spacing w:after="0" w:line="216" w:lineRule="auto"/>
        <w:rPr>
          <w:noProof/>
        </w:rPr>
      </w:pPr>
      <w:hyperlink w:anchor="_Toc27143216" w:history="1">
        <w:r w:rsidR="00BA0D82" w:rsidRPr="00743993">
          <w:rPr>
            <w:rStyle w:val="Hyperlink"/>
            <w:rFonts w:eastAsia="Times New Roman"/>
            <w:noProof/>
          </w:rPr>
          <w:t>New Hampshire Combined</w:t>
        </w:r>
        <w:r w:rsidR="00BA0D82">
          <w:rPr>
            <w:noProof/>
            <w:webHidden/>
          </w:rPr>
          <w:tab/>
        </w:r>
        <w:r w:rsidR="00BA0D82">
          <w:rPr>
            <w:noProof/>
            <w:webHidden/>
          </w:rPr>
          <w:fldChar w:fldCharType="begin"/>
        </w:r>
        <w:r w:rsidR="00BA0D82">
          <w:rPr>
            <w:noProof/>
            <w:webHidden/>
          </w:rPr>
          <w:instrText xml:space="preserve"> PAGEREF _Toc27143216 \h </w:instrText>
        </w:r>
        <w:r w:rsidR="00BA0D82">
          <w:rPr>
            <w:noProof/>
            <w:webHidden/>
          </w:rPr>
        </w:r>
        <w:r w:rsidR="00BA0D82">
          <w:rPr>
            <w:noProof/>
            <w:webHidden/>
          </w:rPr>
          <w:fldChar w:fldCharType="separate"/>
        </w:r>
        <w:r w:rsidR="00DB3AD8">
          <w:rPr>
            <w:noProof/>
            <w:webHidden/>
          </w:rPr>
          <w:t>12</w:t>
        </w:r>
        <w:r w:rsidR="00BA0D82">
          <w:rPr>
            <w:noProof/>
            <w:webHidden/>
          </w:rPr>
          <w:fldChar w:fldCharType="end"/>
        </w:r>
      </w:hyperlink>
    </w:p>
    <w:p w14:paraId="1D5F03F4" w14:textId="779FBEEA" w:rsidR="00BA0D82" w:rsidRDefault="00366D34" w:rsidP="00BC793A">
      <w:pPr>
        <w:pStyle w:val="TOC2"/>
        <w:tabs>
          <w:tab w:val="right" w:leader="dot" w:pos="10790"/>
        </w:tabs>
        <w:spacing w:after="0" w:line="216" w:lineRule="auto"/>
        <w:rPr>
          <w:noProof/>
        </w:rPr>
      </w:pPr>
      <w:hyperlink w:anchor="_Toc27143217" w:history="1">
        <w:r w:rsidR="00BA0D82" w:rsidRPr="00743993">
          <w:rPr>
            <w:rStyle w:val="Hyperlink"/>
            <w:rFonts w:eastAsia="Times New Roman"/>
            <w:noProof/>
          </w:rPr>
          <w:t>New York General</w:t>
        </w:r>
        <w:r w:rsidR="00BA0D82">
          <w:rPr>
            <w:noProof/>
            <w:webHidden/>
          </w:rPr>
          <w:tab/>
        </w:r>
        <w:r w:rsidR="00BA0D82">
          <w:rPr>
            <w:noProof/>
            <w:webHidden/>
          </w:rPr>
          <w:fldChar w:fldCharType="begin"/>
        </w:r>
        <w:r w:rsidR="00BA0D82">
          <w:rPr>
            <w:noProof/>
            <w:webHidden/>
          </w:rPr>
          <w:instrText xml:space="preserve"> PAGEREF _Toc27143217 \h </w:instrText>
        </w:r>
        <w:r w:rsidR="00BA0D82">
          <w:rPr>
            <w:noProof/>
            <w:webHidden/>
          </w:rPr>
        </w:r>
        <w:r w:rsidR="00BA0D82">
          <w:rPr>
            <w:noProof/>
            <w:webHidden/>
          </w:rPr>
          <w:fldChar w:fldCharType="separate"/>
        </w:r>
        <w:r w:rsidR="00DB3AD8">
          <w:rPr>
            <w:noProof/>
            <w:webHidden/>
          </w:rPr>
          <w:t>12</w:t>
        </w:r>
        <w:r w:rsidR="00BA0D82">
          <w:rPr>
            <w:noProof/>
            <w:webHidden/>
          </w:rPr>
          <w:fldChar w:fldCharType="end"/>
        </w:r>
      </w:hyperlink>
    </w:p>
    <w:p w14:paraId="612771BE" w14:textId="3B6D083F" w:rsidR="00BA0D82" w:rsidRDefault="00366D34" w:rsidP="00BC793A">
      <w:pPr>
        <w:pStyle w:val="TOC2"/>
        <w:tabs>
          <w:tab w:val="right" w:leader="dot" w:pos="10790"/>
        </w:tabs>
        <w:spacing w:after="0" w:line="216" w:lineRule="auto"/>
        <w:rPr>
          <w:noProof/>
        </w:rPr>
      </w:pPr>
      <w:hyperlink w:anchor="_Toc27143218" w:history="1">
        <w:r w:rsidR="00BA0D82" w:rsidRPr="00743993">
          <w:rPr>
            <w:rStyle w:val="Hyperlink"/>
            <w:rFonts w:eastAsia="Times New Roman"/>
            <w:noProof/>
          </w:rPr>
          <w:t>North Carolina General and Blind</w:t>
        </w:r>
        <w:r w:rsidR="00BA0D82">
          <w:rPr>
            <w:noProof/>
            <w:webHidden/>
          </w:rPr>
          <w:tab/>
        </w:r>
        <w:r w:rsidR="00BA0D82">
          <w:rPr>
            <w:noProof/>
            <w:webHidden/>
          </w:rPr>
          <w:fldChar w:fldCharType="begin"/>
        </w:r>
        <w:r w:rsidR="00BA0D82">
          <w:rPr>
            <w:noProof/>
            <w:webHidden/>
          </w:rPr>
          <w:instrText xml:space="preserve"> PAGEREF _Toc27143218 \h </w:instrText>
        </w:r>
        <w:r w:rsidR="00BA0D82">
          <w:rPr>
            <w:noProof/>
            <w:webHidden/>
          </w:rPr>
        </w:r>
        <w:r w:rsidR="00BA0D82">
          <w:rPr>
            <w:noProof/>
            <w:webHidden/>
          </w:rPr>
          <w:fldChar w:fldCharType="separate"/>
        </w:r>
        <w:r w:rsidR="00DB3AD8">
          <w:rPr>
            <w:noProof/>
            <w:webHidden/>
          </w:rPr>
          <w:t>12</w:t>
        </w:r>
        <w:r w:rsidR="00BA0D82">
          <w:rPr>
            <w:noProof/>
            <w:webHidden/>
          </w:rPr>
          <w:fldChar w:fldCharType="end"/>
        </w:r>
      </w:hyperlink>
    </w:p>
    <w:p w14:paraId="41437884" w14:textId="5D42E376" w:rsidR="00BA0D82" w:rsidRDefault="00366D34" w:rsidP="00BC793A">
      <w:pPr>
        <w:pStyle w:val="TOC2"/>
        <w:tabs>
          <w:tab w:val="right" w:leader="dot" w:pos="10790"/>
        </w:tabs>
        <w:spacing w:after="0" w:line="216" w:lineRule="auto"/>
        <w:rPr>
          <w:noProof/>
        </w:rPr>
      </w:pPr>
      <w:hyperlink w:anchor="_Toc27143219" w:history="1">
        <w:r w:rsidR="00BA0D82" w:rsidRPr="00743993">
          <w:rPr>
            <w:rStyle w:val="Hyperlink"/>
            <w:rFonts w:eastAsia="Times New Roman"/>
            <w:noProof/>
          </w:rPr>
          <w:t>Oregon General</w:t>
        </w:r>
        <w:r w:rsidR="00BA0D82">
          <w:rPr>
            <w:noProof/>
            <w:webHidden/>
          </w:rPr>
          <w:tab/>
        </w:r>
        <w:r w:rsidR="00BA0D82">
          <w:rPr>
            <w:noProof/>
            <w:webHidden/>
          </w:rPr>
          <w:fldChar w:fldCharType="begin"/>
        </w:r>
        <w:r w:rsidR="00BA0D82">
          <w:rPr>
            <w:noProof/>
            <w:webHidden/>
          </w:rPr>
          <w:instrText xml:space="preserve"> PAGEREF _Toc27143219 \h </w:instrText>
        </w:r>
        <w:r w:rsidR="00BA0D82">
          <w:rPr>
            <w:noProof/>
            <w:webHidden/>
          </w:rPr>
        </w:r>
        <w:r w:rsidR="00BA0D82">
          <w:rPr>
            <w:noProof/>
            <w:webHidden/>
          </w:rPr>
          <w:fldChar w:fldCharType="separate"/>
        </w:r>
        <w:r w:rsidR="00DB3AD8">
          <w:rPr>
            <w:noProof/>
            <w:webHidden/>
          </w:rPr>
          <w:t>13</w:t>
        </w:r>
        <w:r w:rsidR="00BA0D82">
          <w:rPr>
            <w:noProof/>
            <w:webHidden/>
          </w:rPr>
          <w:fldChar w:fldCharType="end"/>
        </w:r>
      </w:hyperlink>
    </w:p>
    <w:p w14:paraId="54732868" w14:textId="77D21A2B" w:rsidR="00BA0D82" w:rsidRDefault="00366D34" w:rsidP="00BC793A">
      <w:pPr>
        <w:pStyle w:val="TOC2"/>
        <w:tabs>
          <w:tab w:val="right" w:leader="dot" w:pos="10790"/>
        </w:tabs>
        <w:spacing w:after="0" w:line="216" w:lineRule="auto"/>
        <w:rPr>
          <w:noProof/>
        </w:rPr>
      </w:pPr>
      <w:hyperlink w:anchor="_Toc27143220" w:history="1">
        <w:r w:rsidR="00BA0D82" w:rsidRPr="00743993">
          <w:rPr>
            <w:rStyle w:val="Hyperlink"/>
            <w:rFonts w:eastAsia="Times New Roman"/>
            <w:noProof/>
          </w:rPr>
          <w:t>Puerto Rico Combined</w:t>
        </w:r>
        <w:r w:rsidR="00BA0D82">
          <w:rPr>
            <w:noProof/>
            <w:webHidden/>
          </w:rPr>
          <w:tab/>
        </w:r>
        <w:r w:rsidR="00BA0D82">
          <w:rPr>
            <w:noProof/>
            <w:webHidden/>
          </w:rPr>
          <w:fldChar w:fldCharType="begin"/>
        </w:r>
        <w:r w:rsidR="00BA0D82">
          <w:rPr>
            <w:noProof/>
            <w:webHidden/>
          </w:rPr>
          <w:instrText xml:space="preserve"> PAGEREF _Toc27143220 \h </w:instrText>
        </w:r>
        <w:r w:rsidR="00BA0D82">
          <w:rPr>
            <w:noProof/>
            <w:webHidden/>
          </w:rPr>
        </w:r>
        <w:r w:rsidR="00BA0D82">
          <w:rPr>
            <w:noProof/>
            <w:webHidden/>
          </w:rPr>
          <w:fldChar w:fldCharType="separate"/>
        </w:r>
        <w:r w:rsidR="00DB3AD8">
          <w:rPr>
            <w:noProof/>
            <w:webHidden/>
          </w:rPr>
          <w:t>13</w:t>
        </w:r>
        <w:r w:rsidR="00BA0D82">
          <w:rPr>
            <w:noProof/>
            <w:webHidden/>
          </w:rPr>
          <w:fldChar w:fldCharType="end"/>
        </w:r>
      </w:hyperlink>
    </w:p>
    <w:p w14:paraId="60E2106B" w14:textId="6C363B4B" w:rsidR="00BA0D82" w:rsidRDefault="00366D34" w:rsidP="00BC793A">
      <w:pPr>
        <w:pStyle w:val="TOC2"/>
        <w:tabs>
          <w:tab w:val="right" w:leader="dot" w:pos="10790"/>
        </w:tabs>
        <w:spacing w:after="0" w:line="216" w:lineRule="auto"/>
        <w:rPr>
          <w:noProof/>
        </w:rPr>
      </w:pPr>
      <w:hyperlink w:anchor="_Toc27143221" w:history="1">
        <w:r w:rsidR="00BA0D82" w:rsidRPr="00743993">
          <w:rPr>
            <w:rStyle w:val="Hyperlink"/>
            <w:rFonts w:eastAsia="Times New Roman"/>
            <w:noProof/>
          </w:rPr>
          <w:t>Rhode Island Combined</w:t>
        </w:r>
        <w:r w:rsidR="00BA0D82">
          <w:rPr>
            <w:noProof/>
            <w:webHidden/>
          </w:rPr>
          <w:tab/>
        </w:r>
        <w:r w:rsidR="00BA0D82">
          <w:rPr>
            <w:noProof/>
            <w:webHidden/>
          </w:rPr>
          <w:fldChar w:fldCharType="begin"/>
        </w:r>
        <w:r w:rsidR="00BA0D82">
          <w:rPr>
            <w:noProof/>
            <w:webHidden/>
          </w:rPr>
          <w:instrText xml:space="preserve"> PAGEREF _Toc27143221 \h </w:instrText>
        </w:r>
        <w:r w:rsidR="00BA0D82">
          <w:rPr>
            <w:noProof/>
            <w:webHidden/>
          </w:rPr>
        </w:r>
        <w:r w:rsidR="00BA0D82">
          <w:rPr>
            <w:noProof/>
            <w:webHidden/>
          </w:rPr>
          <w:fldChar w:fldCharType="separate"/>
        </w:r>
        <w:r w:rsidR="00DB3AD8">
          <w:rPr>
            <w:noProof/>
            <w:webHidden/>
          </w:rPr>
          <w:t>13</w:t>
        </w:r>
        <w:r w:rsidR="00BA0D82">
          <w:rPr>
            <w:noProof/>
            <w:webHidden/>
          </w:rPr>
          <w:fldChar w:fldCharType="end"/>
        </w:r>
      </w:hyperlink>
    </w:p>
    <w:p w14:paraId="5B9CD5A0" w14:textId="111AA9BB" w:rsidR="00BA0D82" w:rsidRDefault="00366D34" w:rsidP="00BC793A">
      <w:pPr>
        <w:pStyle w:val="TOC2"/>
        <w:tabs>
          <w:tab w:val="right" w:leader="dot" w:pos="10790"/>
        </w:tabs>
        <w:spacing w:after="0" w:line="216" w:lineRule="auto"/>
        <w:rPr>
          <w:noProof/>
        </w:rPr>
      </w:pPr>
      <w:hyperlink w:anchor="_Toc27143222" w:history="1">
        <w:r w:rsidR="00BA0D82" w:rsidRPr="00743993">
          <w:rPr>
            <w:rStyle w:val="Hyperlink"/>
            <w:rFonts w:eastAsia="Times New Roman"/>
            <w:noProof/>
          </w:rPr>
          <w:t>South Carolina Blind</w:t>
        </w:r>
        <w:r w:rsidR="00BA0D82">
          <w:rPr>
            <w:noProof/>
            <w:webHidden/>
          </w:rPr>
          <w:tab/>
        </w:r>
        <w:r w:rsidR="00BA0D82">
          <w:rPr>
            <w:noProof/>
            <w:webHidden/>
          </w:rPr>
          <w:fldChar w:fldCharType="begin"/>
        </w:r>
        <w:r w:rsidR="00BA0D82">
          <w:rPr>
            <w:noProof/>
            <w:webHidden/>
          </w:rPr>
          <w:instrText xml:space="preserve"> PAGEREF _Toc27143222 \h </w:instrText>
        </w:r>
        <w:r w:rsidR="00BA0D82">
          <w:rPr>
            <w:noProof/>
            <w:webHidden/>
          </w:rPr>
        </w:r>
        <w:r w:rsidR="00BA0D82">
          <w:rPr>
            <w:noProof/>
            <w:webHidden/>
          </w:rPr>
          <w:fldChar w:fldCharType="separate"/>
        </w:r>
        <w:r w:rsidR="00DB3AD8">
          <w:rPr>
            <w:noProof/>
            <w:webHidden/>
          </w:rPr>
          <w:t>13</w:t>
        </w:r>
        <w:r w:rsidR="00BA0D82">
          <w:rPr>
            <w:noProof/>
            <w:webHidden/>
          </w:rPr>
          <w:fldChar w:fldCharType="end"/>
        </w:r>
      </w:hyperlink>
    </w:p>
    <w:p w14:paraId="2ABC4586" w14:textId="3AB7D54C" w:rsidR="00BA0D82" w:rsidRDefault="00366D34" w:rsidP="00BC793A">
      <w:pPr>
        <w:pStyle w:val="TOC2"/>
        <w:tabs>
          <w:tab w:val="right" w:leader="dot" w:pos="10790"/>
        </w:tabs>
        <w:spacing w:after="0" w:line="216" w:lineRule="auto"/>
        <w:rPr>
          <w:noProof/>
        </w:rPr>
      </w:pPr>
      <w:hyperlink w:anchor="_Toc27143223" w:history="1">
        <w:r w:rsidR="00BA0D82" w:rsidRPr="00743993">
          <w:rPr>
            <w:rStyle w:val="Hyperlink"/>
            <w:rFonts w:eastAsia="Times New Roman"/>
            <w:noProof/>
          </w:rPr>
          <w:t>Texas Combined</w:t>
        </w:r>
        <w:r w:rsidR="00BA0D82">
          <w:rPr>
            <w:noProof/>
            <w:webHidden/>
          </w:rPr>
          <w:tab/>
        </w:r>
        <w:r w:rsidR="00BA0D82">
          <w:rPr>
            <w:noProof/>
            <w:webHidden/>
          </w:rPr>
          <w:fldChar w:fldCharType="begin"/>
        </w:r>
        <w:r w:rsidR="00BA0D82">
          <w:rPr>
            <w:noProof/>
            <w:webHidden/>
          </w:rPr>
          <w:instrText xml:space="preserve"> PAGEREF _Toc27143223 \h </w:instrText>
        </w:r>
        <w:r w:rsidR="00BA0D82">
          <w:rPr>
            <w:noProof/>
            <w:webHidden/>
          </w:rPr>
        </w:r>
        <w:r w:rsidR="00BA0D82">
          <w:rPr>
            <w:noProof/>
            <w:webHidden/>
          </w:rPr>
          <w:fldChar w:fldCharType="separate"/>
        </w:r>
        <w:r w:rsidR="00DB3AD8">
          <w:rPr>
            <w:noProof/>
            <w:webHidden/>
          </w:rPr>
          <w:t>14</w:t>
        </w:r>
        <w:r w:rsidR="00BA0D82">
          <w:rPr>
            <w:noProof/>
            <w:webHidden/>
          </w:rPr>
          <w:fldChar w:fldCharType="end"/>
        </w:r>
      </w:hyperlink>
    </w:p>
    <w:p w14:paraId="13C3FCD3" w14:textId="477ACB81" w:rsidR="00BA0D82" w:rsidRDefault="00366D34" w:rsidP="00BC793A">
      <w:pPr>
        <w:pStyle w:val="TOC2"/>
        <w:tabs>
          <w:tab w:val="right" w:leader="dot" w:pos="10790"/>
        </w:tabs>
        <w:spacing w:after="0" w:line="216" w:lineRule="auto"/>
        <w:rPr>
          <w:noProof/>
        </w:rPr>
      </w:pPr>
      <w:hyperlink w:anchor="_Toc27143224" w:history="1">
        <w:r w:rsidR="00BA0D82" w:rsidRPr="00743993">
          <w:rPr>
            <w:rStyle w:val="Hyperlink"/>
            <w:rFonts w:eastAsia="Times New Roman"/>
            <w:noProof/>
          </w:rPr>
          <w:t>Utah Combined</w:t>
        </w:r>
        <w:r w:rsidR="00BA0D82">
          <w:rPr>
            <w:noProof/>
            <w:webHidden/>
          </w:rPr>
          <w:tab/>
        </w:r>
        <w:r w:rsidR="00BA0D82">
          <w:rPr>
            <w:noProof/>
            <w:webHidden/>
          </w:rPr>
          <w:fldChar w:fldCharType="begin"/>
        </w:r>
        <w:r w:rsidR="00BA0D82">
          <w:rPr>
            <w:noProof/>
            <w:webHidden/>
          </w:rPr>
          <w:instrText xml:space="preserve"> PAGEREF _Toc27143224 \h </w:instrText>
        </w:r>
        <w:r w:rsidR="00BA0D82">
          <w:rPr>
            <w:noProof/>
            <w:webHidden/>
          </w:rPr>
        </w:r>
        <w:r w:rsidR="00BA0D82">
          <w:rPr>
            <w:noProof/>
            <w:webHidden/>
          </w:rPr>
          <w:fldChar w:fldCharType="separate"/>
        </w:r>
        <w:r w:rsidR="00DB3AD8">
          <w:rPr>
            <w:noProof/>
            <w:webHidden/>
          </w:rPr>
          <w:t>14</w:t>
        </w:r>
        <w:r w:rsidR="00BA0D82">
          <w:rPr>
            <w:noProof/>
            <w:webHidden/>
          </w:rPr>
          <w:fldChar w:fldCharType="end"/>
        </w:r>
      </w:hyperlink>
    </w:p>
    <w:p w14:paraId="60C6E7A4" w14:textId="78C6E621" w:rsidR="00BA0D82" w:rsidRDefault="00366D34" w:rsidP="00BC793A">
      <w:pPr>
        <w:pStyle w:val="TOC2"/>
        <w:tabs>
          <w:tab w:val="right" w:leader="dot" w:pos="10790"/>
        </w:tabs>
        <w:spacing w:after="0" w:line="216" w:lineRule="auto"/>
        <w:rPr>
          <w:noProof/>
        </w:rPr>
      </w:pPr>
      <w:hyperlink w:anchor="_Toc27143225" w:history="1">
        <w:r w:rsidR="00BA0D82" w:rsidRPr="00743993">
          <w:rPr>
            <w:rStyle w:val="Hyperlink"/>
            <w:rFonts w:eastAsia="Times New Roman"/>
            <w:noProof/>
          </w:rPr>
          <w:t>Virgin Islands Combined</w:t>
        </w:r>
        <w:r w:rsidR="00BA0D82">
          <w:rPr>
            <w:noProof/>
            <w:webHidden/>
          </w:rPr>
          <w:tab/>
        </w:r>
        <w:r w:rsidR="00BA0D82">
          <w:rPr>
            <w:noProof/>
            <w:webHidden/>
          </w:rPr>
          <w:fldChar w:fldCharType="begin"/>
        </w:r>
        <w:r w:rsidR="00BA0D82">
          <w:rPr>
            <w:noProof/>
            <w:webHidden/>
          </w:rPr>
          <w:instrText xml:space="preserve"> PAGEREF _Toc27143225 \h </w:instrText>
        </w:r>
        <w:r w:rsidR="00BA0D82">
          <w:rPr>
            <w:noProof/>
            <w:webHidden/>
          </w:rPr>
        </w:r>
        <w:r w:rsidR="00BA0D82">
          <w:rPr>
            <w:noProof/>
            <w:webHidden/>
          </w:rPr>
          <w:fldChar w:fldCharType="separate"/>
        </w:r>
        <w:r w:rsidR="00DB3AD8">
          <w:rPr>
            <w:noProof/>
            <w:webHidden/>
          </w:rPr>
          <w:t>14</w:t>
        </w:r>
        <w:r w:rsidR="00BA0D82">
          <w:rPr>
            <w:noProof/>
            <w:webHidden/>
          </w:rPr>
          <w:fldChar w:fldCharType="end"/>
        </w:r>
      </w:hyperlink>
    </w:p>
    <w:p w14:paraId="49B1793C" w14:textId="5ECE7CF2" w:rsidR="00BA0D82" w:rsidRDefault="00366D34" w:rsidP="00BC793A">
      <w:pPr>
        <w:pStyle w:val="TOC2"/>
        <w:tabs>
          <w:tab w:val="right" w:leader="dot" w:pos="10790"/>
        </w:tabs>
        <w:spacing w:after="0" w:line="216" w:lineRule="auto"/>
        <w:rPr>
          <w:noProof/>
        </w:rPr>
      </w:pPr>
      <w:hyperlink w:anchor="_Toc27143226" w:history="1">
        <w:r w:rsidR="00BA0D82" w:rsidRPr="00743993">
          <w:rPr>
            <w:rStyle w:val="Hyperlink"/>
            <w:rFonts w:eastAsia="Times New Roman"/>
            <w:noProof/>
          </w:rPr>
          <w:t>Virginia Blind</w:t>
        </w:r>
        <w:r w:rsidR="00BA0D82">
          <w:rPr>
            <w:noProof/>
            <w:webHidden/>
          </w:rPr>
          <w:tab/>
        </w:r>
        <w:r w:rsidR="00BA0D82">
          <w:rPr>
            <w:noProof/>
            <w:webHidden/>
          </w:rPr>
          <w:fldChar w:fldCharType="begin"/>
        </w:r>
        <w:r w:rsidR="00BA0D82">
          <w:rPr>
            <w:noProof/>
            <w:webHidden/>
          </w:rPr>
          <w:instrText xml:space="preserve"> PAGEREF _Toc27143226 \h </w:instrText>
        </w:r>
        <w:r w:rsidR="00BA0D82">
          <w:rPr>
            <w:noProof/>
            <w:webHidden/>
          </w:rPr>
        </w:r>
        <w:r w:rsidR="00BA0D82">
          <w:rPr>
            <w:noProof/>
            <w:webHidden/>
          </w:rPr>
          <w:fldChar w:fldCharType="separate"/>
        </w:r>
        <w:r w:rsidR="00DB3AD8">
          <w:rPr>
            <w:noProof/>
            <w:webHidden/>
          </w:rPr>
          <w:t>14</w:t>
        </w:r>
        <w:r w:rsidR="00BA0D82">
          <w:rPr>
            <w:noProof/>
            <w:webHidden/>
          </w:rPr>
          <w:fldChar w:fldCharType="end"/>
        </w:r>
      </w:hyperlink>
    </w:p>
    <w:p w14:paraId="3884D9E6" w14:textId="2D9B7B80" w:rsidR="00BA0D82" w:rsidRDefault="00366D34" w:rsidP="00BC793A">
      <w:pPr>
        <w:pStyle w:val="TOC2"/>
        <w:tabs>
          <w:tab w:val="right" w:leader="dot" w:pos="10790"/>
        </w:tabs>
        <w:spacing w:after="0" w:line="216" w:lineRule="auto"/>
        <w:rPr>
          <w:noProof/>
        </w:rPr>
      </w:pPr>
      <w:hyperlink w:anchor="_Toc27143227" w:history="1">
        <w:r w:rsidR="00BA0D82" w:rsidRPr="00743993">
          <w:rPr>
            <w:rStyle w:val="Hyperlink"/>
            <w:rFonts w:eastAsia="Times New Roman"/>
            <w:noProof/>
          </w:rPr>
          <w:t>Virginia General</w:t>
        </w:r>
        <w:r w:rsidR="00BA0D82">
          <w:rPr>
            <w:noProof/>
            <w:webHidden/>
          </w:rPr>
          <w:tab/>
        </w:r>
        <w:r w:rsidR="00BA0D82">
          <w:rPr>
            <w:noProof/>
            <w:webHidden/>
          </w:rPr>
          <w:fldChar w:fldCharType="begin"/>
        </w:r>
        <w:r w:rsidR="00BA0D82">
          <w:rPr>
            <w:noProof/>
            <w:webHidden/>
          </w:rPr>
          <w:instrText xml:space="preserve"> PAGEREF _Toc27143227 \h </w:instrText>
        </w:r>
        <w:r w:rsidR="00BA0D82">
          <w:rPr>
            <w:noProof/>
            <w:webHidden/>
          </w:rPr>
        </w:r>
        <w:r w:rsidR="00BA0D82">
          <w:rPr>
            <w:noProof/>
            <w:webHidden/>
          </w:rPr>
          <w:fldChar w:fldCharType="separate"/>
        </w:r>
        <w:r w:rsidR="00DB3AD8">
          <w:rPr>
            <w:noProof/>
            <w:webHidden/>
          </w:rPr>
          <w:t>15</w:t>
        </w:r>
        <w:r w:rsidR="00BA0D82">
          <w:rPr>
            <w:noProof/>
            <w:webHidden/>
          </w:rPr>
          <w:fldChar w:fldCharType="end"/>
        </w:r>
      </w:hyperlink>
    </w:p>
    <w:p w14:paraId="5BA823FF" w14:textId="103A8B0C" w:rsidR="00BA0D82" w:rsidRDefault="00366D34" w:rsidP="00BC793A">
      <w:pPr>
        <w:pStyle w:val="TOC2"/>
        <w:tabs>
          <w:tab w:val="right" w:leader="dot" w:pos="10790"/>
        </w:tabs>
        <w:spacing w:after="0" w:line="216" w:lineRule="auto"/>
        <w:rPr>
          <w:noProof/>
        </w:rPr>
      </w:pPr>
      <w:hyperlink w:anchor="_Toc27143228" w:history="1">
        <w:r w:rsidR="00BA0D82" w:rsidRPr="00743993">
          <w:rPr>
            <w:rStyle w:val="Hyperlink"/>
            <w:rFonts w:eastAsia="Times New Roman"/>
            <w:noProof/>
          </w:rPr>
          <w:t>Washington General</w:t>
        </w:r>
        <w:r w:rsidR="00BA0D82">
          <w:rPr>
            <w:noProof/>
            <w:webHidden/>
          </w:rPr>
          <w:tab/>
        </w:r>
        <w:r w:rsidR="00BA0D82">
          <w:rPr>
            <w:noProof/>
            <w:webHidden/>
          </w:rPr>
          <w:fldChar w:fldCharType="begin"/>
        </w:r>
        <w:r w:rsidR="00BA0D82">
          <w:rPr>
            <w:noProof/>
            <w:webHidden/>
          </w:rPr>
          <w:instrText xml:space="preserve"> PAGEREF _Toc27143228 \h </w:instrText>
        </w:r>
        <w:r w:rsidR="00BA0D82">
          <w:rPr>
            <w:noProof/>
            <w:webHidden/>
          </w:rPr>
        </w:r>
        <w:r w:rsidR="00BA0D82">
          <w:rPr>
            <w:noProof/>
            <w:webHidden/>
          </w:rPr>
          <w:fldChar w:fldCharType="separate"/>
        </w:r>
        <w:r w:rsidR="00DB3AD8">
          <w:rPr>
            <w:noProof/>
            <w:webHidden/>
          </w:rPr>
          <w:t>15</w:t>
        </w:r>
        <w:r w:rsidR="00BA0D82">
          <w:rPr>
            <w:noProof/>
            <w:webHidden/>
          </w:rPr>
          <w:fldChar w:fldCharType="end"/>
        </w:r>
      </w:hyperlink>
    </w:p>
    <w:p w14:paraId="5E87061E" w14:textId="4DDAC6ED" w:rsidR="00BA0D82" w:rsidRDefault="00BA0D82" w:rsidP="00BC793A">
      <w:pPr>
        <w:spacing w:after="0" w:line="216" w:lineRule="auto"/>
      </w:pPr>
      <w:r>
        <w:rPr>
          <w:rFonts w:asciiTheme="majorHAnsi" w:eastAsiaTheme="majorEastAsia" w:hAnsiTheme="majorHAnsi" w:cstheme="majorBidi"/>
          <w:color w:val="2F5496" w:themeColor="accent1" w:themeShade="BF"/>
          <w:sz w:val="32"/>
          <w:szCs w:val="32"/>
        </w:rPr>
        <w:lastRenderedPageBreak/>
        <w:fldChar w:fldCharType="end"/>
      </w:r>
    </w:p>
    <w:tbl>
      <w:tblPr>
        <w:tblW w:w="10800" w:type="dxa"/>
        <w:tblLook w:val="04A0" w:firstRow="1" w:lastRow="0" w:firstColumn="1" w:lastColumn="0" w:noHBand="0" w:noVBand="1"/>
      </w:tblPr>
      <w:tblGrid>
        <w:gridCol w:w="2508"/>
        <w:gridCol w:w="1166"/>
        <w:gridCol w:w="1255"/>
        <w:gridCol w:w="897"/>
        <w:gridCol w:w="897"/>
        <w:gridCol w:w="891"/>
        <w:gridCol w:w="1062"/>
        <w:gridCol w:w="1062"/>
        <w:gridCol w:w="1062"/>
      </w:tblGrid>
      <w:tr w:rsidR="00BA0D82" w:rsidRPr="0005691D" w14:paraId="3F135E59" w14:textId="77777777" w:rsidTr="001A5653">
        <w:trPr>
          <w:trHeight w:val="465"/>
        </w:trPr>
        <w:tc>
          <w:tcPr>
            <w:tcW w:w="10800" w:type="dxa"/>
            <w:gridSpan w:val="9"/>
            <w:tcBorders>
              <w:top w:val="single" w:sz="4" w:space="0" w:color="auto"/>
              <w:left w:val="nil"/>
              <w:bottom w:val="single" w:sz="4" w:space="0" w:color="auto"/>
              <w:right w:val="nil"/>
            </w:tcBorders>
            <w:shd w:val="clear" w:color="auto" w:fill="auto"/>
            <w:noWrap/>
            <w:vAlign w:val="bottom"/>
            <w:hideMark/>
          </w:tcPr>
          <w:p w14:paraId="7629DD15" w14:textId="77777777" w:rsidR="00BA0D82" w:rsidRPr="0005691D" w:rsidRDefault="00BA0D82" w:rsidP="00BA0D82">
            <w:pPr>
              <w:pStyle w:val="Heading2"/>
              <w:numPr>
                <w:ilvl w:val="0"/>
                <w:numId w:val="0"/>
              </w:numPr>
              <w:rPr>
                <w:rFonts w:eastAsia="Times New Roman"/>
              </w:rPr>
            </w:pPr>
            <w:bookmarkStart w:id="179" w:name="_Toc27143179"/>
            <w:bookmarkStart w:id="180" w:name="_Toc28011478"/>
            <w:r w:rsidRPr="0005691D">
              <w:rPr>
                <w:rFonts w:eastAsia="Times New Roman"/>
              </w:rPr>
              <w:t>All States</w:t>
            </w:r>
            <w:bookmarkEnd w:id="179"/>
            <w:bookmarkEnd w:id="180"/>
          </w:p>
        </w:tc>
      </w:tr>
      <w:tr w:rsidR="00BA0D82" w:rsidRPr="0005691D" w14:paraId="1630E97A" w14:textId="77777777" w:rsidTr="001A5653">
        <w:trPr>
          <w:trHeight w:val="1050"/>
        </w:trPr>
        <w:tc>
          <w:tcPr>
            <w:tcW w:w="2511" w:type="dxa"/>
            <w:tcBorders>
              <w:top w:val="nil"/>
              <w:left w:val="single" w:sz="4" w:space="0" w:color="auto"/>
              <w:bottom w:val="single" w:sz="4" w:space="0" w:color="auto"/>
              <w:right w:val="single" w:sz="4" w:space="0" w:color="auto"/>
            </w:tcBorders>
            <w:shd w:val="clear" w:color="000000" w:fill="B4C6E7"/>
            <w:vAlign w:val="bottom"/>
            <w:hideMark/>
          </w:tcPr>
          <w:p w14:paraId="65174F93" w14:textId="77777777" w:rsidR="00BA0D82" w:rsidRPr="0005691D" w:rsidRDefault="00BA0D82" w:rsidP="001A5653">
            <w:pPr>
              <w:spacing w:after="0" w:line="240" w:lineRule="auto"/>
              <w:jc w:val="right"/>
              <w:rPr>
                <w:rFonts w:ascii="Calibri" w:eastAsia="Times New Roman" w:hAnsi="Calibri" w:cs="Calibri"/>
                <w:b/>
                <w:bCs/>
                <w:color w:val="000000"/>
                <w:szCs w:val="28"/>
              </w:rPr>
            </w:pPr>
            <w:r w:rsidRPr="0005691D">
              <w:rPr>
                <w:rFonts w:ascii="Calibri" w:eastAsia="Times New Roman" w:hAnsi="Calibri" w:cs="Calibri"/>
                <w:b/>
                <w:bCs/>
                <w:color w:val="000000"/>
                <w:szCs w:val="28"/>
              </w:rPr>
              <w:t>Area</w:t>
            </w:r>
          </w:p>
        </w:tc>
        <w:tc>
          <w:tcPr>
            <w:tcW w:w="1167" w:type="dxa"/>
            <w:tcBorders>
              <w:top w:val="nil"/>
              <w:left w:val="nil"/>
              <w:bottom w:val="single" w:sz="4" w:space="0" w:color="auto"/>
              <w:right w:val="single" w:sz="4" w:space="0" w:color="auto"/>
            </w:tcBorders>
            <w:shd w:val="clear" w:color="000000" w:fill="B4C6E7"/>
            <w:vAlign w:val="bottom"/>
            <w:hideMark/>
          </w:tcPr>
          <w:p w14:paraId="4A54B309"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of Total Activities</w:t>
            </w:r>
          </w:p>
        </w:tc>
        <w:tc>
          <w:tcPr>
            <w:tcW w:w="1256" w:type="dxa"/>
            <w:tcBorders>
              <w:top w:val="nil"/>
              <w:left w:val="nil"/>
              <w:bottom w:val="single" w:sz="4" w:space="0" w:color="auto"/>
              <w:right w:val="single" w:sz="4" w:space="0" w:color="auto"/>
            </w:tcBorders>
            <w:shd w:val="clear" w:color="000000" w:fill="B4C6E7"/>
            <w:vAlign w:val="bottom"/>
            <w:hideMark/>
          </w:tcPr>
          <w:p w14:paraId="2E654B0B"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Average Progress on Activities</w:t>
            </w:r>
          </w:p>
        </w:tc>
        <w:tc>
          <w:tcPr>
            <w:tcW w:w="898" w:type="dxa"/>
            <w:tcBorders>
              <w:top w:val="nil"/>
              <w:left w:val="nil"/>
              <w:bottom w:val="single" w:sz="4" w:space="0" w:color="auto"/>
              <w:right w:val="single" w:sz="4" w:space="0" w:color="auto"/>
            </w:tcBorders>
            <w:shd w:val="clear" w:color="000000" w:fill="B4C6E7"/>
            <w:vAlign w:val="bottom"/>
            <w:hideMark/>
          </w:tcPr>
          <w:p w14:paraId="7EFCB89D"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Outputs</w:t>
            </w:r>
          </w:p>
        </w:tc>
        <w:tc>
          <w:tcPr>
            <w:tcW w:w="898" w:type="dxa"/>
            <w:tcBorders>
              <w:top w:val="nil"/>
              <w:left w:val="nil"/>
              <w:bottom w:val="single" w:sz="4" w:space="0" w:color="auto"/>
              <w:right w:val="single" w:sz="4" w:space="0" w:color="auto"/>
            </w:tcBorders>
            <w:shd w:val="clear" w:color="000000" w:fill="B4C6E7"/>
            <w:vAlign w:val="bottom"/>
            <w:hideMark/>
          </w:tcPr>
          <w:p w14:paraId="40435426"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Outputs Met</w:t>
            </w:r>
          </w:p>
        </w:tc>
        <w:tc>
          <w:tcPr>
            <w:tcW w:w="890" w:type="dxa"/>
            <w:tcBorders>
              <w:top w:val="nil"/>
              <w:left w:val="nil"/>
              <w:bottom w:val="single" w:sz="4" w:space="0" w:color="auto"/>
              <w:right w:val="single" w:sz="4" w:space="0" w:color="auto"/>
            </w:tcBorders>
            <w:shd w:val="clear" w:color="000000" w:fill="B4C6E7"/>
            <w:vAlign w:val="bottom"/>
            <w:hideMark/>
          </w:tcPr>
          <w:p w14:paraId="72000C0B"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Outputs Met</w:t>
            </w:r>
          </w:p>
        </w:tc>
        <w:tc>
          <w:tcPr>
            <w:tcW w:w="1060" w:type="dxa"/>
            <w:tcBorders>
              <w:top w:val="nil"/>
              <w:left w:val="nil"/>
              <w:bottom w:val="single" w:sz="4" w:space="0" w:color="auto"/>
              <w:right w:val="single" w:sz="4" w:space="0" w:color="auto"/>
            </w:tcBorders>
            <w:shd w:val="clear" w:color="000000" w:fill="B4C6E7"/>
            <w:vAlign w:val="bottom"/>
            <w:hideMark/>
          </w:tcPr>
          <w:p w14:paraId="06DB04D3"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Short-Term Outcomes</w:t>
            </w:r>
          </w:p>
        </w:tc>
        <w:tc>
          <w:tcPr>
            <w:tcW w:w="1060" w:type="dxa"/>
            <w:tcBorders>
              <w:top w:val="nil"/>
              <w:left w:val="nil"/>
              <w:bottom w:val="single" w:sz="4" w:space="0" w:color="auto"/>
              <w:right w:val="single" w:sz="4" w:space="0" w:color="auto"/>
            </w:tcBorders>
            <w:shd w:val="clear" w:color="000000" w:fill="B4C6E7"/>
            <w:vAlign w:val="bottom"/>
            <w:hideMark/>
          </w:tcPr>
          <w:p w14:paraId="1B54CBD3"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Short-Term Outcomes Achieved</w:t>
            </w:r>
          </w:p>
        </w:tc>
        <w:tc>
          <w:tcPr>
            <w:tcW w:w="1060" w:type="dxa"/>
            <w:tcBorders>
              <w:top w:val="nil"/>
              <w:left w:val="nil"/>
              <w:bottom w:val="single" w:sz="4" w:space="0" w:color="auto"/>
              <w:right w:val="single" w:sz="4" w:space="0" w:color="auto"/>
            </w:tcBorders>
            <w:shd w:val="clear" w:color="000000" w:fill="B4C6E7"/>
            <w:vAlign w:val="bottom"/>
            <w:hideMark/>
          </w:tcPr>
          <w:p w14:paraId="1F1C27D5"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%Short-Term Outcomes Achieved</w:t>
            </w:r>
          </w:p>
        </w:tc>
      </w:tr>
      <w:tr w:rsidR="00BA0D82" w:rsidRPr="0005691D" w14:paraId="611C1679" w14:textId="77777777" w:rsidTr="001A5653">
        <w:trPr>
          <w:trHeight w:val="300"/>
        </w:trPr>
        <w:tc>
          <w:tcPr>
            <w:tcW w:w="2511" w:type="dxa"/>
            <w:tcBorders>
              <w:top w:val="nil"/>
              <w:left w:val="single" w:sz="4" w:space="0" w:color="auto"/>
              <w:bottom w:val="single" w:sz="4" w:space="0" w:color="auto"/>
              <w:right w:val="single" w:sz="4" w:space="0" w:color="auto"/>
            </w:tcBorders>
            <w:shd w:val="clear" w:color="000000" w:fill="B4C6E7"/>
            <w:noWrap/>
            <w:vAlign w:val="center"/>
            <w:hideMark/>
          </w:tcPr>
          <w:p w14:paraId="6D79B1A7" w14:textId="77777777" w:rsidR="00BA0D82" w:rsidRPr="0005691D" w:rsidRDefault="00BA0D82" w:rsidP="001A5653">
            <w:pPr>
              <w:spacing w:after="0" w:line="240" w:lineRule="auto"/>
              <w:jc w:val="right"/>
              <w:rPr>
                <w:rFonts w:ascii="Calibri" w:eastAsia="Times New Roman" w:hAnsi="Calibri" w:cs="Calibri"/>
                <w:b/>
                <w:bCs/>
                <w:color w:val="000000"/>
              </w:rPr>
            </w:pPr>
            <w:r w:rsidRPr="0005691D">
              <w:rPr>
                <w:rFonts w:ascii="Calibri" w:eastAsia="Times New Roman" w:hAnsi="Calibri" w:cs="Calibri"/>
                <w:b/>
                <w:bCs/>
                <w:color w:val="000000"/>
              </w:rPr>
              <w:t>Pre-ETS</w:t>
            </w:r>
          </w:p>
        </w:tc>
        <w:tc>
          <w:tcPr>
            <w:tcW w:w="1167" w:type="dxa"/>
            <w:tcBorders>
              <w:top w:val="nil"/>
              <w:left w:val="nil"/>
              <w:bottom w:val="single" w:sz="4" w:space="0" w:color="auto"/>
              <w:right w:val="single" w:sz="4" w:space="0" w:color="auto"/>
            </w:tcBorders>
            <w:shd w:val="clear" w:color="000000" w:fill="FFFFFF"/>
            <w:noWrap/>
            <w:vAlign w:val="center"/>
            <w:hideMark/>
          </w:tcPr>
          <w:p w14:paraId="70A146AE"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225</w:t>
            </w:r>
          </w:p>
        </w:tc>
        <w:tc>
          <w:tcPr>
            <w:tcW w:w="1256" w:type="dxa"/>
            <w:tcBorders>
              <w:top w:val="nil"/>
              <w:left w:val="nil"/>
              <w:bottom w:val="single" w:sz="4" w:space="0" w:color="auto"/>
              <w:right w:val="single" w:sz="4" w:space="0" w:color="auto"/>
            </w:tcBorders>
            <w:shd w:val="clear" w:color="000000" w:fill="FFFFFF"/>
            <w:noWrap/>
            <w:vAlign w:val="center"/>
            <w:hideMark/>
          </w:tcPr>
          <w:p w14:paraId="76217A84"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72%</w:t>
            </w:r>
          </w:p>
        </w:tc>
        <w:tc>
          <w:tcPr>
            <w:tcW w:w="898" w:type="dxa"/>
            <w:tcBorders>
              <w:top w:val="nil"/>
              <w:left w:val="nil"/>
              <w:bottom w:val="single" w:sz="4" w:space="0" w:color="auto"/>
              <w:right w:val="single" w:sz="4" w:space="0" w:color="auto"/>
            </w:tcBorders>
            <w:shd w:val="clear" w:color="000000" w:fill="FFFFFF"/>
            <w:noWrap/>
            <w:vAlign w:val="center"/>
            <w:hideMark/>
          </w:tcPr>
          <w:p w14:paraId="7D661D26"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225</w:t>
            </w:r>
          </w:p>
        </w:tc>
        <w:tc>
          <w:tcPr>
            <w:tcW w:w="898" w:type="dxa"/>
            <w:tcBorders>
              <w:top w:val="nil"/>
              <w:left w:val="nil"/>
              <w:bottom w:val="single" w:sz="4" w:space="0" w:color="auto"/>
              <w:right w:val="single" w:sz="4" w:space="0" w:color="auto"/>
            </w:tcBorders>
            <w:shd w:val="clear" w:color="000000" w:fill="FFFFFF"/>
            <w:noWrap/>
            <w:vAlign w:val="center"/>
            <w:hideMark/>
          </w:tcPr>
          <w:p w14:paraId="51793D1B"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133</w:t>
            </w:r>
          </w:p>
        </w:tc>
        <w:tc>
          <w:tcPr>
            <w:tcW w:w="890" w:type="dxa"/>
            <w:tcBorders>
              <w:top w:val="nil"/>
              <w:left w:val="nil"/>
              <w:bottom w:val="single" w:sz="4" w:space="0" w:color="auto"/>
              <w:right w:val="single" w:sz="4" w:space="0" w:color="auto"/>
            </w:tcBorders>
            <w:shd w:val="clear" w:color="000000" w:fill="FFFFFF"/>
            <w:noWrap/>
            <w:vAlign w:val="center"/>
            <w:hideMark/>
          </w:tcPr>
          <w:p w14:paraId="332A09DA"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59%</w:t>
            </w:r>
          </w:p>
        </w:tc>
        <w:tc>
          <w:tcPr>
            <w:tcW w:w="1060" w:type="dxa"/>
            <w:tcBorders>
              <w:top w:val="nil"/>
              <w:left w:val="nil"/>
              <w:bottom w:val="single" w:sz="4" w:space="0" w:color="auto"/>
              <w:right w:val="single" w:sz="4" w:space="0" w:color="auto"/>
            </w:tcBorders>
            <w:shd w:val="clear" w:color="000000" w:fill="FFFFFF"/>
            <w:noWrap/>
            <w:vAlign w:val="center"/>
            <w:hideMark/>
          </w:tcPr>
          <w:p w14:paraId="6EC8D040"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118</w:t>
            </w:r>
          </w:p>
        </w:tc>
        <w:tc>
          <w:tcPr>
            <w:tcW w:w="1060" w:type="dxa"/>
            <w:tcBorders>
              <w:top w:val="nil"/>
              <w:left w:val="nil"/>
              <w:bottom w:val="single" w:sz="4" w:space="0" w:color="auto"/>
              <w:right w:val="single" w:sz="4" w:space="0" w:color="auto"/>
            </w:tcBorders>
            <w:shd w:val="clear" w:color="000000" w:fill="FFFFFF"/>
            <w:noWrap/>
            <w:vAlign w:val="center"/>
            <w:hideMark/>
          </w:tcPr>
          <w:p w14:paraId="28EA2236"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43</w:t>
            </w:r>
          </w:p>
        </w:tc>
        <w:tc>
          <w:tcPr>
            <w:tcW w:w="1060" w:type="dxa"/>
            <w:tcBorders>
              <w:top w:val="nil"/>
              <w:left w:val="nil"/>
              <w:bottom w:val="single" w:sz="4" w:space="0" w:color="auto"/>
              <w:right w:val="single" w:sz="4" w:space="0" w:color="auto"/>
            </w:tcBorders>
            <w:shd w:val="clear" w:color="000000" w:fill="FFFFFF"/>
            <w:noWrap/>
            <w:vAlign w:val="center"/>
            <w:hideMark/>
          </w:tcPr>
          <w:p w14:paraId="392F27F1"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36%</w:t>
            </w:r>
          </w:p>
        </w:tc>
      </w:tr>
      <w:tr w:rsidR="00BA0D82" w:rsidRPr="0005691D" w14:paraId="6F62CA07" w14:textId="77777777" w:rsidTr="001A5653">
        <w:trPr>
          <w:trHeight w:val="300"/>
        </w:trPr>
        <w:tc>
          <w:tcPr>
            <w:tcW w:w="2511" w:type="dxa"/>
            <w:tcBorders>
              <w:top w:val="nil"/>
              <w:left w:val="single" w:sz="4" w:space="0" w:color="auto"/>
              <w:bottom w:val="single" w:sz="4" w:space="0" w:color="auto"/>
              <w:right w:val="single" w:sz="4" w:space="0" w:color="auto"/>
            </w:tcBorders>
            <w:shd w:val="clear" w:color="000000" w:fill="B4C6E7"/>
            <w:noWrap/>
            <w:vAlign w:val="center"/>
            <w:hideMark/>
          </w:tcPr>
          <w:p w14:paraId="0D971C91" w14:textId="77777777" w:rsidR="00BA0D82" w:rsidRPr="0005691D" w:rsidRDefault="00BA0D82" w:rsidP="001A5653">
            <w:pPr>
              <w:spacing w:after="0" w:line="240" w:lineRule="auto"/>
              <w:jc w:val="right"/>
              <w:rPr>
                <w:rFonts w:ascii="Calibri" w:eastAsia="Times New Roman" w:hAnsi="Calibri" w:cs="Calibri"/>
                <w:b/>
                <w:bCs/>
                <w:color w:val="000000"/>
              </w:rPr>
            </w:pPr>
            <w:r w:rsidRPr="0005691D">
              <w:rPr>
                <w:rFonts w:ascii="Calibri" w:eastAsia="Times New Roman" w:hAnsi="Calibri" w:cs="Calibri"/>
                <w:b/>
                <w:bCs/>
                <w:color w:val="000000"/>
              </w:rPr>
              <w:t>Section 511</w:t>
            </w:r>
          </w:p>
        </w:tc>
        <w:tc>
          <w:tcPr>
            <w:tcW w:w="1167" w:type="dxa"/>
            <w:tcBorders>
              <w:top w:val="nil"/>
              <w:left w:val="nil"/>
              <w:bottom w:val="single" w:sz="4" w:space="0" w:color="auto"/>
              <w:right w:val="single" w:sz="4" w:space="0" w:color="auto"/>
            </w:tcBorders>
            <w:shd w:val="clear" w:color="000000" w:fill="D9E2F3"/>
            <w:noWrap/>
            <w:vAlign w:val="center"/>
            <w:hideMark/>
          </w:tcPr>
          <w:p w14:paraId="792F9CC5"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22</w:t>
            </w:r>
          </w:p>
        </w:tc>
        <w:tc>
          <w:tcPr>
            <w:tcW w:w="1256" w:type="dxa"/>
            <w:tcBorders>
              <w:top w:val="nil"/>
              <w:left w:val="nil"/>
              <w:bottom w:val="single" w:sz="4" w:space="0" w:color="auto"/>
              <w:right w:val="single" w:sz="4" w:space="0" w:color="auto"/>
            </w:tcBorders>
            <w:shd w:val="clear" w:color="000000" w:fill="D9E2F3"/>
            <w:noWrap/>
            <w:vAlign w:val="center"/>
            <w:hideMark/>
          </w:tcPr>
          <w:p w14:paraId="329E3751"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100%</w:t>
            </w:r>
          </w:p>
        </w:tc>
        <w:tc>
          <w:tcPr>
            <w:tcW w:w="898" w:type="dxa"/>
            <w:tcBorders>
              <w:top w:val="nil"/>
              <w:left w:val="nil"/>
              <w:bottom w:val="single" w:sz="4" w:space="0" w:color="auto"/>
              <w:right w:val="single" w:sz="4" w:space="0" w:color="auto"/>
            </w:tcBorders>
            <w:shd w:val="clear" w:color="000000" w:fill="D9E2F3"/>
            <w:noWrap/>
            <w:vAlign w:val="center"/>
            <w:hideMark/>
          </w:tcPr>
          <w:p w14:paraId="7ABCDABD"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22</w:t>
            </w:r>
          </w:p>
        </w:tc>
        <w:tc>
          <w:tcPr>
            <w:tcW w:w="898" w:type="dxa"/>
            <w:tcBorders>
              <w:top w:val="nil"/>
              <w:left w:val="nil"/>
              <w:bottom w:val="single" w:sz="4" w:space="0" w:color="auto"/>
              <w:right w:val="single" w:sz="4" w:space="0" w:color="auto"/>
            </w:tcBorders>
            <w:shd w:val="clear" w:color="000000" w:fill="D9E2F3"/>
            <w:noWrap/>
            <w:vAlign w:val="center"/>
            <w:hideMark/>
          </w:tcPr>
          <w:p w14:paraId="3A208D54"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22</w:t>
            </w:r>
          </w:p>
        </w:tc>
        <w:tc>
          <w:tcPr>
            <w:tcW w:w="890" w:type="dxa"/>
            <w:tcBorders>
              <w:top w:val="nil"/>
              <w:left w:val="nil"/>
              <w:bottom w:val="single" w:sz="4" w:space="0" w:color="auto"/>
              <w:right w:val="single" w:sz="4" w:space="0" w:color="auto"/>
            </w:tcBorders>
            <w:shd w:val="clear" w:color="000000" w:fill="D9E2F3"/>
            <w:noWrap/>
            <w:vAlign w:val="center"/>
            <w:hideMark/>
          </w:tcPr>
          <w:p w14:paraId="0DDAB559"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100%</w:t>
            </w:r>
          </w:p>
        </w:tc>
        <w:tc>
          <w:tcPr>
            <w:tcW w:w="1060" w:type="dxa"/>
            <w:tcBorders>
              <w:top w:val="nil"/>
              <w:left w:val="nil"/>
              <w:bottom w:val="single" w:sz="4" w:space="0" w:color="auto"/>
              <w:right w:val="single" w:sz="4" w:space="0" w:color="auto"/>
            </w:tcBorders>
            <w:shd w:val="clear" w:color="000000" w:fill="D9E2F3"/>
            <w:noWrap/>
            <w:vAlign w:val="center"/>
            <w:hideMark/>
          </w:tcPr>
          <w:p w14:paraId="1A6BC50A"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18</w:t>
            </w:r>
          </w:p>
        </w:tc>
        <w:tc>
          <w:tcPr>
            <w:tcW w:w="1060" w:type="dxa"/>
            <w:tcBorders>
              <w:top w:val="nil"/>
              <w:left w:val="nil"/>
              <w:bottom w:val="single" w:sz="4" w:space="0" w:color="auto"/>
              <w:right w:val="single" w:sz="4" w:space="0" w:color="auto"/>
            </w:tcBorders>
            <w:shd w:val="clear" w:color="000000" w:fill="D9E2F3"/>
            <w:noWrap/>
            <w:vAlign w:val="center"/>
            <w:hideMark/>
          </w:tcPr>
          <w:p w14:paraId="3372E2D5"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15</w:t>
            </w:r>
          </w:p>
        </w:tc>
        <w:tc>
          <w:tcPr>
            <w:tcW w:w="1060" w:type="dxa"/>
            <w:tcBorders>
              <w:top w:val="nil"/>
              <w:left w:val="nil"/>
              <w:bottom w:val="single" w:sz="4" w:space="0" w:color="auto"/>
              <w:right w:val="single" w:sz="4" w:space="0" w:color="auto"/>
            </w:tcBorders>
            <w:shd w:val="clear" w:color="000000" w:fill="D9E2F3"/>
            <w:noWrap/>
            <w:vAlign w:val="center"/>
            <w:hideMark/>
          </w:tcPr>
          <w:p w14:paraId="5974C2D2"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83%</w:t>
            </w:r>
          </w:p>
        </w:tc>
      </w:tr>
      <w:tr w:rsidR="00BA0D82" w:rsidRPr="0005691D" w14:paraId="05A066CD" w14:textId="77777777" w:rsidTr="001A5653">
        <w:trPr>
          <w:trHeight w:val="300"/>
        </w:trPr>
        <w:tc>
          <w:tcPr>
            <w:tcW w:w="2511" w:type="dxa"/>
            <w:tcBorders>
              <w:top w:val="nil"/>
              <w:left w:val="single" w:sz="4" w:space="0" w:color="auto"/>
              <w:bottom w:val="single" w:sz="4" w:space="0" w:color="auto"/>
              <w:right w:val="single" w:sz="4" w:space="0" w:color="auto"/>
            </w:tcBorders>
            <w:shd w:val="clear" w:color="000000" w:fill="B4C6E7"/>
            <w:noWrap/>
            <w:vAlign w:val="center"/>
            <w:hideMark/>
          </w:tcPr>
          <w:p w14:paraId="3BED6348" w14:textId="77777777" w:rsidR="00BA0D82" w:rsidRPr="0005691D" w:rsidRDefault="00BA0D82" w:rsidP="001A5653">
            <w:pPr>
              <w:spacing w:after="0" w:line="240" w:lineRule="auto"/>
              <w:jc w:val="right"/>
              <w:rPr>
                <w:rFonts w:ascii="Calibri" w:eastAsia="Times New Roman" w:hAnsi="Calibri" w:cs="Calibri"/>
                <w:b/>
                <w:bCs/>
                <w:color w:val="000000"/>
              </w:rPr>
            </w:pPr>
            <w:r w:rsidRPr="0005691D">
              <w:rPr>
                <w:rFonts w:ascii="Calibri" w:eastAsia="Times New Roman" w:hAnsi="Calibri" w:cs="Calibri"/>
                <w:b/>
                <w:bCs/>
                <w:color w:val="000000"/>
              </w:rPr>
              <w:t>Competitive Integrated Employment</w:t>
            </w:r>
          </w:p>
        </w:tc>
        <w:tc>
          <w:tcPr>
            <w:tcW w:w="1167" w:type="dxa"/>
            <w:tcBorders>
              <w:top w:val="nil"/>
              <w:left w:val="nil"/>
              <w:bottom w:val="single" w:sz="4" w:space="0" w:color="auto"/>
              <w:right w:val="single" w:sz="4" w:space="0" w:color="auto"/>
            </w:tcBorders>
            <w:shd w:val="clear" w:color="000000" w:fill="FFFFFF"/>
            <w:noWrap/>
            <w:vAlign w:val="center"/>
            <w:hideMark/>
          </w:tcPr>
          <w:p w14:paraId="1D069AFF"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w:t>
            </w:r>
          </w:p>
        </w:tc>
        <w:tc>
          <w:tcPr>
            <w:tcW w:w="1256" w:type="dxa"/>
            <w:tcBorders>
              <w:top w:val="nil"/>
              <w:left w:val="nil"/>
              <w:bottom w:val="single" w:sz="4" w:space="0" w:color="auto"/>
              <w:right w:val="single" w:sz="4" w:space="0" w:color="auto"/>
            </w:tcBorders>
            <w:shd w:val="clear" w:color="000000" w:fill="FFFFFF"/>
            <w:noWrap/>
            <w:vAlign w:val="center"/>
            <w:hideMark/>
          </w:tcPr>
          <w:p w14:paraId="2174FA50"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100%</w:t>
            </w:r>
          </w:p>
        </w:tc>
        <w:tc>
          <w:tcPr>
            <w:tcW w:w="898" w:type="dxa"/>
            <w:tcBorders>
              <w:top w:val="nil"/>
              <w:left w:val="nil"/>
              <w:bottom w:val="single" w:sz="4" w:space="0" w:color="auto"/>
              <w:right w:val="single" w:sz="4" w:space="0" w:color="auto"/>
            </w:tcBorders>
            <w:shd w:val="clear" w:color="000000" w:fill="FFFFFF"/>
            <w:noWrap/>
            <w:vAlign w:val="center"/>
            <w:hideMark/>
          </w:tcPr>
          <w:p w14:paraId="1FB38217"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w:t>
            </w:r>
          </w:p>
        </w:tc>
        <w:tc>
          <w:tcPr>
            <w:tcW w:w="898" w:type="dxa"/>
            <w:tcBorders>
              <w:top w:val="nil"/>
              <w:left w:val="nil"/>
              <w:bottom w:val="single" w:sz="4" w:space="0" w:color="auto"/>
              <w:right w:val="single" w:sz="4" w:space="0" w:color="auto"/>
            </w:tcBorders>
            <w:shd w:val="clear" w:color="000000" w:fill="FFFFFF"/>
            <w:noWrap/>
            <w:vAlign w:val="center"/>
            <w:hideMark/>
          </w:tcPr>
          <w:p w14:paraId="44927A95"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w:t>
            </w:r>
          </w:p>
        </w:tc>
        <w:tc>
          <w:tcPr>
            <w:tcW w:w="890" w:type="dxa"/>
            <w:tcBorders>
              <w:top w:val="nil"/>
              <w:left w:val="nil"/>
              <w:bottom w:val="single" w:sz="4" w:space="0" w:color="auto"/>
              <w:right w:val="single" w:sz="4" w:space="0" w:color="auto"/>
            </w:tcBorders>
            <w:shd w:val="clear" w:color="000000" w:fill="FFFFFF"/>
            <w:noWrap/>
            <w:vAlign w:val="center"/>
            <w:hideMark/>
          </w:tcPr>
          <w:p w14:paraId="427571E2"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100%</w:t>
            </w:r>
          </w:p>
        </w:tc>
        <w:tc>
          <w:tcPr>
            <w:tcW w:w="1060" w:type="dxa"/>
            <w:tcBorders>
              <w:top w:val="nil"/>
              <w:left w:val="nil"/>
              <w:bottom w:val="single" w:sz="4" w:space="0" w:color="auto"/>
              <w:right w:val="single" w:sz="4" w:space="0" w:color="auto"/>
            </w:tcBorders>
            <w:shd w:val="clear" w:color="000000" w:fill="FFFFFF"/>
            <w:noWrap/>
            <w:vAlign w:val="center"/>
            <w:hideMark/>
          </w:tcPr>
          <w:p w14:paraId="2E9EB715"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0</w:t>
            </w:r>
          </w:p>
        </w:tc>
        <w:tc>
          <w:tcPr>
            <w:tcW w:w="1060" w:type="dxa"/>
            <w:tcBorders>
              <w:top w:val="nil"/>
              <w:left w:val="nil"/>
              <w:bottom w:val="single" w:sz="4" w:space="0" w:color="auto"/>
              <w:right w:val="single" w:sz="4" w:space="0" w:color="auto"/>
            </w:tcBorders>
            <w:shd w:val="clear" w:color="000000" w:fill="FFFFFF"/>
            <w:noWrap/>
            <w:vAlign w:val="center"/>
            <w:hideMark/>
          </w:tcPr>
          <w:p w14:paraId="19E25B27"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0</w:t>
            </w:r>
          </w:p>
        </w:tc>
        <w:tc>
          <w:tcPr>
            <w:tcW w:w="1060" w:type="dxa"/>
            <w:tcBorders>
              <w:top w:val="nil"/>
              <w:left w:val="nil"/>
              <w:bottom w:val="single" w:sz="4" w:space="0" w:color="auto"/>
              <w:right w:val="single" w:sz="4" w:space="0" w:color="auto"/>
            </w:tcBorders>
            <w:shd w:val="clear" w:color="000000" w:fill="FFFFFF"/>
            <w:noWrap/>
            <w:vAlign w:val="center"/>
            <w:hideMark/>
          </w:tcPr>
          <w:p w14:paraId="1BCF9554" w14:textId="77777777" w:rsidR="00BA0D82" w:rsidRPr="0005691D" w:rsidRDefault="00BA0D82" w:rsidP="001A5653">
            <w:pPr>
              <w:spacing w:after="0" w:line="240" w:lineRule="auto"/>
              <w:jc w:val="center"/>
              <w:rPr>
                <w:rFonts w:ascii="Calibri" w:eastAsia="Times New Roman" w:hAnsi="Calibri" w:cs="Calibri"/>
                <w:color w:val="000000"/>
              </w:rPr>
            </w:pPr>
          </w:p>
        </w:tc>
      </w:tr>
      <w:tr w:rsidR="00BA0D82" w:rsidRPr="0005691D" w14:paraId="484352F7" w14:textId="77777777" w:rsidTr="001A5653">
        <w:trPr>
          <w:trHeight w:val="300"/>
        </w:trPr>
        <w:tc>
          <w:tcPr>
            <w:tcW w:w="2511" w:type="dxa"/>
            <w:tcBorders>
              <w:top w:val="nil"/>
              <w:left w:val="single" w:sz="4" w:space="0" w:color="auto"/>
              <w:bottom w:val="single" w:sz="4" w:space="0" w:color="auto"/>
              <w:right w:val="single" w:sz="4" w:space="0" w:color="auto"/>
            </w:tcBorders>
            <w:shd w:val="clear" w:color="000000" w:fill="B4C6E7"/>
            <w:noWrap/>
            <w:vAlign w:val="center"/>
            <w:hideMark/>
          </w:tcPr>
          <w:p w14:paraId="75946B2F" w14:textId="77777777" w:rsidR="00BA0D82" w:rsidRPr="0005691D" w:rsidRDefault="00BA0D82" w:rsidP="001A5653">
            <w:pPr>
              <w:spacing w:after="0" w:line="240" w:lineRule="auto"/>
              <w:jc w:val="right"/>
              <w:rPr>
                <w:rFonts w:ascii="Calibri" w:eastAsia="Times New Roman" w:hAnsi="Calibri" w:cs="Calibri"/>
                <w:b/>
                <w:bCs/>
                <w:color w:val="000000"/>
              </w:rPr>
            </w:pPr>
            <w:r w:rsidRPr="0005691D">
              <w:rPr>
                <w:rFonts w:ascii="Calibri" w:eastAsia="Times New Roman" w:hAnsi="Calibri" w:cs="Calibri"/>
                <w:b/>
                <w:bCs/>
                <w:color w:val="000000"/>
              </w:rPr>
              <w:t>Workforce Integration</w:t>
            </w:r>
          </w:p>
        </w:tc>
        <w:tc>
          <w:tcPr>
            <w:tcW w:w="1167" w:type="dxa"/>
            <w:tcBorders>
              <w:top w:val="nil"/>
              <w:left w:val="nil"/>
              <w:bottom w:val="single" w:sz="4" w:space="0" w:color="auto"/>
              <w:right w:val="single" w:sz="4" w:space="0" w:color="auto"/>
            </w:tcBorders>
            <w:shd w:val="clear" w:color="000000" w:fill="D9E2F3"/>
            <w:noWrap/>
            <w:vAlign w:val="center"/>
            <w:hideMark/>
          </w:tcPr>
          <w:p w14:paraId="59E0EA6D"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62</w:t>
            </w:r>
          </w:p>
        </w:tc>
        <w:tc>
          <w:tcPr>
            <w:tcW w:w="1256" w:type="dxa"/>
            <w:tcBorders>
              <w:top w:val="nil"/>
              <w:left w:val="nil"/>
              <w:bottom w:val="single" w:sz="4" w:space="0" w:color="auto"/>
              <w:right w:val="single" w:sz="4" w:space="0" w:color="auto"/>
            </w:tcBorders>
            <w:shd w:val="clear" w:color="000000" w:fill="D9E2F3"/>
            <w:noWrap/>
            <w:vAlign w:val="center"/>
            <w:hideMark/>
          </w:tcPr>
          <w:p w14:paraId="248E3748"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53%</w:t>
            </w:r>
          </w:p>
        </w:tc>
        <w:tc>
          <w:tcPr>
            <w:tcW w:w="898" w:type="dxa"/>
            <w:tcBorders>
              <w:top w:val="nil"/>
              <w:left w:val="nil"/>
              <w:bottom w:val="single" w:sz="4" w:space="0" w:color="auto"/>
              <w:right w:val="single" w:sz="4" w:space="0" w:color="auto"/>
            </w:tcBorders>
            <w:shd w:val="clear" w:color="000000" w:fill="D9E2F3"/>
            <w:noWrap/>
            <w:vAlign w:val="center"/>
            <w:hideMark/>
          </w:tcPr>
          <w:p w14:paraId="7EEB9D45"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62</w:t>
            </w:r>
          </w:p>
        </w:tc>
        <w:tc>
          <w:tcPr>
            <w:tcW w:w="898" w:type="dxa"/>
            <w:tcBorders>
              <w:top w:val="nil"/>
              <w:left w:val="nil"/>
              <w:bottom w:val="single" w:sz="4" w:space="0" w:color="auto"/>
              <w:right w:val="single" w:sz="4" w:space="0" w:color="auto"/>
            </w:tcBorders>
            <w:shd w:val="clear" w:color="000000" w:fill="D9E2F3"/>
            <w:noWrap/>
            <w:vAlign w:val="center"/>
            <w:hideMark/>
          </w:tcPr>
          <w:p w14:paraId="2FFD5149"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22</w:t>
            </w:r>
          </w:p>
        </w:tc>
        <w:tc>
          <w:tcPr>
            <w:tcW w:w="890" w:type="dxa"/>
            <w:tcBorders>
              <w:top w:val="nil"/>
              <w:left w:val="nil"/>
              <w:bottom w:val="single" w:sz="4" w:space="0" w:color="auto"/>
              <w:right w:val="single" w:sz="4" w:space="0" w:color="auto"/>
            </w:tcBorders>
            <w:shd w:val="clear" w:color="000000" w:fill="D9E2F3"/>
            <w:noWrap/>
            <w:vAlign w:val="center"/>
            <w:hideMark/>
          </w:tcPr>
          <w:p w14:paraId="242422AE"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35%</w:t>
            </w:r>
          </w:p>
        </w:tc>
        <w:tc>
          <w:tcPr>
            <w:tcW w:w="1060" w:type="dxa"/>
            <w:tcBorders>
              <w:top w:val="nil"/>
              <w:left w:val="nil"/>
              <w:bottom w:val="single" w:sz="4" w:space="0" w:color="auto"/>
              <w:right w:val="single" w:sz="4" w:space="0" w:color="auto"/>
            </w:tcBorders>
            <w:shd w:val="clear" w:color="000000" w:fill="D9E2F3"/>
            <w:noWrap/>
            <w:vAlign w:val="center"/>
            <w:hideMark/>
          </w:tcPr>
          <w:p w14:paraId="195339CA"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31</w:t>
            </w:r>
          </w:p>
        </w:tc>
        <w:tc>
          <w:tcPr>
            <w:tcW w:w="1060" w:type="dxa"/>
            <w:tcBorders>
              <w:top w:val="nil"/>
              <w:left w:val="nil"/>
              <w:bottom w:val="single" w:sz="4" w:space="0" w:color="auto"/>
              <w:right w:val="single" w:sz="4" w:space="0" w:color="auto"/>
            </w:tcBorders>
            <w:shd w:val="clear" w:color="000000" w:fill="D9E2F3"/>
            <w:noWrap/>
            <w:vAlign w:val="center"/>
            <w:hideMark/>
          </w:tcPr>
          <w:p w14:paraId="28DCC649"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w:t>
            </w:r>
          </w:p>
        </w:tc>
        <w:tc>
          <w:tcPr>
            <w:tcW w:w="1060" w:type="dxa"/>
            <w:tcBorders>
              <w:top w:val="nil"/>
              <w:left w:val="nil"/>
              <w:bottom w:val="single" w:sz="4" w:space="0" w:color="auto"/>
              <w:right w:val="single" w:sz="4" w:space="0" w:color="auto"/>
            </w:tcBorders>
            <w:shd w:val="clear" w:color="000000" w:fill="D9E2F3"/>
            <w:noWrap/>
            <w:vAlign w:val="center"/>
            <w:hideMark/>
          </w:tcPr>
          <w:p w14:paraId="38AFB86F"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3%</w:t>
            </w:r>
          </w:p>
        </w:tc>
      </w:tr>
      <w:tr w:rsidR="00BA0D82" w:rsidRPr="0005691D" w14:paraId="3912EA3A" w14:textId="77777777" w:rsidTr="001A5653">
        <w:trPr>
          <w:trHeight w:val="300"/>
        </w:trPr>
        <w:tc>
          <w:tcPr>
            <w:tcW w:w="2511" w:type="dxa"/>
            <w:tcBorders>
              <w:top w:val="nil"/>
              <w:left w:val="single" w:sz="4" w:space="0" w:color="auto"/>
              <w:bottom w:val="single" w:sz="4" w:space="0" w:color="auto"/>
              <w:right w:val="single" w:sz="4" w:space="0" w:color="auto"/>
            </w:tcBorders>
            <w:shd w:val="clear" w:color="000000" w:fill="B4C6E7"/>
            <w:noWrap/>
            <w:vAlign w:val="center"/>
            <w:hideMark/>
          </w:tcPr>
          <w:p w14:paraId="59D2A2FF" w14:textId="77777777" w:rsidR="00BA0D82" w:rsidRPr="0005691D" w:rsidRDefault="00BA0D82" w:rsidP="001A5653">
            <w:pPr>
              <w:spacing w:after="0" w:line="240" w:lineRule="auto"/>
              <w:jc w:val="right"/>
              <w:rPr>
                <w:rFonts w:ascii="Calibri" w:eastAsia="Times New Roman" w:hAnsi="Calibri" w:cs="Calibri"/>
                <w:b/>
                <w:bCs/>
                <w:color w:val="000000"/>
              </w:rPr>
            </w:pPr>
            <w:r w:rsidRPr="0005691D">
              <w:rPr>
                <w:rFonts w:ascii="Calibri" w:eastAsia="Times New Roman" w:hAnsi="Calibri" w:cs="Calibri"/>
                <w:b/>
                <w:bCs/>
                <w:color w:val="000000"/>
              </w:rPr>
              <w:t>Common Performance Measures</w:t>
            </w:r>
          </w:p>
        </w:tc>
        <w:tc>
          <w:tcPr>
            <w:tcW w:w="1167" w:type="dxa"/>
            <w:tcBorders>
              <w:top w:val="nil"/>
              <w:left w:val="nil"/>
              <w:bottom w:val="single" w:sz="4" w:space="0" w:color="auto"/>
              <w:right w:val="single" w:sz="4" w:space="0" w:color="auto"/>
            </w:tcBorders>
            <w:shd w:val="clear" w:color="000000" w:fill="FFFFFF"/>
            <w:noWrap/>
            <w:vAlign w:val="center"/>
            <w:hideMark/>
          </w:tcPr>
          <w:p w14:paraId="00C4059B"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130</w:t>
            </w:r>
          </w:p>
        </w:tc>
        <w:tc>
          <w:tcPr>
            <w:tcW w:w="1256" w:type="dxa"/>
            <w:tcBorders>
              <w:top w:val="nil"/>
              <w:left w:val="nil"/>
              <w:bottom w:val="single" w:sz="4" w:space="0" w:color="auto"/>
              <w:right w:val="single" w:sz="4" w:space="0" w:color="auto"/>
            </w:tcBorders>
            <w:shd w:val="clear" w:color="000000" w:fill="FFFFFF"/>
            <w:noWrap/>
            <w:vAlign w:val="center"/>
            <w:hideMark/>
          </w:tcPr>
          <w:p w14:paraId="7B17AD2C"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54%</w:t>
            </w:r>
          </w:p>
        </w:tc>
        <w:tc>
          <w:tcPr>
            <w:tcW w:w="898" w:type="dxa"/>
            <w:tcBorders>
              <w:top w:val="nil"/>
              <w:left w:val="nil"/>
              <w:bottom w:val="single" w:sz="4" w:space="0" w:color="auto"/>
              <w:right w:val="single" w:sz="4" w:space="0" w:color="auto"/>
            </w:tcBorders>
            <w:shd w:val="clear" w:color="000000" w:fill="FFFFFF"/>
            <w:noWrap/>
            <w:vAlign w:val="center"/>
            <w:hideMark/>
          </w:tcPr>
          <w:p w14:paraId="565B7515"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130</w:t>
            </w:r>
          </w:p>
        </w:tc>
        <w:tc>
          <w:tcPr>
            <w:tcW w:w="898" w:type="dxa"/>
            <w:tcBorders>
              <w:top w:val="nil"/>
              <w:left w:val="nil"/>
              <w:bottom w:val="single" w:sz="4" w:space="0" w:color="auto"/>
              <w:right w:val="single" w:sz="4" w:space="0" w:color="auto"/>
            </w:tcBorders>
            <w:shd w:val="clear" w:color="000000" w:fill="FFFFFF"/>
            <w:noWrap/>
            <w:vAlign w:val="center"/>
            <w:hideMark/>
          </w:tcPr>
          <w:p w14:paraId="0DA79500"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39</w:t>
            </w:r>
          </w:p>
        </w:tc>
        <w:tc>
          <w:tcPr>
            <w:tcW w:w="890" w:type="dxa"/>
            <w:tcBorders>
              <w:top w:val="nil"/>
              <w:left w:val="nil"/>
              <w:bottom w:val="single" w:sz="4" w:space="0" w:color="auto"/>
              <w:right w:val="single" w:sz="4" w:space="0" w:color="auto"/>
            </w:tcBorders>
            <w:shd w:val="clear" w:color="000000" w:fill="FFFFFF"/>
            <w:noWrap/>
            <w:vAlign w:val="center"/>
            <w:hideMark/>
          </w:tcPr>
          <w:p w14:paraId="710BE9D4"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30%</w:t>
            </w:r>
          </w:p>
        </w:tc>
        <w:tc>
          <w:tcPr>
            <w:tcW w:w="1060" w:type="dxa"/>
            <w:tcBorders>
              <w:top w:val="nil"/>
              <w:left w:val="nil"/>
              <w:bottom w:val="single" w:sz="4" w:space="0" w:color="auto"/>
              <w:right w:val="single" w:sz="4" w:space="0" w:color="auto"/>
            </w:tcBorders>
            <w:shd w:val="clear" w:color="000000" w:fill="FFFFFF"/>
            <w:noWrap/>
            <w:vAlign w:val="center"/>
            <w:hideMark/>
          </w:tcPr>
          <w:p w14:paraId="71165922"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49</w:t>
            </w:r>
          </w:p>
        </w:tc>
        <w:tc>
          <w:tcPr>
            <w:tcW w:w="1060" w:type="dxa"/>
            <w:tcBorders>
              <w:top w:val="nil"/>
              <w:left w:val="nil"/>
              <w:bottom w:val="single" w:sz="4" w:space="0" w:color="auto"/>
              <w:right w:val="single" w:sz="4" w:space="0" w:color="auto"/>
            </w:tcBorders>
            <w:shd w:val="clear" w:color="000000" w:fill="FFFFFF"/>
            <w:noWrap/>
            <w:vAlign w:val="center"/>
            <w:hideMark/>
          </w:tcPr>
          <w:p w14:paraId="01665595"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31</w:t>
            </w:r>
          </w:p>
        </w:tc>
        <w:tc>
          <w:tcPr>
            <w:tcW w:w="1060" w:type="dxa"/>
            <w:tcBorders>
              <w:top w:val="nil"/>
              <w:left w:val="nil"/>
              <w:bottom w:val="single" w:sz="4" w:space="0" w:color="auto"/>
              <w:right w:val="single" w:sz="4" w:space="0" w:color="auto"/>
            </w:tcBorders>
            <w:shd w:val="clear" w:color="000000" w:fill="FFFFFF"/>
            <w:noWrap/>
            <w:vAlign w:val="center"/>
            <w:hideMark/>
          </w:tcPr>
          <w:p w14:paraId="4DEDDBB7"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63%</w:t>
            </w:r>
          </w:p>
        </w:tc>
      </w:tr>
      <w:tr w:rsidR="00BA0D82" w:rsidRPr="0005691D" w14:paraId="08610EA3" w14:textId="77777777" w:rsidTr="001A5653">
        <w:trPr>
          <w:trHeight w:val="300"/>
        </w:trPr>
        <w:tc>
          <w:tcPr>
            <w:tcW w:w="2511" w:type="dxa"/>
            <w:tcBorders>
              <w:top w:val="nil"/>
              <w:left w:val="single" w:sz="4" w:space="0" w:color="auto"/>
              <w:bottom w:val="single" w:sz="4" w:space="0" w:color="auto"/>
              <w:right w:val="single" w:sz="4" w:space="0" w:color="auto"/>
            </w:tcBorders>
            <w:shd w:val="clear" w:color="000000" w:fill="B4C6E7"/>
            <w:noWrap/>
            <w:vAlign w:val="center"/>
            <w:hideMark/>
          </w:tcPr>
          <w:p w14:paraId="25B083D8" w14:textId="77777777" w:rsidR="00BA0D82" w:rsidRPr="0005691D" w:rsidRDefault="00BA0D82" w:rsidP="001A5653">
            <w:pPr>
              <w:spacing w:after="0" w:line="240" w:lineRule="auto"/>
              <w:jc w:val="right"/>
              <w:rPr>
                <w:rFonts w:ascii="Calibri" w:eastAsia="Times New Roman" w:hAnsi="Calibri" w:cs="Calibri"/>
                <w:b/>
                <w:bCs/>
                <w:color w:val="000000"/>
              </w:rPr>
            </w:pPr>
            <w:r w:rsidRPr="0005691D">
              <w:rPr>
                <w:rFonts w:ascii="Calibri" w:eastAsia="Times New Roman" w:hAnsi="Calibri" w:cs="Calibri"/>
                <w:b/>
                <w:bCs/>
                <w:color w:val="000000"/>
              </w:rPr>
              <w:t>Peer Mentoring</w:t>
            </w:r>
          </w:p>
        </w:tc>
        <w:tc>
          <w:tcPr>
            <w:tcW w:w="1167" w:type="dxa"/>
            <w:tcBorders>
              <w:top w:val="nil"/>
              <w:left w:val="nil"/>
              <w:bottom w:val="single" w:sz="4" w:space="0" w:color="auto"/>
              <w:right w:val="single" w:sz="4" w:space="0" w:color="auto"/>
            </w:tcBorders>
            <w:shd w:val="clear" w:color="000000" w:fill="D9E2F3"/>
            <w:noWrap/>
            <w:vAlign w:val="center"/>
            <w:hideMark/>
          </w:tcPr>
          <w:p w14:paraId="7FBEC7F6"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18</w:t>
            </w:r>
          </w:p>
        </w:tc>
        <w:tc>
          <w:tcPr>
            <w:tcW w:w="1256" w:type="dxa"/>
            <w:tcBorders>
              <w:top w:val="nil"/>
              <w:left w:val="nil"/>
              <w:bottom w:val="single" w:sz="4" w:space="0" w:color="auto"/>
              <w:right w:val="single" w:sz="4" w:space="0" w:color="auto"/>
            </w:tcBorders>
            <w:shd w:val="clear" w:color="000000" w:fill="D9E2F3"/>
            <w:noWrap/>
            <w:vAlign w:val="center"/>
            <w:hideMark/>
          </w:tcPr>
          <w:p w14:paraId="550A280B"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89%</w:t>
            </w:r>
          </w:p>
        </w:tc>
        <w:tc>
          <w:tcPr>
            <w:tcW w:w="898" w:type="dxa"/>
            <w:tcBorders>
              <w:top w:val="nil"/>
              <w:left w:val="nil"/>
              <w:bottom w:val="single" w:sz="4" w:space="0" w:color="auto"/>
              <w:right w:val="single" w:sz="4" w:space="0" w:color="auto"/>
            </w:tcBorders>
            <w:shd w:val="clear" w:color="000000" w:fill="D9E2F3"/>
            <w:noWrap/>
            <w:vAlign w:val="center"/>
            <w:hideMark/>
          </w:tcPr>
          <w:p w14:paraId="01AF1B9F"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18</w:t>
            </w:r>
          </w:p>
        </w:tc>
        <w:tc>
          <w:tcPr>
            <w:tcW w:w="898" w:type="dxa"/>
            <w:tcBorders>
              <w:top w:val="nil"/>
              <w:left w:val="nil"/>
              <w:bottom w:val="single" w:sz="4" w:space="0" w:color="auto"/>
              <w:right w:val="single" w:sz="4" w:space="0" w:color="auto"/>
            </w:tcBorders>
            <w:shd w:val="clear" w:color="000000" w:fill="D9E2F3"/>
            <w:noWrap/>
            <w:vAlign w:val="center"/>
            <w:hideMark/>
          </w:tcPr>
          <w:p w14:paraId="35C34C46"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9</w:t>
            </w:r>
          </w:p>
        </w:tc>
        <w:tc>
          <w:tcPr>
            <w:tcW w:w="890" w:type="dxa"/>
            <w:tcBorders>
              <w:top w:val="nil"/>
              <w:left w:val="nil"/>
              <w:bottom w:val="single" w:sz="4" w:space="0" w:color="auto"/>
              <w:right w:val="single" w:sz="4" w:space="0" w:color="auto"/>
            </w:tcBorders>
            <w:shd w:val="clear" w:color="000000" w:fill="D9E2F3"/>
            <w:noWrap/>
            <w:vAlign w:val="center"/>
            <w:hideMark/>
          </w:tcPr>
          <w:p w14:paraId="2051E509"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50%</w:t>
            </w:r>
          </w:p>
        </w:tc>
        <w:tc>
          <w:tcPr>
            <w:tcW w:w="1060" w:type="dxa"/>
            <w:tcBorders>
              <w:top w:val="nil"/>
              <w:left w:val="nil"/>
              <w:bottom w:val="single" w:sz="4" w:space="0" w:color="auto"/>
              <w:right w:val="single" w:sz="4" w:space="0" w:color="auto"/>
            </w:tcBorders>
            <w:shd w:val="clear" w:color="000000" w:fill="D9E2F3"/>
            <w:noWrap/>
            <w:vAlign w:val="center"/>
            <w:hideMark/>
          </w:tcPr>
          <w:p w14:paraId="00CC5F51"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11</w:t>
            </w:r>
          </w:p>
        </w:tc>
        <w:tc>
          <w:tcPr>
            <w:tcW w:w="1060" w:type="dxa"/>
            <w:tcBorders>
              <w:top w:val="nil"/>
              <w:left w:val="nil"/>
              <w:bottom w:val="single" w:sz="4" w:space="0" w:color="auto"/>
              <w:right w:val="single" w:sz="4" w:space="0" w:color="auto"/>
            </w:tcBorders>
            <w:shd w:val="clear" w:color="000000" w:fill="D9E2F3"/>
            <w:noWrap/>
            <w:vAlign w:val="center"/>
            <w:hideMark/>
          </w:tcPr>
          <w:p w14:paraId="3B71601F"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3</w:t>
            </w:r>
          </w:p>
        </w:tc>
        <w:tc>
          <w:tcPr>
            <w:tcW w:w="1060" w:type="dxa"/>
            <w:tcBorders>
              <w:top w:val="nil"/>
              <w:left w:val="nil"/>
              <w:bottom w:val="single" w:sz="4" w:space="0" w:color="auto"/>
              <w:right w:val="single" w:sz="4" w:space="0" w:color="auto"/>
            </w:tcBorders>
            <w:shd w:val="clear" w:color="000000" w:fill="D9E2F3"/>
            <w:noWrap/>
            <w:vAlign w:val="center"/>
            <w:hideMark/>
          </w:tcPr>
          <w:p w14:paraId="078159DC"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27%</w:t>
            </w:r>
          </w:p>
        </w:tc>
      </w:tr>
      <w:tr w:rsidR="00BA0D82" w:rsidRPr="0005691D" w14:paraId="1E7955D7" w14:textId="77777777" w:rsidTr="001A5653">
        <w:trPr>
          <w:trHeight w:val="300"/>
        </w:trPr>
        <w:tc>
          <w:tcPr>
            <w:tcW w:w="2511" w:type="dxa"/>
            <w:tcBorders>
              <w:top w:val="nil"/>
              <w:left w:val="single" w:sz="4" w:space="0" w:color="auto"/>
              <w:bottom w:val="single" w:sz="4" w:space="0" w:color="auto"/>
              <w:right w:val="single" w:sz="4" w:space="0" w:color="auto"/>
            </w:tcBorders>
            <w:shd w:val="clear" w:color="000000" w:fill="B4C6E7"/>
            <w:noWrap/>
            <w:vAlign w:val="center"/>
            <w:hideMark/>
          </w:tcPr>
          <w:p w14:paraId="0E7B4228" w14:textId="77777777" w:rsidR="00BA0D82" w:rsidRPr="0005691D" w:rsidRDefault="00BA0D82" w:rsidP="001A5653">
            <w:pPr>
              <w:spacing w:after="0" w:line="240" w:lineRule="auto"/>
              <w:jc w:val="right"/>
              <w:rPr>
                <w:rFonts w:ascii="Calibri" w:eastAsia="Times New Roman" w:hAnsi="Calibri" w:cs="Calibri"/>
                <w:b/>
                <w:bCs/>
                <w:color w:val="000000"/>
              </w:rPr>
            </w:pPr>
            <w:r w:rsidRPr="0005691D">
              <w:rPr>
                <w:rFonts w:ascii="Calibri" w:eastAsia="Times New Roman" w:hAnsi="Calibri" w:cs="Calibri"/>
                <w:b/>
                <w:bCs/>
                <w:color w:val="000000"/>
              </w:rPr>
              <w:t>Business Engagement</w:t>
            </w:r>
          </w:p>
        </w:tc>
        <w:tc>
          <w:tcPr>
            <w:tcW w:w="1167" w:type="dxa"/>
            <w:tcBorders>
              <w:top w:val="nil"/>
              <w:left w:val="nil"/>
              <w:bottom w:val="single" w:sz="4" w:space="0" w:color="auto"/>
              <w:right w:val="single" w:sz="4" w:space="0" w:color="auto"/>
            </w:tcBorders>
            <w:shd w:val="clear" w:color="000000" w:fill="FFFFFF"/>
            <w:noWrap/>
            <w:vAlign w:val="center"/>
            <w:hideMark/>
          </w:tcPr>
          <w:p w14:paraId="29A5C230"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27</w:t>
            </w:r>
          </w:p>
        </w:tc>
        <w:tc>
          <w:tcPr>
            <w:tcW w:w="1256" w:type="dxa"/>
            <w:tcBorders>
              <w:top w:val="nil"/>
              <w:left w:val="nil"/>
              <w:bottom w:val="single" w:sz="4" w:space="0" w:color="auto"/>
              <w:right w:val="single" w:sz="4" w:space="0" w:color="auto"/>
            </w:tcBorders>
            <w:shd w:val="clear" w:color="000000" w:fill="FFFFFF"/>
            <w:noWrap/>
            <w:vAlign w:val="center"/>
            <w:hideMark/>
          </w:tcPr>
          <w:p w14:paraId="5717741E"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41%</w:t>
            </w:r>
          </w:p>
        </w:tc>
        <w:tc>
          <w:tcPr>
            <w:tcW w:w="898" w:type="dxa"/>
            <w:tcBorders>
              <w:top w:val="nil"/>
              <w:left w:val="nil"/>
              <w:bottom w:val="single" w:sz="4" w:space="0" w:color="auto"/>
              <w:right w:val="single" w:sz="4" w:space="0" w:color="auto"/>
            </w:tcBorders>
            <w:shd w:val="clear" w:color="000000" w:fill="FFFFFF"/>
            <w:noWrap/>
            <w:vAlign w:val="center"/>
            <w:hideMark/>
          </w:tcPr>
          <w:p w14:paraId="39CE8415"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27</w:t>
            </w:r>
          </w:p>
        </w:tc>
        <w:tc>
          <w:tcPr>
            <w:tcW w:w="898" w:type="dxa"/>
            <w:tcBorders>
              <w:top w:val="nil"/>
              <w:left w:val="nil"/>
              <w:bottom w:val="single" w:sz="4" w:space="0" w:color="auto"/>
              <w:right w:val="single" w:sz="4" w:space="0" w:color="auto"/>
            </w:tcBorders>
            <w:shd w:val="clear" w:color="000000" w:fill="FFFFFF"/>
            <w:noWrap/>
            <w:vAlign w:val="center"/>
            <w:hideMark/>
          </w:tcPr>
          <w:p w14:paraId="42ADE3A9"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2</w:t>
            </w:r>
          </w:p>
        </w:tc>
        <w:tc>
          <w:tcPr>
            <w:tcW w:w="890" w:type="dxa"/>
            <w:tcBorders>
              <w:top w:val="nil"/>
              <w:left w:val="nil"/>
              <w:bottom w:val="single" w:sz="4" w:space="0" w:color="auto"/>
              <w:right w:val="single" w:sz="4" w:space="0" w:color="auto"/>
            </w:tcBorders>
            <w:shd w:val="clear" w:color="000000" w:fill="FFFFFF"/>
            <w:noWrap/>
            <w:vAlign w:val="center"/>
            <w:hideMark/>
          </w:tcPr>
          <w:p w14:paraId="24038F8E"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7%</w:t>
            </w:r>
          </w:p>
        </w:tc>
        <w:tc>
          <w:tcPr>
            <w:tcW w:w="1060" w:type="dxa"/>
            <w:tcBorders>
              <w:top w:val="nil"/>
              <w:left w:val="nil"/>
              <w:bottom w:val="single" w:sz="4" w:space="0" w:color="auto"/>
              <w:right w:val="single" w:sz="4" w:space="0" w:color="auto"/>
            </w:tcBorders>
            <w:shd w:val="clear" w:color="000000" w:fill="FFFFFF"/>
            <w:noWrap/>
            <w:vAlign w:val="center"/>
            <w:hideMark/>
          </w:tcPr>
          <w:p w14:paraId="37A7072A"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18</w:t>
            </w:r>
          </w:p>
        </w:tc>
        <w:tc>
          <w:tcPr>
            <w:tcW w:w="1060" w:type="dxa"/>
            <w:tcBorders>
              <w:top w:val="nil"/>
              <w:left w:val="nil"/>
              <w:bottom w:val="single" w:sz="4" w:space="0" w:color="auto"/>
              <w:right w:val="single" w:sz="4" w:space="0" w:color="auto"/>
            </w:tcBorders>
            <w:shd w:val="clear" w:color="000000" w:fill="FFFFFF"/>
            <w:noWrap/>
            <w:vAlign w:val="center"/>
            <w:hideMark/>
          </w:tcPr>
          <w:p w14:paraId="1DCAA22A"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w:t>
            </w:r>
          </w:p>
        </w:tc>
        <w:tc>
          <w:tcPr>
            <w:tcW w:w="1060" w:type="dxa"/>
            <w:tcBorders>
              <w:top w:val="nil"/>
              <w:left w:val="nil"/>
              <w:bottom w:val="single" w:sz="4" w:space="0" w:color="auto"/>
              <w:right w:val="single" w:sz="4" w:space="0" w:color="auto"/>
            </w:tcBorders>
            <w:shd w:val="clear" w:color="000000" w:fill="FFFFFF"/>
            <w:noWrap/>
            <w:vAlign w:val="center"/>
            <w:hideMark/>
          </w:tcPr>
          <w:p w14:paraId="01BBD8D0"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6%</w:t>
            </w:r>
          </w:p>
        </w:tc>
      </w:tr>
      <w:tr w:rsidR="00BA0D82" w:rsidRPr="0005691D" w14:paraId="28C9574B" w14:textId="77777777" w:rsidTr="001A5653">
        <w:trPr>
          <w:trHeight w:val="300"/>
        </w:trPr>
        <w:tc>
          <w:tcPr>
            <w:tcW w:w="2511" w:type="dxa"/>
            <w:tcBorders>
              <w:top w:val="nil"/>
              <w:left w:val="single" w:sz="4" w:space="0" w:color="auto"/>
              <w:bottom w:val="single" w:sz="4" w:space="0" w:color="auto"/>
              <w:right w:val="single" w:sz="4" w:space="0" w:color="auto"/>
            </w:tcBorders>
            <w:shd w:val="clear" w:color="000000" w:fill="B4C6E7"/>
            <w:noWrap/>
            <w:vAlign w:val="center"/>
            <w:hideMark/>
          </w:tcPr>
          <w:p w14:paraId="2FDEEE61" w14:textId="77777777" w:rsidR="00BA0D82" w:rsidRPr="0005691D" w:rsidRDefault="00BA0D82" w:rsidP="001A5653">
            <w:pPr>
              <w:spacing w:after="0" w:line="240" w:lineRule="auto"/>
              <w:jc w:val="right"/>
              <w:rPr>
                <w:rFonts w:ascii="Calibri" w:eastAsia="Times New Roman" w:hAnsi="Calibri" w:cs="Calibri"/>
                <w:b/>
                <w:bCs/>
                <w:color w:val="000000"/>
              </w:rPr>
            </w:pPr>
            <w:r w:rsidRPr="0005691D">
              <w:rPr>
                <w:rFonts w:ascii="Calibri" w:eastAsia="Times New Roman" w:hAnsi="Calibri" w:cs="Calibri"/>
                <w:b/>
                <w:bCs/>
                <w:color w:val="000000"/>
              </w:rPr>
              <w:t>The Career Index Plus (TCI+) and LMI</w:t>
            </w:r>
          </w:p>
        </w:tc>
        <w:tc>
          <w:tcPr>
            <w:tcW w:w="1167" w:type="dxa"/>
            <w:tcBorders>
              <w:top w:val="nil"/>
              <w:left w:val="nil"/>
              <w:bottom w:val="single" w:sz="4" w:space="0" w:color="auto"/>
              <w:right w:val="single" w:sz="4" w:space="0" w:color="auto"/>
            </w:tcBorders>
            <w:shd w:val="clear" w:color="000000" w:fill="D9E2F3"/>
            <w:noWrap/>
            <w:vAlign w:val="center"/>
            <w:hideMark/>
          </w:tcPr>
          <w:p w14:paraId="166BBE7B"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23</w:t>
            </w:r>
          </w:p>
        </w:tc>
        <w:tc>
          <w:tcPr>
            <w:tcW w:w="1256" w:type="dxa"/>
            <w:tcBorders>
              <w:top w:val="nil"/>
              <w:left w:val="nil"/>
              <w:bottom w:val="single" w:sz="4" w:space="0" w:color="auto"/>
              <w:right w:val="single" w:sz="4" w:space="0" w:color="auto"/>
            </w:tcBorders>
            <w:shd w:val="clear" w:color="000000" w:fill="D9E2F3"/>
            <w:noWrap/>
            <w:vAlign w:val="center"/>
            <w:hideMark/>
          </w:tcPr>
          <w:p w14:paraId="3E7733D9"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71%</w:t>
            </w:r>
          </w:p>
        </w:tc>
        <w:tc>
          <w:tcPr>
            <w:tcW w:w="898" w:type="dxa"/>
            <w:tcBorders>
              <w:top w:val="nil"/>
              <w:left w:val="nil"/>
              <w:bottom w:val="single" w:sz="4" w:space="0" w:color="auto"/>
              <w:right w:val="single" w:sz="4" w:space="0" w:color="auto"/>
            </w:tcBorders>
            <w:shd w:val="clear" w:color="000000" w:fill="D9E2F3"/>
            <w:noWrap/>
            <w:vAlign w:val="center"/>
            <w:hideMark/>
          </w:tcPr>
          <w:p w14:paraId="7E0CEA63"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23</w:t>
            </w:r>
          </w:p>
        </w:tc>
        <w:tc>
          <w:tcPr>
            <w:tcW w:w="898" w:type="dxa"/>
            <w:tcBorders>
              <w:top w:val="nil"/>
              <w:left w:val="nil"/>
              <w:bottom w:val="single" w:sz="4" w:space="0" w:color="auto"/>
              <w:right w:val="single" w:sz="4" w:space="0" w:color="auto"/>
            </w:tcBorders>
            <w:shd w:val="clear" w:color="000000" w:fill="D9E2F3"/>
            <w:noWrap/>
            <w:vAlign w:val="center"/>
            <w:hideMark/>
          </w:tcPr>
          <w:p w14:paraId="5088E102"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14</w:t>
            </w:r>
          </w:p>
        </w:tc>
        <w:tc>
          <w:tcPr>
            <w:tcW w:w="890" w:type="dxa"/>
            <w:tcBorders>
              <w:top w:val="nil"/>
              <w:left w:val="nil"/>
              <w:bottom w:val="single" w:sz="4" w:space="0" w:color="auto"/>
              <w:right w:val="single" w:sz="4" w:space="0" w:color="auto"/>
            </w:tcBorders>
            <w:shd w:val="clear" w:color="000000" w:fill="D9E2F3"/>
            <w:noWrap/>
            <w:vAlign w:val="center"/>
            <w:hideMark/>
          </w:tcPr>
          <w:p w14:paraId="2E2CEC1C"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61%</w:t>
            </w:r>
          </w:p>
        </w:tc>
        <w:tc>
          <w:tcPr>
            <w:tcW w:w="1060" w:type="dxa"/>
            <w:tcBorders>
              <w:top w:val="nil"/>
              <w:left w:val="nil"/>
              <w:bottom w:val="single" w:sz="4" w:space="0" w:color="auto"/>
              <w:right w:val="single" w:sz="4" w:space="0" w:color="auto"/>
            </w:tcBorders>
            <w:shd w:val="clear" w:color="000000" w:fill="D9E2F3"/>
            <w:noWrap/>
            <w:vAlign w:val="center"/>
            <w:hideMark/>
          </w:tcPr>
          <w:p w14:paraId="0C6AB49C"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14</w:t>
            </w:r>
          </w:p>
        </w:tc>
        <w:tc>
          <w:tcPr>
            <w:tcW w:w="1060" w:type="dxa"/>
            <w:tcBorders>
              <w:top w:val="nil"/>
              <w:left w:val="nil"/>
              <w:bottom w:val="single" w:sz="4" w:space="0" w:color="auto"/>
              <w:right w:val="single" w:sz="4" w:space="0" w:color="auto"/>
            </w:tcBorders>
            <w:shd w:val="clear" w:color="000000" w:fill="D9E2F3"/>
            <w:noWrap/>
            <w:vAlign w:val="center"/>
            <w:hideMark/>
          </w:tcPr>
          <w:p w14:paraId="749F6E41"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6</w:t>
            </w:r>
          </w:p>
        </w:tc>
        <w:tc>
          <w:tcPr>
            <w:tcW w:w="1060" w:type="dxa"/>
            <w:tcBorders>
              <w:top w:val="nil"/>
              <w:left w:val="nil"/>
              <w:bottom w:val="single" w:sz="4" w:space="0" w:color="auto"/>
              <w:right w:val="single" w:sz="4" w:space="0" w:color="auto"/>
            </w:tcBorders>
            <w:shd w:val="clear" w:color="000000" w:fill="D9E2F3"/>
            <w:noWrap/>
            <w:vAlign w:val="center"/>
            <w:hideMark/>
          </w:tcPr>
          <w:p w14:paraId="2355AC8D"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43%</w:t>
            </w:r>
          </w:p>
        </w:tc>
      </w:tr>
      <w:tr w:rsidR="00BA0D82" w:rsidRPr="0005691D" w14:paraId="56C50012" w14:textId="77777777" w:rsidTr="001A5653">
        <w:trPr>
          <w:trHeight w:val="300"/>
        </w:trPr>
        <w:tc>
          <w:tcPr>
            <w:tcW w:w="2511" w:type="dxa"/>
            <w:tcBorders>
              <w:top w:val="nil"/>
              <w:left w:val="single" w:sz="4" w:space="0" w:color="auto"/>
              <w:bottom w:val="single" w:sz="4" w:space="0" w:color="auto"/>
              <w:right w:val="single" w:sz="4" w:space="0" w:color="auto"/>
            </w:tcBorders>
            <w:shd w:val="clear" w:color="000000" w:fill="B4C6E7"/>
            <w:noWrap/>
            <w:vAlign w:val="center"/>
            <w:hideMark/>
          </w:tcPr>
          <w:p w14:paraId="4F26A951" w14:textId="77777777" w:rsidR="00BA0D82" w:rsidRPr="0005691D" w:rsidRDefault="00BA0D82" w:rsidP="001A5653">
            <w:pPr>
              <w:spacing w:after="0" w:line="240" w:lineRule="auto"/>
              <w:jc w:val="right"/>
              <w:rPr>
                <w:rFonts w:ascii="Calibri" w:eastAsia="Times New Roman" w:hAnsi="Calibri" w:cs="Calibri"/>
                <w:b/>
                <w:bCs/>
                <w:color w:val="000000"/>
              </w:rPr>
            </w:pPr>
            <w:r w:rsidRPr="0005691D">
              <w:rPr>
                <w:rFonts w:ascii="Calibri" w:eastAsia="Times New Roman" w:hAnsi="Calibri" w:cs="Calibri"/>
                <w:b/>
                <w:bCs/>
                <w:color w:val="000000"/>
              </w:rPr>
              <w:t>SARA</w:t>
            </w:r>
          </w:p>
        </w:tc>
        <w:tc>
          <w:tcPr>
            <w:tcW w:w="1167" w:type="dxa"/>
            <w:tcBorders>
              <w:top w:val="nil"/>
              <w:left w:val="nil"/>
              <w:bottom w:val="single" w:sz="4" w:space="0" w:color="auto"/>
              <w:right w:val="single" w:sz="4" w:space="0" w:color="auto"/>
            </w:tcBorders>
            <w:shd w:val="clear" w:color="000000" w:fill="FFFFFF"/>
            <w:noWrap/>
            <w:vAlign w:val="center"/>
            <w:hideMark/>
          </w:tcPr>
          <w:p w14:paraId="193A76CC"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21</w:t>
            </w:r>
          </w:p>
        </w:tc>
        <w:tc>
          <w:tcPr>
            <w:tcW w:w="1256" w:type="dxa"/>
            <w:tcBorders>
              <w:top w:val="nil"/>
              <w:left w:val="nil"/>
              <w:bottom w:val="single" w:sz="4" w:space="0" w:color="auto"/>
              <w:right w:val="single" w:sz="4" w:space="0" w:color="auto"/>
            </w:tcBorders>
            <w:shd w:val="clear" w:color="000000" w:fill="FFFFFF"/>
            <w:noWrap/>
            <w:vAlign w:val="center"/>
            <w:hideMark/>
          </w:tcPr>
          <w:p w14:paraId="72EC38F0"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100%</w:t>
            </w:r>
          </w:p>
        </w:tc>
        <w:tc>
          <w:tcPr>
            <w:tcW w:w="898" w:type="dxa"/>
            <w:tcBorders>
              <w:top w:val="nil"/>
              <w:left w:val="nil"/>
              <w:bottom w:val="single" w:sz="4" w:space="0" w:color="auto"/>
              <w:right w:val="single" w:sz="4" w:space="0" w:color="auto"/>
            </w:tcBorders>
            <w:shd w:val="clear" w:color="000000" w:fill="FFFFFF"/>
            <w:noWrap/>
            <w:vAlign w:val="center"/>
            <w:hideMark/>
          </w:tcPr>
          <w:p w14:paraId="6B513E4E"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21</w:t>
            </w:r>
          </w:p>
        </w:tc>
        <w:tc>
          <w:tcPr>
            <w:tcW w:w="898" w:type="dxa"/>
            <w:tcBorders>
              <w:top w:val="nil"/>
              <w:left w:val="nil"/>
              <w:bottom w:val="single" w:sz="4" w:space="0" w:color="auto"/>
              <w:right w:val="single" w:sz="4" w:space="0" w:color="auto"/>
            </w:tcBorders>
            <w:shd w:val="clear" w:color="000000" w:fill="FFFFFF"/>
            <w:noWrap/>
            <w:vAlign w:val="center"/>
            <w:hideMark/>
          </w:tcPr>
          <w:p w14:paraId="26D01E90"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21</w:t>
            </w:r>
          </w:p>
        </w:tc>
        <w:tc>
          <w:tcPr>
            <w:tcW w:w="890" w:type="dxa"/>
            <w:tcBorders>
              <w:top w:val="nil"/>
              <w:left w:val="nil"/>
              <w:bottom w:val="single" w:sz="4" w:space="0" w:color="auto"/>
              <w:right w:val="single" w:sz="4" w:space="0" w:color="auto"/>
            </w:tcBorders>
            <w:shd w:val="clear" w:color="000000" w:fill="FFFFFF"/>
            <w:noWrap/>
            <w:vAlign w:val="center"/>
            <w:hideMark/>
          </w:tcPr>
          <w:p w14:paraId="19314744"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100%</w:t>
            </w:r>
          </w:p>
        </w:tc>
        <w:tc>
          <w:tcPr>
            <w:tcW w:w="1060" w:type="dxa"/>
            <w:tcBorders>
              <w:top w:val="nil"/>
              <w:left w:val="nil"/>
              <w:bottom w:val="single" w:sz="4" w:space="0" w:color="auto"/>
              <w:right w:val="single" w:sz="4" w:space="0" w:color="auto"/>
            </w:tcBorders>
            <w:shd w:val="clear" w:color="000000" w:fill="FFFFFF"/>
            <w:noWrap/>
            <w:vAlign w:val="center"/>
            <w:hideMark/>
          </w:tcPr>
          <w:p w14:paraId="1287C416"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21</w:t>
            </w:r>
          </w:p>
        </w:tc>
        <w:tc>
          <w:tcPr>
            <w:tcW w:w="1060" w:type="dxa"/>
            <w:tcBorders>
              <w:top w:val="nil"/>
              <w:left w:val="nil"/>
              <w:bottom w:val="single" w:sz="4" w:space="0" w:color="auto"/>
              <w:right w:val="single" w:sz="4" w:space="0" w:color="auto"/>
            </w:tcBorders>
            <w:shd w:val="clear" w:color="000000" w:fill="FFFFFF"/>
            <w:noWrap/>
            <w:vAlign w:val="center"/>
            <w:hideMark/>
          </w:tcPr>
          <w:p w14:paraId="7D7A454C"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20</w:t>
            </w:r>
          </w:p>
        </w:tc>
        <w:tc>
          <w:tcPr>
            <w:tcW w:w="1060" w:type="dxa"/>
            <w:tcBorders>
              <w:top w:val="nil"/>
              <w:left w:val="nil"/>
              <w:bottom w:val="single" w:sz="4" w:space="0" w:color="auto"/>
              <w:right w:val="single" w:sz="4" w:space="0" w:color="auto"/>
            </w:tcBorders>
            <w:shd w:val="clear" w:color="000000" w:fill="FFFFFF"/>
            <w:noWrap/>
            <w:vAlign w:val="center"/>
            <w:hideMark/>
          </w:tcPr>
          <w:p w14:paraId="56C1757C"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95%</w:t>
            </w:r>
          </w:p>
        </w:tc>
      </w:tr>
      <w:tr w:rsidR="00BA0D82" w:rsidRPr="0005691D" w14:paraId="647CC854" w14:textId="77777777" w:rsidTr="001A5653">
        <w:trPr>
          <w:trHeight w:val="300"/>
        </w:trPr>
        <w:tc>
          <w:tcPr>
            <w:tcW w:w="2511" w:type="dxa"/>
            <w:tcBorders>
              <w:top w:val="nil"/>
              <w:left w:val="single" w:sz="4" w:space="0" w:color="auto"/>
              <w:bottom w:val="single" w:sz="4" w:space="0" w:color="auto"/>
              <w:right w:val="single" w:sz="4" w:space="0" w:color="auto"/>
            </w:tcBorders>
            <w:shd w:val="clear" w:color="000000" w:fill="B4C6E7"/>
            <w:noWrap/>
            <w:vAlign w:val="center"/>
            <w:hideMark/>
          </w:tcPr>
          <w:p w14:paraId="5EA08D33" w14:textId="77777777" w:rsidR="00BA0D82" w:rsidRPr="0005691D" w:rsidRDefault="00BA0D82" w:rsidP="001A5653">
            <w:pPr>
              <w:spacing w:after="0" w:line="240" w:lineRule="auto"/>
              <w:jc w:val="right"/>
              <w:rPr>
                <w:rFonts w:ascii="Calibri" w:eastAsia="Times New Roman" w:hAnsi="Calibri" w:cs="Calibri"/>
                <w:b/>
                <w:bCs/>
                <w:color w:val="000000"/>
              </w:rPr>
            </w:pPr>
            <w:r w:rsidRPr="0005691D">
              <w:rPr>
                <w:rFonts w:ascii="Calibri" w:eastAsia="Times New Roman" w:hAnsi="Calibri" w:cs="Calibri"/>
                <w:b/>
                <w:bCs/>
                <w:color w:val="000000"/>
              </w:rPr>
              <w:t>Apprenticeships</w:t>
            </w:r>
          </w:p>
        </w:tc>
        <w:tc>
          <w:tcPr>
            <w:tcW w:w="1167" w:type="dxa"/>
            <w:tcBorders>
              <w:top w:val="nil"/>
              <w:left w:val="nil"/>
              <w:bottom w:val="single" w:sz="4" w:space="0" w:color="auto"/>
              <w:right w:val="single" w:sz="4" w:space="0" w:color="auto"/>
            </w:tcBorders>
            <w:shd w:val="clear" w:color="000000" w:fill="D9E2F3"/>
            <w:noWrap/>
            <w:vAlign w:val="center"/>
            <w:hideMark/>
          </w:tcPr>
          <w:p w14:paraId="5055D57D"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5</w:t>
            </w:r>
          </w:p>
        </w:tc>
        <w:tc>
          <w:tcPr>
            <w:tcW w:w="1256" w:type="dxa"/>
            <w:tcBorders>
              <w:top w:val="nil"/>
              <w:left w:val="nil"/>
              <w:bottom w:val="single" w:sz="4" w:space="0" w:color="auto"/>
              <w:right w:val="single" w:sz="4" w:space="0" w:color="auto"/>
            </w:tcBorders>
            <w:shd w:val="clear" w:color="000000" w:fill="D9E2F3"/>
            <w:noWrap/>
            <w:vAlign w:val="center"/>
            <w:hideMark/>
          </w:tcPr>
          <w:p w14:paraId="07EBEED6"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85%</w:t>
            </w:r>
          </w:p>
        </w:tc>
        <w:tc>
          <w:tcPr>
            <w:tcW w:w="898" w:type="dxa"/>
            <w:tcBorders>
              <w:top w:val="nil"/>
              <w:left w:val="nil"/>
              <w:bottom w:val="single" w:sz="4" w:space="0" w:color="auto"/>
              <w:right w:val="single" w:sz="4" w:space="0" w:color="auto"/>
            </w:tcBorders>
            <w:shd w:val="clear" w:color="000000" w:fill="D9E2F3"/>
            <w:noWrap/>
            <w:vAlign w:val="center"/>
            <w:hideMark/>
          </w:tcPr>
          <w:p w14:paraId="013633BB"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5</w:t>
            </w:r>
          </w:p>
        </w:tc>
        <w:tc>
          <w:tcPr>
            <w:tcW w:w="898" w:type="dxa"/>
            <w:tcBorders>
              <w:top w:val="nil"/>
              <w:left w:val="nil"/>
              <w:bottom w:val="single" w:sz="4" w:space="0" w:color="auto"/>
              <w:right w:val="single" w:sz="4" w:space="0" w:color="auto"/>
            </w:tcBorders>
            <w:shd w:val="clear" w:color="000000" w:fill="D9E2F3"/>
            <w:noWrap/>
            <w:vAlign w:val="center"/>
            <w:hideMark/>
          </w:tcPr>
          <w:p w14:paraId="176B31F3"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2</w:t>
            </w:r>
          </w:p>
        </w:tc>
        <w:tc>
          <w:tcPr>
            <w:tcW w:w="890" w:type="dxa"/>
            <w:tcBorders>
              <w:top w:val="nil"/>
              <w:left w:val="nil"/>
              <w:bottom w:val="single" w:sz="4" w:space="0" w:color="auto"/>
              <w:right w:val="single" w:sz="4" w:space="0" w:color="auto"/>
            </w:tcBorders>
            <w:shd w:val="clear" w:color="000000" w:fill="D9E2F3"/>
            <w:noWrap/>
            <w:vAlign w:val="center"/>
            <w:hideMark/>
          </w:tcPr>
          <w:p w14:paraId="066806C8"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40%</w:t>
            </w:r>
          </w:p>
        </w:tc>
        <w:tc>
          <w:tcPr>
            <w:tcW w:w="1060" w:type="dxa"/>
            <w:tcBorders>
              <w:top w:val="nil"/>
              <w:left w:val="nil"/>
              <w:bottom w:val="single" w:sz="4" w:space="0" w:color="auto"/>
              <w:right w:val="single" w:sz="4" w:space="0" w:color="auto"/>
            </w:tcBorders>
            <w:shd w:val="clear" w:color="000000" w:fill="D9E2F3"/>
            <w:noWrap/>
            <w:vAlign w:val="center"/>
            <w:hideMark/>
          </w:tcPr>
          <w:p w14:paraId="5FD8DAEB"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3</w:t>
            </w:r>
          </w:p>
        </w:tc>
        <w:tc>
          <w:tcPr>
            <w:tcW w:w="1060" w:type="dxa"/>
            <w:tcBorders>
              <w:top w:val="nil"/>
              <w:left w:val="nil"/>
              <w:bottom w:val="single" w:sz="4" w:space="0" w:color="auto"/>
              <w:right w:val="single" w:sz="4" w:space="0" w:color="auto"/>
            </w:tcBorders>
            <w:shd w:val="clear" w:color="000000" w:fill="D9E2F3"/>
            <w:noWrap/>
            <w:vAlign w:val="center"/>
            <w:hideMark/>
          </w:tcPr>
          <w:p w14:paraId="1D534AAB"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0</w:t>
            </w:r>
          </w:p>
        </w:tc>
        <w:tc>
          <w:tcPr>
            <w:tcW w:w="1060" w:type="dxa"/>
            <w:tcBorders>
              <w:top w:val="nil"/>
              <w:left w:val="nil"/>
              <w:bottom w:val="single" w:sz="4" w:space="0" w:color="auto"/>
              <w:right w:val="single" w:sz="4" w:space="0" w:color="auto"/>
            </w:tcBorders>
            <w:shd w:val="clear" w:color="000000" w:fill="D9E2F3"/>
            <w:noWrap/>
            <w:vAlign w:val="center"/>
            <w:hideMark/>
          </w:tcPr>
          <w:p w14:paraId="1F644376"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0%</w:t>
            </w:r>
          </w:p>
        </w:tc>
      </w:tr>
      <w:tr w:rsidR="00BA0D82" w:rsidRPr="0005691D" w14:paraId="0C1A411C" w14:textId="77777777" w:rsidTr="001A5653">
        <w:trPr>
          <w:trHeight w:val="300"/>
        </w:trPr>
        <w:tc>
          <w:tcPr>
            <w:tcW w:w="2511" w:type="dxa"/>
            <w:tcBorders>
              <w:top w:val="nil"/>
              <w:left w:val="single" w:sz="4" w:space="0" w:color="auto"/>
              <w:bottom w:val="single" w:sz="4" w:space="0" w:color="auto"/>
              <w:right w:val="single" w:sz="4" w:space="0" w:color="auto"/>
            </w:tcBorders>
            <w:shd w:val="clear" w:color="000000" w:fill="B4C6E7"/>
            <w:noWrap/>
            <w:vAlign w:val="center"/>
            <w:hideMark/>
          </w:tcPr>
          <w:p w14:paraId="221E1CC7" w14:textId="77777777" w:rsidR="00BA0D82" w:rsidRPr="0005691D" w:rsidRDefault="00BA0D82" w:rsidP="001A5653">
            <w:pPr>
              <w:spacing w:after="0" w:line="240" w:lineRule="auto"/>
              <w:jc w:val="right"/>
              <w:rPr>
                <w:rFonts w:ascii="Calibri" w:eastAsia="Times New Roman" w:hAnsi="Calibri" w:cs="Calibri"/>
                <w:b/>
                <w:bCs/>
                <w:color w:val="000000"/>
              </w:rPr>
            </w:pPr>
            <w:r w:rsidRPr="0005691D">
              <w:rPr>
                <w:rFonts w:ascii="Calibri" w:eastAsia="Times New Roman" w:hAnsi="Calibri" w:cs="Calibri"/>
                <w:b/>
                <w:bCs/>
                <w:color w:val="000000"/>
              </w:rPr>
              <w:t>Customized Employment</w:t>
            </w:r>
          </w:p>
        </w:tc>
        <w:tc>
          <w:tcPr>
            <w:tcW w:w="1167" w:type="dxa"/>
            <w:tcBorders>
              <w:top w:val="nil"/>
              <w:left w:val="nil"/>
              <w:bottom w:val="single" w:sz="4" w:space="0" w:color="auto"/>
              <w:right w:val="single" w:sz="4" w:space="0" w:color="auto"/>
            </w:tcBorders>
            <w:shd w:val="clear" w:color="000000" w:fill="FFFFFF"/>
            <w:noWrap/>
            <w:vAlign w:val="center"/>
            <w:hideMark/>
          </w:tcPr>
          <w:p w14:paraId="7842C519"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73</w:t>
            </w:r>
          </w:p>
        </w:tc>
        <w:tc>
          <w:tcPr>
            <w:tcW w:w="1256" w:type="dxa"/>
            <w:tcBorders>
              <w:top w:val="nil"/>
              <w:left w:val="nil"/>
              <w:bottom w:val="single" w:sz="4" w:space="0" w:color="auto"/>
              <w:right w:val="single" w:sz="4" w:space="0" w:color="auto"/>
            </w:tcBorders>
            <w:shd w:val="clear" w:color="000000" w:fill="FFFFFF"/>
            <w:noWrap/>
            <w:vAlign w:val="center"/>
            <w:hideMark/>
          </w:tcPr>
          <w:p w14:paraId="349042E0"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69%</w:t>
            </w:r>
          </w:p>
        </w:tc>
        <w:tc>
          <w:tcPr>
            <w:tcW w:w="898" w:type="dxa"/>
            <w:tcBorders>
              <w:top w:val="nil"/>
              <w:left w:val="nil"/>
              <w:bottom w:val="single" w:sz="4" w:space="0" w:color="auto"/>
              <w:right w:val="single" w:sz="4" w:space="0" w:color="auto"/>
            </w:tcBorders>
            <w:shd w:val="clear" w:color="000000" w:fill="FFFFFF"/>
            <w:noWrap/>
            <w:vAlign w:val="center"/>
            <w:hideMark/>
          </w:tcPr>
          <w:p w14:paraId="1D624958"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73</w:t>
            </w:r>
          </w:p>
        </w:tc>
        <w:tc>
          <w:tcPr>
            <w:tcW w:w="898" w:type="dxa"/>
            <w:tcBorders>
              <w:top w:val="nil"/>
              <w:left w:val="nil"/>
              <w:bottom w:val="single" w:sz="4" w:space="0" w:color="auto"/>
              <w:right w:val="single" w:sz="4" w:space="0" w:color="auto"/>
            </w:tcBorders>
            <w:shd w:val="clear" w:color="000000" w:fill="FFFFFF"/>
            <w:noWrap/>
            <w:vAlign w:val="center"/>
            <w:hideMark/>
          </w:tcPr>
          <w:p w14:paraId="5EA470C3"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41</w:t>
            </w:r>
          </w:p>
        </w:tc>
        <w:tc>
          <w:tcPr>
            <w:tcW w:w="890" w:type="dxa"/>
            <w:tcBorders>
              <w:top w:val="nil"/>
              <w:left w:val="nil"/>
              <w:bottom w:val="single" w:sz="4" w:space="0" w:color="auto"/>
              <w:right w:val="single" w:sz="4" w:space="0" w:color="auto"/>
            </w:tcBorders>
            <w:shd w:val="clear" w:color="000000" w:fill="FFFFFF"/>
            <w:noWrap/>
            <w:vAlign w:val="center"/>
            <w:hideMark/>
          </w:tcPr>
          <w:p w14:paraId="6586C0BB"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56%</w:t>
            </w:r>
          </w:p>
        </w:tc>
        <w:tc>
          <w:tcPr>
            <w:tcW w:w="1060" w:type="dxa"/>
            <w:tcBorders>
              <w:top w:val="nil"/>
              <w:left w:val="nil"/>
              <w:bottom w:val="single" w:sz="4" w:space="0" w:color="auto"/>
              <w:right w:val="single" w:sz="4" w:space="0" w:color="auto"/>
            </w:tcBorders>
            <w:shd w:val="clear" w:color="000000" w:fill="FFFFFF"/>
            <w:noWrap/>
            <w:vAlign w:val="center"/>
            <w:hideMark/>
          </w:tcPr>
          <w:p w14:paraId="7D9CA23E"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56</w:t>
            </w:r>
          </w:p>
        </w:tc>
        <w:tc>
          <w:tcPr>
            <w:tcW w:w="1060" w:type="dxa"/>
            <w:tcBorders>
              <w:top w:val="nil"/>
              <w:left w:val="nil"/>
              <w:bottom w:val="single" w:sz="4" w:space="0" w:color="auto"/>
              <w:right w:val="single" w:sz="4" w:space="0" w:color="auto"/>
            </w:tcBorders>
            <w:shd w:val="clear" w:color="000000" w:fill="FFFFFF"/>
            <w:noWrap/>
            <w:vAlign w:val="center"/>
            <w:hideMark/>
          </w:tcPr>
          <w:p w14:paraId="7D091C55"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14</w:t>
            </w:r>
          </w:p>
        </w:tc>
        <w:tc>
          <w:tcPr>
            <w:tcW w:w="1060" w:type="dxa"/>
            <w:tcBorders>
              <w:top w:val="nil"/>
              <w:left w:val="nil"/>
              <w:bottom w:val="single" w:sz="4" w:space="0" w:color="auto"/>
              <w:right w:val="single" w:sz="4" w:space="0" w:color="auto"/>
            </w:tcBorders>
            <w:shd w:val="clear" w:color="000000" w:fill="FFFFFF"/>
            <w:noWrap/>
            <w:vAlign w:val="center"/>
            <w:hideMark/>
          </w:tcPr>
          <w:p w14:paraId="6190D3CD"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25%</w:t>
            </w:r>
          </w:p>
        </w:tc>
      </w:tr>
      <w:tr w:rsidR="00BA0D82" w:rsidRPr="0005691D" w14:paraId="7B61D370" w14:textId="77777777" w:rsidTr="001A5653">
        <w:trPr>
          <w:trHeight w:val="300"/>
        </w:trPr>
        <w:tc>
          <w:tcPr>
            <w:tcW w:w="2511" w:type="dxa"/>
            <w:tcBorders>
              <w:top w:val="nil"/>
              <w:left w:val="single" w:sz="4" w:space="0" w:color="auto"/>
              <w:bottom w:val="single" w:sz="4" w:space="0" w:color="auto"/>
              <w:right w:val="single" w:sz="4" w:space="0" w:color="auto"/>
            </w:tcBorders>
            <w:shd w:val="clear" w:color="000000" w:fill="B4C6E7"/>
            <w:noWrap/>
            <w:vAlign w:val="center"/>
            <w:hideMark/>
          </w:tcPr>
          <w:p w14:paraId="66407648" w14:textId="77777777" w:rsidR="00BA0D82" w:rsidRPr="0005691D" w:rsidRDefault="00BA0D82" w:rsidP="001A5653">
            <w:pPr>
              <w:spacing w:after="0" w:line="240" w:lineRule="auto"/>
              <w:jc w:val="right"/>
              <w:rPr>
                <w:rFonts w:ascii="Calibri" w:eastAsia="Times New Roman" w:hAnsi="Calibri" w:cs="Calibri"/>
                <w:b/>
                <w:bCs/>
                <w:color w:val="000000"/>
              </w:rPr>
            </w:pPr>
            <w:r w:rsidRPr="0005691D">
              <w:rPr>
                <w:rFonts w:ascii="Calibri" w:eastAsia="Times New Roman" w:hAnsi="Calibri" w:cs="Calibri"/>
                <w:b/>
                <w:bCs/>
                <w:color w:val="000000"/>
              </w:rPr>
              <w:t>Supported Employment</w:t>
            </w:r>
          </w:p>
        </w:tc>
        <w:tc>
          <w:tcPr>
            <w:tcW w:w="1167" w:type="dxa"/>
            <w:tcBorders>
              <w:top w:val="nil"/>
              <w:left w:val="nil"/>
              <w:bottom w:val="single" w:sz="4" w:space="0" w:color="auto"/>
              <w:right w:val="single" w:sz="4" w:space="0" w:color="auto"/>
            </w:tcBorders>
            <w:shd w:val="clear" w:color="000000" w:fill="D9E2F3"/>
            <w:noWrap/>
            <w:vAlign w:val="center"/>
            <w:hideMark/>
          </w:tcPr>
          <w:p w14:paraId="5206A151"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9</w:t>
            </w:r>
          </w:p>
        </w:tc>
        <w:tc>
          <w:tcPr>
            <w:tcW w:w="1256" w:type="dxa"/>
            <w:tcBorders>
              <w:top w:val="nil"/>
              <w:left w:val="nil"/>
              <w:bottom w:val="single" w:sz="4" w:space="0" w:color="auto"/>
              <w:right w:val="single" w:sz="4" w:space="0" w:color="auto"/>
            </w:tcBorders>
            <w:shd w:val="clear" w:color="000000" w:fill="D9E2F3"/>
            <w:noWrap/>
            <w:vAlign w:val="center"/>
            <w:hideMark/>
          </w:tcPr>
          <w:p w14:paraId="63676F40"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59%</w:t>
            </w:r>
          </w:p>
        </w:tc>
        <w:tc>
          <w:tcPr>
            <w:tcW w:w="898" w:type="dxa"/>
            <w:tcBorders>
              <w:top w:val="nil"/>
              <w:left w:val="nil"/>
              <w:bottom w:val="single" w:sz="4" w:space="0" w:color="auto"/>
              <w:right w:val="single" w:sz="4" w:space="0" w:color="auto"/>
            </w:tcBorders>
            <w:shd w:val="clear" w:color="000000" w:fill="D9E2F3"/>
            <w:noWrap/>
            <w:vAlign w:val="center"/>
            <w:hideMark/>
          </w:tcPr>
          <w:p w14:paraId="1223C764"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9</w:t>
            </w:r>
          </w:p>
        </w:tc>
        <w:tc>
          <w:tcPr>
            <w:tcW w:w="898" w:type="dxa"/>
            <w:tcBorders>
              <w:top w:val="nil"/>
              <w:left w:val="nil"/>
              <w:bottom w:val="single" w:sz="4" w:space="0" w:color="auto"/>
              <w:right w:val="single" w:sz="4" w:space="0" w:color="auto"/>
            </w:tcBorders>
            <w:shd w:val="clear" w:color="000000" w:fill="D9E2F3"/>
            <w:noWrap/>
            <w:vAlign w:val="center"/>
            <w:hideMark/>
          </w:tcPr>
          <w:p w14:paraId="01A4F257"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w:t>
            </w:r>
          </w:p>
        </w:tc>
        <w:tc>
          <w:tcPr>
            <w:tcW w:w="890" w:type="dxa"/>
            <w:tcBorders>
              <w:top w:val="nil"/>
              <w:left w:val="nil"/>
              <w:bottom w:val="single" w:sz="4" w:space="0" w:color="auto"/>
              <w:right w:val="single" w:sz="4" w:space="0" w:color="auto"/>
            </w:tcBorders>
            <w:shd w:val="clear" w:color="000000" w:fill="D9E2F3"/>
            <w:noWrap/>
            <w:vAlign w:val="center"/>
            <w:hideMark/>
          </w:tcPr>
          <w:p w14:paraId="2FF1B11F"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11%</w:t>
            </w:r>
          </w:p>
        </w:tc>
        <w:tc>
          <w:tcPr>
            <w:tcW w:w="1060" w:type="dxa"/>
            <w:tcBorders>
              <w:top w:val="nil"/>
              <w:left w:val="nil"/>
              <w:bottom w:val="single" w:sz="4" w:space="0" w:color="auto"/>
              <w:right w:val="single" w:sz="4" w:space="0" w:color="auto"/>
            </w:tcBorders>
            <w:shd w:val="clear" w:color="000000" w:fill="D9E2F3"/>
            <w:noWrap/>
            <w:vAlign w:val="center"/>
            <w:hideMark/>
          </w:tcPr>
          <w:p w14:paraId="6624D0F8"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5</w:t>
            </w:r>
          </w:p>
        </w:tc>
        <w:tc>
          <w:tcPr>
            <w:tcW w:w="1060" w:type="dxa"/>
            <w:tcBorders>
              <w:top w:val="nil"/>
              <w:left w:val="nil"/>
              <w:bottom w:val="single" w:sz="4" w:space="0" w:color="auto"/>
              <w:right w:val="single" w:sz="4" w:space="0" w:color="auto"/>
            </w:tcBorders>
            <w:shd w:val="clear" w:color="000000" w:fill="D9E2F3"/>
            <w:noWrap/>
            <w:vAlign w:val="center"/>
            <w:hideMark/>
          </w:tcPr>
          <w:p w14:paraId="2D71B637" w14:textId="77777777" w:rsidR="00BA0D82" w:rsidRPr="0005691D" w:rsidRDefault="00BA0D82" w:rsidP="001A5653">
            <w:pPr>
              <w:spacing w:after="0" w:line="240" w:lineRule="auto"/>
              <w:jc w:val="center"/>
              <w:rPr>
                <w:rFonts w:ascii="Calibri" w:eastAsia="Times New Roman" w:hAnsi="Calibri" w:cs="Calibri"/>
                <w:color w:val="000000"/>
              </w:rPr>
            </w:pPr>
            <w:r>
              <w:rPr>
                <w:rFonts w:ascii="Calibri" w:eastAsia="Times New Roman" w:hAnsi="Calibri" w:cs="Calibri"/>
                <w:color w:val="000000"/>
              </w:rPr>
              <w:t>1</w:t>
            </w:r>
          </w:p>
        </w:tc>
        <w:tc>
          <w:tcPr>
            <w:tcW w:w="1060" w:type="dxa"/>
            <w:tcBorders>
              <w:top w:val="nil"/>
              <w:left w:val="nil"/>
              <w:bottom w:val="single" w:sz="4" w:space="0" w:color="auto"/>
              <w:right w:val="single" w:sz="4" w:space="0" w:color="auto"/>
            </w:tcBorders>
            <w:shd w:val="clear" w:color="000000" w:fill="D9E2F3"/>
            <w:noWrap/>
            <w:vAlign w:val="center"/>
            <w:hideMark/>
          </w:tcPr>
          <w:p w14:paraId="7E681E5D" w14:textId="77777777" w:rsidR="00BA0D82" w:rsidRPr="0005691D" w:rsidRDefault="00BA0D82" w:rsidP="001A5653">
            <w:pPr>
              <w:spacing w:after="0" w:line="240" w:lineRule="auto"/>
              <w:jc w:val="center"/>
              <w:rPr>
                <w:rFonts w:ascii="Calibri" w:eastAsia="Times New Roman" w:hAnsi="Calibri" w:cs="Calibri"/>
                <w:color w:val="000000"/>
              </w:rPr>
            </w:pPr>
            <w:r>
              <w:rPr>
                <w:rFonts w:ascii="Calibri" w:eastAsia="Times New Roman" w:hAnsi="Calibri" w:cs="Calibri"/>
                <w:color w:val="000000"/>
              </w:rPr>
              <w:t>13</w:t>
            </w:r>
            <w:r w:rsidRPr="0005691D">
              <w:rPr>
                <w:rFonts w:ascii="Calibri" w:eastAsia="Times New Roman" w:hAnsi="Calibri" w:cs="Calibri"/>
                <w:color w:val="000000"/>
              </w:rPr>
              <w:t>%</w:t>
            </w:r>
          </w:p>
        </w:tc>
      </w:tr>
      <w:tr w:rsidR="00BA0D82" w:rsidRPr="0005691D" w14:paraId="0673ADD7" w14:textId="77777777" w:rsidTr="001A5653">
        <w:trPr>
          <w:trHeight w:val="300"/>
        </w:trPr>
        <w:tc>
          <w:tcPr>
            <w:tcW w:w="2511" w:type="dxa"/>
            <w:tcBorders>
              <w:top w:val="nil"/>
              <w:left w:val="nil"/>
              <w:bottom w:val="nil"/>
              <w:right w:val="nil"/>
            </w:tcBorders>
            <w:shd w:val="clear" w:color="auto" w:fill="auto"/>
            <w:noWrap/>
            <w:vAlign w:val="bottom"/>
            <w:hideMark/>
          </w:tcPr>
          <w:p w14:paraId="72F9610D" w14:textId="77777777" w:rsidR="00BA0D82" w:rsidRPr="0005691D" w:rsidRDefault="00BA0D82" w:rsidP="001A5653">
            <w:pPr>
              <w:spacing w:after="0" w:line="240" w:lineRule="auto"/>
              <w:jc w:val="center"/>
              <w:rPr>
                <w:rFonts w:ascii="Calibri" w:eastAsia="Times New Roman" w:hAnsi="Calibri" w:cs="Calibri"/>
                <w:color w:val="000000"/>
              </w:rPr>
            </w:pPr>
          </w:p>
        </w:tc>
        <w:tc>
          <w:tcPr>
            <w:tcW w:w="1167" w:type="dxa"/>
            <w:tcBorders>
              <w:top w:val="nil"/>
              <w:left w:val="nil"/>
              <w:bottom w:val="nil"/>
              <w:right w:val="nil"/>
            </w:tcBorders>
            <w:shd w:val="clear" w:color="auto" w:fill="auto"/>
            <w:noWrap/>
            <w:vAlign w:val="center"/>
            <w:hideMark/>
          </w:tcPr>
          <w:p w14:paraId="640D292E" w14:textId="77777777" w:rsidR="00BA0D82" w:rsidRPr="0005691D" w:rsidRDefault="00BA0D82" w:rsidP="001A5653">
            <w:pPr>
              <w:spacing w:after="0" w:line="240" w:lineRule="auto"/>
              <w:rPr>
                <w:rFonts w:ascii="Times New Roman" w:eastAsia="Times New Roman" w:hAnsi="Times New Roman" w:cs="Times New Roman"/>
                <w:sz w:val="20"/>
                <w:szCs w:val="20"/>
              </w:rPr>
            </w:pPr>
          </w:p>
        </w:tc>
        <w:tc>
          <w:tcPr>
            <w:tcW w:w="1256" w:type="dxa"/>
            <w:tcBorders>
              <w:top w:val="nil"/>
              <w:left w:val="nil"/>
              <w:bottom w:val="nil"/>
              <w:right w:val="nil"/>
            </w:tcBorders>
            <w:shd w:val="clear" w:color="auto" w:fill="auto"/>
            <w:noWrap/>
            <w:vAlign w:val="center"/>
            <w:hideMark/>
          </w:tcPr>
          <w:p w14:paraId="67F1B47B"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c>
          <w:tcPr>
            <w:tcW w:w="898" w:type="dxa"/>
            <w:tcBorders>
              <w:top w:val="nil"/>
              <w:left w:val="nil"/>
              <w:bottom w:val="nil"/>
              <w:right w:val="nil"/>
            </w:tcBorders>
            <w:shd w:val="clear" w:color="auto" w:fill="auto"/>
            <w:noWrap/>
            <w:vAlign w:val="center"/>
            <w:hideMark/>
          </w:tcPr>
          <w:p w14:paraId="3EA5CCAB"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c>
          <w:tcPr>
            <w:tcW w:w="898" w:type="dxa"/>
            <w:tcBorders>
              <w:top w:val="nil"/>
              <w:left w:val="nil"/>
              <w:bottom w:val="nil"/>
              <w:right w:val="nil"/>
            </w:tcBorders>
            <w:shd w:val="clear" w:color="auto" w:fill="auto"/>
            <w:noWrap/>
            <w:vAlign w:val="center"/>
            <w:hideMark/>
          </w:tcPr>
          <w:p w14:paraId="79A98ADE"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c>
          <w:tcPr>
            <w:tcW w:w="890" w:type="dxa"/>
            <w:tcBorders>
              <w:top w:val="nil"/>
              <w:left w:val="nil"/>
              <w:bottom w:val="nil"/>
              <w:right w:val="nil"/>
            </w:tcBorders>
            <w:shd w:val="clear" w:color="auto" w:fill="auto"/>
            <w:noWrap/>
            <w:vAlign w:val="center"/>
            <w:hideMark/>
          </w:tcPr>
          <w:p w14:paraId="7841632D"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c>
          <w:tcPr>
            <w:tcW w:w="1060" w:type="dxa"/>
            <w:tcBorders>
              <w:top w:val="nil"/>
              <w:left w:val="nil"/>
              <w:bottom w:val="nil"/>
              <w:right w:val="nil"/>
            </w:tcBorders>
            <w:shd w:val="clear" w:color="auto" w:fill="auto"/>
            <w:noWrap/>
            <w:vAlign w:val="center"/>
            <w:hideMark/>
          </w:tcPr>
          <w:p w14:paraId="7F86B15A"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c>
          <w:tcPr>
            <w:tcW w:w="1060" w:type="dxa"/>
            <w:tcBorders>
              <w:top w:val="nil"/>
              <w:left w:val="nil"/>
              <w:bottom w:val="nil"/>
              <w:right w:val="nil"/>
            </w:tcBorders>
            <w:shd w:val="clear" w:color="auto" w:fill="auto"/>
            <w:noWrap/>
            <w:vAlign w:val="center"/>
            <w:hideMark/>
          </w:tcPr>
          <w:p w14:paraId="6D4EBB36"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c>
          <w:tcPr>
            <w:tcW w:w="1060" w:type="dxa"/>
            <w:tcBorders>
              <w:top w:val="nil"/>
              <w:left w:val="nil"/>
              <w:bottom w:val="nil"/>
              <w:right w:val="nil"/>
            </w:tcBorders>
            <w:shd w:val="clear" w:color="auto" w:fill="auto"/>
            <w:noWrap/>
            <w:vAlign w:val="center"/>
            <w:hideMark/>
          </w:tcPr>
          <w:p w14:paraId="0070E7A7"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r>
      <w:tr w:rsidR="00BA0D82" w:rsidRPr="0005691D" w14:paraId="2F108EBD" w14:textId="77777777" w:rsidTr="001A5653">
        <w:trPr>
          <w:trHeight w:val="465"/>
        </w:trPr>
        <w:tc>
          <w:tcPr>
            <w:tcW w:w="10800" w:type="dxa"/>
            <w:gridSpan w:val="9"/>
            <w:tcBorders>
              <w:top w:val="single" w:sz="4" w:space="0" w:color="auto"/>
              <w:left w:val="nil"/>
              <w:bottom w:val="single" w:sz="4" w:space="0" w:color="auto"/>
              <w:right w:val="nil"/>
            </w:tcBorders>
            <w:shd w:val="clear" w:color="auto" w:fill="auto"/>
            <w:noWrap/>
            <w:vAlign w:val="bottom"/>
            <w:hideMark/>
          </w:tcPr>
          <w:p w14:paraId="1EE0BF1D" w14:textId="77777777" w:rsidR="00BA0D82" w:rsidRPr="0005691D" w:rsidRDefault="00BA0D82" w:rsidP="00BA0D82">
            <w:pPr>
              <w:pStyle w:val="Heading2"/>
              <w:numPr>
                <w:ilvl w:val="0"/>
                <w:numId w:val="0"/>
              </w:numPr>
              <w:rPr>
                <w:rFonts w:eastAsia="Times New Roman"/>
              </w:rPr>
            </w:pPr>
            <w:bookmarkStart w:id="181" w:name="_Toc27143180"/>
            <w:bookmarkStart w:id="182" w:name="_Toc28011479"/>
            <w:r w:rsidRPr="0005691D">
              <w:rPr>
                <w:rFonts w:eastAsia="Times New Roman"/>
              </w:rPr>
              <w:t>Alaska Combined</w:t>
            </w:r>
            <w:bookmarkEnd w:id="181"/>
            <w:bookmarkEnd w:id="182"/>
          </w:p>
        </w:tc>
      </w:tr>
      <w:tr w:rsidR="00BA0D82" w:rsidRPr="0005691D" w14:paraId="176762A1" w14:textId="77777777" w:rsidTr="001A5653">
        <w:trPr>
          <w:trHeight w:val="1305"/>
        </w:trPr>
        <w:tc>
          <w:tcPr>
            <w:tcW w:w="2511" w:type="dxa"/>
            <w:tcBorders>
              <w:top w:val="nil"/>
              <w:left w:val="single" w:sz="4" w:space="0" w:color="auto"/>
              <w:bottom w:val="single" w:sz="4" w:space="0" w:color="auto"/>
              <w:right w:val="single" w:sz="4" w:space="0" w:color="auto"/>
            </w:tcBorders>
            <w:shd w:val="clear" w:color="000000" w:fill="B4C6E7"/>
            <w:vAlign w:val="bottom"/>
            <w:hideMark/>
          </w:tcPr>
          <w:p w14:paraId="2940C2FD" w14:textId="77777777" w:rsidR="00BA0D82" w:rsidRPr="0005691D" w:rsidRDefault="00BA0D82" w:rsidP="001A5653">
            <w:pPr>
              <w:spacing w:after="0" w:line="240" w:lineRule="auto"/>
              <w:jc w:val="right"/>
              <w:rPr>
                <w:rFonts w:ascii="Calibri" w:eastAsia="Times New Roman" w:hAnsi="Calibri" w:cs="Calibri"/>
                <w:b/>
                <w:bCs/>
                <w:color w:val="000000"/>
                <w:szCs w:val="28"/>
              </w:rPr>
            </w:pPr>
            <w:r w:rsidRPr="0005691D">
              <w:rPr>
                <w:rFonts w:ascii="Calibri" w:eastAsia="Times New Roman" w:hAnsi="Calibri" w:cs="Calibri"/>
                <w:b/>
                <w:bCs/>
                <w:color w:val="000000"/>
                <w:szCs w:val="28"/>
              </w:rPr>
              <w:t>Area</w:t>
            </w:r>
          </w:p>
        </w:tc>
        <w:tc>
          <w:tcPr>
            <w:tcW w:w="1167" w:type="dxa"/>
            <w:tcBorders>
              <w:top w:val="nil"/>
              <w:left w:val="nil"/>
              <w:bottom w:val="single" w:sz="4" w:space="0" w:color="auto"/>
              <w:right w:val="single" w:sz="4" w:space="0" w:color="auto"/>
            </w:tcBorders>
            <w:shd w:val="clear" w:color="000000" w:fill="B4C6E7"/>
            <w:vAlign w:val="bottom"/>
            <w:hideMark/>
          </w:tcPr>
          <w:p w14:paraId="34852955"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of Total Activities</w:t>
            </w:r>
          </w:p>
        </w:tc>
        <w:tc>
          <w:tcPr>
            <w:tcW w:w="1256" w:type="dxa"/>
            <w:tcBorders>
              <w:top w:val="nil"/>
              <w:left w:val="nil"/>
              <w:bottom w:val="single" w:sz="4" w:space="0" w:color="auto"/>
              <w:right w:val="single" w:sz="4" w:space="0" w:color="auto"/>
            </w:tcBorders>
            <w:shd w:val="clear" w:color="000000" w:fill="B4C6E7"/>
            <w:vAlign w:val="bottom"/>
            <w:hideMark/>
          </w:tcPr>
          <w:p w14:paraId="738F73A9"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Average Progress on Activities (%)</w:t>
            </w:r>
          </w:p>
        </w:tc>
        <w:tc>
          <w:tcPr>
            <w:tcW w:w="898" w:type="dxa"/>
            <w:tcBorders>
              <w:top w:val="nil"/>
              <w:left w:val="nil"/>
              <w:bottom w:val="single" w:sz="4" w:space="0" w:color="auto"/>
              <w:right w:val="single" w:sz="4" w:space="0" w:color="auto"/>
            </w:tcBorders>
            <w:shd w:val="clear" w:color="000000" w:fill="B4C6E7"/>
            <w:vAlign w:val="bottom"/>
            <w:hideMark/>
          </w:tcPr>
          <w:p w14:paraId="6155116B"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Outputs</w:t>
            </w:r>
          </w:p>
        </w:tc>
        <w:tc>
          <w:tcPr>
            <w:tcW w:w="898" w:type="dxa"/>
            <w:tcBorders>
              <w:top w:val="nil"/>
              <w:left w:val="nil"/>
              <w:bottom w:val="single" w:sz="4" w:space="0" w:color="auto"/>
              <w:right w:val="single" w:sz="4" w:space="0" w:color="auto"/>
            </w:tcBorders>
            <w:shd w:val="clear" w:color="000000" w:fill="B4C6E7"/>
            <w:vAlign w:val="bottom"/>
            <w:hideMark/>
          </w:tcPr>
          <w:p w14:paraId="178A1136"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Outputs Met</w:t>
            </w:r>
          </w:p>
        </w:tc>
        <w:tc>
          <w:tcPr>
            <w:tcW w:w="890" w:type="dxa"/>
            <w:tcBorders>
              <w:top w:val="nil"/>
              <w:left w:val="nil"/>
              <w:bottom w:val="single" w:sz="4" w:space="0" w:color="auto"/>
              <w:right w:val="single" w:sz="4" w:space="0" w:color="auto"/>
            </w:tcBorders>
            <w:shd w:val="clear" w:color="000000" w:fill="B4C6E7"/>
            <w:vAlign w:val="bottom"/>
            <w:hideMark/>
          </w:tcPr>
          <w:p w14:paraId="26C30834"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Outputs Met</w:t>
            </w:r>
          </w:p>
        </w:tc>
        <w:tc>
          <w:tcPr>
            <w:tcW w:w="1060" w:type="dxa"/>
            <w:tcBorders>
              <w:top w:val="nil"/>
              <w:left w:val="nil"/>
              <w:bottom w:val="single" w:sz="4" w:space="0" w:color="auto"/>
              <w:right w:val="single" w:sz="4" w:space="0" w:color="auto"/>
            </w:tcBorders>
            <w:shd w:val="clear" w:color="000000" w:fill="B4C6E7"/>
            <w:vAlign w:val="bottom"/>
            <w:hideMark/>
          </w:tcPr>
          <w:p w14:paraId="231E8696"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Short-Term Outcomes</w:t>
            </w:r>
          </w:p>
        </w:tc>
        <w:tc>
          <w:tcPr>
            <w:tcW w:w="1060" w:type="dxa"/>
            <w:tcBorders>
              <w:top w:val="nil"/>
              <w:left w:val="nil"/>
              <w:bottom w:val="single" w:sz="4" w:space="0" w:color="auto"/>
              <w:right w:val="single" w:sz="4" w:space="0" w:color="auto"/>
            </w:tcBorders>
            <w:shd w:val="clear" w:color="000000" w:fill="B4C6E7"/>
            <w:vAlign w:val="bottom"/>
            <w:hideMark/>
          </w:tcPr>
          <w:p w14:paraId="651DFE35"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Short-Term Outcomes Met</w:t>
            </w:r>
          </w:p>
        </w:tc>
        <w:tc>
          <w:tcPr>
            <w:tcW w:w="1060" w:type="dxa"/>
            <w:tcBorders>
              <w:top w:val="nil"/>
              <w:left w:val="nil"/>
              <w:bottom w:val="single" w:sz="4" w:space="0" w:color="auto"/>
              <w:right w:val="single" w:sz="4" w:space="0" w:color="auto"/>
            </w:tcBorders>
            <w:shd w:val="clear" w:color="000000" w:fill="B4C6E7"/>
            <w:vAlign w:val="bottom"/>
            <w:hideMark/>
          </w:tcPr>
          <w:p w14:paraId="4AAE2FAA"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%Short-Term Outcomes Achieved</w:t>
            </w:r>
          </w:p>
        </w:tc>
      </w:tr>
      <w:tr w:rsidR="00BA0D82" w:rsidRPr="0005691D" w14:paraId="4F49E494" w14:textId="77777777" w:rsidTr="001A5653">
        <w:trPr>
          <w:trHeight w:val="300"/>
        </w:trPr>
        <w:tc>
          <w:tcPr>
            <w:tcW w:w="2511" w:type="dxa"/>
            <w:tcBorders>
              <w:top w:val="nil"/>
              <w:left w:val="single" w:sz="4" w:space="0" w:color="auto"/>
              <w:bottom w:val="single" w:sz="4" w:space="0" w:color="auto"/>
              <w:right w:val="single" w:sz="4" w:space="0" w:color="auto"/>
            </w:tcBorders>
            <w:shd w:val="clear" w:color="000000" w:fill="B4C6E7"/>
            <w:noWrap/>
            <w:vAlign w:val="center"/>
            <w:hideMark/>
          </w:tcPr>
          <w:p w14:paraId="743F741B" w14:textId="77777777" w:rsidR="00BA0D82" w:rsidRPr="0005691D" w:rsidRDefault="00BA0D82" w:rsidP="001A5653">
            <w:pPr>
              <w:spacing w:after="0" w:line="240" w:lineRule="auto"/>
              <w:jc w:val="right"/>
              <w:rPr>
                <w:rFonts w:ascii="Calibri" w:eastAsia="Times New Roman" w:hAnsi="Calibri" w:cs="Calibri"/>
                <w:b/>
                <w:bCs/>
                <w:color w:val="000000"/>
              </w:rPr>
            </w:pPr>
            <w:r w:rsidRPr="0005691D">
              <w:rPr>
                <w:rFonts w:ascii="Calibri" w:eastAsia="Times New Roman" w:hAnsi="Calibri" w:cs="Calibri"/>
                <w:b/>
                <w:bCs/>
                <w:color w:val="000000"/>
              </w:rPr>
              <w:t>Pre-ETS</w:t>
            </w:r>
          </w:p>
        </w:tc>
        <w:tc>
          <w:tcPr>
            <w:tcW w:w="1167" w:type="dxa"/>
            <w:tcBorders>
              <w:top w:val="nil"/>
              <w:left w:val="nil"/>
              <w:bottom w:val="single" w:sz="4" w:space="0" w:color="auto"/>
              <w:right w:val="single" w:sz="4" w:space="0" w:color="auto"/>
            </w:tcBorders>
            <w:shd w:val="clear" w:color="000000" w:fill="FFFFFF"/>
            <w:noWrap/>
            <w:vAlign w:val="center"/>
            <w:hideMark/>
          </w:tcPr>
          <w:p w14:paraId="415623CC"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6</w:t>
            </w:r>
          </w:p>
        </w:tc>
        <w:tc>
          <w:tcPr>
            <w:tcW w:w="1256" w:type="dxa"/>
            <w:tcBorders>
              <w:top w:val="nil"/>
              <w:left w:val="nil"/>
              <w:bottom w:val="single" w:sz="4" w:space="0" w:color="auto"/>
              <w:right w:val="single" w:sz="4" w:space="0" w:color="auto"/>
            </w:tcBorders>
            <w:shd w:val="clear" w:color="000000" w:fill="FFFFFF"/>
            <w:noWrap/>
            <w:vAlign w:val="center"/>
            <w:hideMark/>
          </w:tcPr>
          <w:p w14:paraId="20A829D8"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100%</w:t>
            </w:r>
          </w:p>
        </w:tc>
        <w:tc>
          <w:tcPr>
            <w:tcW w:w="898" w:type="dxa"/>
            <w:tcBorders>
              <w:top w:val="nil"/>
              <w:left w:val="nil"/>
              <w:bottom w:val="single" w:sz="4" w:space="0" w:color="auto"/>
              <w:right w:val="single" w:sz="4" w:space="0" w:color="auto"/>
            </w:tcBorders>
            <w:shd w:val="clear" w:color="000000" w:fill="FFFFFF"/>
            <w:noWrap/>
            <w:vAlign w:val="center"/>
            <w:hideMark/>
          </w:tcPr>
          <w:p w14:paraId="6E5A0A0C"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6</w:t>
            </w:r>
          </w:p>
        </w:tc>
        <w:tc>
          <w:tcPr>
            <w:tcW w:w="898" w:type="dxa"/>
            <w:tcBorders>
              <w:top w:val="nil"/>
              <w:left w:val="nil"/>
              <w:bottom w:val="single" w:sz="4" w:space="0" w:color="auto"/>
              <w:right w:val="single" w:sz="4" w:space="0" w:color="auto"/>
            </w:tcBorders>
            <w:shd w:val="clear" w:color="000000" w:fill="FFFFFF"/>
            <w:noWrap/>
            <w:vAlign w:val="center"/>
            <w:hideMark/>
          </w:tcPr>
          <w:p w14:paraId="0F40729C"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5</w:t>
            </w:r>
          </w:p>
        </w:tc>
        <w:tc>
          <w:tcPr>
            <w:tcW w:w="890" w:type="dxa"/>
            <w:tcBorders>
              <w:top w:val="nil"/>
              <w:left w:val="nil"/>
              <w:bottom w:val="single" w:sz="4" w:space="0" w:color="auto"/>
              <w:right w:val="single" w:sz="4" w:space="0" w:color="auto"/>
            </w:tcBorders>
            <w:shd w:val="clear" w:color="000000" w:fill="FFFFFF"/>
            <w:noWrap/>
            <w:vAlign w:val="center"/>
            <w:hideMark/>
          </w:tcPr>
          <w:p w14:paraId="36799514"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83%</w:t>
            </w:r>
          </w:p>
        </w:tc>
        <w:tc>
          <w:tcPr>
            <w:tcW w:w="1060" w:type="dxa"/>
            <w:tcBorders>
              <w:top w:val="nil"/>
              <w:left w:val="nil"/>
              <w:bottom w:val="single" w:sz="4" w:space="0" w:color="auto"/>
              <w:right w:val="single" w:sz="4" w:space="0" w:color="auto"/>
            </w:tcBorders>
            <w:shd w:val="clear" w:color="000000" w:fill="FFFFFF"/>
            <w:noWrap/>
            <w:vAlign w:val="center"/>
            <w:hideMark/>
          </w:tcPr>
          <w:p w14:paraId="7158E1E6"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3</w:t>
            </w:r>
          </w:p>
        </w:tc>
        <w:tc>
          <w:tcPr>
            <w:tcW w:w="1060" w:type="dxa"/>
            <w:tcBorders>
              <w:top w:val="nil"/>
              <w:left w:val="nil"/>
              <w:bottom w:val="single" w:sz="4" w:space="0" w:color="auto"/>
              <w:right w:val="single" w:sz="4" w:space="0" w:color="auto"/>
            </w:tcBorders>
            <w:shd w:val="clear" w:color="000000" w:fill="FFFFFF"/>
            <w:noWrap/>
            <w:vAlign w:val="center"/>
            <w:hideMark/>
          </w:tcPr>
          <w:p w14:paraId="79DF3940"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2</w:t>
            </w:r>
          </w:p>
        </w:tc>
        <w:tc>
          <w:tcPr>
            <w:tcW w:w="1060" w:type="dxa"/>
            <w:tcBorders>
              <w:top w:val="nil"/>
              <w:left w:val="nil"/>
              <w:bottom w:val="single" w:sz="4" w:space="0" w:color="auto"/>
              <w:right w:val="single" w:sz="4" w:space="0" w:color="auto"/>
            </w:tcBorders>
            <w:shd w:val="clear" w:color="000000" w:fill="FFFFFF"/>
            <w:noWrap/>
            <w:vAlign w:val="center"/>
            <w:hideMark/>
          </w:tcPr>
          <w:p w14:paraId="03A44078"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67%</w:t>
            </w:r>
          </w:p>
        </w:tc>
      </w:tr>
      <w:tr w:rsidR="00BA0D82" w:rsidRPr="0005691D" w14:paraId="707FC25B" w14:textId="77777777" w:rsidTr="001A5653">
        <w:trPr>
          <w:trHeight w:val="300"/>
        </w:trPr>
        <w:tc>
          <w:tcPr>
            <w:tcW w:w="2511" w:type="dxa"/>
            <w:tcBorders>
              <w:top w:val="nil"/>
              <w:left w:val="single" w:sz="4" w:space="0" w:color="auto"/>
              <w:bottom w:val="single" w:sz="4" w:space="0" w:color="auto"/>
              <w:right w:val="single" w:sz="4" w:space="0" w:color="auto"/>
            </w:tcBorders>
            <w:shd w:val="clear" w:color="000000" w:fill="B4C6E7"/>
            <w:noWrap/>
            <w:vAlign w:val="center"/>
            <w:hideMark/>
          </w:tcPr>
          <w:p w14:paraId="60D2E951" w14:textId="77777777" w:rsidR="00BA0D82" w:rsidRPr="0005691D" w:rsidRDefault="00BA0D82" w:rsidP="001A5653">
            <w:pPr>
              <w:spacing w:after="0" w:line="240" w:lineRule="auto"/>
              <w:jc w:val="right"/>
              <w:rPr>
                <w:rFonts w:ascii="Calibri" w:eastAsia="Times New Roman" w:hAnsi="Calibri" w:cs="Calibri"/>
                <w:b/>
                <w:bCs/>
                <w:color w:val="000000"/>
              </w:rPr>
            </w:pPr>
            <w:r w:rsidRPr="0005691D">
              <w:rPr>
                <w:rFonts w:ascii="Calibri" w:eastAsia="Times New Roman" w:hAnsi="Calibri" w:cs="Calibri"/>
                <w:b/>
                <w:bCs/>
                <w:color w:val="000000"/>
              </w:rPr>
              <w:t>Section 511</w:t>
            </w:r>
          </w:p>
        </w:tc>
        <w:tc>
          <w:tcPr>
            <w:tcW w:w="1167" w:type="dxa"/>
            <w:tcBorders>
              <w:top w:val="nil"/>
              <w:left w:val="nil"/>
              <w:bottom w:val="single" w:sz="4" w:space="0" w:color="auto"/>
              <w:right w:val="single" w:sz="4" w:space="0" w:color="auto"/>
            </w:tcBorders>
            <w:shd w:val="clear" w:color="000000" w:fill="D9E2F3"/>
            <w:noWrap/>
            <w:vAlign w:val="center"/>
            <w:hideMark/>
          </w:tcPr>
          <w:p w14:paraId="164DA351"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w:t>
            </w:r>
          </w:p>
        </w:tc>
        <w:tc>
          <w:tcPr>
            <w:tcW w:w="1256" w:type="dxa"/>
            <w:tcBorders>
              <w:top w:val="nil"/>
              <w:left w:val="nil"/>
              <w:bottom w:val="single" w:sz="4" w:space="0" w:color="auto"/>
              <w:right w:val="single" w:sz="4" w:space="0" w:color="auto"/>
            </w:tcBorders>
            <w:shd w:val="clear" w:color="000000" w:fill="D9E2F3"/>
            <w:noWrap/>
            <w:vAlign w:val="center"/>
            <w:hideMark/>
          </w:tcPr>
          <w:p w14:paraId="3B7F1A91"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100%</w:t>
            </w:r>
          </w:p>
        </w:tc>
        <w:tc>
          <w:tcPr>
            <w:tcW w:w="898" w:type="dxa"/>
            <w:tcBorders>
              <w:top w:val="nil"/>
              <w:left w:val="nil"/>
              <w:bottom w:val="single" w:sz="4" w:space="0" w:color="auto"/>
              <w:right w:val="single" w:sz="4" w:space="0" w:color="auto"/>
            </w:tcBorders>
            <w:shd w:val="clear" w:color="000000" w:fill="D9E2F3"/>
            <w:noWrap/>
            <w:vAlign w:val="center"/>
            <w:hideMark/>
          </w:tcPr>
          <w:p w14:paraId="162AF2BD"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w:t>
            </w:r>
          </w:p>
        </w:tc>
        <w:tc>
          <w:tcPr>
            <w:tcW w:w="898" w:type="dxa"/>
            <w:tcBorders>
              <w:top w:val="nil"/>
              <w:left w:val="nil"/>
              <w:bottom w:val="single" w:sz="4" w:space="0" w:color="auto"/>
              <w:right w:val="single" w:sz="4" w:space="0" w:color="auto"/>
            </w:tcBorders>
            <w:shd w:val="clear" w:color="000000" w:fill="D9E2F3"/>
            <w:noWrap/>
            <w:vAlign w:val="center"/>
            <w:hideMark/>
          </w:tcPr>
          <w:p w14:paraId="08AEE9C5"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w:t>
            </w:r>
          </w:p>
        </w:tc>
        <w:tc>
          <w:tcPr>
            <w:tcW w:w="890" w:type="dxa"/>
            <w:tcBorders>
              <w:top w:val="nil"/>
              <w:left w:val="nil"/>
              <w:bottom w:val="single" w:sz="4" w:space="0" w:color="auto"/>
              <w:right w:val="single" w:sz="4" w:space="0" w:color="auto"/>
            </w:tcBorders>
            <w:shd w:val="clear" w:color="000000" w:fill="D9E2F3"/>
            <w:noWrap/>
            <w:vAlign w:val="center"/>
            <w:hideMark/>
          </w:tcPr>
          <w:p w14:paraId="394AEB61"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100%</w:t>
            </w:r>
          </w:p>
        </w:tc>
        <w:tc>
          <w:tcPr>
            <w:tcW w:w="1060" w:type="dxa"/>
            <w:tcBorders>
              <w:top w:val="nil"/>
              <w:left w:val="nil"/>
              <w:bottom w:val="single" w:sz="4" w:space="0" w:color="auto"/>
              <w:right w:val="single" w:sz="4" w:space="0" w:color="auto"/>
            </w:tcBorders>
            <w:shd w:val="clear" w:color="000000" w:fill="D9E2F3"/>
            <w:noWrap/>
            <w:vAlign w:val="center"/>
            <w:hideMark/>
          </w:tcPr>
          <w:p w14:paraId="0A34C6A7"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2</w:t>
            </w:r>
          </w:p>
        </w:tc>
        <w:tc>
          <w:tcPr>
            <w:tcW w:w="1060" w:type="dxa"/>
            <w:tcBorders>
              <w:top w:val="nil"/>
              <w:left w:val="nil"/>
              <w:bottom w:val="single" w:sz="4" w:space="0" w:color="auto"/>
              <w:right w:val="single" w:sz="4" w:space="0" w:color="auto"/>
            </w:tcBorders>
            <w:shd w:val="clear" w:color="000000" w:fill="D9E2F3"/>
            <w:noWrap/>
            <w:vAlign w:val="center"/>
            <w:hideMark/>
          </w:tcPr>
          <w:p w14:paraId="25B5A30D"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2</w:t>
            </w:r>
          </w:p>
        </w:tc>
        <w:tc>
          <w:tcPr>
            <w:tcW w:w="1060" w:type="dxa"/>
            <w:tcBorders>
              <w:top w:val="nil"/>
              <w:left w:val="nil"/>
              <w:bottom w:val="single" w:sz="4" w:space="0" w:color="auto"/>
              <w:right w:val="single" w:sz="4" w:space="0" w:color="auto"/>
            </w:tcBorders>
            <w:shd w:val="clear" w:color="000000" w:fill="D9E2F3"/>
            <w:noWrap/>
            <w:vAlign w:val="center"/>
            <w:hideMark/>
          </w:tcPr>
          <w:p w14:paraId="443CEDE8"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100%</w:t>
            </w:r>
          </w:p>
        </w:tc>
      </w:tr>
      <w:tr w:rsidR="00BA0D82" w:rsidRPr="0005691D" w14:paraId="6265A765" w14:textId="77777777" w:rsidTr="001A5653">
        <w:trPr>
          <w:trHeight w:val="300"/>
        </w:trPr>
        <w:tc>
          <w:tcPr>
            <w:tcW w:w="2511" w:type="dxa"/>
            <w:tcBorders>
              <w:top w:val="nil"/>
              <w:left w:val="single" w:sz="4" w:space="0" w:color="auto"/>
              <w:bottom w:val="single" w:sz="4" w:space="0" w:color="auto"/>
              <w:right w:val="single" w:sz="4" w:space="0" w:color="auto"/>
            </w:tcBorders>
            <w:shd w:val="clear" w:color="000000" w:fill="B4C6E7"/>
            <w:noWrap/>
            <w:vAlign w:val="center"/>
            <w:hideMark/>
          </w:tcPr>
          <w:p w14:paraId="70501E88" w14:textId="77777777" w:rsidR="00BA0D82" w:rsidRPr="0005691D" w:rsidRDefault="00BA0D82" w:rsidP="001A5653">
            <w:pPr>
              <w:spacing w:after="0" w:line="240" w:lineRule="auto"/>
              <w:jc w:val="right"/>
              <w:rPr>
                <w:rFonts w:ascii="Calibri" w:eastAsia="Times New Roman" w:hAnsi="Calibri" w:cs="Calibri"/>
                <w:b/>
                <w:bCs/>
                <w:color w:val="000000"/>
              </w:rPr>
            </w:pPr>
            <w:r w:rsidRPr="0005691D">
              <w:rPr>
                <w:rFonts w:ascii="Calibri" w:eastAsia="Times New Roman" w:hAnsi="Calibri" w:cs="Calibri"/>
                <w:b/>
                <w:bCs/>
                <w:color w:val="000000"/>
              </w:rPr>
              <w:t>Workforce Integration</w:t>
            </w:r>
          </w:p>
        </w:tc>
        <w:tc>
          <w:tcPr>
            <w:tcW w:w="1167" w:type="dxa"/>
            <w:tcBorders>
              <w:top w:val="nil"/>
              <w:left w:val="nil"/>
              <w:bottom w:val="single" w:sz="4" w:space="0" w:color="auto"/>
              <w:right w:val="single" w:sz="4" w:space="0" w:color="auto"/>
            </w:tcBorders>
            <w:shd w:val="clear" w:color="000000" w:fill="FFFFFF"/>
            <w:noWrap/>
            <w:vAlign w:val="center"/>
            <w:hideMark/>
          </w:tcPr>
          <w:p w14:paraId="4CB042D0"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4</w:t>
            </w:r>
          </w:p>
        </w:tc>
        <w:tc>
          <w:tcPr>
            <w:tcW w:w="1256" w:type="dxa"/>
            <w:tcBorders>
              <w:top w:val="nil"/>
              <w:left w:val="nil"/>
              <w:bottom w:val="single" w:sz="4" w:space="0" w:color="auto"/>
              <w:right w:val="single" w:sz="4" w:space="0" w:color="auto"/>
            </w:tcBorders>
            <w:shd w:val="clear" w:color="000000" w:fill="FFFFFF"/>
            <w:noWrap/>
            <w:vAlign w:val="center"/>
            <w:hideMark/>
          </w:tcPr>
          <w:p w14:paraId="210005B3"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63%</w:t>
            </w:r>
          </w:p>
        </w:tc>
        <w:tc>
          <w:tcPr>
            <w:tcW w:w="898" w:type="dxa"/>
            <w:tcBorders>
              <w:top w:val="nil"/>
              <w:left w:val="nil"/>
              <w:bottom w:val="single" w:sz="4" w:space="0" w:color="auto"/>
              <w:right w:val="single" w:sz="4" w:space="0" w:color="auto"/>
            </w:tcBorders>
            <w:shd w:val="clear" w:color="000000" w:fill="FFFFFF"/>
            <w:noWrap/>
            <w:vAlign w:val="center"/>
            <w:hideMark/>
          </w:tcPr>
          <w:p w14:paraId="18E7593B"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4</w:t>
            </w:r>
          </w:p>
        </w:tc>
        <w:tc>
          <w:tcPr>
            <w:tcW w:w="898" w:type="dxa"/>
            <w:tcBorders>
              <w:top w:val="nil"/>
              <w:left w:val="nil"/>
              <w:bottom w:val="single" w:sz="4" w:space="0" w:color="auto"/>
              <w:right w:val="single" w:sz="4" w:space="0" w:color="auto"/>
            </w:tcBorders>
            <w:shd w:val="clear" w:color="000000" w:fill="FFFFFF"/>
            <w:noWrap/>
            <w:vAlign w:val="center"/>
            <w:hideMark/>
          </w:tcPr>
          <w:p w14:paraId="7E56DE8F"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2</w:t>
            </w:r>
          </w:p>
        </w:tc>
        <w:tc>
          <w:tcPr>
            <w:tcW w:w="890" w:type="dxa"/>
            <w:tcBorders>
              <w:top w:val="nil"/>
              <w:left w:val="nil"/>
              <w:bottom w:val="single" w:sz="4" w:space="0" w:color="auto"/>
              <w:right w:val="single" w:sz="4" w:space="0" w:color="auto"/>
            </w:tcBorders>
            <w:shd w:val="clear" w:color="000000" w:fill="FFFFFF"/>
            <w:noWrap/>
            <w:vAlign w:val="center"/>
            <w:hideMark/>
          </w:tcPr>
          <w:p w14:paraId="65A501A4"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50%</w:t>
            </w:r>
          </w:p>
        </w:tc>
        <w:tc>
          <w:tcPr>
            <w:tcW w:w="1060" w:type="dxa"/>
            <w:tcBorders>
              <w:top w:val="nil"/>
              <w:left w:val="nil"/>
              <w:bottom w:val="single" w:sz="4" w:space="0" w:color="auto"/>
              <w:right w:val="single" w:sz="4" w:space="0" w:color="auto"/>
            </w:tcBorders>
            <w:shd w:val="clear" w:color="000000" w:fill="FFFFFF"/>
            <w:noWrap/>
            <w:vAlign w:val="center"/>
            <w:hideMark/>
          </w:tcPr>
          <w:p w14:paraId="063CEDCA"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2</w:t>
            </w:r>
          </w:p>
        </w:tc>
        <w:tc>
          <w:tcPr>
            <w:tcW w:w="1060" w:type="dxa"/>
            <w:tcBorders>
              <w:top w:val="nil"/>
              <w:left w:val="nil"/>
              <w:bottom w:val="single" w:sz="4" w:space="0" w:color="auto"/>
              <w:right w:val="single" w:sz="4" w:space="0" w:color="auto"/>
            </w:tcBorders>
            <w:shd w:val="clear" w:color="000000" w:fill="FFFFFF"/>
            <w:noWrap/>
            <w:vAlign w:val="center"/>
            <w:hideMark/>
          </w:tcPr>
          <w:p w14:paraId="6A7AFF80"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0</w:t>
            </w:r>
          </w:p>
        </w:tc>
        <w:tc>
          <w:tcPr>
            <w:tcW w:w="1060" w:type="dxa"/>
            <w:tcBorders>
              <w:top w:val="nil"/>
              <w:left w:val="nil"/>
              <w:bottom w:val="single" w:sz="4" w:space="0" w:color="auto"/>
              <w:right w:val="single" w:sz="4" w:space="0" w:color="auto"/>
            </w:tcBorders>
            <w:shd w:val="clear" w:color="000000" w:fill="FFFFFF"/>
            <w:noWrap/>
            <w:vAlign w:val="center"/>
            <w:hideMark/>
          </w:tcPr>
          <w:p w14:paraId="0BA8B648"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0%</w:t>
            </w:r>
          </w:p>
        </w:tc>
      </w:tr>
      <w:tr w:rsidR="00BA0D82" w:rsidRPr="0005691D" w14:paraId="01D7D619" w14:textId="77777777" w:rsidTr="001A5653">
        <w:trPr>
          <w:trHeight w:val="300"/>
        </w:trPr>
        <w:tc>
          <w:tcPr>
            <w:tcW w:w="2511" w:type="dxa"/>
            <w:tcBorders>
              <w:top w:val="nil"/>
              <w:left w:val="single" w:sz="4" w:space="0" w:color="auto"/>
              <w:bottom w:val="single" w:sz="4" w:space="0" w:color="auto"/>
              <w:right w:val="single" w:sz="4" w:space="0" w:color="auto"/>
            </w:tcBorders>
            <w:shd w:val="clear" w:color="000000" w:fill="B4C6E7"/>
            <w:noWrap/>
            <w:vAlign w:val="center"/>
            <w:hideMark/>
          </w:tcPr>
          <w:p w14:paraId="70D3B337" w14:textId="77777777" w:rsidR="00BA0D82" w:rsidRPr="0005691D" w:rsidRDefault="00BA0D82" w:rsidP="001A5653">
            <w:pPr>
              <w:spacing w:after="0" w:line="240" w:lineRule="auto"/>
              <w:jc w:val="right"/>
              <w:rPr>
                <w:rFonts w:ascii="Calibri" w:eastAsia="Times New Roman" w:hAnsi="Calibri" w:cs="Calibri"/>
                <w:b/>
                <w:bCs/>
                <w:color w:val="000000"/>
              </w:rPr>
            </w:pPr>
            <w:r w:rsidRPr="0005691D">
              <w:rPr>
                <w:rFonts w:ascii="Calibri" w:eastAsia="Times New Roman" w:hAnsi="Calibri" w:cs="Calibri"/>
                <w:b/>
                <w:bCs/>
                <w:color w:val="000000"/>
              </w:rPr>
              <w:t>Common Performance Measures</w:t>
            </w:r>
          </w:p>
        </w:tc>
        <w:tc>
          <w:tcPr>
            <w:tcW w:w="1167" w:type="dxa"/>
            <w:tcBorders>
              <w:top w:val="nil"/>
              <w:left w:val="nil"/>
              <w:bottom w:val="single" w:sz="4" w:space="0" w:color="auto"/>
              <w:right w:val="single" w:sz="4" w:space="0" w:color="auto"/>
            </w:tcBorders>
            <w:shd w:val="clear" w:color="000000" w:fill="D9E2F3"/>
            <w:noWrap/>
            <w:vAlign w:val="center"/>
            <w:hideMark/>
          </w:tcPr>
          <w:p w14:paraId="048F49E8"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5</w:t>
            </w:r>
          </w:p>
        </w:tc>
        <w:tc>
          <w:tcPr>
            <w:tcW w:w="1256" w:type="dxa"/>
            <w:tcBorders>
              <w:top w:val="nil"/>
              <w:left w:val="nil"/>
              <w:bottom w:val="single" w:sz="4" w:space="0" w:color="auto"/>
              <w:right w:val="single" w:sz="4" w:space="0" w:color="auto"/>
            </w:tcBorders>
            <w:shd w:val="clear" w:color="000000" w:fill="D9E2F3"/>
            <w:noWrap/>
            <w:vAlign w:val="center"/>
            <w:hideMark/>
          </w:tcPr>
          <w:p w14:paraId="081305C1"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60%</w:t>
            </w:r>
          </w:p>
        </w:tc>
        <w:tc>
          <w:tcPr>
            <w:tcW w:w="898" w:type="dxa"/>
            <w:tcBorders>
              <w:top w:val="nil"/>
              <w:left w:val="nil"/>
              <w:bottom w:val="single" w:sz="4" w:space="0" w:color="auto"/>
              <w:right w:val="single" w:sz="4" w:space="0" w:color="auto"/>
            </w:tcBorders>
            <w:shd w:val="clear" w:color="000000" w:fill="D9E2F3"/>
            <w:noWrap/>
            <w:vAlign w:val="center"/>
            <w:hideMark/>
          </w:tcPr>
          <w:p w14:paraId="5CD060A1"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5</w:t>
            </w:r>
          </w:p>
        </w:tc>
        <w:tc>
          <w:tcPr>
            <w:tcW w:w="898" w:type="dxa"/>
            <w:tcBorders>
              <w:top w:val="nil"/>
              <w:left w:val="nil"/>
              <w:bottom w:val="single" w:sz="4" w:space="0" w:color="auto"/>
              <w:right w:val="single" w:sz="4" w:space="0" w:color="auto"/>
            </w:tcBorders>
            <w:shd w:val="clear" w:color="000000" w:fill="D9E2F3"/>
            <w:noWrap/>
            <w:vAlign w:val="center"/>
            <w:hideMark/>
          </w:tcPr>
          <w:p w14:paraId="4117DE13"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2</w:t>
            </w:r>
          </w:p>
        </w:tc>
        <w:tc>
          <w:tcPr>
            <w:tcW w:w="890" w:type="dxa"/>
            <w:tcBorders>
              <w:top w:val="nil"/>
              <w:left w:val="nil"/>
              <w:bottom w:val="single" w:sz="4" w:space="0" w:color="auto"/>
              <w:right w:val="single" w:sz="4" w:space="0" w:color="auto"/>
            </w:tcBorders>
            <w:shd w:val="clear" w:color="000000" w:fill="D9E2F3"/>
            <w:noWrap/>
            <w:vAlign w:val="center"/>
            <w:hideMark/>
          </w:tcPr>
          <w:p w14:paraId="4BAF53B9"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40%</w:t>
            </w:r>
          </w:p>
        </w:tc>
        <w:tc>
          <w:tcPr>
            <w:tcW w:w="1060" w:type="dxa"/>
            <w:tcBorders>
              <w:top w:val="nil"/>
              <w:left w:val="nil"/>
              <w:bottom w:val="single" w:sz="4" w:space="0" w:color="auto"/>
              <w:right w:val="single" w:sz="4" w:space="0" w:color="auto"/>
            </w:tcBorders>
            <w:shd w:val="clear" w:color="000000" w:fill="D9E2F3"/>
            <w:noWrap/>
            <w:vAlign w:val="center"/>
            <w:hideMark/>
          </w:tcPr>
          <w:p w14:paraId="202BAB5D"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w:t>
            </w:r>
          </w:p>
        </w:tc>
        <w:tc>
          <w:tcPr>
            <w:tcW w:w="1060" w:type="dxa"/>
            <w:tcBorders>
              <w:top w:val="nil"/>
              <w:left w:val="nil"/>
              <w:bottom w:val="single" w:sz="4" w:space="0" w:color="auto"/>
              <w:right w:val="single" w:sz="4" w:space="0" w:color="auto"/>
            </w:tcBorders>
            <w:shd w:val="clear" w:color="000000" w:fill="D9E2F3"/>
            <w:noWrap/>
            <w:vAlign w:val="center"/>
            <w:hideMark/>
          </w:tcPr>
          <w:p w14:paraId="4659C961"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w:t>
            </w:r>
          </w:p>
        </w:tc>
        <w:tc>
          <w:tcPr>
            <w:tcW w:w="1060" w:type="dxa"/>
            <w:tcBorders>
              <w:top w:val="nil"/>
              <w:left w:val="nil"/>
              <w:bottom w:val="single" w:sz="4" w:space="0" w:color="auto"/>
              <w:right w:val="single" w:sz="4" w:space="0" w:color="auto"/>
            </w:tcBorders>
            <w:shd w:val="clear" w:color="000000" w:fill="D9E2F3"/>
            <w:noWrap/>
            <w:vAlign w:val="center"/>
            <w:hideMark/>
          </w:tcPr>
          <w:p w14:paraId="7D8F69B9"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100%</w:t>
            </w:r>
          </w:p>
        </w:tc>
      </w:tr>
      <w:tr w:rsidR="00BA0D82" w:rsidRPr="0005691D" w14:paraId="356DA55A" w14:textId="77777777" w:rsidTr="001A5653">
        <w:trPr>
          <w:trHeight w:val="300"/>
        </w:trPr>
        <w:tc>
          <w:tcPr>
            <w:tcW w:w="2511" w:type="dxa"/>
            <w:tcBorders>
              <w:top w:val="nil"/>
              <w:left w:val="single" w:sz="4" w:space="0" w:color="auto"/>
              <w:bottom w:val="single" w:sz="4" w:space="0" w:color="auto"/>
              <w:right w:val="single" w:sz="4" w:space="0" w:color="auto"/>
            </w:tcBorders>
            <w:shd w:val="clear" w:color="000000" w:fill="B4C6E7"/>
            <w:noWrap/>
            <w:vAlign w:val="center"/>
            <w:hideMark/>
          </w:tcPr>
          <w:p w14:paraId="503D222C" w14:textId="77777777" w:rsidR="00BA0D82" w:rsidRPr="0005691D" w:rsidRDefault="00BA0D82" w:rsidP="001A5653">
            <w:pPr>
              <w:spacing w:after="0" w:line="240" w:lineRule="auto"/>
              <w:jc w:val="right"/>
              <w:rPr>
                <w:rFonts w:ascii="Calibri" w:eastAsia="Times New Roman" w:hAnsi="Calibri" w:cs="Calibri"/>
                <w:b/>
                <w:bCs/>
                <w:color w:val="000000"/>
              </w:rPr>
            </w:pPr>
            <w:r w:rsidRPr="0005691D">
              <w:rPr>
                <w:rFonts w:ascii="Calibri" w:eastAsia="Times New Roman" w:hAnsi="Calibri" w:cs="Calibri"/>
                <w:b/>
                <w:bCs/>
                <w:color w:val="000000"/>
              </w:rPr>
              <w:t>Peer Mentoring</w:t>
            </w:r>
          </w:p>
        </w:tc>
        <w:tc>
          <w:tcPr>
            <w:tcW w:w="1167" w:type="dxa"/>
            <w:tcBorders>
              <w:top w:val="nil"/>
              <w:left w:val="nil"/>
              <w:bottom w:val="single" w:sz="4" w:space="0" w:color="auto"/>
              <w:right w:val="single" w:sz="4" w:space="0" w:color="auto"/>
            </w:tcBorders>
            <w:shd w:val="clear" w:color="000000" w:fill="FFFFFF"/>
            <w:noWrap/>
            <w:vAlign w:val="center"/>
            <w:hideMark/>
          </w:tcPr>
          <w:p w14:paraId="5454C874"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2</w:t>
            </w:r>
          </w:p>
        </w:tc>
        <w:tc>
          <w:tcPr>
            <w:tcW w:w="1256" w:type="dxa"/>
            <w:tcBorders>
              <w:top w:val="nil"/>
              <w:left w:val="nil"/>
              <w:bottom w:val="single" w:sz="4" w:space="0" w:color="auto"/>
              <w:right w:val="single" w:sz="4" w:space="0" w:color="auto"/>
            </w:tcBorders>
            <w:shd w:val="clear" w:color="000000" w:fill="FFFFFF"/>
            <w:noWrap/>
            <w:vAlign w:val="center"/>
            <w:hideMark/>
          </w:tcPr>
          <w:p w14:paraId="539AEC25"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100%</w:t>
            </w:r>
          </w:p>
        </w:tc>
        <w:tc>
          <w:tcPr>
            <w:tcW w:w="898" w:type="dxa"/>
            <w:tcBorders>
              <w:top w:val="nil"/>
              <w:left w:val="nil"/>
              <w:bottom w:val="single" w:sz="4" w:space="0" w:color="auto"/>
              <w:right w:val="single" w:sz="4" w:space="0" w:color="auto"/>
            </w:tcBorders>
            <w:shd w:val="clear" w:color="000000" w:fill="FFFFFF"/>
            <w:noWrap/>
            <w:vAlign w:val="center"/>
            <w:hideMark/>
          </w:tcPr>
          <w:p w14:paraId="796237C1"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2</w:t>
            </w:r>
          </w:p>
        </w:tc>
        <w:tc>
          <w:tcPr>
            <w:tcW w:w="898" w:type="dxa"/>
            <w:tcBorders>
              <w:top w:val="nil"/>
              <w:left w:val="nil"/>
              <w:bottom w:val="single" w:sz="4" w:space="0" w:color="auto"/>
              <w:right w:val="single" w:sz="4" w:space="0" w:color="auto"/>
            </w:tcBorders>
            <w:shd w:val="clear" w:color="000000" w:fill="FFFFFF"/>
            <w:noWrap/>
            <w:vAlign w:val="center"/>
            <w:hideMark/>
          </w:tcPr>
          <w:p w14:paraId="4801F208"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2</w:t>
            </w:r>
          </w:p>
        </w:tc>
        <w:tc>
          <w:tcPr>
            <w:tcW w:w="890" w:type="dxa"/>
            <w:tcBorders>
              <w:top w:val="nil"/>
              <w:left w:val="nil"/>
              <w:bottom w:val="single" w:sz="4" w:space="0" w:color="auto"/>
              <w:right w:val="single" w:sz="4" w:space="0" w:color="auto"/>
            </w:tcBorders>
            <w:shd w:val="clear" w:color="000000" w:fill="FFFFFF"/>
            <w:noWrap/>
            <w:vAlign w:val="center"/>
            <w:hideMark/>
          </w:tcPr>
          <w:p w14:paraId="0DAEEDC2"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100%</w:t>
            </w:r>
          </w:p>
        </w:tc>
        <w:tc>
          <w:tcPr>
            <w:tcW w:w="1060" w:type="dxa"/>
            <w:tcBorders>
              <w:top w:val="nil"/>
              <w:left w:val="nil"/>
              <w:bottom w:val="single" w:sz="4" w:space="0" w:color="auto"/>
              <w:right w:val="single" w:sz="4" w:space="0" w:color="auto"/>
            </w:tcBorders>
            <w:shd w:val="clear" w:color="000000" w:fill="FFFFFF"/>
            <w:noWrap/>
            <w:vAlign w:val="center"/>
            <w:hideMark/>
          </w:tcPr>
          <w:p w14:paraId="0AE3DE95"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w:t>
            </w:r>
          </w:p>
        </w:tc>
        <w:tc>
          <w:tcPr>
            <w:tcW w:w="1060" w:type="dxa"/>
            <w:tcBorders>
              <w:top w:val="nil"/>
              <w:left w:val="nil"/>
              <w:bottom w:val="single" w:sz="4" w:space="0" w:color="auto"/>
              <w:right w:val="single" w:sz="4" w:space="0" w:color="auto"/>
            </w:tcBorders>
            <w:shd w:val="clear" w:color="000000" w:fill="FFFFFF"/>
            <w:noWrap/>
            <w:vAlign w:val="center"/>
            <w:hideMark/>
          </w:tcPr>
          <w:p w14:paraId="62DEA8F5"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w:t>
            </w:r>
          </w:p>
        </w:tc>
        <w:tc>
          <w:tcPr>
            <w:tcW w:w="1060" w:type="dxa"/>
            <w:tcBorders>
              <w:top w:val="nil"/>
              <w:left w:val="nil"/>
              <w:bottom w:val="single" w:sz="4" w:space="0" w:color="auto"/>
              <w:right w:val="single" w:sz="4" w:space="0" w:color="auto"/>
            </w:tcBorders>
            <w:shd w:val="clear" w:color="000000" w:fill="FFFFFF"/>
            <w:noWrap/>
            <w:vAlign w:val="center"/>
            <w:hideMark/>
          </w:tcPr>
          <w:p w14:paraId="1304AD00"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100%</w:t>
            </w:r>
          </w:p>
        </w:tc>
      </w:tr>
      <w:tr w:rsidR="00BA0D82" w:rsidRPr="0005691D" w14:paraId="37F124EA" w14:textId="77777777" w:rsidTr="001A5653">
        <w:trPr>
          <w:trHeight w:val="300"/>
        </w:trPr>
        <w:tc>
          <w:tcPr>
            <w:tcW w:w="2511" w:type="dxa"/>
            <w:tcBorders>
              <w:top w:val="nil"/>
              <w:left w:val="single" w:sz="4" w:space="0" w:color="auto"/>
              <w:bottom w:val="single" w:sz="4" w:space="0" w:color="auto"/>
              <w:right w:val="single" w:sz="4" w:space="0" w:color="auto"/>
            </w:tcBorders>
            <w:shd w:val="clear" w:color="000000" w:fill="B4C6E7"/>
            <w:noWrap/>
            <w:vAlign w:val="center"/>
            <w:hideMark/>
          </w:tcPr>
          <w:p w14:paraId="4A6D4B0E" w14:textId="77777777" w:rsidR="00BA0D82" w:rsidRPr="0005691D" w:rsidRDefault="00BA0D82" w:rsidP="001A5653">
            <w:pPr>
              <w:spacing w:after="0" w:line="240" w:lineRule="auto"/>
              <w:jc w:val="right"/>
              <w:rPr>
                <w:rFonts w:ascii="Calibri" w:eastAsia="Times New Roman" w:hAnsi="Calibri" w:cs="Calibri"/>
                <w:b/>
                <w:bCs/>
                <w:color w:val="000000"/>
              </w:rPr>
            </w:pPr>
            <w:r w:rsidRPr="0005691D">
              <w:rPr>
                <w:rFonts w:ascii="Calibri" w:eastAsia="Times New Roman" w:hAnsi="Calibri" w:cs="Calibri"/>
                <w:b/>
                <w:bCs/>
                <w:color w:val="000000"/>
              </w:rPr>
              <w:t>Business Engagement</w:t>
            </w:r>
          </w:p>
        </w:tc>
        <w:tc>
          <w:tcPr>
            <w:tcW w:w="1167" w:type="dxa"/>
            <w:tcBorders>
              <w:top w:val="nil"/>
              <w:left w:val="nil"/>
              <w:bottom w:val="single" w:sz="4" w:space="0" w:color="auto"/>
              <w:right w:val="single" w:sz="4" w:space="0" w:color="auto"/>
            </w:tcBorders>
            <w:shd w:val="clear" w:color="000000" w:fill="D9E2F3"/>
            <w:noWrap/>
            <w:vAlign w:val="center"/>
            <w:hideMark/>
          </w:tcPr>
          <w:p w14:paraId="5DE53E5D"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2</w:t>
            </w:r>
          </w:p>
        </w:tc>
        <w:tc>
          <w:tcPr>
            <w:tcW w:w="1256" w:type="dxa"/>
            <w:tcBorders>
              <w:top w:val="nil"/>
              <w:left w:val="nil"/>
              <w:bottom w:val="single" w:sz="4" w:space="0" w:color="auto"/>
              <w:right w:val="single" w:sz="4" w:space="0" w:color="auto"/>
            </w:tcBorders>
            <w:shd w:val="clear" w:color="000000" w:fill="D9E2F3"/>
            <w:noWrap/>
            <w:vAlign w:val="center"/>
            <w:hideMark/>
          </w:tcPr>
          <w:p w14:paraId="3E964D4D"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63%</w:t>
            </w:r>
          </w:p>
        </w:tc>
        <w:tc>
          <w:tcPr>
            <w:tcW w:w="898" w:type="dxa"/>
            <w:tcBorders>
              <w:top w:val="nil"/>
              <w:left w:val="nil"/>
              <w:bottom w:val="single" w:sz="4" w:space="0" w:color="auto"/>
              <w:right w:val="single" w:sz="4" w:space="0" w:color="auto"/>
            </w:tcBorders>
            <w:shd w:val="clear" w:color="000000" w:fill="D9E2F3"/>
            <w:noWrap/>
            <w:vAlign w:val="center"/>
            <w:hideMark/>
          </w:tcPr>
          <w:p w14:paraId="272062CF"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2</w:t>
            </w:r>
          </w:p>
        </w:tc>
        <w:tc>
          <w:tcPr>
            <w:tcW w:w="898" w:type="dxa"/>
            <w:tcBorders>
              <w:top w:val="nil"/>
              <w:left w:val="nil"/>
              <w:bottom w:val="single" w:sz="4" w:space="0" w:color="auto"/>
              <w:right w:val="single" w:sz="4" w:space="0" w:color="auto"/>
            </w:tcBorders>
            <w:shd w:val="clear" w:color="000000" w:fill="D9E2F3"/>
            <w:noWrap/>
            <w:vAlign w:val="center"/>
            <w:hideMark/>
          </w:tcPr>
          <w:p w14:paraId="207B5EE4"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0</w:t>
            </w:r>
          </w:p>
        </w:tc>
        <w:tc>
          <w:tcPr>
            <w:tcW w:w="890" w:type="dxa"/>
            <w:tcBorders>
              <w:top w:val="nil"/>
              <w:left w:val="nil"/>
              <w:bottom w:val="single" w:sz="4" w:space="0" w:color="auto"/>
              <w:right w:val="single" w:sz="4" w:space="0" w:color="auto"/>
            </w:tcBorders>
            <w:shd w:val="clear" w:color="000000" w:fill="D9E2F3"/>
            <w:noWrap/>
            <w:vAlign w:val="center"/>
            <w:hideMark/>
          </w:tcPr>
          <w:p w14:paraId="37F41371"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0%</w:t>
            </w:r>
          </w:p>
        </w:tc>
        <w:tc>
          <w:tcPr>
            <w:tcW w:w="1060" w:type="dxa"/>
            <w:tcBorders>
              <w:top w:val="nil"/>
              <w:left w:val="nil"/>
              <w:bottom w:val="single" w:sz="4" w:space="0" w:color="auto"/>
              <w:right w:val="single" w:sz="4" w:space="0" w:color="auto"/>
            </w:tcBorders>
            <w:shd w:val="clear" w:color="000000" w:fill="D9E2F3"/>
            <w:noWrap/>
            <w:vAlign w:val="center"/>
            <w:hideMark/>
          </w:tcPr>
          <w:p w14:paraId="299A9BE3"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w:t>
            </w:r>
          </w:p>
        </w:tc>
        <w:tc>
          <w:tcPr>
            <w:tcW w:w="1060" w:type="dxa"/>
            <w:tcBorders>
              <w:top w:val="nil"/>
              <w:left w:val="nil"/>
              <w:bottom w:val="single" w:sz="4" w:space="0" w:color="auto"/>
              <w:right w:val="single" w:sz="4" w:space="0" w:color="auto"/>
            </w:tcBorders>
            <w:shd w:val="clear" w:color="000000" w:fill="D9E2F3"/>
            <w:noWrap/>
            <w:vAlign w:val="center"/>
            <w:hideMark/>
          </w:tcPr>
          <w:p w14:paraId="2B5B1208"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0</w:t>
            </w:r>
          </w:p>
        </w:tc>
        <w:tc>
          <w:tcPr>
            <w:tcW w:w="1060" w:type="dxa"/>
            <w:tcBorders>
              <w:top w:val="nil"/>
              <w:left w:val="nil"/>
              <w:bottom w:val="single" w:sz="4" w:space="0" w:color="auto"/>
              <w:right w:val="single" w:sz="4" w:space="0" w:color="auto"/>
            </w:tcBorders>
            <w:shd w:val="clear" w:color="000000" w:fill="D9E2F3"/>
            <w:noWrap/>
            <w:vAlign w:val="center"/>
            <w:hideMark/>
          </w:tcPr>
          <w:p w14:paraId="5FCF8A15"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0%</w:t>
            </w:r>
          </w:p>
        </w:tc>
      </w:tr>
      <w:tr w:rsidR="00BA0D82" w:rsidRPr="0005691D" w14:paraId="67153B8A" w14:textId="77777777" w:rsidTr="001A5653">
        <w:trPr>
          <w:trHeight w:val="300"/>
        </w:trPr>
        <w:tc>
          <w:tcPr>
            <w:tcW w:w="2511" w:type="dxa"/>
            <w:tcBorders>
              <w:top w:val="nil"/>
              <w:left w:val="single" w:sz="4" w:space="0" w:color="auto"/>
              <w:bottom w:val="single" w:sz="4" w:space="0" w:color="auto"/>
              <w:right w:val="single" w:sz="4" w:space="0" w:color="auto"/>
            </w:tcBorders>
            <w:shd w:val="clear" w:color="000000" w:fill="B4C6E7"/>
            <w:noWrap/>
            <w:vAlign w:val="center"/>
            <w:hideMark/>
          </w:tcPr>
          <w:p w14:paraId="39220451" w14:textId="77777777" w:rsidR="00BA0D82" w:rsidRPr="0005691D" w:rsidRDefault="00BA0D82" w:rsidP="001A5653">
            <w:pPr>
              <w:spacing w:after="0" w:line="240" w:lineRule="auto"/>
              <w:jc w:val="right"/>
              <w:rPr>
                <w:rFonts w:ascii="Calibri" w:eastAsia="Times New Roman" w:hAnsi="Calibri" w:cs="Calibri"/>
                <w:b/>
                <w:bCs/>
                <w:color w:val="000000"/>
              </w:rPr>
            </w:pPr>
            <w:r w:rsidRPr="0005691D">
              <w:rPr>
                <w:rFonts w:ascii="Calibri" w:eastAsia="Times New Roman" w:hAnsi="Calibri" w:cs="Calibri"/>
                <w:b/>
                <w:bCs/>
                <w:color w:val="000000"/>
              </w:rPr>
              <w:t>SARA</w:t>
            </w:r>
          </w:p>
        </w:tc>
        <w:tc>
          <w:tcPr>
            <w:tcW w:w="1167" w:type="dxa"/>
            <w:tcBorders>
              <w:top w:val="nil"/>
              <w:left w:val="nil"/>
              <w:bottom w:val="single" w:sz="4" w:space="0" w:color="auto"/>
              <w:right w:val="single" w:sz="4" w:space="0" w:color="auto"/>
            </w:tcBorders>
            <w:shd w:val="clear" w:color="000000" w:fill="FFFFFF"/>
            <w:noWrap/>
            <w:vAlign w:val="center"/>
            <w:hideMark/>
          </w:tcPr>
          <w:p w14:paraId="690C7310"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7</w:t>
            </w:r>
          </w:p>
        </w:tc>
        <w:tc>
          <w:tcPr>
            <w:tcW w:w="1256" w:type="dxa"/>
            <w:tcBorders>
              <w:top w:val="nil"/>
              <w:left w:val="nil"/>
              <w:bottom w:val="single" w:sz="4" w:space="0" w:color="auto"/>
              <w:right w:val="single" w:sz="4" w:space="0" w:color="auto"/>
            </w:tcBorders>
            <w:shd w:val="clear" w:color="000000" w:fill="FFFFFF"/>
            <w:noWrap/>
            <w:vAlign w:val="center"/>
            <w:hideMark/>
          </w:tcPr>
          <w:p w14:paraId="1DA70C46"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100%</w:t>
            </w:r>
          </w:p>
        </w:tc>
        <w:tc>
          <w:tcPr>
            <w:tcW w:w="898" w:type="dxa"/>
            <w:tcBorders>
              <w:top w:val="nil"/>
              <w:left w:val="nil"/>
              <w:bottom w:val="single" w:sz="4" w:space="0" w:color="auto"/>
              <w:right w:val="single" w:sz="4" w:space="0" w:color="auto"/>
            </w:tcBorders>
            <w:shd w:val="clear" w:color="000000" w:fill="FFFFFF"/>
            <w:noWrap/>
            <w:vAlign w:val="center"/>
            <w:hideMark/>
          </w:tcPr>
          <w:p w14:paraId="2C8E9CA4"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7</w:t>
            </w:r>
          </w:p>
        </w:tc>
        <w:tc>
          <w:tcPr>
            <w:tcW w:w="898" w:type="dxa"/>
            <w:tcBorders>
              <w:top w:val="nil"/>
              <w:left w:val="nil"/>
              <w:bottom w:val="single" w:sz="4" w:space="0" w:color="auto"/>
              <w:right w:val="single" w:sz="4" w:space="0" w:color="auto"/>
            </w:tcBorders>
            <w:shd w:val="clear" w:color="000000" w:fill="FFFFFF"/>
            <w:noWrap/>
            <w:vAlign w:val="center"/>
            <w:hideMark/>
          </w:tcPr>
          <w:p w14:paraId="761C16CB"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7</w:t>
            </w:r>
          </w:p>
        </w:tc>
        <w:tc>
          <w:tcPr>
            <w:tcW w:w="890" w:type="dxa"/>
            <w:tcBorders>
              <w:top w:val="nil"/>
              <w:left w:val="nil"/>
              <w:bottom w:val="single" w:sz="4" w:space="0" w:color="auto"/>
              <w:right w:val="single" w:sz="4" w:space="0" w:color="auto"/>
            </w:tcBorders>
            <w:shd w:val="clear" w:color="000000" w:fill="FFFFFF"/>
            <w:noWrap/>
            <w:vAlign w:val="center"/>
            <w:hideMark/>
          </w:tcPr>
          <w:p w14:paraId="2EA35412"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100%</w:t>
            </w:r>
          </w:p>
        </w:tc>
        <w:tc>
          <w:tcPr>
            <w:tcW w:w="1060" w:type="dxa"/>
            <w:tcBorders>
              <w:top w:val="nil"/>
              <w:left w:val="nil"/>
              <w:bottom w:val="single" w:sz="4" w:space="0" w:color="auto"/>
              <w:right w:val="single" w:sz="4" w:space="0" w:color="auto"/>
            </w:tcBorders>
            <w:shd w:val="clear" w:color="000000" w:fill="FFFFFF"/>
            <w:noWrap/>
            <w:vAlign w:val="center"/>
            <w:hideMark/>
          </w:tcPr>
          <w:p w14:paraId="4ADD06C9"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7</w:t>
            </w:r>
          </w:p>
        </w:tc>
        <w:tc>
          <w:tcPr>
            <w:tcW w:w="1060" w:type="dxa"/>
            <w:tcBorders>
              <w:top w:val="nil"/>
              <w:left w:val="nil"/>
              <w:bottom w:val="single" w:sz="4" w:space="0" w:color="auto"/>
              <w:right w:val="single" w:sz="4" w:space="0" w:color="auto"/>
            </w:tcBorders>
            <w:shd w:val="clear" w:color="000000" w:fill="FFFFFF"/>
            <w:noWrap/>
            <w:vAlign w:val="center"/>
            <w:hideMark/>
          </w:tcPr>
          <w:p w14:paraId="1C5A3B77"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7</w:t>
            </w:r>
          </w:p>
        </w:tc>
        <w:tc>
          <w:tcPr>
            <w:tcW w:w="1060" w:type="dxa"/>
            <w:tcBorders>
              <w:top w:val="nil"/>
              <w:left w:val="nil"/>
              <w:bottom w:val="single" w:sz="4" w:space="0" w:color="auto"/>
              <w:right w:val="single" w:sz="4" w:space="0" w:color="auto"/>
            </w:tcBorders>
            <w:shd w:val="clear" w:color="000000" w:fill="FFFFFF"/>
            <w:noWrap/>
            <w:vAlign w:val="center"/>
            <w:hideMark/>
          </w:tcPr>
          <w:p w14:paraId="4CA81407"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100%</w:t>
            </w:r>
          </w:p>
        </w:tc>
      </w:tr>
      <w:tr w:rsidR="00BA0D82" w:rsidRPr="0005691D" w14:paraId="04AB5172" w14:textId="77777777" w:rsidTr="001A5653">
        <w:trPr>
          <w:trHeight w:val="300"/>
        </w:trPr>
        <w:tc>
          <w:tcPr>
            <w:tcW w:w="2511" w:type="dxa"/>
            <w:tcBorders>
              <w:top w:val="nil"/>
              <w:left w:val="single" w:sz="4" w:space="0" w:color="auto"/>
              <w:bottom w:val="single" w:sz="4" w:space="0" w:color="auto"/>
              <w:right w:val="single" w:sz="4" w:space="0" w:color="auto"/>
            </w:tcBorders>
            <w:shd w:val="clear" w:color="000000" w:fill="B4C6E7"/>
            <w:noWrap/>
            <w:vAlign w:val="center"/>
            <w:hideMark/>
          </w:tcPr>
          <w:p w14:paraId="349A05A9" w14:textId="77777777" w:rsidR="00BA0D82" w:rsidRPr="0005691D" w:rsidRDefault="00BA0D82" w:rsidP="001A5653">
            <w:pPr>
              <w:spacing w:after="0" w:line="240" w:lineRule="auto"/>
              <w:jc w:val="right"/>
              <w:rPr>
                <w:rFonts w:ascii="Calibri" w:eastAsia="Times New Roman" w:hAnsi="Calibri" w:cs="Calibri"/>
                <w:b/>
                <w:bCs/>
                <w:color w:val="000000"/>
              </w:rPr>
            </w:pPr>
            <w:r w:rsidRPr="0005691D">
              <w:rPr>
                <w:rFonts w:ascii="Calibri" w:eastAsia="Times New Roman" w:hAnsi="Calibri" w:cs="Calibri"/>
                <w:b/>
                <w:bCs/>
                <w:color w:val="000000"/>
              </w:rPr>
              <w:t>Apprenticeships</w:t>
            </w:r>
          </w:p>
        </w:tc>
        <w:tc>
          <w:tcPr>
            <w:tcW w:w="1167" w:type="dxa"/>
            <w:tcBorders>
              <w:top w:val="nil"/>
              <w:left w:val="nil"/>
              <w:bottom w:val="single" w:sz="4" w:space="0" w:color="auto"/>
              <w:right w:val="single" w:sz="4" w:space="0" w:color="auto"/>
            </w:tcBorders>
            <w:shd w:val="clear" w:color="000000" w:fill="D9E2F3"/>
            <w:noWrap/>
            <w:vAlign w:val="center"/>
            <w:hideMark/>
          </w:tcPr>
          <w:p w14:paraId="13D7E6C9"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w:t>
            </w:r>
          </w:p>
        </w:tc>
        <w:tc>
          <w:tcPr>
            <w:tcW w:w="1256" w:type="dxa"/>
            <w:tcBorders>
              <w:top w:val="nil"/>
              <w:left w:val="nil"/>
              <w:bottom w:val="single" w:sz="4" w:space="0" w:color="auto"/>
              <w:right w:val="single" w:sz="4" w:space="0" w:color="auto"/>
            </w:tcBorders>
            <w:shd w:val="clear" w:color="000000" w:fill="D9E2F3"/>
            <w:noWrap/>
            <w:vAlign w:val="center"/>
            <w:hideMark/>
          </w:tcPr>
          <w:p w14:paraId="5CBD5DF2"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75%</w:t>
            </w:r>
          </w:p>
        </w:tc>
        <w:tc>
          <w:tcPr>
            <w:tcW w:w="898" w:type="dxa"/>
            <w:tcBorders>
              <w:top w:val="nil"/>
              <w:left w:val="nil"/>
              <w:bottom w:val="single" w:sz="4" w:space="0" w:color="auto"/>
              <w:right w:val="single" w:sz="4" w:space="0" w:color="auto"/>
            </w:tcBorders>
            <w:shd w:val="clear" w:color="000000" w:fill="D9E2F3"/>
            <w:noWrap/>
            <w:vAlign w:val="center"/>
            <w:hideMark/>
          </w:tcPr>
          <w:p w14:paraId="67C9FE34"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w:t>
            </w:r>
          </w:p>
        </w:tc>
        <w:tc>
          <w:tcPr>
            <w:tcW w:w="898" w:type="dxa"/>
            <w:tcBorders>
              <w:top w:val="nil"/>
              <w:left w:val="nil"/>
              <w:bottom w:val="single" w:sz="4" w:space="0" w:color="auto"/>
              <w:right w:val="single" w:sz="4" w:space="0" w:color="auto"/>
            </w:tcBorders>
            <w:shd w:val="clear" w:color="000000" w:fill="D9E2F3"/>
            <w:noWrap/>
            <w:vAlign w:val="center"/>
            <w:hideMark/>
          </w:tcPr>
          <w:p w14:paraId="4B2A034E"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0</w:t>
            </w:r>
          </w:p>
        </w:tc>
        <w:tc>
          <w:tcPr>
            <w:tcW w:w="890" w:type="dxa"/>
            <w:tcBorders>
              <w:top w:val="nil"/>
              <w:left w:val="nil"/>
              <w:bottom w:val="single" w:sz="4" w:space="0" w:color="auto"/>
              <w:right w:val="single" w:sz="4" w:space="0" w:color="auto"/>
            </w:tcBorders>
            <w:shd w:val="clear" w:color="000000" w:fill="D9E2F3"/>
            <w:noWrap/>
            <w:vAlign w:val="center"/>
            <w:hideMark/>
          </w:tcPr>
          <w:p w14:paraId="25CDAF30"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0%</w:t>
            </w:r>
          </w:p>
        </w:tc>
        <w:tc>
          <w:tcPr>
            <w:tcW w:w="1060" w:type="dxa"/>
            <w:tcBorders>
              <w:top w:val="nil"/>
              <w:left w:val="nil"/>
              <w:bottom w:val="single" w:sz="4" w:space="0" w:color="auto"/>
              <w:right w:val="single" w:sz="4" w:space="0" w:color="auto"/>
            </w:tcBorders>
            <w:shd w:val="clear" w:color="000000" w:fill="D9E2F3"/>
            <w:noWrap/>
            <w:vAlign w:val="center"/>
            <w:hideMark/>
          </w:tcPr>
          <w:p w14:paraId="5EC694D6"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w:t>
            </w:r>
          </w:p>
        </w:tc>
        <w:tc>
          <w:tcPr>
            <w:tcW w:w="1060" w:type="dxa"/>
            <w:tcBorders>
              <w:top w:val="nil"/>
              <w:left w:val="nil"/>
              <w:bottom w:val="single" w:sz="4" w:space="0" w:color="auto"/>
              <w:right w:val="single" w:sz="4" w:space="0" w:color="auto"/>
            </w:tcBorders>
            <w:shd w:val="clear" w:color="000000" w:fill="D9E2F3"/>
            <w:noWrap/>
            <w:vAlign w:val="center"/>
            <w:hideMark/>
          </w:tcPr>
          <w:p w14:paraId="0348ABC4"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0</w:t>
            </w:r>
          </w:p>
        </w:tc>
        <w:tc>
          <w:tcPr>
            <w:tcW w:w="1060" w:type="dxa"/>
            <w:tcBorders>
              <w:top w:val="nil"/>
              <w:left w:val="nil"/>
              <w:bottom w:val="single" w:sz="4" w:space="0" w:color="auto"/>
              <w:right w:val="single" w:sz="4" w:space="0" w:color="auto"/>
            </w:tcBorders>
            <w:shd w:val="clear" w:color="000000" w:fill="D9E2F3"/>
            <w:noWrap/>
            <w:vAlign w:val="center"/>
            <w:hideMark/>
          </w:tcPr>
          <w:p w14:paraId="15F21F66"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0%</w:t>
            </w:r>
          </w:p>
        </w:tc>
      </w:tr>
      <w:tr w:rsidR="00BA0D82" w:rsidRPr="0005691D" w14:paraId="61DFEF15" w14:textId="77777777" w:rsidTr="001A5653">
        <w:trPr>
          <w:trHeight w:val="300"/>
        </w:trPr>
        <w:tc>
          <w:tcPr>
            <w:tcW w:w="2511" w:type="dxa"/>
            <w:tcBorders>
              <w:top w:val="nil"/>
              <w:left w:val="single" w:sz="4" w:space="0" w:color="auto"/>
              <w:bottom w:val="single" w:sz="4" w:space="0" w:color="auto"/>
              <w:right w:val="single" w:sz="4" w:space="0" w:color="auto"/>
            </w:tcBorders>
            <w:shd w:val="clear" w:color="000000" w:fill="B4C6E7"/>
            <w:noWrap/>
            <w:vAlign w:val="center"/>
            <w:hideMark/>
          </w:tcPr>
          <w:p w14:paraId="3B602E2C" w14:textId="77777777" w:rsidR="00BA0D82" w:rsidRPr="0005691D" w:rsidRDefault="00BA0D82" w:rsidP="001A5653">
            <w:pPr>
              <w:spacing w:after="0" w:line="240" w:lineRule="auto"/>
              <w:jc w:val="right"/>
              <w:rPr>
                <w:rFonts w:ascii="Calibri" w:eastAsia="Times New Roman" w:hAnsi="Calibri" w:cs="Calibri"/>
                <w:b/>
                <w:bCs/>
                <w:color w:val="000000"/>
              </w:rPr>
            </w:pPr>
            <w:r w:rsidRPr="0005691D">
              <w:rPr>
                <w:rFonts w:ascii="Calibri" w:eastAsia="Times New Roman" w:hAnsi="Calibri" w:cs="Calibri"/>
                <w:b/>
                <w:bCs/>
                <w:color w:val="000000"/>
              </w:rPr>
              <w:t>Supported Employment</w:t>
            </w:r>
          </w:p>
        </w:tc>
        <w:tc>
          <w:tcPr>
            <w:tcW w:w="1167" w:type="dxa"/>
            <w:tcBorders>
              <w:top w:val="nil"/>
              <w:left w:val="nil"/>
              <w:bottom w:val="single" w:sz="4" w:space="0" w:color="auto"/>
              <w:right w:val="single" w:sz="4" w:space="0" w:color="auto"/>
            </w:tcBorders>
            <w:shd w:val="clear" w:color="000000" w:fill="FFFFFF"/>
            <w:noWrap/>
            <w:vAlign w:val="center"/>
            <w:hideMark/>
          </w:tcPr>
          <w:p w14:paraId="73D82AD1"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w:t>
            </w:r>
          </w:p>
        </w:tc>
        <w:tc>
          <w:tcPr>
            <w:tcW w:w="1256" w:type="dxa"/>
            <w:tcBorders>
              <w:top w:val="nil"/>
              <w:left w:val="nil"/>
              <w:bottom w:val="single" w:sz="4" w:space="0" w:color="auto"/>
              <w:right w:val="single" w:sz="4" w:space="0" w:color="auto"/>
            </w:tcBorders>
            <w:shd w:val="clear" w:color="000000" w:fill="FFFFFF"/>
            <w:noWrap/>
            <w:vAlign w:val="center"/>
            <w:hideMark/>
          </w:tcPr>
          <w:p w14:paraId="46EF9627"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25%</w:t>
            </w:r>
          </w:p>
        </w:tc>
        <w:tc>
          <w:tcPr>
            <w:tcW w:w="898" w:type="dxa"/>
            <w:tcBorders>
              <w:top w:val="nil"/>
              <w:left w:val="nil"/>
              <w:bottom w:val="single" w:sz="4" w:space="0" w:color="auto"/>
              <w:right w:val="single" w:sz="4" w:space="0" w:color="auto"/>
            </w:tcBorders>
            <w:shd w:val="clear" w:color="000000" w:fill="FFFFFF"/>
            <w:noWrap/>
            <w:vAlign w:val="center"/>
            <w:hideMark/>
          </w:tcPr>
          <w:p w14:paraId="70602451"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w:t>
            </w:r>
          </w:p>
        </w:tc>
        <w:tc>
          <w:tcPr>
            <w:tcW w:w="898" w:type="dxa"/>
            <w:tcBorders>
              <w:top w:val="nil"/>
              <w:left w:val="nil"/>
              <w:bottom w:val="single" w:sz="4" w:space="0" w:color="auto"/>
              <w:right w:val="single" w:sz="4" w:space="0" w:color="auto"/>
            </w:tcBorders>
            <w:shd w:val="clear" w:color="000000" w:fill="FFFFFF"/>
            <w:noWrap/>
            <w:vAlign w:val="center"/>
            <w:hideMark/>
          </w:tcPr>
          <w:p w14:paraId="335E2293"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0</w:t>
            </w:r>
          </w:p>
        </w:tc>
        <w:tc>
          <w:tcPr>
            <w:tcW w:w="890" w:type="dxa"/>
            <w:tcBorders>
              <w:top w:val="nil"/>
              <w:left w:val="nil"/>
              <w:bottom w:val="single" w:sz="4" w:space="0" w:color="auto"/>
              <w:right w:val="single" w:sz="4" w:space="0" w:color="auto"/>
            </w:tcBorders>
            <w:shd w:val="clear" w:color="000000" w:fill="FFFFFF"/>
            <w:noWrap/>
            <w:vAlign w:val="center"/>
            <w:hideMark/>
          </w:tcPr>
          <w:p w14:paraId="3D6131A7"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0%</w:t>
            </w:r>
          </w:p>
        </w:tc>
        <w:tc>
          <w:tcPr>
            <w:tcW w:w="1060" w:type="dxa"/>
            <w:tcBorders>
              <w:top w:val="nil"/>
              <w:left w:val="nil"/>
              <w:bottom w:val="single" w:sz="4" w:space="0" w:color="auto"/>
              <w:right w:val="single" w:sz="4" w:space="0" w:color="auto"/>
            </w:tcBorders>
            <w:shd w:val="clear" w:color="000000" w:fill="FFFFFF"/>
            <w:noWrap/>
            <w:vAlign w:val="center"/>
            <w:hideMark/>
          </w:tcPr>
          <w:p w14:paraId="54BA9BC0"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w:t>
            </w:r>
          </w:p>
        </w:tc>
        <w:tc>
          <w:tcPr>
            <w:tcW w:w="1060" w:type="dxa"/>
            <w:tcBorders>
              <w:top w:val="nil"/>
              <w:left w:val="nil"/>
              <w:bottom w:val="single" w:sz="4" w:space="0" w:color="auto"/>
              <w:right w:val="single" w:sz="4" w:space="0" w:color="auto"/>
            </w:tcBorders>
            <w:shd w:val="clear" w:color="000000" w:fill="FFFFFF"/>
            <w:noWrap/>
            <w:vAlign w:val="center"/>
            <w:hideMark/>
          </w:tcPr>
          <w:p w14:paraId="15F5E48D"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0</w:t>
            </w:r>
          </w:p>
        </w:tc>
        <w:tc>
          <w:tcPr>
            <w:tcW w:w="1060" w:type="dxa"/>
            <w:tcBorders>
              <w:top w:val="nil"/>
              <w:left w:val="nil"/>
              <w:bottom w:val="single" w:sz="4" w:space="0" w:color="auto"/>
              <w:right w:val="single" w:sz="4" w:space="0" w:color="auto"/>
            </w:tcBorders>
            <w:shd w:val="clear" w:color="000000" w:fill="FFFFFF"/>
            <w:noWrap/>
            <w:vAlign w:val="center"/>
            <w:hideMark/>
          </w:tcPr>
          <w:p w14:paraId="154DB9DC"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0%</w:t>
            </w:r>
          </w:p>
        </w:tc>
      </w:tr>
      <w:tr w:rsidR="00BA0D82" w:rsidRPr="0005691D" w14:paraId="3A9BDA7C" w14:textId="77777777" w:rsidTr="001A5653">
        <w:trPr>
          <w:trHeight w:val="300"/>
        </w:trPr>
        <w:tc>
          <w:tcPr>
            <w:tcW w:w="2511" w:type="dxa"/>
            <w:tcBorders>
              <w:top w:val="nil"/>
              <w:left w:val="nil"/>
              <w:bottom w:val="nil"/>
              <w:right w:val="nil"/>
            </w:tcBorders>
            <w:shd w:val="clear" w:color="auto" w:fill="auto"/>
            <w:noWrap/>
            <w:vAlign w:val="bottom"/>
            <w:hideMark/>
          </w:tcPr>
          <w:p w14:paraId="66E3E160" w14:textId="77777777" w:rsidR="00BA0D82" w:rsidRPr="0005691D" w:rsidRDefault="00BA0D82" w:rsidP="001A5653">
            <w:pPr>
              <w:spacing w:after="0" w:line="240" w:lineRule="auto"/>
              <w:jc w:val="center"/>
              <w:rPr>
                <w:rFonts w:ascii="Calibri" w:eastAsia="Times New Roman" w:hAnsi="Calibri" w:cs="Calibri"/>
                <w:color w:val="000000"/>
              </w:rPr>
            </w:pPr>
          </w:p>
        </w:tc>
        <w:tc>
          <w:tcPr>
            <w:tcW w:w="1167" w:type="dxa"/>
            <w:tcBorders>
              <w:top w:val="nil"/>
              <w:left w:val="nil"/>
              <w:bottom w:val="nil"/>
              <w:right w:val="nil"/>
            </w:tcBorders>
            <w:shd w:val="clear" w:color="auto" w:fill="auto"/>
            <w:noWrap/>
            <w:vAlign w:val="center"/>
            <w:hideMark/>
          </w:tcPr>
          <w:p w14:paraId="4F4A1D87" w14:textId="77777777" w:rsidR="00BA0D82" w:rsidRPr="0005691D" w:rsidRDefault="00BA0D82" w:rsidP="001A5653">
            <w:pPr>
              <w:spacing w:after="0" w:line="240" w:lineRule="auto"/>
              <w:rPr>
                <w:rFonts w:ascii="Times New Roman" w:eastAsia="Times New Roman" w:hAnsi="Times New Roman" w:cs="Times New Roman"/>
                <w:sz w:val="20"/>
                <w:szCs w:val="20"/>
              </w:rPr>
            </w:pPr>
          </w:p>
        </w:tc>
        <w:tc>
          <w:tcPr>
            <w:tcW w:w="1256" w:type="dxa"/>
            <w:tcBorders>
              <w:top w:val="nil"/>
              <w:left w:val="nil"/>
              <w:bottom w:val="nil"/>
              <w:right w:val="nil"/>
            </w:tcBorders>
            <w:shd w:val="clear" w:color="auto" w:fill="auto"/>
            <w:noWrap/>
            <w:vAlign w:val="center"/>
            <w:hideMark/>
          </w:tcPr>
          <w:p w14:paraId="695BB555"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c>
          <w:tcPr>
            <w:tcW w:w="898" w:type="dxa"/>
            <w:tcBorders>
              <w:top w:val="nil"/>
              <w:left w:val="nil"/>
              <w:bottom w:val="nil"/>
              <w:right w:val="nil"/>
            </w:tcBorders>
            <w:shd w:val="clear" w:color="auto" w:fill="auto"/>
            <w:noWrap/>
            <w:vAlign w:val="center"/>
            <w:hideMark/>
          </w:tcPr>
          <w:p w14:paraId="7E48704A"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c>
          <w:tcPr>
            <w:tcW w:w="898" w:type="dxa"/>
            <w:tcBorders>
              <w:top w:val="nil"/>
              <w:left w:val="nil"/>
              <w:bottom w:val="nil"/>
              <w:right w:val="nil"/>
            </w:tcBorders>
            <w:shd w:val="clear" w:color="auto" w:fill="auto"/>
            <w:noWrap/>
            <w:vAlign w:val="center"/>
            <w:hideMark/>
          </w:tcPr>
          <w:p w14:paraId="3C08D519"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c>
          <w:tcPr>
            <w:tcW w:w="890" w:type="dxa"/>
            <w:tcBorders>
              <w:top w:val="nil"/>
              <w:left w:val="nil"/>
              <w:bottom w:val="nil"/>
              <w:right w:val="nil"/>
            </w:tcBorders>
            <w:shd w:val="clear" w:color="auto" w:fill="auto"/>
            <w:noWrap/>
            <w:vAlign w:val="center"/>
            <w:hideMark/>
          </w:tcPr>
          <w:p w14:paraId="39E3F0A1"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c>
          <w:tcPr>
            <w:tcW w:w="1060" w:type="dxa"/>
            <w:tcBorders>
              <w:top w:val="nil"/>
              <w:left w:val="nil"/>
              <w:bottom w:val="nil"/>
              <w:right w:val="nil"/>
            </w:tcBorders>
            <w:shd w:val="clear" w:color="auto" w:fill="auto"/>
            <w:noWrap/>
            <w:vAlign w:val="center"/>
            <w:hideMark/>
          </w:tcPr>
          <w:p w14:paraId="78933471"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c>
          <w:tcPr>
            <w:tcW w:w="1060" w:type="dxa"/>
            <w:tcBorders>
              <w:top w:val="nil"/>
              <w:left w:val="nil"/>
              <w:bottom w:val="nil"/>
              <w:right w:val="nil"/>
            </w:tcBorders>
            <w:shd w:val="clear" w:color="auto" w:fill="auto"/>
            <w:noWrap/>
            <w:vAlign w:val="center"/>
            <w:hideMark/>
          </w:tcPr>
          <w:p w14:paraId="424FB8BB"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c>
          <w:tcPr>
            <w:tcW w:w="1060" w:type="dxa"/>
            <w:tcBorders>
              <w:top w:val="nil"/>
              <w:left w:val="nil"/>
              <w:bottom w:val="nil"/>
              <w:right w:val="nil"/>
            </w:tcBorders>
            <w:shd w:val="clear" w:color="auto" w:fill="auto"/>
            <w:noWrap/>
            <w:vAlign w:val="center"/>
            <w:hideMark/>
          </w:tcPr>
          <w:p w14:paraId="076EA425"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r>
    </w:tbl>
    <w:p w14:paraId="0819A5FC" w14:textId="77777777" w:rsidR="00BA0D82" w:rsidRDefault="00BA0D82" w:rsidP="00BA0D82">
      <w:bookmarkStart w:id="183" w:name="_Toc27143181"/>
      <w:r>
        <w:rPr>
          <w:b/>
        </w:rPr>
        <w:br w:type="page"/>
      </w:r>
    </w:p>
    <w:tbl>
      <w:tblPr>
        <w:tblW w:w="10800" w:type="dxa"/>
        <w:tblLook w:val="04A0" w:firstRow="1" w:lastRow="0" w:firstColumn="1" w:lastColumn="0" w:noHBand="0" w:noVBand="1"/>
      </w:tblPr>
      <w:tblGrid>
        <w:gridCol w:w="2506"/>
        <w:gridCol w:w="1165"/>
        <w:gridCol w:w="1254"/>
        <w:gridCol w:w="897"/>
        <w:gridCol w:w="897"/>
        <w:gridCol w:w="892"/>
        <w:gridCol w:w="1063"/>
        <w:gridCol w:w="1063"/>
        <w:gridCol w:w="1063"/>
      </w:tblGrid>
      <w:tr w:rsidR="00BA0D82" w:rsidRPr="0005691D" w14:paraId="60CC96AB" w14:textId="77777777" w:rsidTr="001A5653">
        <w:trPr>
          <w:trHeight w:val="465"/>
        </w:trPr>
        <w:tc>
          <w:tcPr>
            <w:tcW w:w="10800" w:type="dxa"/>
            <w:gridSpan w:val="9"/>
            <w:tcBorders>
              <w:top w:val="single" w:sz="4" w:space="0" w:color="auto"/>
              <w:left w:val="nil"/>
              <w:bottom w:val="single" w:sz="4" w:space="0" w:color="auto"/>
              <w:right w:val="nil"/>
            </w:tcBorders>
            <w:shd w:val="clear" w:color="auto" w:fill="auto"/>
            <w:noWrap/>
            <w:vAlign w:val="bottom"/>
            <w:hideMark/>
          </w:tcPr>
          <w:p w14:paraId="5B016D57" w14:textId="77777777" w:rsidR="00BA0D82" w:rsidRPr="0005691D" w:rsidRDefault="00BA0D82" w:rsidP="00BA0D82">
            <w:pPr>
              <w:pStyle w:val="Heading2"/>
              <w:numPr>
                <w:ilvl w:val="0"/>
                <w:numId w:val="0"/>
              </w:numPr>
              <w:rPr>
                <w:rFonts w:eastAsia="Times New Roman"/>
              </w:rPr>
            </w:pPr>
            <w:bookmarkStart w:id="184" w:name="_Toc28011480"/>
            <w:r w:rsidRPr="0005691D">
              <w:rPr>
                <w:rFonts w:eastAsia="Times New Roman"/>
              </w:rPr>
              <w:lastRenderedPageBreak/>
              <w:t>American Samoa Combined</w:t>
            </w:r>
            <w:bookmarkEnd w:id="183"/>
            <w:bookmarkEnd w:id="184"/>
          </w:p>
        </w:tc>
      </w:tr>
      <w:tr w:rsidR="00BA0D82" w:rsidRPr="0005691D" w14:paraId="24891B9E" w14:textId="77777777" w:rsidTr="00BC793A">
        <w:trPr>
          <w:trHeight w:val="1305"/>
        </w:trPr>
        <w:tc>
          <w:tcPr>
            <w:tcW w:w="2506" w:type="dxa"/>
            <w:tcBorders>
              <w:top w:val="nil"/>
              <w:left w:val="single" w:sz="4" w:space="0" w:color="auto"/>
              <w:bottom w:val="single" w:sz="4" w:space="0" w:color="auto"/>
              <w:right w:val="single" w:sz="4" w:space="0" w:color="auto"/>
            </w:tcBorders>
            <w:shd w:val="clear" w:color="000000" w:fill="B4C6E7"/>
            <w:vAlign w:val="bottom"/>
            <w:hideMark/>
          </w:tcPr>
          <w:p w14:paraId="23BD05D3" w14:textId="77777777" w:rsidR="00BA0D82" w:rsidRPr="0005691D" w:rsidRDefault="00BA0D82" w:rsidP="001A5653">
            <w:pPr>
              <w:spacing w:after="0" w:line="240" w:lineRule="auto"/>
              <w:jc w:val="right"/>
              <w:rPr>
                <w:rFonts w:ascii="Calibri" w:eastAsia="Times New Roman" w:hAnsi="Calibri" w:cs="Calibri"/>
                <w:b/>
                <w:bCs/>
                <w:color w:val="000000"/>
                <w:szCs w:val="28"/>
              </w:rPr>
            </w:pPr>
            <w:r w:rsidRPr="0005691D">
              <w:rPr>
                <w:rFonts w:ascii="Calibri" w:eastAsia="Times New Roman" w:hAnsi="Calibri" w:cs="Calibri"/>
                <w:b/>
                <w:bCs/>
                <w:color w:val="000000"/>
                <w:szCs w:val="28"/>
              </w:rPr>
              <w:t>Area</w:t>
            </w:r>
          </w:p>
        </w:tc>
        <w:tc>
          <w:tcPr>
            <w:tcW w:w="1165" w:type="dxa"/>
            <w:tcBorders>
              <w:top w:val="nil"/>
              <w:left w:val="nil"/>
              <w:bottom w:val="single" w:sz="4" w:space="0" w:color="auto"/>
              <w:right w:val="single" w:sz="4" w:space="0" w:color="auto"/>
            </w:tcBorders>
            <w:shd w:val="clear" w:color="000000" w:fill="B4C6E7"/>
            <w:vAlign w:val="bottom"/>
            <w:hideMark/>
          </w:tcPr>
          <w:p w14:paraId="2595321E"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of Total Activities</w:t>
            </w:r>
          </w:p>
        </w:tc>
        <w:tc>
          <w:tcPr>
            <w:tcW w:w="1254" w:type="dxa"/>
            <w:tcBorders>
              <w:top w:val="nil"/>
              <w:left w:val="nil"/>
              <w:bottom w:val="single" w:sz="4" w:space="0" w:color="auto"/>
              <w:right w:val="single" w:sz="4" w:space="0" w:color="auto"/>
            </w:tcBorders>
            <w:shd w:val="clear" w:color="000000" w:fill="B4C6E7"/>
            <w:vAlign w:val="bottom"/>
            <w:hideMark/>
          </w:tcPr>
          <w:p w14:paraId="67B060CB"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Average Progress on Activities (%)</w:t>
            </w:r>
          </w:p>
        </w:tc>
        <w:tc>
          <w:tcPr>
            <w:tcW w:w="897" w:type="dxa"/>
            <w:tcBorders>
              <w:top w:val="nil"/>
              <w:left w:val="nil"/>
              <w:bottom w:val="single" w:sz="4" w:space="0" w:color="auto"/>
              <w:right w:val="single" w:sz="4" w:space="0" w:color="auto"/>
            </w:tcBorders>
            <w:shd w:val="clear" w:color="000000" w:fill="B4C6E7"/>
            <w:vAlign w:val="bottom"/>
            <w:hideMark/>
          </w:tcPr>
          <w:p w14:paraId="747E38EA"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Outputs</w:t>
            </w:r>
          </w:p>
        </w:tc>
        <w:tc>
          <w:tcPr>
            <w:tcW w:w="897" w:type="dxa"/>
            <w:tcBorders>
              <w:top w:val="nil"/>
              <w:left w:val="nil"/>
              <w:bottom w:val="single" w:sz="4" w:space="0" w:color="auto"/>
              <w:right w:val="single" w:sz="4" w:space="0" w:color="auto"/>
            </w:tcBorders>
            <w:shd w:val="clear" w:color="000000" w:fill="B4C6E7"/>
            <w:vAlign w:val="bottom"/>
            <w:hideMark/>
          </w:tcPr>
          <w:p w14:paraId="295A5BCD"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Outputs Met</w:t>
            </w:r>
          </w:p>
        </w:tc>
        <w:tc>
          <w:tcPr>
            <w:tcW w:w="892" w:type="dxa"/>
            <w:tcBorders>
              <w:top w:val="nil"/>
              <w:left w:val="nil"/>
              <w:bottom w:val="single" w:sz="4" w:space="0" w:color="auto"/>
              <w:right w:val="single" w:sz="4" w:space="0" w:color="auto"/>
            </w:tcBorders>
            <w:shd w:val="clear" w:color="000000" w:fill="B4C6E7"/>
            <w:vAlign w:val="bottom"/>
            <w:hideMark/>
          </w:tcPr>
          <w:p w14:paraId="0A808571"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Outputs Met</w:t>
            </w:r>
          </w:p>
        </w:tc>
        <w:tc>
          <w:tcPr>
            <w:tcW w:w="1063" w:type="dxa"/>
            <w:tcBorders>
              <w:top w:val="nil"/>
              <w:left w:val="nil"/>
              <w:bottom w:val="single" w:sz="4" w:space="0" w:color="auto"/>
              <w:right w:val="single" w:sz="4" w:space="0" w:color="auto"/>
            </w:tcBorders>
            <w:shd w:val="clear" w:color="000000" w:fill="B4C6E7"/>
            <w:vAlign w:val="bottom"/>
            <w:hideMark/>
          </w:tcPr>
          <w:p w14:paraId="7F8BFBD7"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Short-Term Outcomes</w:t>
            </w:r>
          </w:p>
        </w:tc>
        <w:tc>
          <w:tcPr>
            <w:tcW w:w="1063" w:type="dxa"/>
            <w:tcBorders>
              <w:top w:val="nil"/>
              <w:left w:val="nil"/>
              <w:bottom w:val="single" w:sz="4" w:space="0" w:color="auto"/>
              <w:right w:val="single" w:sz="4" w:space="0" w:color="auto"/>
            </w:tcBorders>
            <w:shd w:val="clear" w:color="000000" w:fill="B4C6E7"/>
            <w:vAlign w:val="bottom"/>
            <w:hideMark/>
          </w:tcPr>
          <w:p w14:paraId="3849655C"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Short-Term Outcomes Met</w:t>
            </w:r>
          </w:p>
        </w:tc>
        <w:tc>
          <w:tcPr>
            <w:tcW w:w="1063" w:type="dxa"/>
            <w:tcBorders>
              <w:top w:val="nil"/>
              <w:left w:val="nil"/>
              <w:bottom w:val="single" w:sz="4" w:space="0" w:color="auto"/>
              <w:right w:val="single" w:sz="4" w:space="0" w:color="auto"/>
            </w:tcBorders>
            <w:shd w:val="clear" w:color="000000" w:fill="B4C6E7"/>
            <w:vAlign w:val="bottom"/>
            <w:hideMark/>
          </w:tcPr>
          <w:p w14:paraId="72C256CE"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%Short-Term Outcomes Achieved</w:t>
            </w:r>
          </w:p>
        </w:tc>
      </w:tr>
      <w:tr w:rsidR="00BA0D82" w:rsidRPr="0005691D" w14:paraId="5232AAC2" w14:textId="77777777" w:rsidTr="00BC793A">
        <w:trPr>
          <w:trHeight w:val="300"/>
        </w:trPr>
        <w:tc>
          <w:tcPr>
            <w:tcW w:w="2506" w:type="dxa"/>
            <w:tcBorders>
              <w:top w:val="nil"/>
              <w:left w:val="single" w:sz="4" w:space="0" w:color="auto"/>
              <w:bottom w:val="single" w:sz="4" w:space="0" w:color="auto"/>
              <w:right w:val="single" w:sz="4" w:space="0" w:color="auto"/>
            </w:tcBorders>
            <w:shd w:val="clear" w:color="000000" w:fill="B4C6E7"/>
            <w:noWrap/>
            <w:vAlign w:val="center"/>
            <w:hideMark/>
          </w:tcPr>
          <w:p w14:paraId="3AF53CC3" w14:textId="77777777" w:rsidR="00BA0D82" w:rsidRPr="0005691D" w:rsidRDefault="00BA0D82" w:rsidP="001A5653">
            <w:pPr>
              <w:spacing w:after="0" w:line="240" w:lineRule="auto"/>
              <w:jc w:val="right"/>
              <w:rPr>
                <w:rFonts w:ascii="Calibri" w:eastAsia="Times New Roman" w:hAnsi="Calibri" w:cs="Calibri"/>
                <w:b/>
                <w:bCs/>
                <w:color w:val="000000"/>
              </w:rPr>
            </w:pPr>
            <w:r w:rsidRPr="0005691D">
              <w:rPr>
                <w:rFonts w:ascii="Calibri" w:eastAsia="Times New Roman" w:hAnsi="Calibri" w:cs="Calibri"/>
                <w:b/>
                <w:bCs/>
                <w:color w:val="000000"/>
              </w:rPr>
              <w:t>Pre-ETS</w:t>
            </w:r>
          </w:p>
        </w:tc>
        <w:tc>
          <w:tcPr>
            <w:tcW w:w="1165" w:type="dxa"/>
            <w:tcBorders>
              <w:top w:val="nil"/>
              <w:left w:val="nil"/>
              <w:bottom w:val="single" w:sz="4" w:space="0" w:color="auto"/>
              <w:right w:val="single" w:sz="4" w:space="0" w:color="auto"/>
            </w:tcBorders>
            <w:shd w:val="clear" w:color="000000" w:fill="FFFFFF"/>
            <w:noWrap/>
            <w:vAlign w:val="center"/>
            <w:hideMark/>
          </w:tcPr>
          <w:p w14:paraId="6D28DFCD"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4</w:t>
            </w:r>
          </w:p>
        </w:tc>
        <w:tc>
          <w:tcPr>
            <w:tcW w:w="1254" w:type="dxa"/>
            <w:tcBorders>
              <w:top w:val="nil"/>
              <w:left w:val="nil"/>
              <w:bottom w:val="single" w:sz="4" w:space="0" w:color="auto"/>
              <w:right w:val="single" w:sz="4" w:space="0" w:color="auto"/>
            </w:tcBorders>
            <w:shd w:val="clear" w:color="000000" w:fill="FFFFFF"/>
            <w:noWrap/>
            <w:vAlign w:val="center"/>
            <w:hideMark/>
          </w:tcPr>
          <w:p w14:paraId="541EA8F1"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19%</w:t>
            </w:r>
          </w:p>
        </w:tc>
        <w:tc>
          <w:tcPr>
            <w:tcW w:w="897" w:type="dxa"/>
            <w:tcBorders>
              <w:top w:val="nil"/>
              <w:left w:val="nil"/>
              <w:bottom w:val="single" w:sz="4" w:space="0" w:color="auto"/>
              <w:right w:val="single" w:sz="4" w:space="0" w:color="auto"/>
            </w:tcBorders>
            <w:shd w:val="clear" w:color="000000" w:fill="FFFFFF"/>
            <w:noWrap/>
            <w:vAlign w:val="center"/>
            <w:hideMark/>
          </w:tcPr>
          <w:p w14:paraId="37440DED"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4</w:t>
            </w:r>
          </w:p>
        </w:tc>
        <w:tc>
          <w:tcPr>
            <w:tcW w:w="897" w:type="dxa"/>
            <w:tcBorders>
              <w:top w:val="nil"/>
              <w:left w:val="nil"/>
              <w:bottom w:val="single" w:sz="4" w:space="0" w:color="auto"/>
              <w:right w:val="single" w:sz="4" w:space="0" w:color="auto"/>
            </w:tcBorders>
            <w:shd w:val="clear" w:color="000000" w:fill="FFFFFF"/>
            <w:noWrap/>
            <w:vAlign w:val="center"/>
            <w:hideMark/>
          </w:tcPr>
          <w:p w14:paraId="48D717E9"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0</w:t>
            </w:r>
          </w:p>
        </w:tc>
        <w:tc>
          <w:tcPr>
            <w:tcW w:w="892" w:type="dxa"/>
            <w:tcBorders>
              <w:top w:val="nil"/>
              <w:left w:val="nil"/>
              <w:bottom w:val="single" w:sz="4" w:space="0" w:color="auto"/>
              <w:right w:val="single" w:sz="4" w:space="0" w:color="auto"/>
            </w:tcBorders>
            <w:shd w:val="clear" w:color="000000" w:fill="FFFFFF"/>
            <w:noWrap/>
            <w:vAlign w:val="center"/>
            <w:hideMark/>
          </w:tcPr>
          <w:p w14:paraId="7EBD252D"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0%</w:t>
            </w:r>
          </w:p>
        </w:tc>
        <w:tc>
          <w:tcPr>
            <w:tcW w:w="1063" w:type="dxa"/>
            <w:tcBorders>
              <w:top w:val="nil"/>
              <w:left w:val="nil"/>
              <w:bottom w:val="single" w:sz="4" w:space="0" w:color="auto"/>
              <w:right w:val="single" w:sz="4" w:space="0" w:color="auto"/>
            </w:tcBorders>
            <w:shd w:val="clear" w:color="000000" w:fill="FFFFFF"/>
            <w:noWrap/>
            <w:vAlign w:val="center"/>
            <w:hideMark/>
          </w:tcPr>
          <w:p w14:paraId="39481FE4"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3</w:t>
            </w:r>
          </w:p>
        </w:tc>
        <w:tc>
          <w:tcPr>
            <w:tcW w:w="1063" w:type="dxa"/>
            <w:tcBorders>
              <w:top w:val="nil"/>
              <w:left w:val="nil"/>
              <w:bottom w:val="single" w:sz="4" w:space="0" w:color="auto"/>
              <w:right w:val="single" w:sz="4" w:space="0" w:color="auto"/>
            </w:tcBorders>
            <w:shd w:val="clear" w:color="000000" w:fill="FFFFFF"/>
            <w:noWrap/>
            <w:vAlign w:val="center"/>
            <w:hideMark/>
          </w:tcPr>
          <w:p w14:paraId="1EFC4113"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0</w:t>
            </w:r>
          </w:p>
        </w:tc>
        <w:tc>
          <w:tcPr>
            <w:tcW w:w="1063" w:type="dxa"/>
            <w:tcBorders>
              <w:top w:val="nil"/>
              <w:left w:val="nil"/>
              <w:bottom w:val="single" w:sz="4" w:space="0" w:color="auto"/>
              <w:right w:val="single" w:sz="4" w:space="0" w:color="auto"/>
            </w:tcBorders>
            <w:shd w:val="clear" w:color="000000" w:fill="FFFFFF"/>
            <w:noWrap/>
            <w:vAlign w:val="center"/>
            <w:hideMark/>
          </w:tcPr>
          <w:p w14:paraId="4E59482C"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0%</w:t>
            </w:r>
          </w:p>
        </w:tc>
      </w:tr>
      <w:tr w:rsidR="00BA0D82" w:rsidRPr="0005691D" w14:paraId="2728ABD9" w14:textId="77777777" w:rsidTr="00BC793A">
        <w:trPr>
          <w:trHeight w:val="300"/>
        </w:trPr>
        <w:tc>
          <w:tcPr>
            <w:tcW w:w="2506" w:type="dxa"/>
            <w:tcBorders>
              <w:top w:val="nil"/>
              <w:left w:val="single" w:sz="4" w:space="0" w:color="auto"/>
              <w:bottom w:val="single" w:sz="4" w:space="0" w:color="auto"/>
              <w:right w:val="single" w:sz="4" w:space="0" w:color="auto"/>
            </w:tcBorders>
            <w:shd w:val="clear" w:color="000000" w:fill="B4C6E7"/>
            <w:noWrap/>
            <w:vAlign w:val="center"/>
            <w:hideMark/>
          </w:tcPr>
          <w:p w14:paraId="7CCDA818" w14:textId="77777777" w:rsidR="00BA0D82" w:rsidRPr="0005691D" w:rsidRDefault="00BA0D82" w:rsidP="001A5653">
            <w:pPr>
              <w:spacing w:after="0" w:line="240" w:lineRule="auto"/>
              <w:jc w:val="right"/>
              <w:rPr>
                <w:rFonts w:ascii="Calibri" w:eastAsia="Times New Roman" w:hAnsi="Calibri" w:cs="Calibri"/>
                <w:b/>
                <w:bCs/>
                <w:color w:val="000000"/>
              </w:rPr>
            </w:pPr>
            <w:r w:rsidRPr="0005691D">
              <w:rPr>
                <w:rFonts w:ascii="Calibri" w:eastAsia="Times New Roman" w:hAnsi="Calibri" w:cs="Calibri"/>
                <w:b/>
                <w:bCs/>
                <w:color w:val="000000"/>
              </w:rPr>
              <w:t>Common Performance Measures</w:t>
            </w:r>
          </w:p>
        </w:tc>
        <w:tc>
          <w:tcPr>
            <w:tcW w:w="1165" w:type="dxa"/>
            <w:tcBorders>
              <w:top w:val="nil"/>
              <w:left w:val="nil"/>
              <w:bottom w:val="single" w:sz="4" w:space="0" w:color="auto"/>
              <w:right w:val="single" w:sz="4" w:space="0" w:color="auto"/>
            </w:tcBorders>
            <w:shd w:val="clear" w:color="000000" w:fill="D9E2F3"/>
            <w:noWrap/>
            <w:vAlign w:val="center"/>
            <w:hideMark/>
          </w:tcPr>
          <w:p w14:paraId="78B695D4"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w:t>
            </w:r>
          </w:p>
        </w:tc>
        <w:tc>
          <w:tcPr>
            <w:tcW w:w="1254" w:type="dxa"/>
            <w:tcBorders>
              <w:top w:val="nil"/>
              <w:left w:val="nil"/>
              <w:bottom w:val="single" w:sz="4" w:space="0" w:color="auto"/>
              <w:right w:val="single" w:sz="4" w:space="0" w:color="auto"/>
            </w:tcBorders>
            <w:shd w:val="clear" w:color="000000" w:fill="D9E2F3"/>
            <w:noWrap/>
            <w:vAlign w:val="center"/>
            <w:hideMark/>
          </w:tcPr>
          <w:p w14:paraId="0F9EE2A0"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100%</w:t>
            </w:r>
          </w:p>
        </w:tc>
        <w:tc>
          <w:tcPr>
            <w:tcW w:w="897" w:type="dxa"/>
            <w:tcBorders>
              <w:top w:val="nil"/>
              <w:left w:val="nil"/>
              <w:bottom w:val="single" w:sz="4" w:space="0" w:color="auto"/>
              <w:right w:val="single" w:sz="4" w:space="0" w:color="auto"/>
            </w:tcBorders>
            <w:shd w:val="clear" w:color="000000" w:fill="D9E2F3"/>
            <w:noWrap/>
            <w:vAlign w:val="center"/>
            <w:hideMark/>
          </w:tcPr>
          <w:p w14:paraId="5D68CA4C"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w:t>
            </w:r>
          </w:p>
        </w:tc>
        <w:tc>
          <w:tcPr>
            <w:tcW w:w="897" w:type="dxa"/>
            <w:tcBorders>
              <w:top w:val="nil"/>
              <w:left w:val="nil"/>
              <w:bottom w:val="single" w:sz="4" w:space="0" w:color="auto"/>
              <w:right w:val="single" w:sz="4" w:space="0" w:color="auto"/>
            </w:tcBorders>
            <w:shd w:val="clear" w:color="000000" w:fill="D9E2F3"/>
            <w:noWrap/>
            <w:vAlign w:val="center"/>
            <w:hideMark/>
          </w:tcPr>
          <w:p w14:paraId="1825ABF7"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0</w:t>
            </w:r>
          </w:p>
        </w:tc>
        <w:tc>
          <w:tcPr>
            <w:tcW w:w="892" w:type="dxa"/>
            <w:tcBorders>
              <w:top w:val="nil"/>
              <w:left w:val="nil"/>
              <w:bottom w:val="single" w:sz="4" w:space="0" w:color="auto"/>
              <w:right w:val="single" w:sz="4" w:space="0" w:color="auto"/>
            </w:tcBorders>
            <w:shd w:val="clear" w:color="000000" w:fill="D9E2F3"/>
            <w:noWrap/>
            <w:vAlign w:val="center"/>
            <w:hideMark/>
          </w:tcPr>
          <w:p w14:paraId="7842DAD9"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0%</w:t>
            </w:r>
          </w:p>
        </w:tc>
        <w:tc>
          <w:tcPr>
            <w:tcW w:w="1063" w:type="dxa"/>
            <w:tcBorders>
              <w:top w:val="nil"/>
              <w:left w:val="nil"/>
              <w:bottom w:val="single" w:sz="4" w:space="0" w:color="auto"/>
              <w:right w:val="single" w:sz="4" w:space="0" w:color="auto"/>
            </w:tcBorders>
            <w:shd w:val="clear" w:color="000000" w:fill="D9E2F3"/>
            <w:noWrap/>
            <w:vAlign w:val="center"/>
            <w:hideMark/>
          </w:tcPr>
          <w:p w14:paraId="37D2B8E9"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w:t>
            </w:r>
          </w:p>
        </w:tc>
        <w:tc>
          <w:tcPr>
            <w:tcW w:w="1063" w:type="dxa"/>
            <w:tcBorders>
              <w:top w:val="nil"/>
              <w:left w:val="nil"/>
              <w:bottom w:val="single" w:sz="4" w:space="0" w:color="auto"/>
              <w:right w:val="single" w:sz="4" w:space="0" w:color="auto"/>
            </w:tcBorders>
            <w:shd w:val="clear" w:color="000000" w:fill="D9E2F3"/>
            <w:noWrap/>
            <w:vAlign w:val="center"/>
            <w:hideMark/>
          </w:tcPr>
          <w:p w14:paraId="2A0C82B6"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0</w:t>
            </w:r>
          </w:p>
        </w:tc>
        <w:tc>
          <w:tcPr>
            <w:tcW w:w="1063" w:type="dxa"/>
            <w:tcBorders>
              <w:top w:val="nil"/>
              <w:left w:val="nil"/>
              <w:bottom w:val="single" w:sz="4" w:space="0" w:color="auto"/>
              <w:right w:val="single" w:sz="4" w:space="0" w:color="auto"/>
            </w:tcBorders>
            <w:shd w:val="clear" w:color="000000" w:fill="D9E2F3"/>
            <w:noWrap/>
            <w:vAlign w:val="center"/>
            <w:hideMark/>
          </w:tcPr>
          <w:p w14:paraId="3CFF3F35"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0%</w:t>
            </w:r>
          </w:p>
        </w:tc>
      </w:tr>
      <w:tr w:rsidR="00BA0D82" w:rsidRPr="0005691D" w14:paraId="7B1B5CC5" w14:textId="77777777" w:rsidTr="00BC793A">
        <w:trPr>
          <w:trHeight w:val="300"/>
        </w:trPr>
        <w:tc>
          <w:tcPr>
            <w:tcW w:w="2506" w:type="dxa"/>
            <w:tcBorders>
              <w:top w:val="nil"/>
              <w:left w:val="single" w:sz="4" w:space="0" w:color="auto"/>
              <w:bottom w:val="single" w:sz="4" w:space="0" w:color="auto"/>
              <w:right w:val="single" w:sz="4" w:space="0" w:color="auto"/>
            </w:tcBorders>
            <w:shd w:val="clear" w:color="000000" w:fill="B4C6E7"/>
            <w:noWrap/>
            <w:vAlign w:val="center"/>
            <w:hideMark/>
          </w:tcPr>
          <w:p w14:paraId="5E556445" w14:textId="77777777" w:rsidR="00BA0D82" w:rsidRPr="0005691D" w:rsidRDefault="00BA0D82" w:rsidP="001A5653">
            <w:pPr>
              <w:spacing w:after="0" w:line="240" w:lineRule="auto"/>
              <w:jc w:val="right"/>
              <w:rPr>
                <w:rFonts w:ascii="Calibri" w:eastAsia="Times New Roman" w:hAnsi="Calibri" w:cs="Calibri"/>
                <w:b/>
                <w:bCs/>
                <w:color w:val="000000"/>
              </w:rPr>
            </w:pPr>
            <w:r w:rsidRPr="0005691D">
              <w:rPr>
                <w:rFonts w:ascii="Calibri" w:eastAsia="Times New Roman" w:hAnsi="Calibri" w:cs="Calibri"/>
                <w:b/>
                <w:bCs/>
                <w:color w:val="000000"/>
              </w:rPr>
              <w:t>Supported Employment</w:t>
            </w:r>
          </w:p>
        </w:tc>
        <w:tc>
          <w:tcPr>
            <w:tcW w:w="1165" w:type="dxa"/>
            <w:tcBorders>
              <w:top w:val="nil"/>
              <w:left w:val="nil"/>
              <w:bottom w:val="single" w:sz="4" w:space="0" w:color="auto"/>
              <w:right w:val="single" w:sz="4" w:space="0" w:color="auto"/>
            </w:tcBorders>
            <w:shd w:val="clear" w:color="000000" w:fill="FFFFFF"/>
            <w:noWrap/>
            <w:vAlign w:val="center"/>
            <w:hideMark/>
          </w:tcPr>
          <w:p w14:paraId="0CF48D00"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w:t>
            </w:r>
          </w:p>
        </w:tc>
        <w:tc>
          <w:tcPr>
            <w:tcW w:w="1254" w:type="dxa"/>
            <w:tcBorders>
              <w:top w:val="nil"/>
              <w:left w:val="nil"/>
              <w:bottom w:val="single" w:sz="4" w:space="0" w:color="auto"/>
              <w:right w:val="single" w:sz="4" w:space="0" w:color="auto"/>
            </w:tcBorders>
            <w:shd w:val="clear" w:color="000000" w:fill="FFFFFF"/>
            <w:noWrap/>
            <w:vAlign w:val="center"/>
            <w:hideMark/>
          </w:tcPr>
          <w:p w14:paraId="1CD1FBFD"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25%</w:t>
            </w:r>
          </w:p>
        </w:tc>
        <w:tc>
          <w:tcPr>
            <w:tcW w:w="897" w:type="dxa"/>
            <w:tcBorders>
              <w:top w:val="nil"/>
              <w:left w:val="nil"/>
              <w:bottom w:val="single" w:sz="4" w:space="0" w:color="auto"/>
              <w:right w:val="single" w:sz="4" w:space="0" w:color="auto"/>
            </w:tcBorders>
            <w:shd w:val="clear" w:color="000000" w:fill="FFFFFF"/>
            <w:noWrap/>
            <w:vAlign w:val="center"/>
            <w:hideMark/>
          </w:tcPr>
          <w:p w14:paraId="3EBCDB39"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w:t>
            </w:r>
          </w:p>
        </w:tc>
        <w:tc>
          <w:tcPr>
            <w:tcW w:w="897" w:type="dxa"/>
            <w:tcBorders>
              <w:top w:val="nil"/>
              <w:left w:val="nil"/>
              <w:bottom w:val="single" w:sz="4" w:space="0" w:color="auto"/>
              <w:right w:val="single" w:sz="4" w:space="0" w:color="auto"/>
            </w:tcBorders>
            <w:shd w:val="clear" w:color="000000" w:fill="FFFFFF"/>
            <w:noWrap/>
            <w:vAlign w:val="center"/>
            <w:hideMark/>
          </w:tcPr>
          <w:p w14:paraId="6E32EA07"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0</w:t>
            </w:r>
          </w:p>
        </w:tc>
        <w:tc>
          <w:tcPr>
            <w:tcW w:w="892" w:type="dxa"/>
            <w:tcBorders>
              <w:top w:val="nil"/>
              <w:left w:val="nil"/>
              <w:bottom w:val="single" w:sz="4" w:space="0" w:color="auto"/>
              <w:right w:val="single" w:sz="4" w:space="0" w:color="auto"/>
            </w:tcBorders>
            <w:shd w:val="clear" w:color="000000" w:fill="FFFFFF"/>
            <w:noWrap/>
            <w:vAlign w:val="center"/>
            <w:hideMark/>
          </w:tcPr>
          <w:p w14:paraId="324903F5"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0%</w:t>
            </w:r>
          </w:p>
        </w:tc>
        <w:tc>
          <w:tcPr>
            <w:tcW w:w="1063" w:type="dxa"/>
            <w:tcBorders>
              <w:top w:val="nil"/>
              <w:left w:val="nil"/>
              <w:bottom w:val="single" w:sz="4" w:space="0" w:color="auto"/>
              <w:right w:val="single" w:sz="4" w:space="0" w:color="auto"/>
            </w:tcBorders>
            <w:shd w:val="clear" w:color="000000" w:fill="FFFFFF"/>
            <w:noWrap/>
            <w:vAlign w:val="center"/>
            <w:hideMark/>
          </w:tcPr>
          <w:p w14:paraId="362999C2"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0</w:t>
            </w:r>
          </w:p>
        </w:tc>
        <w:tc>
          <w:tcPr>
            <w:tcW w:w="1063" w:type="dxa"/>
            <w:tcBorders>
              <w:top w:val="nil"/>
              <w:left w:val="nil"/>
              <w:bottom w:val="single" w:sz="4" w:space="0" w:color="auto"/>
              <w:right w:val="single" w:sz="4" w:space="0" w:color="auto"/>
            </w:tcBorders>
            <w:shd w:val="clear" w:color="000000" w:fill="FFFFFF"/>
            <w:noWrap/>
            <w:vAlign w:val="center"/>
            <w:hideMark/>
          </w:tcPr>
          <w:p w14:paraId="74FC7373"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0</w:t>
            </w:r>
          </w:p>
        </w:tc>
        <w:tc>
          <w:tcPr>
            <w:tcW w:w="1063" w:type="dxa"/>
            <w:tcBorders>
              <w:top w:val="nil"/>
              <w:left w:val="nil"/>
              <w:bottom w:val="single" w:sz="4" w:space="0" w:color="auto"/>
              <w:right w:val="single" w:sz="4" w:space="0" w:color="auto"/>
            </w:tcBorders>
            <w:shd w:val="clear" w:color="000000" w:fill="FFFFFF"/>
            <w:noWrap/>
            <w:vAlign w:val="center"/>
            <w:hideMark/>
          </w:tcPr>
          <w:p w14:paraId="13E60A07"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 </w:t>
            </w:r>
          </w:p>
        </w:tc>
      </w:tr>
      <w:tr w:rsidR="00BA0D82" w:rsidRPr="0005691D" w14:paraId="66D6E775" w14:textId="77777777" w:rsidTr="00BC793A">
        <w:trPr>
          <w:trHeight w:val="300"/>
        </w:trPr>
        <w:tc>
          <w:tcPr>
            <w:tcW w:w="2506" w:type="dxa"/>
            <w:tcBorders>
              <w:top w:val="nil"/>
              <w:left w:val="nil"/>
              <w:bottom w:val="nil"/>
              <w:right w:val="nil"/>
            </w:tcBorders>
            <w:shd w:val="clear" w:color="auto" w:fill="auto"/>
            <w:noWrap/>
            <w:vAlign w:val="bottom"/>
            <w:hideMark/>
          </w:tcPr>
          <w:p w14:paraId="63C2F48A" w14:textId="77777777" w:rsidR="00BA0D82" w:rsidRPr="0005691D" w:rsidRDefault="00BA0D82" w:rsidP="001A5653">
            <w:pPr>
              <w:spacing w:after="0" w:line="240" w:lineRule="auto"/>
              <w:jc w:val="center"/>
              <w:rPr>
                <w:rFonts w:ascii="Calibri" w:eastAsia="Times New Roman" w:hAnsi="Calibri" w:cs="Calibri"/>
                <w:color w:val="000000"/>
              </w:rPr>
            </w:pPr>
          </w:p>
        </w:tc>
        <w:tc>
          <w:tcPr>
            <w:tcW w:w="1165" w:type="dxa"/>
            <w:tcBorders>
              <w:top w:val="nil"/>
              <w:left w:val="nil"/>
              <w:bottom w:val="nil"/>
              <w:right w:val="nil"/>
            </w:tcBorders>
            <w:shd w:val="clear" w:color="auto" w:fill="auto"/>
            <w:noWrap/>
            <w:vAlign w:val="center"/>
            <w:hideMark/>
          </w:tcPr>
          <w:p w14:paraId="492C3F74" w14:textId="77777777" w:rsidR="00BA0D82" w:rsidRPr="0005691D" w:rsidRDefault="00BA0D82" w:rsidP="001A5653">
            <w:pPr>
              <w:spacing w:after="0" w:line="240" w:lineRule="auto"/>
              <w:rPr>
                <w:rFonts w:ascii="Times New Roman" w:eastAsia="Times New Roman" w:hAnsi="Times New Roman" w:cs="Times New Roman"/>
                <w:sz w:val="20"/>
                <w:szCs w:val="20"/>
              </w:rPr>
            </w:pPr>
          </w:p>
        </w:tc>
        <w:tc>
          <w:tcPr>
            <w:tcW w:w="1254" w:type="dxa"/>
            <w:tcBorders>
              <w:top w:val="nil"/>
              <w:left w:val="nil"/>
              <w:bottom w:val="nil"/>
              <w:right w:val="nil"/>
            </w:tcBorders>
            <w:shd w:val="clear" w:color="auto" w:fill="auto"/>
            <w:noWrap/>
            <w:vAlign w:val="center"/>
            <w:hideMark/>
          </w:tcPr>
          <w:p w14:paraId="418B1F81"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c>
          <w:tcPr>
            <w:tcW w:w="897" w:type="dxa"/>
            <w:tcBorders>
              <w:top w:val="nil"/>
              <w:left w:val="nil"/>
              <w:bottom w:val="nil"/>
              <w:right w:val="nil"/>
            </w:tcBorders>
            <w:shd w:val="clear" w:color="auto" w:fill="auto"/>
            <w:noWrap/>
            <w:vAlign w:val="center"/>
            <w:hideMark/>
          </w:tcPr>
          <w:p w14:paraId="114473F4"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c>
          <w:tcPr>
            <w:tcW w:w="897" w:type="dxa"/>
            <w:tcBorders>
              <w:top w:val="nil"/>
              <w:left w:val="nil"/>
              <w:bottom w:val="nil"/>
              <w:right w:val="nil"/>
            </w:tcBorders>
            <w:shd w:val="clear" w:color="auto" w:fill="auto"/>
            <w:noWrap/>
            <w:vAlign w:val="center"/>
            <w:hideMark/>
          </w:tcPr>
          <w:p w14:paraId="0A211430"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c>
          <w:tcPr>
            <w:tcW w:w="892" w:type="dxa"/>
            <w:tcBorders>
              <w:top w:val="nil"/>
              <w:left w:val="nil"/>
              <w:bottom w:val="nil"/>
              <w:right w:val="nil"/>
            </w:tcBorders>
            <w:shd w:val="clear" w:color="auto" w:fill="auto"/>
            <w:noWrap/>
            <w:vAlign w:val="center"/>
            <w:hideMark/>
          </w:tcPr>
          <w:p w14:paraId="32101FEC"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c>
          <w:tcPr>
            <w:tcW w:w="1063" w:type="dxa"/>
            <w:tcBorders>
              <w:top w:val="nil"/>
              <w:left w:val="nil"/>
              <w:bottom w:val="nil"/>
              <w:right w:val="nil"/>
            </w:tcBorders>
            <w:shd w:val="clear" w:color="auto" w:fill="auto"/>
            <w:noWrap/>
            <w:vAlign w:val="center"/>
            <w:hideMark/>
          </w:tcPr>
          <w:p w14:paraId="2FA57A33"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c>
          <w:tcPr>
            <w:tcW w:w="1063" w:type="dxa"/>
            <w:tcBorders>
              <w:top w:val="nil"/>
              <w:left w:val="nil"/>
              <w:bottom w:val="nil"/>
              <w:right w:val="nil"/>
            </w:tcBorders>
            <w:shd w:val="clear" w:color="auto" w:fill="auto"/>
            <w:noWrap/>
            <w:vAlign w:val="center"/>
            <w:hideMark/>
          </w:tcPr>
          <w:p w14:paraId="7A4DCBB8"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c>
          <w:tcPr>
            <w:tcW w:w="1063" w:type="dxa"/>
            <w:tcBorders>
              <w:top w:val="nil"/>
              <w:left w:val="nil"/>
              <w:bottom w:val="nil"/>
              <w:right w:val="nil"/>
            </w:tcBorders>
            <w:shd w:val="clear" w:color="auto" w:fill="auto"/>
            <w:noWrap/>
            <w:vAlign w:val="center"/>
            <w:hideMark/>
          </w:tcPr>
          <w:p w14:paraId="158D3FD7"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r>
      <w:tr w:rsidR="00BA0D82" w:rsidRPr="0005691D" w14:paraId="387D1490" w14:textId="77777777" w:rsidTr="001A5653">
        <w:trPr>
          <w:trHeight w:val="465"/>
        </w:trPr>
        <w:tc>
          <w:tcPr>
            <w:tcW w:w="10800" w:type="dxa"/>
            <w:gridSpan w:val="9"/>
            <w:tcBorders>
              <w:top w:val="single" w:sz="4" w:space="0" w:color="auto"/>
              <w:left w:val="nil"/>
              <w:bottom w:val="single" w:sz="4" w:space="0" w:color="auto"/>
              <w:right w:val="nil"/>
            </w:tcBorders>
            <w:shd w:val="clear" w:color="auto" w:fill="auto"/>
            <w:noWrap/>
            <w:vAlign w:val="bottom"/>
            <w:hideMark/>
          </w:tcPr>
          <w:p w14:paraId="5D7A50DD" w14:textId="77777777" w:rsidR="00BA0D82" w:rsidRPr="0005691D" w:rsidRDefault="00BA0D82" w:rsidP="00BA0D82">
            <w:pPr>
              <w:pStyle w:val="Heading2"/>
              <w:numPr>
                <w:ilvl w:val="0"/>
                <w:numId w:val="0"/>
              </w:numPr>
              <w:rPr>
                <w:rFonts w:eastAsia="Times New Roman"/>
              </w:rPr>
            </w:pPr>
            <w:bookmarkStart w:id="185" w:name="_Toc27143182"/>
            <w:bookmarkStart w:id="186" w:name="_Toc28011481"/>
            <w:r w:rsidRPr="0005691D">
              <w:rPr>
                <w:rFonts w:eastAsia="Times New Roman"/>
              </w:rPr>
              <w:t>Arizona Combined</w:t>
            </w:r>
            <w:bookmarkEnd w:id="185"/>
            <w:bookmarkEnd w:id="186"/>
          </w:p>
        </w:tc>
      </w:tr>
      <w:tr w:rsidR="00BA0D82" w:rsidRPr="0005691D" w14:paraId="23F4D142" w14:textId="77777777" w:rsidTr="00BC793A">
        <w:trPr>
          <w:trHeight w:val="1305"/>
        </w:trPr>
        <w:tc>
          <w:tcPr>
            <w:tcW w:w="2506" w:type="dxa"/>
            <w:tcBorders>
              <w:top w:val="nil"/>
              <w:left w:val="single" w:sz="4" w:space="0" w:color="auto"/>
              <w:bottom w:val="single" w:sz="4" w:space="0" w:color="auto"/>
              <w:right w:val="single" w:sz="4" w:space="0" w:color="auto"/>
            </w:tcBorders>
            <w:shd w:val="clear" w:color="000000" w:fill="B4C6E7"/>
            <w:vAlign w:val="bottom"/>
            <w:hideMark/>
          </w:tcPr>
          <w:p w14:paraId="318AAFD4" w14:textId="77777777" w:rsidR="00BA0D82" w:rsidRPr="0005691D" w:rsidRDefault="00BA0D82" w:rsidP="001A5653">
            <w:pPr>
              <w:spacing w:after="0" w:line="240" w:lineRule="auto"/>
              <w:jc w:val="right"/>
              <w:rPr>
                <w:rFonts w:ascii="Calibri" w:eastAsia="Times New Roman" w:hAnsi="Calibri" w:cs="Calibri"/>
                <w:b/>
                <w:bCs/>
                <w:color w:val="000000"/>
                <w:szCs w:val="28"/>
              </w:rPr>
            </w:pPr>
            <w:r w:rsidRPr="0005691D">
              <w:rPr>
                <w:rFonts w:ascii="Calibri" w:eastAsia="Times New Roman" w:hAnsi="Calibri" w:cs="Calibri"/>
                <w:b/>
                <w:bCs/>
                <w:color w:val="000000"/>
                <w:szCs w:val="28"/>
              </w:rPr>
              <w:t>Area</w:t>
            </w:r>
          </w:p>
        </w:tc>
        <w:tc>
          <w:tcPr>
            <w:tcW w:w="1165" w:type="dxa"/>
            <w:tcBorders>
              <w:top w:val="nil"/>
              <w:left w:val="nil"/>
              <w:bottom w:val="single" w:sz="4" w:space="0" w:color="auto"/>
              <w:right w:val="single" w:sz="4" w:space="0" w:color="auto"/>
            </w:tcBorders>
            <w:shd w:val="clear" w:color="000000" w:fill="B4C6E7"/>
            <w:vAlign w:val="bottom"/>
            <w:hideMark/>
          </w:tcPr>
          <w:p w14:paraId="308837DA"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of Total Activities</w:t>
            </w:r>
          </w:p>
        </w:tc>
        <w:tc>
          <w:tcPr>
            <w:tcW w:w="1254" w:type="dxa"/>
            <w:tcBorders>
              <w:top w:val="nil"/>
              <w:left w:val="nil"/>
              <w:bottom w:val="single" w:sz="4" w:space="0" w:color="auto"/>
              <w:right w:val="single" w:sz="4" w:space="0" w:color="auto"/>
            </w:tcBorders>
            <w:shd w:val="clear" w:color="000000" w:fill="B4C6E7"/>
            <w:vAlign w:val="bottom"/>
            <w:hideMark/>
          </w:tcPr>
          <w:p w14:paraId="74D365E2"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Average Progress on Activities (%)</w:t>
            </w:r>
          </w:p>
        </w:tc>
        <w:tc>
          <w:tcPr>
            <w:tcW w:w="897" w:type="dxa"/>
            <w:tcBorders>
              <w:top w:val="nil"/>
              <w:left w:val="nil"/>
              <w:bottom w:val="single" w:sz="4" w:space="0" w:color="auto"/>
              <w:right w:val="single" w:sz="4" w:space="0" w:color="auto"/>
            </w:tcBorders>
            <w:shd w:val="clear" w:color="000000" w:fill="B4C6E7"/>
            <w:vAlign w:val="bottom"/>
            <w:hideMark/>
          </w:tcPr>
          <w:p w14:paraId="6CF87813"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Outputs</w:t>
            </w:r>
          </w:p>
        </w:tc>
        <w:tc>
          <w:tcPr>
            <w:tcW w:w="897" w:type="dxa"/>
            <w:tcBorders>
              <w:top w:val="nil"/>
              <w:left w:val="nil"/>
              <w:bottom w:val="single" w:sz="4" w:space="0" w:color="auto"/>
              <w:right w:val="single" w:sz="4" w:space="0" w:color="auto"/>
            </w:tcBorders>
            <w:shd w:val="clear" w:color="000000" w:fill="B4C6E7"/>
            <w:vAlign w:val="bottom"/>
            <w:hideMark/>
          </w:tcPr>
          <w:p w14:paraId="13235D2D"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Outputs Met</w:t>
            </w:r>
          </w:p>
        </w:tc>
        <w:tc>
          <w:tcPr>
            <w:tcW w:w="892" w:type="dxa"/>
            <w:tcBorders>
              <w:top w:val="nil"/>
              <w:left w:val="nil"/>
              <w:bottom w:val="single" w:sz="4" w:space="0" w:color="auto"/>
              <w:right w:val="single" w:sz="4" w:space="0" w:color="auto"/>
            </w:tcBorders>
            <w:shd w:val="clear" w:color="000000" w:fill="B4C6E7"/>
            <w:vAlign w:val="bottom"/>
            <w:hideMark/>
          </w:tcPr>
          <w:p w14:paraId="4EBA4CF5"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Outputs Met</w:t>
            </w:r>
          </w:p>
        </w:tc>
        <w:tc>
          <w:tcPr>
            <w:tcW w:w="1063" w:type="dxa"/>
            <w:tcBorders>
              <w:top w:val="nil"/>
              <w:left w:val="nil"/>
              <w:bottom w:val="single" w:sz="4" w:space="0" w:color="auto"/>
              <w:right w:val="single" w:sz="4" w:space="0" w:color="auto"/>
            </w:tcBorders>
            <w:shd w:val="clear" w:color="000000" w:fill="B4C6E7"/>
            <w:vAlign w:val="bottom"/>
            <w:hideMark/>
          </w:tcPr>
          <w:p w14:paraId="5C272307"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Short-Term Outcomes</w:t>
            </w:r>
          </w:p>
        </w:tc>
        <w:tc>
          <w:tcPr>
            <w:tcW w:w="1063" w:type="dxa"/>
            <w:tcBorders>
              <w:top w:val="nil"/>
              <w:left w:val="nil"/>
              <w:bottom w:val="single" w:sz="4" w:space="0" w:color="auto"/>
              <w:right w:val="single" w:sz="4" w:space="0" w:color="auto"/>
            </w:tcBorders>
            <w:shd w:val="clear" w:color="000000" w:fill="B4C6E7"/>
            <w:vAlign w:val="bottom"/>
            <w:hideMark/>
          </w:tcPr>
          <w:p w14:paraId="64779D15"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Short-Term Outcomes Met</w:t>
            </w:r>
          </w:p>
        </w:tc>
        <w:tc>
          <w:tcPr>
            <w:tcW w:w="1063" w:type="dxa"/>
            <w:tcBorders>
              <w:top w:val="nil"/>
              <w:left w:val="nil"/>
              <w:bottom w:val="single" w:sz="4" w:space="0" w:color="auto"/>
              <w:right w:val="single" w:sz="4" w:space="0" w:color="auto"/>
            </w:tcBorders>
            <w:shd w:val="clear" w:color="000000" w:fill="B4C6E7"/>
            <w:vAlign w:val="bottom"/>
            <w:hideMark/>
          </w:tcPr>
          <w:p w14:paraId="5BD20ACA"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%Short-Term Outcomes Achieved</w:t>
            </w:r>
          </w:p>
        </w:tc>
      </w:tr>
      <w:tr w:rsidR="00BA0D82" w:rsidRPr="0005691D" w14:paraId="355CE6D7" w14:textId="77777777" w:rsidTr="00BC793A">
        <w:trPr>
          <w:trHeight w:val="300"/>
        </w:trPr>
        <w:tc>
          <w:tcPr>
            <w:tcW w:w="2506" w:type="dxa"/>
            <w:tcBorders>
              <w:top w:val="nil"/>
              <w:left w:val="single" w:sz="4" w:space="0" w:color="auto"/>
              <w:bottom w:val="single" w:sz="4" w:space="0" w:color="auto"/>
              <w:right w:val="single" w:sz="4" w:space="0" w:color="auto"/>
            </w:tcBorders>
            <w:shd w:val="clear" w:color="000000" w:fill="B4C6E7"/>
            <w:noWrap/>
            <w:vAlign w:val="center"/>
            <w:hideMark/>
          </w:tcPr>
          <w:p w14:paraId="020C9DB5" w14:textId="77777777" w:rsidR="00BA0D82" w:rsidRPr="0005691D" w:rsidRDefault="00BA0D82" w:rsidP="001A5653">
            <w:pPr>
              <w:spacing w:after="0" w:line="240" w:lineRule="auto"/>
              <w:jc w:val="right"/>
              <w:rPr>
                <w:rFonts w:ascii="Calibri" w:eastAsia="Times New Roman" w:hAnsi="Calibri" w:cs="Calibri"/>
                <w:b/>
                <w:bCs/>
                <w:color w:val="000000"/>
              </w:rPr>
            </w:pPr>
            <w:r w:rsidRPr="0005691D">
              <w:rPr>
                <w:rFonts w:ascii="Calibri" w:eastAsia="Times New Roman" w:hAnsi="Calibri" w:cs="Calibri"/>
                <w:b/>
                <w:bCs/>
                <w:color w:val="000000"/>
              </w:rPr>
              <w:t>Pre-ETS</w:t>
            </w:r>
          </w:p>
        </w:tc>
        <w:tc>
          <w:tcPr>
            <w:tcW w:w="1165" w:type="dxa"/>
            <w:tcBorders>
              <w:top w:val="nil"/>
              <w:left w:val="nil"/>
              <w:bottom w:val="single" w:sz="4" w:space="0" w:color="auto"/>
              <w:right w:val="single" w:sz="4" w:space="0" w:color="auto"/>
            </w:tcBorders>
            <w:shd w:val="clear" w:color="000000" w:fill="FFFFFF"/>
            <w:noWrap/>
            <w:vAlign w:val="center"/>
            <w:hideMark/>
          </w:tcPr>
          <w:p w14:paraId="390ADC3B"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6</w:t>
            </w:r>
          </w:p>
        </w:tc>
        <w:tc>
          <w:tcPr>
            <w:tcW w:w="1254" w:type="dxa"/>
            <w:tcBorders>
              <w:top w:val="nil"/>
              <w:left w:val="nil"/>
              <w:bottom w:val="single" w:sz="4" w:space="0" w:color="auto"/>
              <w:right w:val="single" w:sz="4" w:space="0" w:color="auto"/>
            </w:tcBorders>
            <w:shd w:val="clear" w:color="000000" w:fill="FFFFFF"/>
            <w:noWrap/>
            <w:vAlign w:val="center"/>
            <w:hideMark/>
          </w:tcPr>
          <w:p w14:paraId="70AF951B"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96%</w:t>
            </w:r>
          </w:p>
        </w:tc>
        <w:tc>
          <w:tcPr>
            <w:tcW w:w="897" w:type="dxa"/>
            <w:tcBorders>
              <w:top w:val="nil"/>
              <w:left w:val="nil"/>
              <w:bottom w:val="single" w:sz="4" w:space="0" w:color="auto"/>
              <w:right w:val="single" w:sz="4" w:space="0" w:color="auto"/>
            </w:tcBorders>
            <w:shd w:val="clear" w:color="000000" w:fill="FFFFFF"/>
            <w:noWrap/>
            <w:vAlign w:val="center"/>
            <w:hideMark/>
          </w:tcPr>
          <w:p w14:paraId="1AF81D34"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6</w:t>
            </w:r>
          </w:p>
        </w:tc>
        <w:tc>
          <w:tcPr>
            <w:tcW w:w="897" w:type="dxa"/>
            <w:tcBorders>
              <w:top w:val="nil"/>
              <w:left w:val="nil"/>
              <w:bottom w:val="single" w:sz="4" w:space="0" w:color="auto"/>
              <w:right w:val="single" w:sz="4" w:space="0" w:color="auto"/>
            </w:tcBorders>
            <w:shd w:val="clear" w:color="000000" w:fill="FFFFFF"/>
            <w:noWrap/>
            <w:vAlign w:val="center"/>
            <w:hideMark/>
          </w:tcPr>
          <w:p w14:paraId="3B85190D"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5</w:t>
            </w:r>
          </w:p>
        </w:tc>
        <w:tc>
          <w:tcPr>
            <w:tcW w:w="892" w:type="dxa"/>
            <w:tcBorders>
              <w:top w:val="nil"/>
              <w:left w:val="nil"/>
              <w:bottom w:val="single" w:sz="4" w:space="0" w:color="auto"/>
              <w:right w:val="single" w:sz="4" w:space="0" w:color="auto"/>
            </w:tcBorders>
            <w:shd w:val="clear" w:color="000000" w:fill="FFFFFF"/>
            <w:noWrap/>
            <w:vAlign w:val="center"/>
            <w:hideMark/>
          </w:tcPr>
          <w:p w14:paraId="7C1ED44C"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83%</w:t>
            </w:r>
          </w:p>
        </w:tc>
        <w:tc>
          <w:tcPr>
            <w:tcW w:w="1063" w:type="dxa"/>
            <w:tcBorders>
              <w:top w:val="nil"/>
              <w:left w:val="nil"/>
              <w:bottom w:val="single" w:sz="4" w:space="0" w:color="auto"/>
              <w:right w:val="single" w:sz="4" w:space="0" w:color="auto"/>
            </w:tcBorders>
            <w:shd w:val="clear" w:color="000000" w:fill="FFFFFF"/>
            <w:noWrap/>
            <w:vAlign w:val="center"/>
            <w:hideMark/>
          </w:tcPr>
          <w:p w14:paraId="45C359E0"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4</w:t>
            </w:r>
          </w:p>
        </w:tc>
        <w:tc>
          <w:tcPr>
            <w:tcW w:w="1063" w:type="dxa"/>
            <w:tcBorders>
              <w:top w:val="nil"/>
              <w:left w:val="nil"/>
              <w:bottom w:val="single" w:sz="4" w:space="0" w:color="auto"/>
              <w:right w:val="single" w:sz="4" w:space="0" w:color="auto"/>
            </w:tcBorders>
            <w:shd w:val="clear" w:color="000000" w:fill="FFFFFF"/>
            <w:noWrap/>
            <w:vAlign w:val="center"/>
            <w:hideMark/>
          </w:tcPr>
          <w:p w14:paraId="725BC05C"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4</w:t>
            </w:r>
          </w:p>
        </w:tc>
        <w:tc>
          <w:tcPr>
            <w:tcW w:w="1063" w:type="dxa"/>
            <w:tcBorders>
              <w:top w:val="nil"/>
              <w:left w:val="nil"/>
              <w:bottom w:val="single" w:sz="4" w:space="0" w:color="auto"/>
              <w:right w:val="single" w:sz="4" w:space="0" w:color="auto"/>
            </w:tcBorders>
            <w:shd w:val="clear" w:color="000000" w:fill="FFFFFF"/>
            <w:noWrap/>
            <w:vAlign w:val="center"/>
            <w:hideMark/>
          </w:tcPr>
          <w:p w14:paraId="44EF8F65"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100%</w:t>
            </w:r>
          </w:p>
        </w:tc>
      </w:tr>
      <w:tr w:rsidR="00BA0D82" w:rsidRPr="0005691D" w14:paraId="249E2CC7" w14:textId="77777777" w:rsidTr="00BC793A">
        <w:trPr>
          <w:trHeight w:val="300"/>
        </w:trPr>
        <w:tc>
          <w:tcPr>
            <w:tcW w:w="2506" w:type="dxa"/>
            <w:tcBorders>
              <w:top w:val="nil"/>
              <w:left w:val="single" w:sz="4" w:space="0" w:color="auto"/>
              <w:bottom w:val="single" w:sz="4" w:space="0" w:color="auto"/>
              <w:right w:val="single" w:sz="4" w:space="0" w:color="auto"/>
            </w:tcBorders>
            <w:shd w:val="clear" w:color="000000" w:fill="B4C6E7"/>
            <w:noWrap/>
            <w:vAlign w:val="center"/>
            <w:hideMark/>
          </w:tcPr>
          <w:p w14:paraId="48109514" w14:textId="77777777" w:rsidR="00BA0D82" w:rsidRPr="0005691D" w:rsidRDefault="00BA0D82" w:rsidP="001A5653">
            <w:pPr>
              <w:spacing w:after="0" w:line="240" w:lineRule="auto"/>
              <w:jc w:val="right"/>
              <w:rPr>
                <w:rFonts w:ascii="Calibri" w:eastAsia="Times New Roman" w:hAnsi="Calibri" w:cs="Calibri"/>
                <w:b/>
                <w:bCs/>
                <w:color w:val="000000"/>
              </w:rPr>
            </w:pPr>
            <w:r w:rsidRPr="0005691D">
              <w:rPr>
                <w:rFonts w:ascii="Calibri" w:eastAsia="Times New Roman" w:hAnsi="Calibri" w:cs="Calibri"/>
                <w:b/>
                <w:bCs/>
                <w:color w:val="000000"/>
              </w:rPr>
              <w:t>Section 511</w:t>
            </w:r>
          </w:p>
        </w:tc>
        <w:tc>
          <w:tcPr>
            <w:tcW w:w="1165" w:type="dxa"/>
            <w:tcBorders>
              <w:top w:val="nil"/>
              <w:left w:val="nil"/>
              <w:bottom w:val="single" w:sz="4" w:space="0" w:color="auto"/>
              <w:right w:val="single" w:sz="4" w:space="0" w:color="auto"/>
            </w:tcBorders>
            <w:shd w:val="clear" w:color="000000" w:fill="D9E2F3"/>
            <w:noWrap/>
            <w:vAlign w:val="center"/>
            <w:hideMark/>
          </w:tcPr>
          <w:p w14:paraId="3F340B57"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w:t>
            </w:r>
          </w:p>
        </w:tc>
        <w:tc>
          <w:tcPr>
            <w:tcW w:w="1254" w:type="dxa"/>
            <w:tcBorders>
              <w:top w:val="nil"/>
              <w:left w:val="nil"/>
              <w:bottom w:val="single" w:sz="4" w:space="0" w:color="auto"/>
              <w:right w:val="single" w:sz="4" w:space="0" w:color="auto"/>
            </w:tcBorders>
            <w:shd w:val="clear" w:color="000000" w:fill="D9E2F3"/>
            <w:noWrap/>
            <w:vAlign w:val="center"/>
            <w:hideMark/>
          </w:tcPr>
          <w:p w14:paraId="4AA3D1BC"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100%</w:t>
            </w:r>
          </w:p>
        </w:tc>
        <w:tc>
          <w:tcPr>
            <w:tcW w:w="897" w:type="dxa"/>
            <w:tcBorders>
              <w:top w:val="nil"/>
              <w:left w:val="nil"/>
              <w:bottom w:val="single" w:sz="4" w:space="0" w:color="auto"/>
              <w:right w:val="single" w:sz="4" w:space="0" w:color="auto"/>
            </w:tcBorders>
            <w:shd w:val="clear" w:color="000000" w:fill="D9E2F3"/>
            <w:noWrap/>
            <w:vAlign w:val="center"/>
            <w:hideMark/>
          </w:tcPr>
          <w:p w14:paraId="09B1FDEE"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w:t>
            </w:r>
          </w:p>
        </w:tc>
        <w:tc>
          <w:tcPr>
            <w:tcW w:w="897" w:type="dxa"/>
            <w:tcBorders>
              <w:top w:val="nil"/>
              <w:left w:val="nil"/>
              <w:bottom w:val="single" w:sz="4" w:space="0" w:color="auto"/>
              <w:right w:val="single" w:sz="4" w:space="0" w:color="auto"/>
            </w:tcBorders>
            <w:shd w:val="clear" w:color="000000" w:fill="D9E2F3"/>
            <w:noWrap/>
            <w:vAlign w:val="center"/>
            <w:hideMark/>
          </w:tcPr>
          <w:p w14:paraId="0C6744C4"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w:t>
            </w:r>
          </w:p>
        </w:tc>
        <w:tc>
          <w:tcPr>
            <w:tcW w:w="892" w:type="dxa"/>
            <w:tcBorders>
              <w:top w:val="nil"/>
              <w:left w:val="nil"/>
              <w:bottom w:val="single" w:sz="4" w:space="0" w:color="auto"/>
              <w:right w:val="single" w:sz="4" w:space="0" w:color="auto"/>
            </w:tcBorders>
            <w:shd w:val="clear" w:color="000000" w:fill="D9E2F3"/>
            <w:noWrap/>
            <w:vAlign w:val="center"/>
            <w:hideMark/>
          </w:tcPr>
          <w:p w14:paraId="70C5DA9B"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100%</w:t>
            </w:r>
          </w:p>
        </w:tc>
        <w:tc>
          <w:tcPr>
            <w:tcW w:w="1063" w:type="dxa"/>
            <w:tcBorders>
              <w:top w:val="nil"/>
              <w:left w:val="nil"/>
              <w:bottom w:val="single" w:sz="4" w:space="0" w:color="auto"/>
              <w:right w:val="single" w:sz="4" w:space="0" w:color="auto"/>
            </w:tcBorders>
            <w:shd w:val="clear" w:color="000000" w:fill="D9E2F3"/>
            <w:noWrap/>
            <w:vAlign w:val="center"/>
            <w:hideMark/>
          </w:tcPr>
          <w:p w14:paraId="7160707B"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2</w:t>
            </w:r>
          </w:p>
        </w:tc>
        <w:tc>
          <w:tcPr>
            <w:tcW w:w="1063" w:type="dxa"/>
            <w:tcBorders>
              <w:top w:val="nil"/>
              <w:left w:val="nil"/>
              <w:bottom w:val="single" w:sz="4" w:space="0" w:color="auto"/>
              <w:right w:val="single" w:sz="4" w:space="0" w:color="auto"/>
            </w:tcBorders>
            <w:shd w:val="clear" w:color="000000" w:fill="D9E2F3"/>
            <w:noWrap/>
            <w:vAlign w:val="center"/>
            <w:hideMark/>
          </w:tcPr>
          <w:p w14:paraId="1BC80869"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w:t>
            </w:r>
          </w:p>
        </w:tc>
        <w:tc>
          <w:tcPr>
            <w:tcW w:w="1063" w:type="dxa"/>
            <w:tcBorders>
              <w:top w:val="nil"/>
              <w:left w:val="nil"/>
              <w:bottom w:val="single" w:sz="4" w:space="0" w:color="auto"/>
              <w:right w:val="single" w:sz="4" w:space="0" w:color="auto"/>
            </w:tcBorders>
            <w:shd w:val="clear" w:color="000000" w:fill="D9E2F3"/>
            <w:noWrap/>
            <w:vAlign w:val="center"/>
            <w:hideMark/>
          </w:tcPr>
          <w:p w14:paraId="63F76302"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50%</w:t>
            </w:r>
          </w:p>
        </w:tc>
      </w:tr>
      <w:tr w:rsidR="00BA0D82" w:rsidRPr="0005691D" w14:paraId="48FE7A13" w14:textId="77777777" w:rsidTr="00BC793A">
        <w:trPr>
          <w:trHeight w:val="300"/>
        </w:trPr>
        <w:tc>
          <w:tcPr>
            <w:tcW w:w="2506" w:type="dxa"/>
            <w:tcBorders>
              <w:top w:val="nil"/>
              <w:left w:val="single" w:sz="4" w:space="0" w:color="auto"/>
              <w:bottom w:val="single" w:sz="4" w:space="0" w:color="auto"/>
              <w:right w:val="single" w:sz="4" w:space="0" w:color="auto"/>
            </w:tcBorders>
            <w:shd w:val="clear" w:color="000000" w:fill="B4C6E7"/>
            <w:noWrap/>
            <w:vAlign w:val="center"/>
            <w:hideMark/>
          </w:tcPr>
          <w:p w14:paraId="63289B18" w14:textId="77777777" w:rsidR="00BA0D82" w:rsidRPr="0005691D" w:rsidRDefault="00BA0D82" w:rsidP="001A5653">
            <w:pPr>
              <w:spacing w:after="0" w:line="240" w:lineRule="auto"/>
              <w:jc w:val="right"/>
              <w:rPr>
                <w:rFonts w:ascii="Calibri" w:eastAsia="Times New Roman" w:hAnsi="Calibri" w:cs="Calibri"/>
                <w:b/>
                <w:bCs/>
                <w:color w:val="000000"/>
              </w:rPr>
            </w:pPr>
            <w:r w:rsidRPr="0005691D">
              <w:rPr>
                <w:rFonts w:ascii="Calibri" w:eastAsia="Times New Roman" w:hAnsi="Calibri" w:cs="Calibri"/>
                <w:b/>
                <w:bCs/>
                <w:color w:val="000000"/>
              </w:rPr>
              <w:t>Common Performance Measures</w:t>
            </w:r>
          </w:p>
        </w:tc>
        <w:tc>
          <w:tcPr>
            <w:tcW w:w="1165" w:type="dxa"/>
            <w:tcBorders>
              <w:top w:val="nil"/>
              <w:left w:val="nil"/>
              <w:bottom w:val="single" w:sz="4" w:space="0" w:color="auto"/>
              <w:right w:val="single" w:sz="4" w:space="0" w:color="auto"/>
            </w:tcBorders>
            <w:shd w:val="clear" w:color="000000" w:fill="FFFFFF"/>
            <w:noWrap/>
            <w:vAlign w:val="center"/>
            <w:hideMark/>
          </w:tcPr>
          <w:p w14:paraId="27D2C887"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3</w:t>
            </w:r>
          </w:p>
        </w:tc>
        <w:tc>
          <w:tcPr>
            <w:tcW w:w="1254" w:type="dxa"/>
            <w:tcBorders>
              <w:top w:val="nil"/>
              <w:left w:val="nil"/>
              <w:bottom w:val="single" w:sz="4" w:space="0" w:color="auto"/>
              <w:right w:val="single" w:sz="4" w:space="0" w:color="auto"/>
            </w:tcBorders>
            <w:shd w:val="clear" w:color="000000" w:fill="FFFFFF"/>
            <w:noWrap/>
            <w:vAlign w:val="center"/>
            <w:hideMark/>
          </w:tcPr>
          <w:p w14:paraId="5C63B098"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75%</w:t>
            </w:r>
          </w:p>
        </w:tc>
        <w:tc>
          <w:tcPr>
            <w:tcW w:w="897" w:type="dxa"/>
            <w:tcBorders>
              <w:top w:val="nil"/>
              <w:left w:val="nil"/>
              <w:bottom w:val="single" w:sz="4" w:space="0" w:color="auto"/>
              <w:right w:val="single" w:sz="4" w:space="0" w:color="auto"/>
            </w:tcBorders>
            <w:shd w:val="clear" w:color="000000" w:fill="FFFFFF"/>
            <w:noWrap/>
            <w:vAlign w:val="center"/>
            <w:hideMark/>
          </w:tcPr>
          <w:p w14:paraId="777A90FB"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3</w:t>
            </w:r>
          </w:p>
        </w:tc>
        <w:tc>
          <w:tcPr>
            <w:tcW w:w="897" w:type="dxa"/>
            <w:tcBorders>
              <w:top w:val="nil"/>
              <w:left w:val="nil"/>
              <w:bottom w:val="single" w:sz="4" w:space="0" w:color="auto"/>
              <w:right w:val="single" w:sz="4" w:space="0" w:color="auto"/>
            </w:tcBorders>
            <w:shd w:val="clear" w:color="000000" w:fill="FFFFFF"/>
            <w:noWrap/>
            <w:vAlign w:val="center"/>
            <w:hideMark/>
          </w:tcPr>
          <w:p w14:paraId="3418DE40"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2</w:t>
            </w:r>
          </w:p>
        </w:tc>
        <w:tc>
          <w:tcPr>
            <w:tcW w:w="892" w:type="dxa"/>
            <w:tcBorders>
              <w:top w:val="nil"/>
              <w:left w:val="nil"/>
              <w:bottom w:val="single" w:sz="4" w:space="0" w:color="auto"/>
              <w:right w:val="single" w:sz="4" w:space="0" w:color="auto"/>
            </w:tcBorders>
            <w:shd w:val="clear" w:color="000000" w:fill="FFFFFF"/>
            <w:noWrap/>
            <w:vAlign w:val="center"/>
            <w:hideMark/>
          </w:tcPr>
          <w:p w14:paraId="39131AD6"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67%</w:t>
            </w:r>
          </w:p>
        </w:tc>
        <w:tc>
          <w:tcPr>
            <w:tcW w:w="1063" w:type="dxa"/>
            <w:tcBorders>
              <w:top w:val="nil"/>
              <w:left w:val="nil"/>
              <w:bottom w:val="single" w:sz="4" w:space="0" w:color="auto"/>
              <w:right w:val="single" w:sz="4" w:space="0" w:color="auto"/>
            </w:tcBorders>
            <w:shd w:val="clear" w:color="000000" w:fill="FFFFFF"/>
            <w:noWrap/>
            <w:vAlign w:val="center"/>
            <w:hideMark/>
          </w:tcPr>
          <w:p w14:paraId="2CF95890"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2</w:t>
            </w:r>
          </w:p>
        </w:tc>
        <w:tc>
          <w:tcPr>
            <w:tcW w:w="1063" w:type="dxa"/>
            <w:tcBorders>
              <w:top w:val="nil"/>
              <w:left w:val="nil"/>
              <w:bottom w:val="single" w:sz="4" w:space="0" w:color="auto"/>
              <w:right w:val="single" w:sz="4" w:space="0" w:color="auto"/>
            </w:tcBorders>
            <w:shd w:val="clear" w:color="000000" w:fill="FFFFFF"/>
            <w:noWrap/>
            <w:vAlign w:val="center"/>
            <w:hideMark/>
          </w:tcPr>
          <w:p w14:paraId="74C75776"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2</w:t>
            </w:r>
          </w:p>
        </w:tc>
        <w:tc>
          <w:tcPr>
            <w:tcW w:w="1063" w:type="dxa"/>
            <w:tcBorders>
              <w:top w:val="nil"/>
              <w:left w:val="nil"/>
              <w:bottom w:val="single" w:sz="4" w:space="0" w:color="auto"/>
              <w:right w:val="single" w:sz="4" w:space="0" w:color="auto"/>
            </w:tcBorders>
            <w:shd w:val="clear" w:color="000000" w:fill="FFFFFF"/>
            <w:noWrap/>
            <w:vAlign w:val="center"/>
            <w:hideMark/>
          </w:tcPr>
          <w:p w14:paraId="1E735131"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100%</w:t>
            </w:r>
          </w:p>
        </w:tc>
      </w:tr>
      <w:tr w:rsidR="00BA0D82" w:rsidRPr="0005691D" w14:paraId="31265D1B" w14:textId="77777777" w:rsidTr="00BC793A">
        <w:trPr>
          <w:trHeight w:val="300"/>
        </w:trPr>
        <w:tc>
          <w:tcPr>
            <w:tcW w:w="2506" w:type="dxa"/>
            <w:tcBorders>
              <w:top w:val="nil"/>
              <w:left w:val="single" w:sz="4" w:space="0" w:color="auto"/>
              <w:bottom w:val="single" w:sz="4" w:space="0" w:color="auto"/>
              <w:right w:val="single" w:sz="4" w:space="0" w:color="auto"/>
            </w:tcBorders>
            <w:shd w:val="clear" w:color="000000" w:fill="B4C6E7"/>
            <w:noWrap/>
            <w:vAlign w:val="center"/>
            <w:hideMark/>
          </w:tcPr>
          <w:p w14:paraId="659E0A5C" w14:textId="77777777" w:rsidR="00BA0D82" w:rsidRPr="0005691D" w:rsidRDefault="00BA0D82" w:rsidP="001A5653">
            <w:pPr>
              <w:spacing w:after="0" w:line="240" w:lineRule="auto"/>
              <w:jc w:val="right"/>
              <w:rPr>
                <w:rFonts w:ascii="Calibri" w:eastAsia="Times New Roman" w:hAnsi="Calibri" w:cs="Calibri"/>
                <w:b/>
                <w:bCs/>
                <w:color w:val="000000"/>
              </w:rPr>
            </w:pPr>
            <w:r w:rsidRPr="0005691D">
              <w:rPr>
                <w:rFonts w:ascii="Calibri" w:eastAsia="Times New Roman" w:hAnsi="Calibri" w:cs="Calibri"/>
                <w:b/>
                <w:bCs/>
                <w:color w:val="000000"/>
              </w:rPr>
              <w:t>Supported Employment</w:t>
            </w:r>
          </w:p>
        </w:tc>
        <w:tc>
          <w:tcPr>
            <w:tcW w:w="1165" w:type="dxa"/>
            <w:tcBorders>
              <w:top w:val="nil"/>
              <w:left w:val="nil"/>
              <w:bottom w:val="single" w:sz="4" w:space="0" w:color="auto"/>
              <w:right w:val="single" w:sz="4" w:space="0" w:color="auto"/>
            </w:tcBorders>
            <w:shd w:val="clear" w:color="000000" w:fill="D9E2F3"/>
            <w:noWrap/>
            <w:vAlign w:val="center"/>
            <w:hideMark/>
          </w:tcPr>
          <w:p w14:paraId="7B0054FE"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2</w:t>
            </w:r>
          </w:p>
        </w:tc>
        <w:tc>
          <w:tcPr>
            <w:tcW w:w="1254" w:type="dxa"/>
            <w:tcBorders>
              <w:top w:val="nil"/>
              <w:left w:val="nil"/>
              <w:bottom w:val="single" w:sz="4" w:space="0" w:color="auto"/>
              <w:right w:val="single" w:sz="4" w:space="0" w:color="auto"/>
            </w:tcBorders>
            <w:shd w:val="clear" w:color="000000" w:fill="D9E2F3"/>
            <w:noWrap/>
            <w:vAlign w:val="center"/>
            <w:hideMark/>
          </w:tcPr>
          <w:p w14:paraId="56C991DA"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70%</w:t>
            </w:r>
          </w:p>
        </w:tc>
        <w:tc>
          <w:tcPr>
            <w:tcW w:w="897" w:type="dxa"/>
            <w:tcBorders>
              <w:top w:val="nil"/>
              <w:left w:val="nil"/>
              <w:bottom w:val="single" w:sz="4" w:space="0" w:color="auto"/>
              <w:right w:val="single" w:sz="4" w:space="0" w:color="auto"/>
            </w:tcBorders>
            <w:shd w:val="clear" w:color="000000" w:fill="D9E2F3"/>
            <w:noWrap/>
            <w:vAlign w:val="center"/>
            <w:hideMark/>
          </w:tcPr>
          <w:p w14:paraId="0DED4286"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2</w:t>
            </w:r>
          </w:p>
        </w:tc>
        <w:tc>
          <w:tcPr>
            <w:tcW w:w="897" w:type="dxa"/>
            <w:tcBorders>
              <w:top w:val="nil"/>
              <w:left w:val="nil"/>
              <w:bottom w:val="single" w:sz="4" w:space="0" w:color="auto"/>
              <w:right w:val="single" w:sz="4" w:space="0" w:color="auto"/>
            </w:tcBorders>
            <w:shd w:val="clear" w:color="000000" w:fill="D9E2F3"/>
            <w:noWrap/>
            <w:vAlign w:val="center"/>
            <w:hideMark/>
          </w:tcPr>
          <w:p w14:paraId="621DB87D"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0</w:t>
            </w:r>
          </w:p>
        </w:tc>
        <w:tc>
          <w:tcPr>
            <w:tcW w:w="892" w:type="dxa"/>
            <w:tcBorders>
              <w:top w:val="nil"/>
              <w:left w:val="nil"/>
              <w:bottom w:val="single" w:sz="4" w:space="0" w:color="auto"/>
              <w:right w:val="single" w:sz="4" w:space="0" w:color="auto"/>
            </w:tcBorders>
            <w:shd w:val="clear" w:color="000000" w:fill="D9E2F3"/>
            <w:noWrap/>
            <w:vAlign w:val="center"/>
            <w:hideMark/>
          </w:tcPr>
          <w:p w14:paraId="293B7AE3"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0%</w:t>
            </w:r>
          </w:p>
        </w:tc>
        <w:tc>
          <w:tcPr>
            <w:tcW w:w="1063" w:type="dxa"/>
            <w:tcBorders>
              <w:top w:val="nil"/>
              <w:left w:val="nil"/>
              <w:bottom w:val="single" w:sz="4" w:space="0" w:color="auto"/>
              <w:right w:val="single" w:sz="4" w:space="0" w:color="auto"/>
            </w:tcBorders>
            <w:shd w:val="clear" w:color="000000" w:fill="D9E2F3"/>
            <w:noWrap/>
            <w:vAlign w:val="center"/>
            <w:hideMark/>
          </w:tcPr>
          <w:p w14:paraId="69E62A62"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w:t>
            </w:r>
          </w:p>
        </w:tc>
        <w:tc>
          <w:tcPr>
            <w:tcW w:w="1063" w:type="dxa"/>
            <w:tcBorders>
              <w:top w:val="nil"/>
              <w:left w:val="nil"/>
              <w:bottom w:val="single" w:sz="4" w:space="0" w:color="auto"/>
              <w:right w:val="single" w:sz="4" w:space="0" w:color="auto"/>
            </w:tcBorders>
            <w:shd w:val="clear" w:color="000000" w:fill="D9E2F3"/>
            <w:noWrap/>
            <w:vAlign w:val="center"/>
            <w:hideMark/>
          </w:tcPr>
          <w:p w14:paraId="3DF4DC3A"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0</w:t>
            </w:r>
          </w:p>
        </w:tc>
        <w:tc>
          <w:tcPr>
            <w:tcW w:w="1063" w:type="dxa"/>
            <w:tcBorders>
              <w:top w:val="nil"/>
              <w:left w:val="nil"/>
              <w:bottom w:val="single" w:sz="4" w:space="0" w:color="auto"/>
              <w:right w:val="single" w:sz="4" w:space="0" w:color="auto"/>
            </w:tcBorders>
            <w:shd w:val="clear" w:color="000000" w:fill="D9E2F3"/>
            <w:noWrap/>
            <w:vAlign w:val="center"/>
            <w:hideMark/>
          </w:tcPr>
          <w:p w14:paraId="75B162C0"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0%</w:t>
            </w:r>
          </w:p>
        </w:tc>
      </w:tr>
      <w:tr w:rsidR="00BA0D82" w:rsidRPr="0005691D" w14:paraId="17D8420D" w14:textId="77777777" w:rsidTr="00BC793A">
        <w:trPr>
          <w:trHeight w:val="300"/>
        </w:trPr>
        <w:tc>
          <w:tcPr>
            <w:tcW w:w="2506" w:type="dxa"/>
            <w:tcBorders>
              <w:top w:val="nil"/>
              <w:left w:val="nil"/>
              <w:bottom w:val="nil"/>
              <w:right w:val="nil"/>
            </w:tcBorders>
            <w:shd w:val="clear" w:color="auto" w:fill="auto"/>
            <w:noWrap/>
            <w:vAlign w:val="bottom"/>
            <w:hideMark/>
          </w:tcPr>
          <w:p w14:paraId="27CEAA4E" w14:textId="77777777" w:rsidR="00BA0D82" w:rsidRPr="0005691D" w:rsidRDefault="00BA0D82" w:rsidP="001A5653">
            <w:pPr>
              <w:spacing w:after="0" w:line="240" w:lineRule="auto"/>
              <w:jc w:val="center"/>
              <w:rPr>
                <w:rFonts w:ascii="Calibri" w:eastAsia="Times New Roman" w:hAnsi="Calibri" w:cs="Calibri"/>
                <w:color w:val="000000"/>
              </w:rPr>
            </w:pPr>
          </w:p>
        </w:tc>
        <w:tc>
          <w:tcPr>
            <w:tcW w:w="1165" w:type="dxa"/>
            <w:tcBorders>
              <w:top w:val="nil"/>
              <w:left w:val="nil"/>
              <w:bottom w:val="nil"/>
              <w:right w:val="nil"/>
            </w:tcBorders>
            <w:shd w:val="clear" w:color="auto" w:fill="auto"/>
            <w:noWrap/>
            <w:vAlign w:val="center"/>
            <w:hideMark/>
          </w:tcPr>
          <w:p w14:paraId="3E682F7A" w14:textId="77777777" w:rsidR="00BA0D82" w:rsidRPr="0005691D" w:rsidRDefault="00BA0D82" w:rsidP="001A5653">
            <w:pPr>
              <w:spacing w:after="0" w:line="240" w:lineRule="auto"/>
              <w:rPr>
                <w:rFonts w:ascii="Times New Roman" w:eastAsia="Times New Roman" w:hAnsi="Times New Roman" w:cs="Times New Roman"/>
                <w:sz w:val="20"/>
                <w:szCs w:val="20"/>
              </w:rPr>
            </w:pPr>
          </w:p>
        </w:tc>
        <w:tc>
          <w:tcPr>
            <w:tcW w:w="1254" w:type="dxa"/>
            <w:tcBorders>
              <w:top w:val="nil"/>
              <w:left w:val="nil"/>
              <w:bottom w:val="nil"/>
              <w:right w:val="nil"/>
            </w:tcBorders>
            <w:shd w:val="clear" w:color="auto" w:fill="auto"/>
            <w:noWrap/>
            <w:vAlign w:val="center"/>
            <w:hideMark/>
          </w:tcPr>
          <w:p w14:paraId="3DF23D8D"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c>
          <w:tcPr>
            <w:tcW w:w="897" w:type="dxa"/>
            <w:tcBorders>
              <w:top w:val="nil"/>
              <w:left w:val="nil"/>
              <w:bottom w:val="nil"/>
              <w:right w:val="nil"/>
            </w:tcBorders>
            <w:shd w:val="clear" w:color="auto" w:fill="auto"/>
            <w:noWrap/>
            <w:vAlign w:val="center"/>
            <w:hideMark/>
          </w:tcPr>
          <w:p w14:paraId="11302916"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c>
          <w:tcPr>
            <w:tcW w:w="897" w:type="dxa"/>
            <w:tcBorders>
              <w:top w:val="nil"/>
              <w:left w:val="nil"/>
              <w:bottom w:val="nil"/>
              <w:right w:val="nil"/>
            </w:tcBorders>
            <w:shd w:val="clear" w:color="auto" w:fill="auto"/>
            <w:noWrap/>
            <w:vAlign w:val="center"/>
            <w:hideMark/>
          </w:tcPr>
          <w:p w14:paraId="7FA4E2D1"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c>
          <w:tcPr>
            <w:tcW w:w="892" w:type="dxa"/>
            <w:tcBorders>
              <w:top w:val="nil"/>
              <w:left w:val="nil"/>
              <w:bottom w:val="nil"/>
              <w:right w:val="nil"/>
            </w:tcBorders>
            <w:shd w:val="clear" w:color="auto" w:fill="auto"/>
            <w:noWrap/>
            <w:vAlign w:val="center"/>
            <w:hideMark/>
          </w:tcPr>
          <w:p w14:paraId="739E641C"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c>
          <w:tcPr>
            <w:tcW w:w="1063" w:type="dxa"/>
            <w:tcBorders>
              <w:top w:val="nil"/>
              <w:left w:val="nil"/>
              <w:bottom w:val="nil"/>
              <w:right w:val="nil"/>
            </w:tcBorders>
            <w:shd w:val="clear" w:color="auto" w:fill="auto"/>
            <w:noWrap/>
            <w:vAlign w:val="center"/>
            <w:hideMark/>
          </w:tcPr>
          <w:p w14:paraId="1E736D80"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c>
          <w:tcPr>
            <w:tcW w:w="1063" w:type="dxa"/>
            <w:tcBorders>
              <w:top w:val="nil"/>
              <w:left w:val="nil"/>
              <w:bottom w:val="nil"/>
              <w:right w:val="nil"/>
            </w:tcBorders>
            <w:shd w:val="clear" w:color="auto" w:fill="auto"/>
            <w:noWrap/>
            <w:vAlign w:val="center"/>
            <w:hideMark/>
          </w:tcPr>
          <w:p w14:paraId="4D3C8D8F"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c>
          <w:tcPr>
            <w:tcW w:w="1063" w:type="dxa"/>
            <w:tcBorders>
              <w:top w:val="nil"/>
              <w:left w:val="nil"/>
              <w:bottom w:val="nil"/>
              <w:right w:val="nil"/>
            </w:tcBorders>
            <w:shd w:val="clear" w:color="auto" w:fill="auto"/>
            <w:noWrap/>
            <w:vAlign w:val="center"/>
            <w:hideMark/>
          </w:tcPr>
          <w:p w14:paraId="270F7A6C"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r>
      <w:tr w:rsidR="00BA0D82" w:rsidRPr="0005691D" w14:paraId="3C3FEE50" w14:textId="77777777" w:rsidTr="001A5653">
        <w:trPr>
          <w:trHeight w:val="465"/>
        </w:trPr>
        <w:tc>
          <w:tcPr>
            <w:tcW w:w="10800" w:type="dxa"/>
            <w:gridSpan w:val="9"/>
            <w:tcBorders>
              <w:top w:val="single" w:sz="4" w:space="0" w:color="auto"/>
              <w:left w:val="nil"/>
              <w:bottom w:val="single" w:sz="4" w:space="0" w:color="auto"/>
              <w:right w:val="nil"/>
            </w:tcBorders>
            <w:shd w:val="clear" w:color="auto" w:fill="auto"/>
            <w:noWrap/>
            <w:vAlign w:val="bottom"/>
            <w:hideMark/>
          </w:tcPr>
          <w:p w14:paraId="5E6AA4C4" w14:textId="77777777" w:rsidR="00BA0D82" w:rsidRPr="0005691D" w:rsidRDefault="00BA0D82" w:rsidP="00BA0D82">
            <w:pPr>
              <w:pStyle w:val="Heading2"/>
              <w:numPr>
                <w:ilvl w:val="0"/>
                <w:numId w:val="0"/>
              </w:numPr>
              <w:rPr>
                <w:rFonts w:eastAsia="Times New Roman"/>
              </w:rPr>
            </w:pPr>
            <w:bookmarkStart w:id="187" w:name="_Toc27143183"/>
            <w:bookmarkStart w:id="188" w:name="_Toc28011482"/>
            <w:r w:rsidRPr="0005691D">
              <w:rPr>
                <w:rFonts w:eastAsia="Times New Roman"/>
              </w:rPr>
              <w:t>Arkansas Blind</w:t>
            </w:r>
            <w:bookmarkEnd w:id="187"/>
            <w:bookmarkEnd w:id="188"/>
          </w:p>
        </w:tc>
      </w:tr>
      <w:tr w:rsidR="00BA0D82" w:rsidRPr="0005691D" w14:paraId="0615E101" w14:textId="77777777" w:rsidTr="00BC793A">
        <w:trPr>
          <w:trHeight w:val="1305"/>
        </w:trPr>
        <w:tc>
          <w:tcPr>
            <w:tcW w:w="2506" w:type="dxa"/>
            <w:tcBorders>
              <w:top w:val="nil"/>
              <w:left w:val="single" w:sz="4" w:space="0" w:color="auto"/>
              <w:bottom w:val="single" w:sz="4" w:space="0" w:color="auto"/>
              <w:right w:val="single" w:sz="4" w:space="0" w:color="auto"/>
            </w:tcBorders>
            <w:shd w:val="clear" w:color="000000" w:fill="B4C6E7"/>
            <w:vAlign w:val="bottom"/>
            <w:hideMark/>
          </w:tcPr>
          <w:p w14:paraId="7BA6373E" w14:textId="77777777" w:rsidR="00BA0D82" w:rsidRPr="0005691D" w:rsidRDefault="00BA0D82" w:rsidP="001A5653">
            <w:pPr>
              <w:spacing w:after="0" w:line="240" w:lineRule="auto"/>
              <w:jc w:val="right"/>
              <w:rPr>
                <w:rFonts w:ascii="Calibri" w:eastAsia="Times New Roman" w:hAnsi="Calibri" w:cs="Calibri"/>
                <w:b/>
                <w:bCs/>
                <w:color w:val="000000"/>
                <w:szCs w:val="28"/>
              </w:rPr>
            </w:pPr>
            <w:r w:rsidRPr="0005691D">
              <w:rPr>
                <w:rFonts w:ascii="Calibri" w:eastAsia="Times New Roman" w:hAnsi="Calibri" w:cs="Calibri"/>
                <w:b/>
                <w:bCs/>
                <w:color w:val="000000"/>
                <w:szCs w:val="28"/>
              </w:rPr>
              <w:t>Area</w:t>
            </w:r>
          </w:p>
        </w:tc>
        <w:tc>
          <w:tcPr>
            <w:tcW w:w="1165" w:type="dxa"/>
            <w:tcBorders>
              <w:top w:val="nil"/>
              <w:left w:val="nil"/>
              <w:bottom w:val="single" w:sz="4" w:space="0" w:color="auto"/>
              <w:right w:val="single" w:sz="4" w:space="0" w:color="auto"/>
            </w:tcBorders>
            <w:shd w:val="clear" w:color="000000" w:fill="B4C6E7"/>
            <w:vAlign w:val="bottom"/>
            <w:hideMark/>
          </w:tcPr>
          <w:p w14:paraId="32A250F7"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of Total Activities</w:t>
            </w:r>
          </w:p>
        </w:tc>
        <w:tc>
          <w:tcPr>
            <w:tcW w:w="1254" w:type="dxa"/>
            <w:tcBorders>
              <w:top w:val="nil"/>
              <w:left w:val="nil"/>
              <w:bottom w:val="single" w:sz="4" w:space="0" w:color="auto"/>
              <w:right w:val="single" w:sz="4" w:space="0" w:color="auto"/>
            </w:tcBorders>
            <w:shd w:val="clear" w:color="000000" w:fill="B4C6E7"/>
            <w:vAlign w:val="bottom"/>
            <w:hideMark/>
          </w:tcPr>
          <w:p w14:paraId="1808EEEC"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Average Progress on Activities (%)</w:t>
            </w:r>
          </w:p>
        </w:tc>
        <w:tc>
          <w:tcPr>
            <w:tcW w:w="897" w:type="dxa"/>
            <w:tcBorders>
              <w:top w:val="nil"/>
              <w:left w:val="nil"/>
              <w:bottom w:val="single" w:sz="4" w:space="0" w:color="auto"/>
              <w:right w:val="single" w:sz="4" w:space="0" w:color="auto"/>
            </w:tcBorders>
            <w:shd w:val="clear" w:color="000000" w:fill="B4C6E7"/>
            <w:vAlign w:val="bottom"/>
            <w:hideMark/>
          </w:tcPr>
          <w:p w14:paraId="29C28962"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Outputs</w:t>
            </w:r>
          </w:p>
        </w:tc>
        <w:tc>
          <w:tcPr>
            <w:tcW w:w="897" w:type="dxa"/>
            <w:tcBorders>
              <w:top w:val="nil"/>
              <w:left w:val="nil"/>
              <w:bottom w:val="single" w:sz="4" w:space="0" w:color="auto"/>
              <w:right w:val="single" w:sz="4" w:space="0" w:color="auto"/>
            </w:tcBorders>
            <w:shd w:val="clear" w:color="000000" w:fill="B4C6E7"/>
            <w:vAlign w:val="bottom"/>
            <w:hideMark/>
          </w:tcPr>
          <w:p w14:paraId="271D508A"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Outputs Met</w:t>
            </w:r>
          </w:p>
        </w:tc>
        <w:tc>
          <w:tcPr>
            <w:tcW w:w="892" w:type="dxa"/>
            <w:tcBorders>
              <w:top w:val="nil"/>
              <w:left w:val="nil"/>
              <w:bottom w:val="single" w:sz="4" w:space="0" w:color="auto"/>
              <w:right w:val="single" w:sz="4" w:space="0" w:color="auto"/>
            </w:tcBorders>
            <w:shd w:val="clear" w:color="000000" w:fill="B4C6E7"/>
            <w:vAlign w:val="bottom"/>
            <w:hideMark/>
          </w:tcPr>
          <w:p w14:paraId="2AA7931A"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Outputs Met</w:t>
            </w:r>
          </w:p>
        </w:tc>
        <w:tc>
          <w:tcPr>
            <w:tcW w:w="1063" w:type="dxa"/>
            <w:tcBorders>
              <w:top w:val="nil"/>
              <w:left w:val="nil"/>
              <w:bottom w:val="single" w:sz="4" w:space="0" w:color="auto"/>
              <w:right w:val="single" w:sz="4" w:space="0" w:color="auto"/>
            </w:tcBorders>
            <w:shd w:val="clear" w:color="000000" w:fill="B4C6E7"/>
            <w:vAlign w:val="bottom"/>
            <w:hideMark/>
          </w:tcPr>
          <w:p w14:paraId="79C32588"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Short-Term Outcomes</w:t>
            </w:r>
          </w:p>
        </w:tc>
        <w:tc>
          <w:tcPr>
            <w:tcW w:w="1063" w:type="dxa"/>
            <w:tcBorders>
              <w:top w:val="nil"/>
              <w:left w:val="nil"/>
              <w:bottom w:val="single" w:sz="4" w:space="0" w:color="auto"/>
              <w:right w:val="single" w:sz="4" w:space="0" w:color="auto"/>
            </w:tcBorders>
            <w:shd w:val="clear" w:color="000000" w:fill="B4C6E7"/>
            <w:vAlign w:val="bottom"/>
            <w:hideMark/>
          </w:tcPr>
          <w:p w14:paraId="4E83D17C"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Short-Term Outcomes Met</w:t>
            </w:r>
          </w:p>
        </w:tc>
        <w:tc>
          <w:tcPr>
            <w:tcW w:w="1063" w:type="dxa"/>
            <w:tcBorders>
              <w:top w:val="nil"/>
              <w:left w:val="nil"/>
              <w:bottom w:val="single" w:sz="4" w:space="0" w:color="auto"/>
              <w:right w:val="single" w:sz="4" w:space="0" w:color="auto"/>
            </w:tcBorders>
            <w:shd w:val="clear" w:color="000000" w:fill="B4C6E7"/>
            <w:vAlign w:val="bottom"/>
            <w:hideMark/>
          </w:tcPr>
          <w:p w14:paraId="32085E49"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%Short-Term Outcomes Achieved</w:t>
            </w:r>
          </w:p>
        </w:tc>
      </w:tr>
      <w:tr w:rsidR="00BA0D82" w:rsidRPr="0005691D" w14:paraId="4BEFA58D" w14:textId="77777777" w:rsidTr="00BC793A">
        <w:trPr>
          <w:trHeight w:val="300"/>
        </w:trPr>
        <w:tc>
          <w:tcPr>
            <w:tcW w:w="2506" w:type="dxa"/>
            <w:tcBorders>
              <w:top w:val="nil"/>
              <w:left w:val="single" w:sz="4" w:space="0" w:color="auto"/>
              <w:bottom w:val="single" w:sz="4" w:space="0" w:color="auto"/>
              <w:right w:val="single" w:sz="4" w:space="0" w:color="auto"/>
            </w:tcBorders>
            <w:shd w:val="clear" w:color="000000" w:fill="B4C6E7"/>
            <w:noWrap/>
            <w:vAlign w:val="center"/>
            <w:hideMark/>
          </w:tcPr>
          <w:p w14:paraId="1065859C" w14:textId="77777777" w:rsidR="00BA0D82" w:rsidRPr="0005691D" w:rsidRDefault="00BA0D82" w:rsidP="001A5653">
            <w:pPr>
              <w:spacing w:after="0" w:line="240" w:lineRule="auto"/>
              <w:jc w:val="right"/>
              <w:rPr>
                <w:rFonts w:ascii="Calibri" w:eastAsia="Times New Roman" w:hAnsi="Calibri" w:cs="Calibri"/>
                <w:b/>
                <w:bCs/>
                <w:color w:val="000000"/>
              </w:rPr>
            </w:pPr>
            <w:r w:rsidRPr="0005691D">
              <w:rPr>
                <w:rFonts w:ascii="Calibri" w:eastAsia="Times New Roman" w:hAnsi="Calibri" w:cs="Calibri"/>
                <w:b/>
                <w:bCs/>
                <w:color w:val="000000"/>
              </w:rPr>
              <w:t>Pre-ETS</w:t>
            </w:r>
          </w:p>
        </w:tc>
        <w:tc>
          <w:tcPr>
            <w:tcW w:w="1165" w:type="dxa"/>
            <w:tcBorders>
              <w:top w:val="nil"/>
              <w:left w:val="nil"/>
              <w:bottom w:val="single" w:sz="4" w:space="0" w:color="auto"/>
              <w:right w:val="single" w:sz="4" w:space="0" w:color="auto"/>
            </w:tcBorders>
            <w:shd w:val="clear" w:color="000000" w:fill="FFFFFF"/>
            <w:noWrap/>
            <w:vAlign w:val="center"/>
            <w:hideMark/>
          </w:tcPr>
          <w:p w14:paraId="21C36586"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9</w:t>
            </w:r>
          </w:p>
        </w:tc>
        <w:tc>
          <w:tcPr>
            <w:tcW w:w="1254" w:type="dxa"/>
            <w:tcBorders>
              <w:top w:val="nil"/>
              <w:left w:val="nil"/>
              <w:bottom w:val="single" w:sz="4" w:space="0" w:color="auto"/>
              <w:right w:val="single" w:sz="4" w:space="0" w:color="auto"/>
            </w:tcBorders>
            <w:shd w:val="clear" w:color="000000" w:fill="FFFFFF"/>
            <w:noWrap/>
            <w:vAlign w:val="center"/>
            <w:hideMark/>
          </w:tcPr>
          <w:p w14:paraId="601A93D4"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47%</w:t>
            </w:r>
          </w:p>
        </w:tc>
        <w:tc>
          <w:tcPr>
            <w:tcW w:w="897" w:type="dxa"/>
            <w:tcBorders>
              <w:top w:val="nil"/>
              <w:left w:val="nil"/>
              <w:bottom w:val="single" w:sz="4" w:space="0" w:color="auto"/>
              <w:right w:val="single" w:sz="4" w:space="0" w:color="auto"/>
            </w:tcBorders>
            <w:shd w:val="clear" w:color="000000" w:fill="FFFFFF"/>
            <w:noWrap/>
            <w:vAlign w:val="center"/>
            <w:hideMark/>
          </w:tcPr>
          <w:p w14:paraId="76A61729"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9</w:t>
            </w:r>
          </w:p>
        </w:tc>
        <w:tc>
          <w:tcPr>
            <w:tcW w:w="897" w:type="dxa"/>
            <w:tcBorders>
              <w:top w:val="nil"/>
              <w:left w:val="nil"/>
              <w:bottom w:val="single" w:sz="4" w:space="0" w:color="auto"/>
              <w:right w:val="single" w:sz="4" w:space="0" w:color="auto"/>
            </w:tcBorders>
            <w:shd w:val="clear" w:color="000000" w:fill="FFFFFF"/>
            <w:noWrap/>
            <w:vAlign w:val="center"/>
            <w:hideMark/>
          </w:tcPr>
          <w:p w14:paraId="5CD3765B"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2</w:t>
            </w:r>
          </w:p>
        </w:tc>
        <w:tc>
          <w:tcPr>
            <w:tcW w:w="892" w:type="dxa"/>
            <w:tcBorders>
              <w:top w:val="nil"/>
              <w:left w:val="nil"/>
              <w:bottom w:val="single" w:sz="4" w:space="0" w:color="auto"/>
              <w:right w:val="single" w:sz="4" w:space="0" w:color="auto"/>
            </w:tcBorders>
            <w:shd w:val="clear" w:color="000000" w:fill="FFFFFF"/>
            <w:noWrap/>
            <w:vAlign w:val="center"/>
            <w:hideMark/>
          </w:tcPr>
          <w:p w14:paraId="377061A4"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22%</w:t>
            </w:r>
          </w:p>
        </w:tc>
        <w:tc>
          <w:tcPr>
            <w:tcW w:w="1063" w:type="dxa"/>
            <w:tcBorders>
              <w:top w:val="nil"/>
              <w:left w:val="nil"/>
              <w:bottom w:val="single" w:sz="4" w:space="0" w:color="auto"/>
              <w:right w:val="single" w:sz="4" w:space="0" w:color="auto"/>
            </w:tcBorders>
            <w:shd w:val="clear" w:color="000000" w:fill="FFFFFF"/>
            <w:noWrap/>
            <w:vAlign w:val="center"/>
            <w:hideMark/>
          </w:tcPr>
          <w:p w14:paraId="6D5EAF96"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3</w:t>
            </w:r>
          </w:p>
        </w:tc>
        <w:tc>
          <w:tcPr>
            <w:tcW w:w="1063" w:type="dxa"/>
            <w:tcBorders>
              <w:top w:val="nil"/>
              <w:left w:val="nil"/>
              <w:bottom w:val="single" w:sz="4" w:space="0" w:color="auto"/>
              <w:right w:val="single" w:sz="4" w:space="0" w:color="auto"/>
            </w:tcBorders>
            <w:shd w:val="clear" w:color="000000" w:fill="FFFFFF"/>
            <w:noWrap/>
            <w:vAlign w:val="center"/>
            <w:hideMark/>
          </w:tcPr>
          <w:p w14:paraId="6482F39E"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0</w:t>
            </w:r>
          </w:p>
        </w:tc>
        <w:tc>
          <w:tcPr>
            <w:tcW w:w="1063" w:type="dxa"/>
            <w:tcBorders>
              <w:top w:val="nil"/>
              <w:left w:val="nil"/>
              <w:bottom w:val="single" w:sz="4" w:space="0" w:color="auto"/>
              <w:right w:val="single" w:sz="4" w:space="0" w:color="auto"/>
            </w:tcBorders>
            <w:shd w:val="clear" w:color="000000" w:fill="FFFFFF"/>
            <w:noWrap/>
            <w:vAlign w:val="center"/>
            <w:hideMark/>
          </w:tcPr>
          <w:p w14:paraId="0EC8E46B"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0%</w:t>
            </w:r>
          </w:p>
        </w:tc>
      </w:tr>
      <w:tr w:rsidR="00BA0D82" w:rsidRPr="0005691D" w14:paraId="11855F15" w14:textId="77777777" w:rsidTr="00BC793A">
        <w:trPr>
          <w:trHeight w:val="300"/>
        </w:trPr>
        <w:tc>
          <w:tcPr>
            <w:tcW w:w="2506" w:type="dxa"/>
            <w:tcBorders>
              <w:top w:val="nil"/>
              <w:left w:val="single" w:sz="4" w:space="0" w:color="auto"/>
              <w:bottom w:val="single" w:sz="4" w:space="0" w:color="auto"/>
              <w:right w:val="single" w:sz="4" w:space="0" w:color="auto"/>
            </w:tcBorders>
            <w:shd w:val="clear" w:color="000000" w:fill="B4C6E7"/>
            <w:noWrap/>
            <w:vAlign w:val="center"/>
            <w:hideMark/>
          </w:tcPr>
          <w:p w14:paraId="43AEF368" w14:textId="77777777" w:rsidR="00BA0D82" w:rsidRPr="0005691D" w:rsidRDefault="00BA0D82" w:rsidP="001A5653">
            <w:pPr>
              <w:spacing w:after="0" w:line="240" w:lineRule="auto"/>
              <w:jc w:val="right"/>
              <w:rPr>
                <w:rFonts w:ascii="Calibri" w:eastAsia="Times New Roman" w:hAnsi="Calibri" w:cs="Calibri"/>
                <w:b/>
                <w:bCs/>
                <w:color w:val="000000"/>
              </w:rPr>
            </w:pPr>
            <w:r w:rsidRPr="0005691D">
              <w:rPr>
                <w:rFonts w:ascii="Calibri" w:eastAsia="Times New Roman" w:hAnsi="Calibri" w:cs="Calibri"/>
                <w:b/>
                <w:bCs/>
                <w:color w:val="000000"/>
              </w:rPr>
              <w:t>Workforce Integration</w:t>
            </w:r>
          </w:p>
        </w:tc>
        <w:tc>
          <w:tcPr>
            <w:tcW w:w="1165" w:type="dxa"/>
            <w:tcBorders>
              <w:top w:val="nil"/>
              <w:left w:val="nil"/>
              <w:bottom w:val="single" w:sz="4" w:space="0" w:color="auto"/>
              <w:right w:val="single" w:sz="4" w:space="0" w:color="auto"/>
            </w:tcBorders>
            <w:shd w:val="clear" w:color="000000" w:fill="D9E2F3"/>
            <w:noWrap/>
            <w:vAlign w:val="center"/>
            <w:hideMark/>
          </w:tcPr>
          <w:p w14:paraId="29BCA6D0"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5</w:t>
            </w:r>
          </w:p>
        </w:tc>
        <w:tc>
          <w:tcPr>
            <w:tcW w:w="1254" w:type="dxa"/>
            <w:tcBorders>
              <w:top w:val="nil"/>
              <w:left w:val="nil"/>
              <w:bottom w:val="single" w:sz="4" w:space="0" w:color="auto"/>
              <w:right w:val="single" w:sz="4" w:space="0" w:color="auto"/>
            </w:tcBorders>
            <w:shd w:val="clear" w:color="000000" w:fill="D9E2F3"/>
            <w:noWrap/>
            <w:vAlign w:val="center"/>
            <w:hideMark/>
          </w:tcPr>
          <w:p w14:paraId="45583EB9"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10%</w:t>
            </w:r>
          </w:p>
        </w:tc>
        <w:tc>
          <w:tcPr>
            <w:tcW w:w="897" w:type="dxa"/>
            <w:tcBorders>
              <w:top w:val="nil"/>
              <w:left w:val="nil"/>
              <w:bottom w:val="single" w:sz="4" w:space="0" w:color="auto"/>
              <w:right w:val="single" w:sz="4" w:space="0" w:color="auto"/>
            </w:tcBorders>
            <w:shd w:val="clear" w:color="000000" w:fill="D9E2F3"/>
            <w:noWrap/>
            <w:vAlign w:val="center"/>
            <w:hideMark/>
          </w:tcPr>
          <w:p w14:paraId="656B0BC8"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5</w:t>
            </w:r>
          </w:p>
        </w:tc>
        <w:tc>
          <w:tcPr>
            <w:tcW w:w="897" w:type="dxa"/>
            <w:tcBorders>
              <w:top w:val="nil"/>
              <w:left w:val="nil"/>
              <w:bottom w:val="single" w:sz="4" w:space="0" w:color="auto"/>
              <w:right w:val="single" w:sz="4" w:space="0" w:color="auto"/>
            </w:tcBorders>
            <w:shd w:val="clear" w:color="000000" w:fill="D9E2F3"/>
            <w:noWrap/>
            <w:vAlign w:val="center"/>
            <w:hideMark/>
          </w:tcPr>
          <w:p w14:paraId="56AFE9EC"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0</w:t>
            </w:r>
          </w:p>
        </w:tc>
        <w:tc>
          <w:tcPr>
            <w:tcW w:w="892" w:type="dxa"/>
            <w:tcBorders>
              <w:top w:val="nil"/>
              <w:left w:val="nil"/>
              <w:bottom w:val="single" w:sz="4" w:space="0" w:color="auto"/>
              <w:right w:val="single" w:sz="4" w:space="0" w:color="auto"/>
            </w:tcBorders>
            <w:shd w:val="clear" w:color="000000" w:fill="D9E2F3"/>
            <w:noWrap/>
            <w:vAlign w:val="center"/>
            <w:hideMark/>
          </w:tcPr>
          <w:p w14:paraId="35ADDCA6"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0%</w:t>
            </w:r>
          </w:p>
        </w:tc>
        <w:tc>
          <w:tcPr>
            <w:tcW w:w="1063" w:type="dxa"/>
            <w:tcBorders>
              <w:top w:val="nil"/>
              <w:left w:val="nil"/>
              <w:bottom w:val="single" w:sz="4" w:space="0" w:color="auto"/>
              <w:right w:val="single" w:sz="4" w:space="0" w:color="auto"/>
            </w:tcBorders>
            <w:shd w:val="clear" w:color="000000" w:fill="D9E2F3"/>
            <w:noWrap/>
            <w:vAlign w:val="center"/>
            <w:hideMark/>
          </w:tcPr>
          <w:p w14:paraId="69F6A4F1"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4</w:t>
            </w:r>
          </w:p>
        </w:tc>
        <w:tc>
          <w:tcPr>
            <w:tcW w:w="1063" w:type="dxa"/>
            <w:tcBorders>
              <w:top w:val="nil"/>
              <w:left w:val="nil"/>
              <w:bottom w:val="single" w:sz="4" w:space="0" w:color="auto"/>
              <w:right w:val="single" w:sz="4" w:space="0" w:color="auto"/>
            </w:tcBorders>
            <w:shd w:val="clear" w:color="000000" w:fill="D9E2F3"/>
            <w:noWrap/>
            <w:vAlign w:val="center"/>
            <w:hideMark/>
          </w:tcPr>
          <w:p w14:paraId="3622AD2F"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0</w:t>
            </w:r>
          </w:p>
        </w:tc>
        <w:tc>
          <w:tcPr>
            <w:tcW w:w="1063" w:type="dxa"/>
            <w:tcBorders>
              <w:top w:val="nil"/>
              <w:left w:val="nil"/>
              <w:bottom w:val="single" w:sz="4" w:space="0" w:color="auto"/>
              <w:right w:val="single" w:sz="4" w:space="0" w:color="auto"/>
            </w:tcBorders>
            <w:shd w:val="clear" w:color="000000" w:fill="D9E2F3"/>
            <w:noWrap/>
            <w:vAlign w:val="center"/>
            <w:hideMark/>
          </w:tcPr>
          <w:p w14:paraId="6B5AB2AC"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0%</w:t>
            </w:r>
          </w:p>
        </w:tc>
      </w:tr>
      <w:tr w:rsidR="00BA0D82" w:rsidRPr="0005691D" w14:paraId="7953B5F2" w14:textId="77777777" w:rsidTr="00BC793A">
        <w:trPr>
          <w:trHeight w:val="300"/>
        </w:trPr>
        <w:tc>
          <w:tcPr>
            <w:tcW w:w="2506" w:type="dxa"/>
            <w:tcBorders>
              <w:top w:val="nil"/>
              <w:left w:val="single" w:sz="4" w:space="0" w:color="auto"/>
              <w:bottom w:val="single" w:sz="4" w:space="0" w:color="auto"/>
              <w:right w:val="single" w:sz="4" w:space="0" w:color="auto"/>
            </w:tcBorders>
            <w:shd w:val="clear" w:color="000000" w:fill="B4C6E7"/>
            <w:noWrap/>
            <w:vAlign w:val="center"/>
            <w:hideMark/>
          </w:tcPr>
          <w:p w14:paraId="449D6000" w14:textId="77777777" w:rsidR="00BA0D82" w:rsidRPr="0005691D" w:rsidRDefault="00BA0D82" w:rsidP="001A5653">
            <w:pPr>
              <w:spacing w:after="0" w:line="240" w:lineRule="auto"/>
              <w:jc w:val="right"/>
              <w:rPr>
                <w:rFonts w:ascii="Calibri" w:eastAsia="Times New Roman" w:hAnsi="Calibri" w:cs="Calibri"/>
                <w:b/>
                <w:bCs/>
                <w:color w:val="000000"/>
              </w:rPr>
            </w:pPr>
            <w:r w:rsidRPr="0005691D">
              <w:rPr>
                <w:rFonts w:ascii="Calibri" w:eastAsia="Times New Roman" w:hAnsi="Calibri" w:cs="Calibri"/>
                <w:b/>
                <w:bCs/>
                <w:color w:val="000000"/>
              </w:rPr>
              <w:t>Common Performance Measures</w:t>
            </w:r>
          </w:p>
        </w:tc>
        <w:tc>
          <w:tcPr>
            <w:tcW w:w="1165" w:type="dxa"/>
            <w:tcBorders>
              <w:top w:val="nil"/>
              <w:left w:val="nil"/>
              <w:bottom w:val="single" w:sz="4" w:space="0" w:color="auto"/>
              <w:right w:val="single" w:sz="4" w:space="0" w:color="auto"/>
            </w:tcBorders>
            <w:shd w:val="clear" w:color="000000" w:fill="FFFFFF"/>
            <w:noWrap/>
            <w:vAlign w:val="center"/>
            <w:hideMark/>
          </w:tcPr>
          <w:p w14:paraId="6478C2C1"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6</w:t>
            </w:r>
          </w:p>
        </w:tc>
        <w:tc>
          <w:tcPr>
            <w:tcW w:w="1254" w:type="dxa"/>
            <w:tcBorders>
              <w:top w:val="nil"/>
              <w:left w:val="nil"/>
              <w:bottom w:val="single" w:sz="4" w:space="0" w:color="auto"/>
              <w:right w:val="single" w:sz="4" w:space="0" w:color="auto"/>
            </w:tcBorders>
            <w:shd w:val="clear" w:color="000000" w:fill="FFFFFF"/>
            <w:noWrap/>
            <w:vAlign w:val="center"/>
            <w:hideMark/>
          </w:tcPr>
          <w:p w14:paraId="07D44F64"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58%</w:t>
            </w:r>
          </w:p>
        </w:tc>
        <w:tc>
          <w:tcPr>
            <w:tcW w:w="897" w:type="dxa"/>
            <w:tcBorders>
              <w:top w:val="nil"/>
              <w:left w:val="nil"/>
              <w:bottom w:val="single" w:sz="4" w:space="0" w:color="auto"/>
              <w:right w:val="single" w:sz="4" w:space="0" w:color="auto"/>
            </w:tcBorders>
            <w:shd w:val="clear" w:color="000000" w:fill="FFFFFF"/>
            <w:noWrap/>
            <w:vAlign w:val="center"/>
            <w:hideMark/>
          </w:tcPr>
          <w:p w14:paraId="76F66AAB"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6</w:t>
            </w:r>
          </w:p>
        </w:tc>
        <w:tc>
          <w:tcPr>
            <w:tcW w:w="897" w:type="dxa"/>
            <w:tcBorders>
              <w:top w:val="nil"/>
              <w:left w:val="nil"/>
              <w:bottom w:val="single" w:sz="4" w:space="0" w:color="auto"/>
              <w:right w:val="single" w:sz="4" w:space="0" w:color="auto"/>
            </w:tcBorders>
            <w:shd w:val="clear" w:color="000000" w:fill="FFFFFF"/>
            <w:noWrap/>
            <w:vAlign w:val="center"/>
            <w:hideMark/>
          </w:tcPr>
          <w:p w14:paraId="66671CED"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w:t>
            </w:r>
          </w:p>
        </w:tc>
        <w:tc>
          <w:tcPr>
            <w:tcW w:w="892" w:type="dxa"/>
            <w:tcBorders>
              <w:top w:val="nil"/>
              <w:left w:val="nil"/>
              <w:bottom w:val="single" w:sz="4" w:space="0" w:color="auto"/>
              <w:right w:val="single" w:sz="4" w:space="0" w:color="auto"/>
            </w:tcBorders>
            <w:shd w:val="clear" w:color="000000" w:fill="FFFFFF"/>
            <w:noWrap/>
            <w:vAlign w:val="center"/>
            <w:hideMark/>
          </w:tcPr>
          <w:p w14:paraId="1CCDA537"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17%</w:t>
            </w:r>
          </w:p>
        </w:tc>
        <w:tc>
          <w:tcPr>
            <w:tcW w:w="1063" w:type="dxa"/>
            <w:tcBorders>
              <w:top w:val="nil"/>
              <w:left w:val="nil"/>
              <w:bottom w:val="single" w:sz="4" w:space="0" w:color="auto"/>
              <w:right w:val="single" w:sz="4" w:space="0" w:color="auto"/>
            </w:tcBorders>
            <w:shd w:val="clear" w:color="000000" w:fill="FFFFFF"/>
            <w:noWrap/>
            <w:vAlign w:val="center"/>
            <w:hideMark/>
          </w:tcPr>
          <w:p w14:paraId="1847DECA"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2</w:t>
            </w:r>
          </w:p>
        </w:tc>
        <w:tc>
          <w:tcPr>
            <w:tcW w:w="1063" w:type="dxa"/>
            <w:tcBorders>
              <w:top w:val="nil"/>
              <w:left w:val="nil"/>
              <w:bottom w:val="single" w:sz="4" w:space="0" w:color="auto"/>
              <w:right w:val="single" w:sz="4" w:space="0" w:color="auto"/>
            </w:tcBorders>
            <w:shd w:val="clear" w:color="000000" w:fill="FFFFFF"/>
            <w:noWrap/>
            <w:vAlign w:val="center"/>
            <w:hideMark/>
          </w:tcPr>
          <w:p w14:paraId="183A9A84"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2</w:t>
            </w:r>
          </w:p>
        </w:tc>
        <w:tc>
          <w:tcPr>
            <w:tcW w:w="1063" w:type="dxa"/>
            <w:tcBorders>
              <w:top w:val="nil"/>
              <w:left w:val="nil"/>
              <w:bottom w:val="single" w:sz="4" w:space="0" w:color="auto"/>
              <w:right w:val="single" w:sz="4" w:space="0" w:color="auto"/>
            </w:tcBorders>
            <w:shd w:val="clear" w:color="000000" w:fill="FFFFFF"/>
            <w:noWrap/>
            <w:vAlign w:val="center"/>
            <w:hideMark/>
          </w:tcPr>
          <w:p w14:paraId="1B467719"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100%</w:t>
            </w:r>
          </w:p>
        </w:tc>
      </w:tr>
      <w:tr w:rsidR="00BA0D82" w:rsidRPr="0005691D" w14:paraId="2ACCF3C6" w14:textId="77777777" w:rsidTr="00BC793A">
        <w:trPr>
          <w:trHeight w:val="300"/>
        </w:trPr>
        <w:tc>
          <w:tcPr>
            <w:tcW w:w="2506" w:type="dxa"/>
            <w:tcBorders>
              <w:top w:val="nil"/>
              <w:left w:val="single" w:sz="4" w:space="0" w:color="auto"/>
              <w:bottom w:val="single" w:sz="4" w:space="0" w:color="auto"/>
              <w:right w:val="single" w:sz="4" w:space="0" w:color="auto"/>
            </w:tcBorders>
            <w:shd w:val="clear" w:color="000000" w:fill="B4C6E7"/>
            <w:noWrap/>
            <w:vAlign w:val="center"/>
            <w:hideMark/>
          </w:tcPr>
          <w:p w14:paraId="1B780A24" w14:textId="77777777" w:rsidR="00BA0D82" w:rsidRPr="0005691D" w:rsidRDefault="00BA0D82" w:rsidP="001A5653">
            <w:pPr>
              <w:spacing w:after="0" w:line="240" w:lineRule="auto"/>
              <w:jc w:val="right"/>
              <w:rPr>
                <w:rFonts w:ascii="Calibri" w:eastAsia="Times New Roman" w:hAnsi="Calibri" w:cs="Calibri"/>
                <w:b/>
                <w:bCs/>
                <w:color w:val="000000"/>
              </w:rPr>
            </w:pPr>
            <w:r w:rsidRPr="0005691D">
              <w:rPr>
                <w:rFonts w:ascii="Calibri" w:eastAsia="Times New Roman" w:hAnsi="Calibri" w:cs="Calibri"/>
                <w:b/>
                <w:bCs/>
                <w:color w:val="000000"/>
              </w:rPr>
              <w:t>Business Engagement</w:t>
            </w:r>
          </w:p>
        </w:tc>
        <w:tc>
          <w:tcPr>
            <w:tcW w:w="1165" w:type="dxa"/>
            <w:tcBorders>
              <w:top w:val="nil"/>
              <w:left w:val="nil"/>
              <w:bottom w:val="single" w:sz="4" w:space="0" w:color="auto"/>
              <w:right w:val="single" w:sz="4" w:space="0" w:color="auto"/>
            </w:tcBorders>
            <w:shd w:val="clear" w:color="000000" w:fill="D9E2F3"/>
            <w:noWrap/>
            <w:vAlign w:val="center"/>
            <w:hideMark/>
          </w:tcPr>
          <w:p w14:paraId="6729B90E"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2</w:t>
            </w:r>
          </w:p>
        </w:tc>
        <w:tc>
          <w:tcPr>
            <w:tcW w:w="1254" w:type="dxa"/>
            <w:tcBorders>
              <w:top w:val="nil"/>
              <w:left w:val="nil"/>
              <w:bottom w:val="single" w:sz="4" w:space="0" w:color="auto"/>
              <w:right w:val="single" w:sz="4" w:space="0" w:color="auto"/>
            </w:tcBorders>
            <w:shd w:val="clear" w:color="000000" w:fill="D9E2F3"/>
            <w:noWrap/>
            <w:vAlign w:val="center"/>
            <w:hideMark/>
          </w:tcPr>
          <w:p w14:paraId="46AD2DD8"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25%</w:t>
            </w:r>
          </w:p>
        </w:tc>
        <w:tc>
          <w:tcPr>
            <w:tcW w:w="897" w:type="dxa"/>
            <w:tcBorders>
              <w:top w:val="nil"/>
              <w:left w:val="nil"/>
              <w:bottom w:val="single" w:sz="4" w:space="0" w:color="auto"/>
              <w:right w:val="single" w:sz="4" w:space="0" w:color="auto"/>
            </w:tcBorders>
            <w:shd w:val="clear" w:color="000000" w:fill="D9E2F3"/>
            <w:noWrap/>
            <w:vAlign w:val="center"/>
            <w:hideMark/>
          </w:tcPr>
          <w:p w14:paraId="7CC4968D"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2</w:t>
            </w:r>
          </w:p>
        </w:tc>
        <w:tc>
          <w:tcPr>
            <w:tcW w:w="897" w:type="dxa"/>
            <w:tcBorders>
              <w:top w:val="nil"/>
              <w:left w:val="nil"/>
              <w:bottom w:val="single" w:sz="4" w:space="0" w:color="auto"/>
              <w:right w:val="single" w:sz="4" w:space="0" w:color="auto"/>
            </w:tcBorders>
            <w:shd w:val="clear" w:color="000000" w:fill="D9E2F3"/>
            <w:noWrap/>
            <w:vAlign w:val="center"/>
            <w:hideMark/>
          </w:tcPr>
          <w:p w14:paraId="1CD08C52"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0</w:t>
            </w:r>
          </w:p>
        </w:tc>
        <w:tc>
          <w:tcPr>
            <w:tcW w:w="892" w:type="dxa"/>
            <w:tcBorders>
              <w:top w:val="nil"/>
              <w:left w:val="nil"/>
              <w:bottom w:val="single" w:sz="4" w:space="0" w:color="auto"/>
              <w:right w:val="single" w:sz="4" w:space="0" w:color="auto"/>
            </w:tcBorders>
            <w:shd w:val="clear" w:color="000000" w:fill="D9E2F3"/>
            <w:noWrap/>
            <w:vAlign w:val="center"/>
            <w:hideMark/>
          </w:tcPr>
          <w:p w14:paraId="07A3EB40"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0%</w:t>
            </w:r>
          </w:p>
        </w:tc>
        <w:tc>
          <w:tcPr>
            <w:tcW w:w="1063" w:type="dxa"/>
            <w:tcBorders>
              <w:top w:val="nil"/>
              <w:left w:val="nil"/>
              <w:bottom w:val="single" w:sz="4" w:space="0" w:color="auto"/>
              <w:right w:val="single" w:sz="4" w:space="0" w:color="auto"/>
            </w:tcBorders>
            <w:shd w:val="clear" w:color="000000" w:fill="D9E2F3"/>
            <w:noWrap/>
            <w:vAlign w:val="center"/>
            <w:hideMark/>
          </w:tcPr>
          <w:p w14:paraId="3684B856"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w:t>
            </w:r>
          </w:p>
        </w:tc>
        <w:tc>
          <w:tcPr>
            <w:tcW w:w="1063" w:type="dxa"/>
            <w:tcBorders>
              <w:top w:val="nil"/>
              <w:left w:val="nil"/>
              <w:bottom w:val="single" w:sz="4" w:space="0" w:color="auto"/>
              <w:right w:val="single" w:sz="4" w:space="0" w:color="auto"/>
            </w:tcBorders>
            <w:shd w:val="clear" w:color="000000" w:fill="D9E2F3"/>
            <w:noWrap/>
            <w:vAlign w:val="center"/>
            <w:hideMark/>
          </w:tcPr>
          <w:p w14:paraId="1CA09D07"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0</w:t>
            </w:r>
          </w:p>
        </w:tc>
        <w:tc>
          <w:tcPr>
            <w:tcW w:w="1063" w:type="dxa"/>
            <w:tcBorders>
              <w:top w:val="nil"/>
              <w:left w:val="nil"/>
              <w:bottom w:val="single" w:sz="4" w:space="0" w:color="auto"/>
              <w:right w:val="single" w:sz="4" w:space="0" w:color="auto"/>
            </w:tcBorders>
            <w:shd w:val="clear" w:color="000000" w:fill="D9E2F3"/>
            <w:noWrap/>
            <w:vAlign w:val="center"/>
            <w:hideMark/>
          </w:tcPr>
          <w:p w14:paraId="58B4CA97"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0%</w:t>
            </w:r>
          </w:p>
        </w:tc>
      </w:tr>
      <w:tr w:rsidR="00BA0D82" w:rsidRPr="0005691D" w14:paraId="1A041EA5" w14:textId="77777777" w:rsidTr="00BC793A">
        <w:trPr>
          <w:trHeight w:val="300"/>
        </w:trPr>
        <w:tc>
          <w:tcPr>
            <w:tcW w:w="2506" w:type="dxa"/>
            <w:tcBorders>
              <w:top w:val="nil"/>
              <w:left w:val="single" w:sz="4" w:space="0" w:color="auto"/>
              <w:bottom w:val="single" w:sz="4" w:space="0" w:color="auto"/>
              <w:right w:val="single" w:sz="4" w:space="0" w:color="auto"/>
            </w:tcBorders>
            <w:shd w:val="clear" w:color="000000" w:fill="B4C6E7"/>
            <w:noWrap/>
            <w:vAlign w:val="center"/>
            <w:hideMark/>
          </w:tcPr>
          <w:p w14:paraId="13B0C282" w14:textId="77777777" w:rsidR="00BA0D82" w:rsidRPr="0005691D" w:rsidRDefault="00BA0D82" w:rsidP="001A5653">
            <w:pPr>
              <w:spacing w:after="0" w:line="240" w:lineRule="auto"/>
              <w:jc w:val="right"/>
              <w:rPr>
                <w:rFonts w:ascii="Calibri" w:eastAsia="Times New Roman" w:hAnsi="Calibri" w:cs="Calibri"/>
                <w:b/>
                <w:bCs/>
                <w:color w:val="000000"/>
              </w:rPr>
            </w:pPr>
            <w:r w:rsidRPr="0005691D">
              <w:rPr>
                <w:rFonts w:ascii="Calibri" w:eastAsia="Times New Roman" w:hAnsi="Calibri" w:cs="Calibri"/>
                <w:b/>
                <w:bCs/>
                <w:color w:val="000000"/>
              </w:rPr>
              <w:t>Supported Employment</w:t>
            </w:r>
          </w:p>
        </w:tc>
        <w:tc>
          <w:tcPr>
            <w:tcW w:w="1165" w:type="dxa"/>
            <w:tcBorders>
              <w:top w:val="nil"/>
              <w:left w:val="nil"/>
              <w:bottom w:val="single" w:sz="4" w:space="0" w:color="auto"/>
              <w:right w:val="single" w:sz="4" w:space="0" w:color="auto"/>
            </w:tcBorders>
            <w:shd w:val="clear" w:color="000000" w:fill="FFFFFF"/>
            <w:noWrap/>
            <w:vAlign w:val="center"/>
            <w:hideMark/>
          </w:tcPr>
          <w:p w14:paraId="7F22A4F4"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2</w:t>
            </w:r>
          </w:p>
        </w:tc>
        <w:tc>
          <w:tcPr>
            <w:tcW w:w="1254" w:type="dxa"/>
            <w:tcBorders>
              <w:top w:val="nil"/>
              <w:left w:val="nil"/>
              <w:bottom w:val="single" w:sz="4" w:space="0" w:color="auto"/>
              <w:right w:val="single" w:sz="4" w:space="0" w:color="auto"/>
            </w:tcBorders>
            <w:shd w:val="clear" w:color="000000" w:fill="FFFFFF"/>
            <w:noWrap/>
            <w:vAlign w:val="center"/>
            <w:hideMark/>
          </w:tcPr>
          <w:p w14:paraId="6F1F1987"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75%</w:t>
            </w:r>
          </w:p>
        </w:tc>
        <w:tc>
          <w:tcPr>
            <w:tcW w:w="897" w:type="dxa"/>
            <w:tcBorders>
              <w:top w:val="nil"/>
              <w:left w:val="nil"/>
              <w:bottom w:val="single" w:sz="4" w:space="0" w:color="auto"/>
              <w:right w:val="single" w:sz="4" w:space="0" w:color="auto"/>
            </w:tcBorders>
            <w:shd w:val="clear" w:color="000000" w:fill="FFFFFF"/>
            <w:noWrap/>
            <w:vAlign w:val="center"/>
            <w:hideMark/>
          </w:tcPr>
          <w:p w14:paraId="172337AC"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2</w:t>
            </w:r>
          </w:p>
        </w:tc>
        <w:tc>
          <w:tcPr>
            <w:tcW w:w="897" w:type="dxa"/>
            <w:tcBorders>
              <w:top w:val="nil"/>
              <w:left w:val="nil"/>
              <w:bottom w:val="single" w:sz="4" w:space="0" w:color="auto"/>
              <w:right w:val="single" w:sz="4" w:space="0" w:color="auto"/>
            </w:tcBorders>
            <w:shd w:val="clear" w:color="000000" w:fill="FFFFFF"/>
            <w:noWrap/>
            <w:vAlign w:val="center"/>
            <w:hideMark/>
          </w:tcPr>
          <w:p w14:paraId="3D1B7D0E"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w:t>
            </w:r>
          </w:p>
        </w:tc>
        <w:tc>
          <w:tcPr>
            <w:tcW w:w="892" w:type="dxa"/>
            <w:tcBorders>
              <w:top w:val="nil"/>
              <w:left w:val="nil"/>
              <w:bottom w:val="single" w:sz="4" w:space="0" w:color="auto"/>
              <w:right w:val="single" w:sz="4" w:space="0" w:color="auto"/>
            </w:tcBorders>
            <w:shd w:val="clear" w:color="000000" w:fill="FFFFFF"/>
            <w:noWrap/>
            <w:vAlign w:val="center"/>
            <w:hideMark/>
          </w:tcPr>
          <w:p w14:paraId="62994512"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50%</w:t>
            </w:r>
          </w:p>
        </w:tc>
        <w:tc>
          <w:tcPr>
            <w:tcW w:w="1063" w:type="dxa"/>
            <w:tcBorders>
              <w:top w:val="nil"/>
              <w:left w:val="nil"/>
              <w:bottom w:val="single" w:sz="4" w:space="0" w:color="auto"/>
              <w:right w:val="single" w:sz="4" w:space="0" w:color="auto"/>
            </w:tcBorders>
            <w:shd w:val="clear" w:color="000000" w:fill="FFFFFF"/>
            <w:noWrap/>
            <w:vAlign w:val="center"/>
            <w:hideMark/>
          </w:tcPr>
          <w:p w14:paraId="2CFBAC37"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w:t>
            </w:r>
          </w:p>
        </w:tc>
        <w:tc>
          <w:tcPr>
            <w:tcW w:w="1063" w:type="dxa"/>
            <w:tcBorders>
              <w:top w:val="nil"/>
              <w:left w:val="nil"/>
              <w:bottom w:val="single" w:sz="4" w:space="0" w:color="auto"/>
              <w:right w:val="single" w:sz="4" w:space="0" w:color="auto"/>
            </w:tcBorders>
            <w:shd w:val="clear" w:color="000000" w:fill="FFFFFF"/>
            <w:noWrap/>
            <w:vAlign w:val="center"/>
            <w:hideMark/>
          </w:tcPr>
          <w:p w14:paraId="4E0A8A4E" w14:textId="77777777" w:rsidR="00BA0D82" w:rsidRPr="0005691D" w:rsidRDefault="00BA0D82" w:rsidP="001A5653">
            <w:pPr>
              <w:spacing w:after="0" w:line="240" w:lineRule="auto"/>
              <w:jc w:val="center"/>
              <w:rPr>
                <w:rFonts w:ascii="Calibri" w:eastAsia="Times New Roman" w:hAnsi="Calibri" w:cs="Calibri"/>
                <w:color w:val="000000"/>
              </w:rPr>
            </w:pPr>
            <w:r>
              <w:rPr>
                <w:rFonts w:ascii="Calibri" w:eastAsia="Times New Roman" w:hAnsi="Calibri" w:cs="Calibri"/>
                <w:color w:val="000000"/>
              </w:rPr>
              <w:t>1</w:t>
            </w:r>
          </w:p>
        </w:tc>
        <w:tc>
          <w:tcPr>
            <w:tcW w:w="1063" w:type="dxa"/>
            <w:tcBorders>
              <w:top w:val="nil"/>
              <w:left w:val="nil"/>
              <w:bottom w:val="single" w:sz="4" w:space="0" w:color="auto"/>
              <w:right w:val="single" w:sz="4" w:space="0" w:color="auto"/>
            </w:tcBorders>
            <w:shd w:val="clear" w:color="000000" w:fill="FFFFFF"/>
            <w:noWrap/>
            <w:vAlign w:val="center"/>
            <w:hideMark/>
          </w:tcPr>
          <w:p w14:paraId="0568A164" w14:textId="77777777" w:rsidR="00BA0D82" w:rsidRPr="0005691D" w:rsidRDefault="00BA0D82" w:rsidP="001A5653">
            <w:pPr>
              <w:spacing w:after="0" w:line="240" w:lineRule="auto"/>
              <w:jc w:val="center"/>
              <w:rPr>
                <w:rFonts w:ascii="Calibri" w:eastAsia="Times New Roman" w:hAnsi="Calibri" w:cs="Calibri"/>
                <w:color w:val="000000"/>
              </w:rPr>
            </w:pPr>
            <w:r>
              <w:rPr>
                <w:rFonts w:ascii="Calibri" w:eastAsia="Times New Roman" w:hAnsi="Calibri" w:cs="Calibri"/>
                <w:color w:val="000000"/>
              </w:rPr>
              <w:t>100</w:t>
            </w:r>
            <w:r w:rsidRPr="0005691D">
              <w:rPr>
                <w:rFonts w:ascii="Calibri" w:eastAsia="Times New Roman" w:hAnsi="Calibri" w:cs="Calibri"/>
                <w:color w:val="000000"/>
              </w:rPr>
              <w:t>%</w:t>
            </w:r>
          </w:p>
        </w:tc>
      </w:tr>
      <w:tr w:rsidR="00BA0D82" w:rsidRPr="0005691D" w14:paraId="70E95689" w14:textId="77777777" w:rsidTr="00BC793A">
        <w:trPr>
          <w:trHeight w:val="300"/>
        </w:trPr>
        <w:tc>
          <w:tcPr>
            <w:tcW w:w="2506" w:type="dxa"/>
            <w:tcBorders>
              <w:top w:val="nil"/>
              <w:left w:val="nil"/>
              <w:bottom w:val="nil"/>
              <w:right w:val="nil"/>
            </w:tcBorders>
            <w:shd w:val="clear" w:color="auto" w:fill="auto"/>
            <w:noWrap/>
            <w:vAlign w:val="bottom"/>
            <w:hideMark/>
          </w:tcPr>
          <w:p w14:paraId="2B1864F4" w14:textId="77777777" w:rsidR="00BA0D82" w:rsidRPr="0005691D" w:rsidRDefault="00BA0D82" w:rsidP="001A5653">
            <w:pPr>
              <w:spacing w:after="0" w:line="240" w:lineRule="auto"/>
              <w:jc w:val="center"/>
              <w:rPr>
                <w:rFonts w:ascii="Calibri" w:eastAsia="Times New Roman" w:hAnsi="Calibri" w:cs="Calibri"/>
                <w:color w:val="000000"/>
              </w:rPr>
            </w:pPr>
          </w:p>
        </w:tc>
        <w:tc>
          <w:tcPr>
            <w:tcW w:w="1165" w:type="dxa"/>
            <w:tcBorders>
              <w:top w:val="nil"/>
              <w:left w:val="nil"/>
              <w:bottom w:val="nil"/>
              <w:right w:val="nil"/>
            </w:tcBorders>
            <w:shd w:val="clear" w:color="auto" w:fill="auto"/>
            <w:noWrap/>
            <w:vAlign w:val="center"/>
            <w:hideMark/>
          </w:tcPr>
          <w:p w14:paraId="61E5A347" w14:textId="77777777" w:rsidR="00BA0D82" w:rsidRPr="0005691D" w:rsidRDefault="00BA0D82" w:rsidP="001A5653">
            <w:pPr>
              <w:spacing w:after="0" w:line="240" w:lineRule="auto"/>
              <w:rPr>
                <w:rFonts w:ascii="Times New Roman" w:eastAsia="Times New Roman" w:hAnsi="Times New Roman" w:cs="Times New Roman"/>
                <w:sz w:val="20"/>
                <w:szCs w:val="20"/>
              </w:rPr>
            </w:pPr>
          </w:p>
        </w:tc>
        <w:tc>
          <w:tcPr>
            <w:tcW w:w="1254" w:type="dxa"/>
            <w:tcBorders>
              <w:top w:val="nil"/>
              <w:left w:val="nil"/>
              <w:bottom w:val="nil"/>
              <w:right w:val="nil"/>
            </w:tcBorders>
            <w:shd w:val="clear" w:color="auto" w:fill="auto"/>
            <w:noWrap/>
            <w:vAlign w:val="center"/>
            <w:hideMark/>
          </w:tcPr>
          <w:p w14:paraId="41B5D54D"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c>
          <w:tcPr>
            <w:tcW w:w="897" w:type="dxa"/>
            <w:tcBorders>
              <w:top w:val="nil"/>
              <w:left w:val="nil"/>
              <w:bottom w:val="nil"/>
              <w:right w:val="nil"/>
            </w:tcBorders>
            <w:shd w:val="clear" w:color="auto" w:fill="auto"/>
            <w:noWrap/>
            <w:vAlign w:val="center"/>
            <w:hideMark/>
          </w:tcPr>
          <w:p w14:paraId="77C4C422"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c>
          <w:tcPr>
            <w:tcW w:w="897" w:type="dxa"/>
            <w:tcBorders>
              <w:top w:val="nil"/>
              <w:left w:val="nil"/>
              <w:bottom w:val="nil"/>
              <w:right w:val="nil"/>
            </w:tcBorders>
            <w:shd w:val="clear" w:color="auto" w:fill="auto"/>
            <w:noWrap/>
            <w:vAlign w:val="center"/>
            <w:hideMark/>
          </w:tcPr>
          <w:p w14:paraId="52A55266"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c>
          <w:tcPr>
            <w:tcW w:w="892" w:type="dxa"/>
            <w:tcBorders>
              <w:top w:val="nil"/>
              <w:left w:val="nil"/>
              <w:bottom w:val="nil"/>
              <w:right w:val="nil"/>
            </w:tcBorders>
            <w:shd w:val="clear" w:color="auto" w:fill="auto"/>
            <w:noWrap/>
            <w:vAlign w:val="center"/>
            <w:hideMark/>
          </w:tcPr>
          <w:p w14:paraId="2B56EB3F"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c>
          <w:tcPr>
            <w:tcW w:w="1063" w:type="dxa"/>
            <w:tcBorders>
              <w:top w:val="nil"/>
              <w:left w:val="nil"/>
              <w:bottom w:val="nil"/>
              <w:right w:val="nil"/>
            </w:tcBorders>
            <w:shd w:val="clear" w:color="auto" w:fill="auto"/>
            <w:noWrap/>
            <w:vAlign w:val="center"/>
            <w:hideMark/>
          </w:tcPr>
          <w:p w14:paraId="408BA1B5"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c>
          <w:tcPr>
            <w:tcW w:w="1063" w:type="dxa"/>
            <w:tcBorders>
              <w:top w:val="nil"/>
              <w:left w:val="nil"/>
              <w:bottom w:val="nil"/>
              <w:right w:val="nil"/>
            </w:tcBorders>
            <w:shd w:val="clear" w:color="auto" w:fill="auto"/>
            <w:noWrap/>
            <w:vAlign w:val="center"/>
            <w:hideMark/>
          </w:tcPr>
          <w:p w14:paraId="47C78414"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c>
          <w:tcPr>
            <w:tcW w:w="1063" w:type="dxa"/>
            <w:tcBorders>
              <w:top w:val="nil"/>
              <w:left w:val="nil"/>
              <w:bottom w:val="nil"/>
              <w:right w:val="nil"/>
            </w:tcBorders>
            <w:shd w:val="clear" w:color="auto" w:fill="auto"/>
            <w:noWrap/>
            <w:vAlign w:val="center"/>
            <w:hideMark/>
          </w:tcPr>
          <w:p w14:paraId="4C22DF9D"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r>
      <w:tr w:rsidR="00BA0D82" w:rsidRPr="0005691D" w14:paraId="02FAB737" w14:textId="77777777" w:rsidTr="001A5653">
        <w:trPr>
          <w:trHeight w:val="465"/>
        </w:trPr>
        <w:tc>
          <w:tcPr>
            <w:tcW w:w="10800" w:type="dxa"/>
            <w:gridSpan w:val="9"/>
            <w:tcBorders>
              <w:top w:val="single" w:sz="4" w:space="0" w:color="auto"/>
              <w:left w:val="nil"/>
              <w:bottom w:val="single" w:sz="4" w:space="0" w:color="auto"/>
              <w:right w:val="nil"/>
            </w:tcBorders>
            <w:shd w:val="clear" w:color="auto" w:fill="auto"/>
            <w:noWrap/>
            <w:vAlign w:val="bottom"/>
            <w:hideMark/>
          </w:tcPr>
          <w:p w14:paraId="42A9B111" w14:textId="77777777" w:rsidR="00BA0D82" w:rsidRPr="0005691D" w:rsidRDefault="00BA0D82" w:rsidP="00BA0D82">
            <w:pPr>
              <w:pStyle w:val="Heading2"/>
              <w:numPr>
                <w:ilvl w:val="0"/>
                <w:numId w:val="0"/>
              </w:numPr>
              <w:rPr>
                <w:rFonts w:eastAsia="Times New Roman"/>
              </w:rPr>
            </w:pPr>
            <w:bookmarkStart w:id="189" w:name="_Toc27143184"/>
            <w:bookmarkStart w:id="190" w:name="_Toc28011483"/>
            <w:r w:rsidRPr="0005691D">
              <w:rPr>
                <w:rFonts w:eastAsia="Times New Roman"/>
              </w:rPr>
              <w:t>California Combined</w:t>
            </w:r>
            <w:bookmarkEnd w:id="189"/>
            <w:bookmarkEnd w:id="190"/>
          </w:p>
        </w:tc>
      </w:tr>
      <w:tr w:rsidR="00BA0D82" w:rsidRPr="0005691D" w14:paraId="32E3845B" w14:textId="77777777" w:rsidTr="00BC793A">
        <w:trPr>
          <w:trHeight w:val="1305"/>
        </w:trPr>
        <w:tc>
          <w:tcPr>
            <w:tcW w:w="2506" w:type="dxa"/>
            <w:tcBorders>
              <w:top w:val="nil"/>
              <w:left w:val="single" w:sz="4" w:space="0" w:color="auto"/>
              <w:bottom w:val="single" w:sz="4" w:space="0" w:color="auto"/>
              <w:right w:val="single" w:sz="4" w:space="0" w:color="auto"/>
            </w:tcBorders>
            <w:shd w:val="clear" w:color="000000" w:fill="B4C6E7"/>
            <w:vAlign w:val="bottom"/>
            <w:hideMark/>
          </w:tcPr>
          <w:p w14:paraId="67536AE1" w14:textId="77777777" w:rsidR="00BA0D82" w:rsidRPr="0005691D" w:rsidRDefault="00BA0D82" w:rsidP="001A5653">
            <w:pPr>
              <w:spacing w:after="0" w:line="240" w:lineRule="auto"/>
              <w:jc w:val="right"/>
              <w:rPr>
                <w:rFonts w:ascii="Calibri" w:eastAsia="Times New Roman" w:hAnsi="Calibri" w:cs="Calibri"/>
                <w:b/>
                <w:bCs/>
                <w:color w:val="000000"/>
                <w:szCs w:val="28"/>
              </w:rPr>
            </w:pPr>
            <w:r w:rsidRPr="0005691D">
              <w:rPr>
                <w:rFonts w:ascii="Calibri" w:eastAsia="Times New Roman" w:hAnsi="Calibri" w:cs="Calibri"/>
                <w:b/>
                <w:bCs/>
                <w:color w:val="000000"/>
                <w:szCs w:val="28"/>
              </w:rPr>
              <w:t>Area</w:t>
            </w:r>
          </w:p>
        </w:tc>
        <w:tc>
          <w:tcPr>
            <w:tcW w:w="1165" w:type="dxa"/>
            <w:tcBorders>
              <w:top w:val="nil"/>
              <w:left w:val="nil"/>
              <w:bottom w:val="single" w:sz="4" w:space="0" w:color="auto"/>
              <w:right w:val="single" w:sz="4" w:space="0" w:color="auto"/>
            </w:tcBorders>
            <w:shd w:val="clear" w:color="000000" w:fill="B4C6E7"/>
            <w:vAlign w:val="bottom"/>
            <w:hideMark/>
          </w:tcPr>
          <w:p w14:paraId="063838E6"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of Total Activities</w:t>
            </w:r>
          </w:p>
        </w:tc>
        <w:tc>
          <w:tcPr>
            <w:tcW w:w="1254" w:type="dxa"/>
            <w:tcBorders>
              <w:top w:val="nil"/>
              <w:left w:val="nil"/>
              <w:bottom w:val="single" w:sz="4" w:space="0" w:color="auto"/>
              <w:right w:val="single" w:sz="4" w:space="0" w:color="auto"/>
            </w:tcBorders>
            <w:shd w:val="clear" w:color="000000" w:fill="B4C6E7"/>
            <w:vAlign w:val="bottom"/>
            <w:hideMark/>
          </w:tcPr>
          <w:p w14:paraId="35EB7D09"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Average Progress on Activities (%)</w:t>
            </w:r>
          </w:p>
        </w:tc>
        <w:tc>
          <w:tcPr>
            <w:tcW w:w="897" w:type="dxa"/>
            <w:tcBorders>
              <w:top w:val="nil"/>
              <w:left w:val="nil"/>
              <w:bottom w:val="single" w:sz="4" w:space="0" w:color="auto"/>
              <w:right w:val="single" w:sz="4" w:space="0" w:color="auto"/>
            </w:tcBorders>
            <w:shd w:val="clear" w:color="000000" w:fill="B4C6E7"/>
            <w:vAlign w:val="bottom"/>
            <w:hideMark/>
          </w:tcPr>
          <w:p w14:paraId="2628A5ED"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Outputs</w:t>
            </w:r>
          </w:p>
        </w:tc>
        <w:tc>
          <w:tcPr>
            <w:tcW w:w="897" w:type="dxa"/>
            <w:tcBorders>
              <w:top w:val="nil"/>
              <w:left w:val="nil"/>
              <w:bottom w:val="single" w:sz="4" w:space="0" w:color="auto"/>
              <w:right w:val="single" w:sz="4" w:space="0" w:color="auto"/>
            </w:tcBorders>
            <w:shd w:val="clear" w:color="000000" w:fill="B4C6E7"/>
            <w:vAlign w:val="bottom"/>
            <w:hideMark/>
          </w:tcPr>
          <w:p w14:paraId="00723EE8"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Outputs Met</w:t>
            </w:r>
          </w:p>
        </w:tc>
        <w:tc>
          <w:tcPr>
            <w:tcW w:w="892" w:type="dxa"/>
            <w:tcBorders>
              <w:top w:val="nil"/>
              <w:left w:val="nil"/>
              <w:bottom w:val="single" w:sz="4" w:space="0" w:color="auto"/>
              <w:right w:val="single" w:sz="4" w:space="0" w:color="auto"/>
            </w:tcBorders>
            <w:shd w:val="clear" w:color="000000" w:fill="B4C6E7"/>
            <w:vAlign w:val="bottom"/>
            <w:hideMark/>
          </w:tcPr>
          <w:p w14:paraId="39E3FA89"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Outputs Met</w:t>
            </w:r>
          </w:p>
        </w:tc>
        <w:tc>
          <w:tcPr>
            <w:tcW w:w="1063" w:type="dxa"/>
            <w:tcBorders>
              <w:top w:val="nil"/>
              <w:left w:val="nil"/>
              <w:bottom w:val="single" w:sz="4" w:space="0" w:color="auto"/>
              <w:right w:val="single" w:sz="4" w:space="0" w:color="auto"/>
            </w:tcBorders>
            <w:shd w:val="clear" w:color="000000" w:fill="B4C6E7"/>
            <w:vAlign w:val="bottom"/>
            <w:hideMark/>
          </w:tcPr>
          <w:p w14:paraId="7A0F32B5"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Short-Term Outcomes</w:t>
            </w:r>
          </w:p>
        </w:tc>
        <w:tc>
          <w:tcPr>
            <w:tcW w:w="1063" w:type="dxa"/>
            <w:tcBorders>
              <w:top w:val="nil"/>
              <w:left w:val="nil"/>
              <w:bottom w:val="single" w:sz="4" w:space="0" w:color="auto"/>
              <w:right w:val="single" w:sz="4" w:space="0" w:color="auto"/>
            </w:tcBorders>
            <w:shd w:val="clear" w:color="000000" w:fill="B4C6E7"/>
            <w:vAlign w:val="bottom"/>
            <w:hideMark/>
          </w:tcPr>
          <w:p w14:paraId="3419465C"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Short-Term Outcomes Met</w:t>
            </w:r>
          </w:p>
        </w:tc>
        <w:tc>
          <w:tcPr>
            <w:tcW w:w="1063" w:type="dxa"/>
            <w:tcBorders>
              <w:top w:val="nil"/>
              <w:left w:val="nil"/>
              <w:bottom w:val="single" w:sz="4" w:space="0" w:color="auto"/>
              <w:right w:val="single" w:sz="4" w:space="0" w:color="auto"/>
            </w:tcBorders>
            <w:shd w:val="clear" w:color="000000" w:fill="B4C6E7"/>
            <w:vAlign w:val="bottom"/>
            <w:hideMark/>
          </w:tcPr>
          <w:p w14:paraId="48AD13F5"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%Short-Term Outcomes Achieved</w:t>
            </w:r>
          </w:p>
        </w:tc>
      </w:tr>
      <w:tr w:rsidR="00BA0D82" w:rsidRPr="0005691D" w14:paraId="49708A75" w14:textId="77777777" w:rsidTr="00BC793A">
        <w:trPr>
          <w:trHeight w:val="300"/>
        </w:trPr>
        <w:tc>
          <w:tcPr>
            <w:tcW w:w="2506" w:type="dxa"/>
            <w:tcBorders>
              <w:top w:val="nil"/>
              <w:left w:val="single" w:sz="4" w:space="0" w:color="auto"/>
              <w:bottom w:val="single" w:sz="4" w:space="0" w:color="auto"/>
              <w:right w:val="single" w:sz="4" w:space="0" w:color="auto"/>
            </w:tcBorders>
            <w:shd w:val="clear" w:color="000000" w:fill="B4C6E7"/>
            <w:noWrap/>
            <w:vAlign w:val="center"/>
            <w:hideMark/>
          </w:tcPr>
          <w:p w14:paraId="5D59758B" w14:textId="77777777" w:rsidR="00BA0D82" w:rsidRPr="0005691D" w:rsidRDefault="00BA0D82" w:rsidP="001A5653">
            <w:pPr>
              <w:spacing w:after="0" w:line="240" w:lineRule="auto"/>
              <w:jc w:val="right"/>
              <w:rPr>
                <w:rFonts w:ascii="Calibri" w:eastAsia="Times New Roman" w:hAnsi="Calibri" w:cs="Calibri"/>
                <w:b/>
                <w:bCs/>
                <w:color w:val="000000"/>
              </w:rPr>
            </w:pPr>
            <w:r w:rsidRPr="0005691D">
              <w:rPr>
                <w:rFonts w:ascii="Calibri" w:eastAsia="Times New Roman" w:hAnsi="Calibri" w:cs="Calibri"/>
                <w:b/>
                <w:bCs/>
                <w:color w:val="000000"/>
              </w:rPr>
              <w:t>Pre-ETS</w:t>
            </w:r>
          </w:p>
        </w:tc>
        <w:tc>
          <w:tcPr>
            <w:tcW w:w="1165" w:type="dxa"/>
            <w:tcBorders>
              <w:top w:val="nil"/>
              <w:left w:val="nil"/>
              <w:bottom w:val="single" w:sz="4" w:space="0" w:color="auto"/>
              <w:right w:val="single" w:sz="4" w:space="0" w:color="auto"/>
            </w:tcBorders>
            <w:shd w:val="clear" w:color="000000" w:fill="FFFFFF"/>
            <w:noWrap/>
            <w:vAlign w:val="center"/>
            <w:hideMark/>
          </w:tcPr>
          <w:p w14:paraId="4BFF3135"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7</w:t>
            </w:r>
          </w:p>
        </w:tc>
        <w:tc>
          <w:tcPr>
            <w:tcW w:w="1254" w:type="dxa"/>
            <w:tcBorders>
              <w:top w:val="nil"/>
              <w:left w:val="nil"/>
              <w:bottom w:val="single" w:sz="4" w:space="0" w:color="auto"/>
              <w:right w:val="single" w:sz="4" w:space="0" w:color="auto"/>
            </w:tcBorders>
            <w:shd w:val="clear" w:color="000000" w:fill="FFFFFF"/>
            <w:noWrap/>
            <w:vAlign w:val="center"/>
            <w:hideMark/>
          </w:tcPr>
          <w:p w14:paraId="180FA4AF"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96%</w:t>
            </w:r>
          </w:p>
        </w:tc>
        <w:tc>
          <w:tcPr>
            <w:tcW w:w="897" w:type="dxa"/>
            <w:tcBorders>
              <w:top w:val="nil"/>
              <w:left w:val="nil"/>
              <w:bottom w:val="single" w:sz="4" w:space="0" w:color="auto"/>
              <w:right w:val="single" w:sz="4" w:space="0" w:color="auto"/>
            </w:tcBorders>
            <w:shd w:val="clear" w:color="000000" w:fill="FFFFFF"/>
            <w:noWrap/>
            <w:vAlign w:val="center"/>
            <w:hideMark/>
          </w:tcPr>
          <w:p w14:paraId="2B2D8CAA"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7</w:t>
            </w:r>
          </w:p>
        </w:tc>
        <w:tc>
          <w:tcPr>
            <w:tcW w:w="897" w:type="dxa"/>
            <w:tcBorders>
              <w:top w:val="nil"/>
              <w:left w:val="nil"/>
              <w:bottom w:val="single" w:sz="4" w:space="0" w:color="auto"/>
              <w:right w:val="single" w:sz="4" w:space="0" w:color="auto"/>
            </w:tcBorders>
            <w:shd w:val="clear" w:color="000000" w:fill="FFFFFF"/>
            <w:noWrap/>
            <w:vAlign w:val="center"/>
            <w:hideMark/>
          </w:tcPr>
          <w:p w14:paraId="0D7A2D5A"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7</w:t>
            </w:r>
          </w:p>
        </w:tc>
        <w:tc>
          <w:tcPr>
            <w:tcW w:w="892" w:type="dxa"/>
            <w:tcBorders>
              <w:top w:val="nil"/>
              <w:left w:val="nil"/>
              <w:bottom w:val="single" w:sz="4" w:space="0" w:color="auto"/>
              <w:right w:val="single" w:sz="4" w:space="0" w:color="auto"/>
            </w:tcBorders>
            <w:shd w:val="clear" w:color="000000" w:fill="FFFFFF"/>
            <w:noWrap/>
            <w:vAlign w:val="center"/>
            <w:hideMark/>
          </w:tcPr>
          <w:p w14:paraId="232A9623"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100%</w:t>
            </w:r>
          </w:p>
        </w:tc>
        <w:tc>
          <w:tcPr>
            <w:tcW w:w="1063" w:type="dxa"/>
            <w:tcBorders>
              <w:top w:val="nil"/>
              <w:left w:val="nil"/>
              <w:bottom w:val="single" w:sz="4" w:space="0" w:color="auto"/>
              <w:right w:val="single" w:sz="4" w:space="0" w:color="auto"/>
            </w:tcBorders>
            <w:shd w:val="clear" w:color="000000" w:fill="FFFFFF"/>
            <w:noWrap/>
            <w:vAlign w:val="center"/>
            <w:hideMark/>
          </w:tcPr>
          <w:p w14:paraId="33CE7849"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4</w:t>
            </w:r>
          </w:p>
        </w:tc>
        <w:tc>
          <w:tcPr>
            <w:tcW w:w="1063" w:type="dxa"/>
            <w:tcBorders>
              <w:top w:val="nil"/>
              <w:left w:val="nil"/>
              <w:bottom w:val="single" w:sz="4" w:space="0" w:color="auto"/>
              <w:right w:val="single" w:sz="4" w:space="0" w:color="auto"/>
            </w:tcBorders>
            <w:shd w:val="clear" w:color="000000" w:fill="FFFFFF"/>
            <w:noWrap/>
            <w:vAlign w:val="center"/>
            <w:hideMark/>
          </w:tcPr>
          <w:p w14:paraId="12E94B82"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3</w:t>
            </w:r>
          </w:p>
        </w:tc>
        <w:tc>
          <w:tcPr>
            <w:tcW w:w="1063" w:type="dxa"/>
            <w:tcBorders>
              <w:top w:val="nil"/>
              <w:left w:val="nil"/>
              <w:bottom w:val="single" w:sz="4" w:space="0" w:color="auto"/>
              <w:right w:val="single" w:sz="4" w:space="0" w:color="auto"/>
            </w:tcBorders>
            <w:shd w:val="clear" w:color="000000" w:fill="FFFFFF"/>
            <w:noWrap/>
            <w:vAlign w:val="center"/>
            <w:hideMark/>
          </w:tcPr>
          <w:p w14:paraId="1B027C8A"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75%</w:t>
            </w:r>
          </w:p>
        </w:tc>
      </w:tr>
      <w:tr w:rsidR="00BA0D82" w:rsidRPr="0005691D" w14:paraId="56C38908" w14:textId="77777777" w:rsidTr="00BC793A">
        <w:trPr>
          <w:trHeight w:val="300"/>
        </w:trPr>
        <w:tc>
          <w:tcPr>
            <w:tcW w:w="2506" w:type="dxa"/>
            <w:tcBorders>
              <w:top w:val="nil"/>
              <w:left w:val="single" w:sz="4" w:space="0" w:color="auto"/>
              <w:bottom w:val="single" w:sz="4" w:space="0" w:color="auto"/>
              <w:right w:val="single" w:sz="4" w:space="0" w:color="auto"/>
            </w:tcBorders>
            <w:shd w:val="clear" w:color="000000" w:fill="B4C6E7"/>
            <w:noWrap/>
            <w:vAlign w:val="center"/>
            <w:hideMark/>
          </w:tcPr>
          <w:p w14:paraId="7D7C798D" w14:textId="77777777" w:rsidR="00BA0D82" w:rsidRPr="0005691D" w:rsidRDefault="00BA0D82" w:rsidP="001A5653">
            <w:pPr>
              <w:spacing w:after="0" w:line="240" w:lineRule="auto"/>
              <w:jc w:val="right"/>
              <w:rPr>
                <w:rFonts w:ascii="Calibri" w:eastAsia="Times New Roman" w:hAnsi="Calibri" w:cs="Calibri"/>
                <w:b/>
                <w:bCs/>
                <w:color w:val="000000"/>
              </w:rPr>
            </w:pPr>
            <w:r w:rsidRPr="0005691D">
              <w:rPr>
                <w:rFonts w:ascii="Calibri" w:eastAsia="Times New Roman" w:hAnsi="Calibri" w:cs="Calibri"/>
                <w:b/>
                <w:bCs/>
                <w:color w:val="000000"/>
              </w:rPr>
              <w:t>Section 511</w:t>
            </w:r>
          </w:p>
        </w:tc>
        <w:tc>
          <w:tcPr>
            <w:tcW w:w="1165" w:type="dxa"/>
            <w:tcBorders>
              <w:top w:val="nil"/>
              <w:left w:val="nil"/>
              <w:bottom w:val="single" w:sz="4" w:space="0" w:color="auto"/>
              <w:right w:val="single" w:sz="4" w:space="0" w:color="auto"/>
            </w:tcBorders>
            <w:shd w:val="clear" w:color="000000" w:fill="D9E2F3"/>
            <w:noWrap/>
            <w:vAlign w:val="center"/>
            <w:hideMark/>
          </w:tcPr>
          <w:p w14:paraId="2B500844"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5</w:t>
            </w:r>
          </w:p>
        </w:tc>
        <w:tc>
          <w:tcPr>
            <w:tcW w:w="1254" w:type="dxa"/>
            <w:tcBorders>
              <w:top w:val="nil"/>
              <w:left w:val="nil"/>
              <w:bottom w:val="single" w:sz="4" w:space="0" w:color="auto"/>
              <w:right w:val="single" w:sz="4" w:space="0" w:color="auto"/>
            </w:tcBorders>
            <w:shd w:val="clear" w:color="000000" w:fill="D9E2F3"/>
            <w:noWrap/>
            <w:vAlign w:val="center"/>
            <w:hideMark/>
          </w:tcPr>
          <w:p w14:paraId="3859DDDD"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100%</w:t>
            </w:r>
          </w:p>
        </w:tc>
        <w:tc>
          <w:tcPr>
            <w:tcW w:w="897" w:type="dxa"/>
            <w:tcBorders>
              <w:top w:val="nil"/>
              <w:left w:val="nil"/>
              <w:bottom w:val="single" w:sz="4" w:space="0" w:color="auto"/>
              <w:right w:val="single" w:sz="4" w:space="0" w:color="auto"/>
            </w:tcBorders>
            <w:shd w:val="clear" w:color="000000" w:fill="D9E2F3"/>
            <w:noWrap/>
            <w:vAlign w:val="center"/>
            <w:hideMark/>
          </w:tcPr>
          <w:p w14:paraId="6AA133DC"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5</w:t>
            </w:r>
          </w:p>
        </w:tc>
        <w:tc>
          <w:tcPr>
            <w:tcW w:w="897" w:type="dxa"/>
            <w:tcBorders>
              <w:top w:val="nil"/>
              <w:left w:val="nil"/>
              <w:bottom w:val="single" w:sz="4" w:space="0" w:color="auto"/>
              <w:right w:val="single" w:sz="4" w:space="0" w:color="auto"/>
            </w:tcBorders>
            <w:shd w:val="clear" w:color="000000" w:fill="D9E2F3"/>
            <w:noWrap/>
            <w:vAlign w:val="center"/>
            <w:hideMark/>
          </w:tcPr>
          <w:p w14:paraId="454F7130"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5</w:t>
            </w:r>
          </w:p>
        </w:tc>
        <w:tc>
          <w:tcPr>
            <w:tcW w:w="892" w:type="dxa"/>
            <w:tcBorders>
              <w:top w:val="nil"/>
              <w:left w:val="nil"/>
              <w:bottom w:val="single" w:sz="4" w:space="0" w:color="auto"/>
              <w:right w:val="single" w:sz="4" w:space="0" w:color="auto"/>
            </w:tcBorders>
            <w:shd w:val="clear" w:color="000000" w:fill="D9E2F3"/>
            <w:noWrap/>
            <w:vAlign w:val="center"/>
            <w:hideMark/>
          </w:tcPr>
          <w:p w14:paraId="13B6185B"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100%</w:t>
            </w:r>
          </w:p>
        </w:tc>
        <w:tc>
          <w:tcPr>
            <w:tcW w:w="1063" w:type="dxa"/>
            <w:tcBorders>
              <w:top w:val="nil"/>
              <w:left w:val="nil"/>
              <w:bottom w:val="single" w:sz="4" w:space="0" w:color="auto"/>
              <w:right w:val="single" w:sz="4" w:space="0" w:color="auto"/>
            </w:tcBorders>
            <w:shd w:val="clear" w:color="000000" w:fill="D9E2F3"/>
            <w:noWrap/>
            <w:vAlign w:val="center"/>
            <w:hideMark/>
          </w:tcPr>
          <w:p w14:paraId="4BD10D56"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2</w:t>
            </w:r>
          </w:p>
        </w:tc>
        <w:tc>
          <w:tcPr>
            <w:tcW w:w="1063" w:type="dxa"/>
            <w:tcBorders>
              <w:top w:val="nil"/>
              <w:left w:val="nil"/>
              <w:bottom w:val="single" w:sz="4" w:space="0" w:color="auto"/>
              <w:right w:val="single" w:sz="4" w:space="0" w:color="auto"/>
            </w:tcBorders>
            <w:shd w:val="clear" w:color="000000" w:fill="D9E2F3"/>
            <w:noWrap/>
            <w:vAlign w:val="center"/>
            <w:hideMark/>
          </w:tcPr>
          <w:p w14:paraId="2DF97183"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w:t>
            </w:r>
          </w:p>
        </w:tc>
        <w:tc>
          <w:tcPr>
            <w:tcW w:w="1063" w:type="dxa"/>
            <w:tcBorders>
              <w:top w:val="nil"/>
              <w:left w:val="nil"/>
              <w:bottom w:val="single" w:sz="4" w:space="0" w:color="auto"/>
              <w:right w:val="single" w:sz="4" w:space="0" w:color="auto"/>
            </w:tcBorders>
            <w:shd w:val="clear" w:color="000000" w:fill="D9E2F3"/>
            <w:noWrap/>
            <w:vAlign w:val="center"/>
            <w:hideMark/>
          </w:tcPr>
          <w:p w14:paraId="55847D30"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50%</w:t>
            </w:r>
          </w:p>
        </w:tc>
      </w:tr>
      <w:tr w:rsidR="00BA0D82" w:rsidRPr="0005691D" w14:paraId="2FE4C6AA" w14:textId="77777777" w:rsidTr="00BC793A">
        <w:trPr>
          <w:trHeight w:val="300"/>
        </w:trPr>
        <w:tc>
          <w:tcPr>
            <w:tcW w:w="2506" w:type="dxa"/>
            <w:tcBorders>
              <w:top w:val="nil"/>
              <w:left w:val="single" w:sz="4" w:space="0" w:color="auto"/>
              <w:bottom w:val="single" w:sz="4" w:space="0" w:color="auto"/>
              <w:right w:val="single" w:sz="4" w:space="0" w:color="auto"/>
            </w:tcBorders>
            <w:shd w:val="clear" w:color="000000" w:fill="B4C6E7"/>
            <w:noWrap/>
            <w:vAlign w:val="center"/>
            <w:hideMark/>
          </w:tcPr>
          <w:p w14:paraId="266CD5A5" w14:textId="77777777" w:rsidR="00BA0D82" w:rsidRPr="0005691D" w:rsidRDefault="00BA0D82" w:rsidP="001A5653">
            <w:pPr>
              <w:spacing w:after="0" w:line="240" w:lineRule="auto"/>
              <w:jc w:val="right"/>
              <w:rPr>
                <w:rFonts w:ascii="Calibri" w:eastAsia="Times New Roman" w:hAnsi="Calibri" w:cs="Calibri"/>
                <w:b/>
                <w:bCs/>
                <w:color w:val="000000"/>
              </w:rPr>
            </w:pPr>
            <w:r w:rsidRPr="0005691D">
              <w:rPr>
                <w:rFonts w:ascii="Calibri" w:eastAsia="Times New Roman" w:hAnsi="Calibri" w:cs="Calibri"/>
                <w:b/>
                <w:bCs/>
                <w:color w:val="000000"/>
              </w:rPr>
              <w:t>Customized Employment</w:t>
            </w:r>
          </w:p>
        </w:tc>
        <w:tc>
          <w:tcPr>
            <w:tcW w:w="1165" w:type="dxa"/>
            <w:tcBorders>
              <w:top w:val="nil"/>
              <w:left w:val="nil"/>
              <w:bottom w:val="single" w:sz="4" w:space="0" w:color="auto"/>
              <w:right w:val="single" w:sz="4" w:space="0" w:color="auto"/>
            </w:tcBorders>
            <w:shd w:val="clear" w:color="000000" w:fill="FFFFFF"/>
            <w:noWrap/>
            <w:vAlign w:val="center"/>
            <w:hideMark/>
          </w:tcPr>
          <w:p w14:paraId="384CD756"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7</w:t>
            </w:r>
          </w:p>
        </w:tc>
        <w:tc>
          <w:tcPr>
            <w:tcW w:w="1254" w:type="dxa"/>
            <w:tcBorders>
              <w:top w:val="nil"/>
              <w:left w:val="nil"/>
              <w:bottom w:val="single" w:sz="4" w:space="0" w:color="auto"/>
              <w:right w:val="single" w:sz="4" w:space="0" w:color="auto"/>
            </w:tcBorders>
            <w:shd w:val="clear" w:color="000000" w:fill="FFFFFF"/>
            <w:noWrap/>
            <w:vAlign w:val="center"/>
            <w:hideMark/>
          </w:tcPr>
          <w:p w14:paraId="76EDC126"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89%</w:t>
            </w:r>
          </w:p>
        </w:tc>
        <w:tc>
          <w:tcPr>
            <w:tcW w:w="897" w:type="dxa"/>
            <w:tcBorders>
              <w:top w:val="nil"/>
              <w:left w:val="nil"/>
              <w:bottom w:val="single" w:sz="4" w:space="0" w:color="auto"/>
              <w:right w:val="single" w:sz="4" w:space="0" w:color="auto"/>
            </w:tcBorders>
            <w:shd w:val="clear" w:color="000000" w:fill="FFFFFF"/>
            <w:noWrap/>
            <w:vAlign w:val="center"/>
            <w:hideMark/>
          </w:tcPr>
          <w:p w14:paraId="1A17D6E1"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7</w:t>
            </w:r>
          </w:p>
        </w:tc>
        <w:tc>
          <w:tcPr>
            <w:tcW w:w="897" w:type="dxa"/>
            <w:tcBorders>
              <w:top w:val="nil"/>
              <w:left w:val="nil"/>
              <w:bottom w:val="single" w:sz="4" w:space="0" w:color="auto"/>
              <w:right w:val="single" w:sz="4" w:space="0" w:color="auto"/>
            </w:tcBorders>
            <w:shd w:val="clear" w:color="000000" w:fill="FFFFFF"/>
            <w:noWrap/>
            <w:vAlign w:val="center"/>
            <w:hideMark/>
          </w:tcPr>
          <w:p w14:paraId="1F9B23D2"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6</w:t>
            </w:r>
          </w:p>
        </w:tc>
        <w:tc>
          <w:tcPr>
            <w:tcW w:w="892" w:type="dxa"/>
            <w:tcBorders>
              <w:top w:val="nil"/>
              <w:left w:val="nil"/>
              <w:bottom w:val="single" w:sz="4" w:space="0" w:color="auto"/>
              <w:right w:val="single" w:sz="4" w:space="0" w:color="auto"/>
            </w:tcBorders>
            <w:shd w:val="clear" w:color="000000" w:fill="FFFFFF"/>
            <w:noWrap/>
            <w:vAlign w:val="center"/>
            <w:hideMark/>
          </w:tcPr>
          <w:p w14:paraId="1DB9FDF7"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86%</w:t>
            </w:r>
          </w:p>
        </w:tc>
        <w:tc>
          <w:tcPr>
            <w:tcW w:w="1063" w:type="dxa"/>
            <w:tcBorders>
              <w:top w:val="nil"/>
              <w:left w:val="nil"/>
              <w:bottom w:val="single" w:sz="4" w:space="0" w:color="auto"/>
              <w:right w:val="single" w:sz="4" w:space="0" w:color="auto"/>
            </w:tcBorders>
            <w:shd w:val="clear" w:color="000000" w:fill="FFFFFF"/>
            <w:noWrap/>
            <w:vAlign w:val="center"/>
            <w:hideMark/>
          </w:tcPr>
          <w:p w14:paraId="0350BBEF"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5</w:t>
            </w:r>
          </w:p>
        </w:tc>
        <w:tc>
          <w:tcPr>
            <w:tcW w:w="1063" w:type="dxa"/>
            <w:tcBorders>
              <w:top w:val="nil"/>
              <w:left w:val="nil"/>
              <w:bottom w:val="single" w:sz="4" w:space="0" w:color="auto"/>
              <w:right w:val="single" w:sz="4" w:space="0" w:color="auto"/>
            </w:tcBorders>
            <w:shd w:val="clear" w:color="000000" w:fill="FFFFFF"/>
            <w:noWrap/>
            <w:vAlign w:val="center"/>
            <w:hideMark/>
          </w:tcPr>
          <w:p w14:paraId="4B467313"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4</w:t>
            </w:r>
          </w:p>
        </w:tc>
        <w:tc>
          <w:tcPr>
            <w:tcW w:w="1063" w:type="dxa"/>
            <w:tcBorders>
              <w:top w:val="nil"/>
              <w:left w:val="nil"/>
              <w:bottom w:val="single" w:sz="4" w:space="0" w:color="auto"/>
              <w:right w:val="single" w:sz="4" w:space="0" w:color="auto"/>
            </w:tcBorders>
            <w:shd w:val="clear" w:color="000000" w:fill="FFFFFF"/>
            <w:noWrap/>
            <w:vAlign w:val="center"/>
            <w:hideMark/>
          </w:tcPr>
          <w:p w14:paraId="68B98308"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80%</w:t>
            </w:r>
          </w:p>
        </w:tc>
      </w:tr>
      <w:tr w:rsidR="00BA0D82" w:rsidRPr="0005691D" w14:paraId="6011BCB9" w14:textId="77777777" w:rsidTr="00BC793A">
        <w:trPr>
          <w:trHeight w:val="300"/>
        </w:trPr>
        <w:tc>
          <w:tcPr>
            <w:tcW w:w="2506" w:type="dxa"/>
            <w:tcBorders>
              <w:top w:val="nil"/>
              <w:left w:val="nil"/>
              <w:bottom w:val="nil"/>
              <w:right w:val="nil"/>
            </w:tcBorders>
            <w:shd w:val="clear" w:color="auto" w:fill="auto"/>
            <w:noWrap/>
            <w:vAlign w:val="bottom"/>
            <w:hideMark/>
          </w:tcPr>
          <w:p w14:paraId="76A62BCA" w14:textId="77777777" w:rsidR="00BA0D82" w:rsidRPr="0005691D" w:rsidRDefault="00BA0D82" w:rsidP="001A5653">
            <w:pPr>
              <w:spacing w:after="0" w:line="240" w:lineRule="auto"/>
              <w:jc w:val="center"/>
              <w:rPr>
                <w:rFonts w:ascii="Calibri" w:eastAsia="Times New Roman" w:hAnsi="Calibri" w:cs="Calibri"/>
                <w:color w:val="000000"/>
              </w:rPr>
            </w:pPr>
          </w:p>
        </w:tc>
        <w:tc>
          <w:tcPr>
            <w:tcW w:w="1165" w:type="dxa"/>
            <w:tcBorders>
              <w:top w:val="nil"/>
              <w:left w:val="nil"/>
              <w:bottom w:val="nil"/>
              <w:right w:val="nil"/>
            </w:tcBorders>
            <w:shd w:val="clear" w:color="auto" w:fill="auto"/>
            <w:noWrap/>
            <w:vAlign w:val="center"/>
            <w:hideMark/>
          </w:tcPr>
          <w:p w14:paraId="5FEAE1E3" w14:textId="77777777" w:rsidR="00BA0D82" w:rsidRPr="0005691D" w:rsidRDefault="00BA0D82" w:rsidP="001A5653">
            <w:pPr>
              <w:spacing w:after="0" w:line="240" w:lineRule="auto"/>
              <w:rPr>
                <w:rFonts w:ascii="Times New Roman" w:eastAsia="Times New Roman" w:hAnsi="Times New Roman" w:cs="Times New Roman"/>
                <w:sz w:val="20"/>
                <w:szCs w:val="20"/>
              </w:rPr>
            </w:pPr>
          </w:p>
        </w:tc>
        <w:tc>
          <w:tcPr>
            <w:tcW w:w="1254" w:type="dxa"/>
            <w:tcBorders>
              <w:top w:val="nil"/>
              <w:left w:val="nil"/>
              <w:bottom w:val="nil"/>
              <w:right w:val="nil"/>
            </w:tcBorders>
            <w:shd w:val="clear" w:color="auto" w:fill="auto"/>
            <w:noWrap/>
            <w:vAlign w:val="center"/>
            <w:hideMark/>
          </w:tcPr>
          <w:p w14:paraId="50E8A4E5"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c>
          <w:tcPr>
            <w:tcW w:w="897" w:type="dxa"/>
            <w:tcBorders>
              <w:top w:val="nil"/>
              <w:left w:val="nil"/>
              <w:bottom w:val="nil"/>
              <w:right w:val="nil"/>
            </w:tcBorders>
            <w:shd w:val="clear" w:color="auto" w:fill="auto"/>
            <w:noWrap/>
            <w:vAlign w:val="center"/>
            <w:hideMark/>
          </w:tcPr>
          <w:p w14:paraId="080AC075"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c>
          <w:tcPr>
            <w:tcW w:w="897" w:type="dxa"/>
            <w:tcBorders>
              <w:top w:val="nil"/>
              <w:left w:val="nil"/>
              <w:bottom w:val="nil"/>
              <w:right w:val="nil"/>
            </w:tcBorders>
            <w:shd w:val="clear" w:color="auto" w:fill="auto"/>
            <w:noWrap/>
            <w:vAlign w:val="center"/>
            <w:hideMark/>
          </w:tcPr>
          <w:p w14:paraId="1F860520"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c>
          <w:tcPr>
            <w:tcW w:w="892" w:type="dxa"/>
            <w:tcBorders>
              <w:top w:val="nil"/>
              <w:left w:val="nil"/>
              <w:bottom w:val="nil"/>
              <w:right w:val="nil"/>
            </w:tcBorders>
            <w:shd w:val="clear" w:color="auto" w:fill="auto"/>
            <w:noWrap/>
            <w:vAlign w:val="center"/>
            <w:hideMark/>
          </w:tcPr>
          <w:p w14:paraId="737F4E13"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c>
          <w:tcPr>
            <w:tcW w:w="1063" w:type="dxa"/>
            <w:tcBorders>
              <w:top w:val="nil"/>
              <w:left w:val="nil"/>
              <w:bottom w:val="nil"/>
              <w:right w:val="nil"/>
            </w:tcBorders>
            <w:shd w:val="clear" w:color="auto" w:fill="auto"/>
            <w:noWrap/>
            <w:vAlign w:val="center"/>
            <w:hideMark/>
          </w:tcPr>
          <w:p w14:paraId="75E32A9B"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c>
          <w:tcPr>
            <w:tcW w:w="1063" w:type="dxa"/>
            <w:tcBorders>
              <w:top w:val="nil"/>
              <w:left w:val="nil"/>
              <w:bottom w:val="nil"/>
              <w:right w:val="nil"/>
            </w:tcBorders>
            <w:shd w:val="clear" w:color="auto" w:fill="auto"/>
            <w:noWrap/>
            <w:vAlign w:val="center"/>
            <w:hideMark/>
          </w:tcPr>
          <w:p w14:paraId="26E67851"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c>
          <w:tcPr>
            <w:tcW w:w="1063" w:type="dxa"/>
            <w:tcBorders>
              <w:top w:val="nil"/>
              <w:left w:val="nil"/>
              <w:bottom w:val="nil"/>
              <w:right w:val="nil"/>
            </w:tcBorders>
            <w:shd w:val="clear" w:color="auto" w:fill="auto"/>
            <w:noWrap/>
            <w:vAlign w:val="center"/>
            <w:hideMark/>
          </w:tcPr>
          <w:p w14:paraId="72A28693"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r>
      <w:tr w:rsidR="00BA0D82" w:rsidRPr="0005691D" w14:paraId="489B9DED" w14:textId="77777777" w:rsidTr="001A5653">
        <w:trPr>
          <w:trHeight w:val="465"/>
        </w:trPr>
        <w:tc>
          <w:tcPr>
            <w:tcW w:w="10800" w:type="dxa"/>
            <w:gridSpan w:val="9"/>
            <w:tcBorders>
              <w:top w:val="single" w:sz="4" w:space="0" w:color="auto"/>
              <w:left w:val="nil"/>
              <w:bottom w:val="single" w:sz="4" w:space="0" w:color="auto"/>
              <w:right w:val="nil"/>
            </w:tcBorders>
            <w:shd w:val="clear" w:color="auto" w:fill="auto"/>
            <w:noWrap/>
            <w:vAlign w:val="bottom"/>
            <w:hideMark/>
          </w:tcPr>
          <w:p w14:paraId="2381E0D9" w14:textId="77777777" w:rsidR="00BA0D82" w:rsidRPr="0005691D" w:rsidRDefault="00BA0D82" w:rsidP="00BA0D82">
            <w:pPr>
              <w:pStyle w:val="Heading2"/>
              <w:numPr>
                <w:ilvl w:val="0"/>
                <w:numId w:val="0"/>
              </w:numPr>
              <w:rPr>
                <w:rFonts w:eastAsia="Times New Roman"/>
              </w:rPr>
            </w:pPr>
            <w:bookmarkStart w:id="191" w:name="_Toc27143185"/>
            <w:bookmarkStart w:id="192" w:name="_Toc28011484"/>
            <w:r w:rsidRPr="0005691D">
              <w:rPr>
                <w:rFonts w:eastAsia="Times New Roman"/>
              </w:rPr>
              <w:t>CNMI Combined</w:t>
            </w:r>
            <w:bookmarkEnd w:id="191"/>
            <w:bookmarkEnd w:id="192"/>
          </w:p>
        </w:tc>
      </w:tr>
      <w:tr w:rsidR="00BA0D82" w:rsidRPr="0005691D" w14:paraId="39FAD3B3" w14:textId="77777777" w:rsidTr="00BC793A">
        <w:trPr>
          <w:trHeight w:val="1305"/>
        </w:trPr>
        <w:tc>
          <w:tcPr>
            <w:tcW w:w="2506" w:type="dxa"/>
            <w:tcBorders>
              <w:top w:val="nil"/>
              <w:left w:val="single" w:sz="4" w:space="0" w:color="auto"/>
              <w:bottom w:val="single" w:sz="4" w:space="0" w:color="auto"/>
              <w:right w:val="single" w:sz="4" w:space="0" w:color="auto"/>
            </w:tcBorders>
            <w:shd w:val="clear" w:color="000000" w:fill="B4C6E7"/>
            <w:vAlign w:val="bottom"/>
            <w:hideMark/>
          </w:tcPr>
          <w:p w14:paraId="150676AD" w14:textId="77777777" w:rsidR="00BA0D82" w:rsidRPr="0005691D" w:rsidRDefault="00BA0D82" w:rsidP="001A5653">
            <w:pPr>
              <w:spacing w:after="0" w:line="240" w:lineRule="auto"/>
              <w:jc w:val="right"/>
              <w:rPr>
                <w:rFonts w:ascii="Calibri" w:eastAsia="Times New Roman" w:hAnsi="Calibri" w:cs="Calibri"/>
                <w:b/>
                <w:bCs/>
                <w:color w:val="000000"/>
                <w:szCs w:val="28"/>
              </w:rPr>
            </w:pPr>
            <w:r w:rsidRPr="0005691D">
              <w:rPr>
                <w:rFonts w:ascii="Calibri" w:eastAsia="Times New Roman" w:hAnsi="Calibri" w:cs="Calibri"/>
                <w:b/>
                <w:bCs/>
                <w:color w:val="000000"/>
                <w:szCs w:val="28"/>
              </w:rPr>
              <w:t>Area</w:t>
            </w:r>
          </w:p>
        </w:tc>
        <w:tc>
          <w:tcPr>
            <w:tcW w:w="1165" w:type="dxa"/>
            <w:tcBorders>
              <w:top w:val="nil"/>
              <w:left w:val="nil"/>
              <w:bottom w:val="single" w:sz="4" w:space="0" w:color="auto"/>
              <w:right w:val="single" w:sz="4" w:space="0" w:color="auto"/>
            </w:tcBorders>
            <w:shd w:val="clear" w:color="000000" w:fill="B4C6E7"/>
            <w:vAlign w:val="bottom"/>
            <w:hideMark/>
          </w:tcPr>
          <w:p w14:paraId="34037BB4"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of Total Activities</w:t>
            </w:r>
          </w:p>
        </w:tc>
        <w:tc>
          <w:tcPr>
            <w:tcW w:w="1254" w:type="dxa"/>
            <w:tcBorders>
              <w:top w:val="nil"/>
              <w:left w:val="nil"/>
              <w:bottom w:val="single" w:sz="4" w:space="0" w:color="auto"/>
              <w:right w:val="single" w:sz="4" w:space="0" w:color="auto"/>
            </w:tcBorders>
            <w:shd w:val="clear" w:color="000000" w:fill="B4C6E7"/>
            <w:vAlign w:val="bottom"/>
            <w:hideMark/>
          </w:tcPr>
          <w:p w14:paraId="04AD6C5B"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Average Progress on Activities (%)</w:t>
            </w:r>
          </w:p>
        </w:tc>
        <w:tc>
          <w:tcPr>
            <w:tcW w:w="897" w:type="dxa"/>
            <w:tcBorders>
              <w:top w:val="nil"/>
              <w:left w:val="nil"/>
              <w:bottom w:val="single" w:sz="4" w:space="0" w:color="auto"/>
              <w:right w:val="single" w:sz="4" w:space="0" w:color="auto"/>
            </w:tcBorders>
            <w:shd w:val="clear" w:color="000000" w:fill="B4C6E7"/>
            <w:vAlign w:val="bottom"/>
            <w:hideMark/>
          </w:tcPr>
          <w:p w14:paraId="0C2288DF"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Outputs</w:t>
            </w:r>
          </w:p>
        </w:tc>
        <w:tc>
          <w:tcPr>
            <w:tcW w:w="897" w:type="dxa"/>
            <w:tcBorders>
              <w:top w:val="nil"/>
              <w:left w:val="nil"/>
              <w:bottom w:val="single" w:sz="4" w:space="0" w:color="auto"/>
              <w:right w:val="single" w:sz="4" w:space="0" w:color="auto"/>
            </w:tcBorders>
            <w:shd w:val="clear" w:color="000000" w:fill="B4C6E7"/>
            <w:vAlign w:val="bottom"/>
            <w:hideMark/>
          </w:tcPr>
          <w:p w14:paraId="23E99420"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Outputs Met</w:t>
            </w:r>
          </w:p>
        </w:tc>
        <w:tc>
          <w:tcPr>
            <w:tcW w:w="892" w:type="dxa"/>
            <w:tcBorders>
              <w:top w:val="nil"/>
              <w:left w:val="nil"/>
              <w:bottom w:val="single" w:sz="4" w:space="0" w:color="auto"/>
              <w:right w:val="single" w:sz="4" w:space="0" w:color="auto"/>
            </w:tcBorders>
            <w:shd w:val="clear" w:color="000000" w:fill="B4C6E7"/>
            <w:vAlign w:val="bottom"/>
            <w:hideMark/>
          </w:tcPr>
          <w:p w14:paraId="52E4638B"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Outputs Met</w:t>
            </w:r>
          </w:p>
        </w:tc>
        <w:tc>
          <w:tcPr>
            <w:tcW w:w="1063" w:type="dxa"/>
            <w:tcBorders>
              <w:top w:val="nil"/>
              <w:left w:val="nil"/>
              <w:bottom w:val="single" w:sz="4" w:space="0" w:color="auto"/>
              <w:right w:val="single" w:sz="4" w:space="0" w:color="auto"/>
            </w:tcBorders>
            <w:shd w:val="clear" w:color="000000" w:fill="B4C6E7"/>
            <w:vAlign w:val="bottom"/>
            <w:hideMark/>
          </w:tcPr>
          <w:p w14:paraId="1ECBB61F"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Short-Term Outcomes</w:t>
            </w:r>
          </w:p>
        </w:tc>
        <w:tc>
          <w:tcPr>
            <w:tcW w:w="1063" w:type="dxa"/>
            <w:tcBorders>
              <w:top w:val="nil"/>
              <w:left w:val="nil"/>
              <w:bottom w:val="single" w:sz="4" w:space="0" w:color="auto"/>
              <w:right w:val="single" w:sz="4" w:space="0" w:color="auto"/>
            </w:tcBorders>
            <w:shd w:val="clear" w:color="000000" w:fill="B4C6E7"/>
            <w:vAlign w:val="bottom"/>
            <w:hideMark/>
          </w:tcPr>
          <w:p w14:paraId="081688F3"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Short-Term Outcomes Met</w:t>
            </w:r>
          </w:p>
        </w:tc>
        <w:tc>
          <w:tcPr>
            <w:tcW w:w="1063" w:type="dxa"/>
            <w:tcBorders>
              <w:top w:val="nil"/>
              <w:left w:val="nil"/>
              <w:bottom w:val="single" w:sz="4" w:space="0" w:color="auto"/>
              <w:right w:val="single" w:sz="4" w:space="0" w:color="auto"/>
            </w:tcBorders>
            <w:shd w:val="clear" w:color="000000" w:fill="B4C6E7"/>
            <w:vAlign w:val="bottom"/>
            <w:hideMark/>
          </w:tcPr>
          <w:p w14:paraId="639082E7"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%Short-Term Outcomes Achieved</w:t>
            </w:r>
          </w:p>
        </w:tc>
      </w:tr>
      <w:tr w:rsidR="00BA0D82" w:rsidRPr="0005691D" w14:paraId="2D529958" w14:textId="77777777" w:rsidTr="00BC793A">
        <w:trPr>
          <w:trHeight w:val="300"/>
        </w:trPr>
        <w:tc>
          <w:tcPr>
            <w:tcW w:w="2506" w:type="dxa"/>
            <w:tcBorders>
              <w:top w:val="nil"/>
              <w:left w:val="single" w:sz="4" w:space="0" w:color="auto"/>
              <w:bottom w:val="single" w:sz="4" w:space="0" w:color="auto"/>
              <w:right w:val="single" w:sz="4" w:space="0" w:color="auto"/>
            </w:tcBorders>
            <w:shd w:val="clear" w:color="000000" w:fill="B4C6E7"/>
            <w:noWrap/>
            <w:vAlign w:val="center"/>
            <w:hideMark/>
          </w:tcPr>
          <w:p w14:paraId="66985690" w14:textId="77777777" w:rsidR="00BA0D82" w:rsidRPr="0005691D" w:rsidRDefault="00BA0D82" w:rsidP="001A5653">
            <w:pPr>
              <w:spacing w:after="0" w:line="240" w:lineRule="auto"/>
              <w:jc w:val="right"/>
              <w:rPr>
                <w:rFonts w:ascii="Calibri" w:eastAsia="Times New Roman" w:hAnsi="Calibri" w:cs="Calibri"/>
                <w:b/>
                <w:bCs/>
                <w:color w:val="000000"/>
              </w:rPr>
            </w:pPr>
            <w:r w:rsidRPr="0005691D">
              <w:rPr>
                <w:rFonts w:ascii="Calibri" w:eastAsia="Times New Roman" w:hAnsi="Calibri" w:cs="Calibri"/>
                <w:b/>
                <w:bCs/>
                <w:color w:val="000000"/>
              </w:rPr>
              <w:t>Pre-ETS</w:t>
            </w:r>
          </w:p>
        </w:tc>
        <w:tc>
          <w:tcPr>
            <w:tcW w:w="1165" w:type="dxa"/>
            <w:tcBorders>
              <w:top w:val="nil"/>
              <w:left w:val="nil"/>
              <w:bottom w:val="single" w:sz="4" w:space="0" w:color="auto"/>
              <w:right w:val="single" w:sz="4" w:space="0" w:color="auto"/>
            </w:tcBorders>
            <w:shd w:val="clear" w:color="000000" w:fill="FFFFFF"/>
            <w:noWrap/>
            <w:vAlign w:val="center"/>
            <w:hideMark/>
          </w:tcPr>
          <w:p w14:paraId="7D3DB8A9"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8</w:t>
            </w:r>
          </w:p>
        </w:tc>
        <w:tc>
          <w:tcPr>
            <w:tcW w:w="1254" w:type="dxa"/>
            <w:tcBorders>
              <w:top w:val="nil"/>
              <w:left w:val="nil"/>
              <w:bottom w:val="single" w:sz="4" w:space="0" w:color="auto"/>
              <w:right w:val="single" w:sz="4" w:space="0" w:color="auto"/>
            </w:tcBorders>
            <w:shd w:val="clear" w:color="000000" w:fill="FFFFFF"/>
            <w:noWrap/>
            <w:vAlign w:val="center"/>
            <w:hideMark/>
          </w:tcPr>
          <w:p w14:paraId="43E2303E"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94%</w:t>
            </w:r>
          </w:p>
        </w:tc>
        <w:tc>
          <w:tcPr>
            <w:tcW w:w="897" w:type="dxa"/>
            <w:tcBorders>
              <w:top w:val="nil"/>
              <w:left w:val="nil"/>
              <w:bottom w:val="single" w:sz="4" w:space="0" w:color="auto"/>
              <w:right w:val="single" w:sz="4" w:space="0" w:color="auto"/>
            </w:tcBorders>
            <w:shd w:val="clear" w:color="000000" w:fill="FFFFFF"/>
            <w:noWrap/>
            <w:vAlign w:val="center"/>
            <w:hideMark/>
          </w:tcPr>
          <w:p w14:paraId="5761964F"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8</w:t>
            </w:r>
          </w:p>
        </w:tc>
        <w:tc>
          <w:tcPr>
            <w:tcW w:w="897" w:type="dxa"/>
            <w:tcBorders>
              <w:top w:val="nil"/>
              <w:left w:val="nil"/>
              <w:bottom w:val="single" w:sz="4" w:space="0" w:color="auto"/>
              <w:right w:val="single" w:sz="4" w:space="0" w:color="auto"/>
            </w:tcBorders>
            <w:shd w:val="clear" w:color="000000" w:fill="FFFFFF"/>
            <w:noWrap/>
            <w:vAlign w:val="center"/>
            <w:hideMark/>
          </w:tcPr>
          <w:p w14:paraId="55D04218"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7</w:t>
            </w:r>
          </w:p>
        </w:tc>
        <w:tc>
          <w:tcPr>
            <w:tcW w:w="892" w:type="dxa"/>
            <w:tcBorders>
              <w:top w:val="nil"/>
              <w:left w:val="nil"/>
              <w:bottom w:val="single" w:sz="4" w:space="0" w:color="auto"/>
              <w:right w:val="single" w:sz="4" w:space="0" w:color="auto"/>
            </w:tcBorders>
            <w:shd w:val="clear" w:color="000000" w:fill="FFFFFF"/>
            <w:noWrap/>
            <w:vAlign w:val="center"/>
            <w:hideMark/>
          </w:tcPr>
          <w:p w14:paraId="3184740D"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88%</w:t>
            </w:r>
          </w:p>
        </w:tc>
        <w:tc>
          <w:tcPr>
            <w:tcW w:w="1063" w:type="dxa"/>
            <w:tcBorders>
              <w:top w:val="nil"/>
              <w:left w:val="nil"/>
              <w:bottom w:val="single" w:sz="4" w:space="0" w:color="auto"/>
              <w:right w:val="single" w:sz="4" w:space="0" w:color="auto"/>
            </w:tcBorders>
            <w:shd w:val="clear" w:color="000000" w:fill="FFFFFF"/>
            <w:noWrap/>
            <w:vAlign w:val="center"/>
            <w:hideMark/>
          </w:tcPr>
          <w:p w14:paraId="4164EEB0"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4</w:t>
            </w:r>
          </w:p>
        </w:tc>
        <w:tc>
          <w:tcPr>
            <w:tcW w:w="1063" w:type="dxa"/>
            <w:tcBorders>
              <w:top w:val="nil"/>
              <w:left w:val="nil"/>
              <w:bottom w:val="single" w:sz="4" w:space="0" w:color="auto"/>
              <w:right w:val="single" w:sz="4" w:space="0" w:color="auto"/>
            </w:tcBorders>
            <w:shd w:val="clear" w:color="000000" w:fill="FFFFFF"/>
            <w:noWrap/>
            <w:vAlign w:val="center"/>
            <w:hideMark/>
          </w:tcPr>
          <w:p w14:paraId="5825B937"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2</w:t>
            </w:r>
          </w:p>
        </w:tc>
        <w:tc>
          <w:tcPr>
            <w:tcW w:w="1063" w:type="dxa"/>
            <w:tcBorders>
              <w:top w:val="nil"/>
              <w:left w:val="nil"/>
              <w:bottom w:val="single" w:sz="4" w:space="0" w:color="auto"/>
              <w:right w:val="single" w:sz="4" w:space="0" w:color="auto"/>
            </w:tcBorders>
            <w:shd w:val="clear" w:color="000000" w:fill="FFFFFF"/>
            <w:noWrap/>
            <w:vAlign w:val="center"/>
            <w:hideMark/>
          </w:tcPr>
          <w:p w14:paraId="3A3F66AC"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50%</w:t>
            </w:r>
          </w:p>
        </w:tc>
      </w:tr>
      <w:tr w:rsidR="00BA0D82" w:rsidRPr="0005691D" w14:paraId="65271A07" w14:textId="77777777" w:rsidTr="00BC793A">
        <w:trPr>
          <w:trHeight w:val="300"/>
        </w:trPr>
        <w:tc>
          <w:tcPr>
            <w:tcW w:w="2506" w:type="dxa"/>
            <w:tcBorders>
              <w:top w:val="nil"/>
              <w:left w:val="single" w:sz="4" w:space="0" w:color="auto"/>
              <w:bottom w:val="single" w:sz="4" w:space="0" w:color="auto"/>
              <w:right w:val="single" w:sz="4" w:space="0" w:color="auto"/>
            </w:tcBorders>
            <w:shd w:val="clear" w:color="000000" w:fill="B4C6E7"/>
            <w:noWrap/>
            <w:vAlign w:val="center"/>
            <w:hideMark/>
          </w:tcPr>
          <w:p w14:paraId="54D19C09" w14:textId="77777777" w:rsidR="00BA0D82" w:rsidRPr="0005691D" w:rsidRDefault="00BA0D82" w:rsidP="001A5653">
            <w:pPr>
              <w:spacing w:after="0" w:line="240" w:lineRule="auto"/>
              <w:jc w:val="right"/>
              <w:rPr>
                <w:rFonts w:ascii="Calibri" w:eastAsia="Times New Roman" w:hAnsi="Calibri" w:cs="Calibri"/>
                <w:b/>
                <w:bCs/>
                <w:color w:val="000000"/>
              </w:rPr>
            </w:pPr>
            <w:r w:rsidRPr="0005691D">
              <w:rPr>
                <w:rFonts w:ascii="Calibri" w:eastAsia="Times New Roman" w:hAnsi="Calibri" w:cs="Calibri"/>
                <w:b/>
                <w:bCs/>
                <w:color w:val="000000"/>
              </w:rPr>
              <w:t>Common Performance Measures</w:t>
            </w:r>
          </w:p>
        </w:tc>
        <w:tc>
          <w:tcPr>
            <w:tcW w:w="1165" w:type="dxa"/>
            <w:tcBorders>
              <w:top w:val="nil"/>
              <w:left w:val="nil"/>
              <w:bottom w:val="single" w:sz="4" w:space="0" w:color="auto"/>
              <w:right w:val="single" w:sz="4" w:space="0" w:color="auto"/>
            </w:tcBorders>
            <w:shd w:val="clear" w:color="000000" w:fill="D9E2F3"/>
            <w:noWrap/>
            <w:vAlign w:val="center"/>
            <w:hideMark/>
          </w:tcPr>
          <w:p w14:paraId="085BE1A9"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4</w:t>
            </w:r>
          </w:p>
        </w:tc>
        <w:tc>
          <w:tcPr>
            <w:tcW w:w="1254" w:type="dxa"/>
            <w:tcBorders>
              <w:top w:val="nil"/>
              <w:left w:val="nil"/>
              <w:bottom w:val="single" w:sz="4" w:space="0" w:color="auto"/>
              <w:right w:val="single" w:sz="4" w:space="0" w:color="auto"/>
            </w:tcBorders>
            <w:shd w:val="clear" w:color="000000" w:fill="D9E2F3"/>
            <w:noWrap/>
            <w:vAlign w:val="center"/>
            <w:hideMark/>
          </w:tcPr>
          <w:p w14:paraId="47ECC272"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63%</w:t>
            </w:r>
          </w:p>
        </w:tc>
        <w:tc>
          <w:tcPr>
            <w:tcW w:w="897" w:type="dxa"/>
            <w:tcBorders>
              <w:top w:val="nil"/>
              <w:left w:val="nil"/>
              <w:bottom w:val="single" w:sz="4" w:space="0" w:color="auto"/>
              <w:right w:val="single" w:sz="4" w:space="0" w:color="auto"/>
            </w:tcBorders>
            <w:shd w:val="clear" w:color="000000" w:fill="D9E2F3"/>
            <w:noWrap/>
            <w:vAlign w:val="center"/>
            <w:hideMark/>
          </w:tcPr>
          <w:p w14:paraId="60EC7624"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4</w:t>
            </w:r>
          </w:p>
        </w:tc>
        <w:tc>
          <w:tcPr>
            <w:tcW w:w="897" w:type="dxa"/>
            <w:tcBorders>
              <w:top w:val="nil"/>
              <w:left w:val="nil"/>
              <w:bottom w:val="single" w:sz="4" w:space="0" w:color="auto"/>
              <w:right w:val="single" w:sz="4" w:space="0" w:color="auto"/>
            </w:tcBorders>
            <w:shd w:val="clear" w:color="000000" w:fill="D9E2F3"/>
            <w:noWrap/>
            <w:vAlign w:val="center"/>
            <w:hideMark/>
          </w:tcPr>
          <w:p w14:paraId="6A7D1E0A"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2</w:t>
            </w:r>
          </w:p>
        </w:tc>
        <w:tc>
          <w:tcPr>
            <w:tcW w:w="892" w:type="dxa"/>
            <w:tcBorders>
              <w:top w:val="nil"/>
              <w:left w:val="nil"/>
              <w:bottom w:val="single" w:sz="4" w:space="0" w:color="auto"/>
              <w:right w:val="single" w:sz="4" w:space="0" w:color="auto"/>
            </w:tcBorders>
            <w:shd w:val="clear" w:color="000000" w:fill="D9E2F3"/>
            <w:noWrap/>
            <w:vAlign w:val="center"/>
            <w:hideMark/>
          </w:tcPr>
          <w:p w14:paraId="5CF6531A"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50%</w:t>
            </w:r>
          </w:p>
        </w:tc>
        <w:tc>
          <w:tcPr>
            <w:tcW w:w="1063" w:type="dxa"/>
            <w:tcBorders>
              <w:top w:val="nil"/>
              <w:left w:val="nil"/>
              <w:bottom w:val="single" w:sz="4" w:space="0" w:color="auto"/>
              <w:right w:val="single" w:sz="4" w:space="0" w:color="auto"/>
            </w:tcBorders>
            <w:shd w:val="clear" w:color="000000" w:fill="D9E2F3"/>
            <w:noWrap/>
            <w:vAlign w:val="center"/>
            <w:hideMark/>
          </w:tcPr>
          <w:p w14:paraId="70DEF4BE"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2</w:t>
            </w:r>
          </w:p>
        </w:tc>
        <w:tc>
          <w:tcPr>
            <w:tcW w:w="1063" w:type="dxa"/>
            <w:tcBorders>
              <w:top w:val="nil"/>
              <w:left w:val="nil"/>
              <w:bottom w:val="single" w:sz="4" w:space="0" w:color="auto"/>
              <w:right w:val="single" w:sz="4" w:space="0" w:color="auto"/>
            </w:tcBorders>
            <w:shd w:val="clear" w:color="000000" w:fill="D9E2F3"/>
            <w:noWrap/>
            <w:vAlign w:val="center"/>
            <w:hideMark/>
          </w:tcPr>
          <w:p w14:paraId="3460173C"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2</w:t>
            </w:r>
          </w:p>
        </w:tc>
        <w:tc>
          <w:tcPr>
            <w:tcW w:w="1063" w:type="dxa"/>
            <w:tcBorders>
              <w:top w:val="nil"/>
              <w:left w:val="nil"/>
              <w:bottom w:val="single" w:sz="4" w:space="0" w:color="auto"/>
              <w:right w:val="single" w:sz="4" w:space="0" w:color="auto"/>
            </w:tcBorders>
            <w:shd w:val="clear" w:color="000000" w:fill="D9E2F3"/>
            <w:noWrap/>
            <w:vAlign w:val="center"/>
            <w:hideMark/>
          </w:tcPr>
          <w:p w14:paraId="65681629"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100%</w:t>
            </w:r>
          </w:p>
        </w:tc>
      </w:tr>
      <w:tr w:rsidR="00BA0D82" w:rsidRPr="0005691D" w14:paraId="3F60DF29" w14:textId="77777777" w:rsidTr="00BC793A">
        <w:trPr>
          <w:trHeight w:val="300"/>
        </w:trPr>
        <w:tc>
          <w:tcPr>
            <w:tcW w:w="2506" w:type="dxa"/>
            <w:tcBorders>
              <w:top w:val="nil"/>
              <w:left w:val="single" w:sz="4" w:space="0" w:color="auto"/>
              <w:bottom w:val="single" w:sz="4" w:space="0" w:color="auto"/>
              <w:right w:val="single" w:sz="4" w:space="0" w:color="auto"/>
            </w:tcBorders>
            <w:shd w:val="clear" w:color="000000" w:fill="B4C6E7"/>
            <w:noWrap/>
            <w:vAlign w:val="center"/>
            <w:hideMark/>
          </w:tcPr>
          <w:p w14:paraId="281E7767" w14:textId="77777777" w:rsidR="00BA0D82" w:rsidRPr="0005691D" w:rsidRDefault="00BA0D82" w:rsidP="001A5653">
            <w:pPr>
              <w:spacing w:after="0" w:line="240" w:lineRule="auto"/>
              <w:jc w:val="right"/>
              <w:rPr>
                <w:rFonts w:ascii="Calibri" w:eastAsia="Times New Roman" w:hAnsi="Calibri" w:cs="Calibri"/>
                <w:b/>
                <w:bCs/>
                <w:color w:val="000000"/>
              </w:rPr>
            </w:pPr>
            <w:r w:rsidRPr="0005691D">
              <w:rPr>
                <w:rFonts w:ascii="Calibri" w:eastAsia="Times New Roman" w:hAnsi="Calibri" w:cs="Calibri"/>
                <w:b/>
                <w:bCs/>
                <w:color w:val="000000"/>
              </w:rPr>
              <w:t>Business Engagement</w:t>
            </w:r>
          </w:p>
        </w:tc>
        <w:tc>
          <w:tcPr>
            <w:tcW w:w="1165" w:type="dxa"/>
            <w:tcBorders>
              <w:top w:val="nil"/>
              <w:left w:val="nil"/>
              <w:bottom w:val="single" w:sz="4" w:space="0" w:color="auto"/>
              <w:right w:val="single" w:sz="4" w:space="0" w:color="auto"/>
            </w:tcBorders>
            <w:shd w:val="clear" w:color="000000" w:fill="FFFFFF"/>
            <w:noWrap/>
            <w:vAlign w:val="center"/>
            <w:hideMark/>
          </w:tcPr>
          <w:p w14:paraId="33D783BC"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3</w:t>
            </w:r>
          </w:p>
        </w:tc>
        <w:tc>
          <w:tcPr>
            <w:tcW w:w="1254" w:type="dxa"/>
            <w:tcBorders>
              <w:top w:val="nil"/>
              <w:left w:val="nil"/>
              <w:bottom w:val="single" w:sz="4" w:space="0" w:color="auto"/>
              <w:right w:val="single" w:sz="4" w:space="0" w:color="auto"/>
            </w:tcBorders>
            <w:shd w:val="clear" w:color="000000" w:fill="FFFFFF"/>
            <w:noWrap/>
            <w:vAlign w:val="center"/>
            <w:hideMark/>
          </w:tcPr>
          <w:p w14:paraId="6DE58A8D"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83%</w:t>
            </w:r>
          </w:p>
        </w:tc>
        <w:tc>
          <w:tcPr>
            <w:tcW w:w="897" w:type="dxa"/>
            <w:tcBorders>
              <w:top w:val="nil"/>
              <w:left w:val="nil"/>
              <w:bottom w:val="single" w:sz="4" w:space="0" w:color="auto"/>
              <w:right w:val="single" w:sz="4" w:space="0" w:color="auto"/>
            </w:tcBorders>
            <w:shd w:val="clear" w:color="000000" w:fill="FFFFFF"/>
            <w:noWrap/>
            <w:vAlign w:val="center"/>
            <w:hideMark/>
          </w:tcPr>
          <w:p w14:paraId="1A013976"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3</w:t>
            </w:r>
          </w:p>
        </w:tc>
        <w:tc>
          <w:tcPr>
            <w:tcW w:w="897" w:type="dxa"/>
            <w:tcBorders>
              <w:top w:val="nil"/>
              <w:left w:val="nil"/>
              <w:bottom w:val="single" w:sz="4" w:space="0" w:color="auto"/>
              <w:right w:val="single" w:sz="4" w:space="0" w:color="auto"/>
            </w:tcBorders>
            <w:shd w:val="clear" w:color="000000" w:fill="FFFFFF"/>
            <w:noWrap/>
            <w:vAlign w:val="center"/>
            <w:hideMark/>
          </w:tcPr>
          <w:p w14:paraId="3C062F9F"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2</w:t>
            </w:r>
          </w:p>
        </w:tc>
        <w:tc>
          <w:tcPr>
            <w:tcW w:w="892" w:type="dxa"/>
            <w:tcBorders>
              <w:top w:val="nil"/>
              <w:left w:val="nil"/>
              <w:bottom w:val="single" w:sz="4" w:space="0" w:color="auto"/>
              <w:right w:val="single" w:sz="4" w:space="0" w:color="auto"/>
            </w:tcBorders>
            <w:shd w:val="clear" w:color="000000" w:fill="FFFFFF"/>
            <w:noWrap/>
            <w:vAlign w:val="center"/>
            <w:hideMark/>
          </w:tcPr>
          <w:p w14:paraId="545DB2BD"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67%</w:t>
            </w:r>
          </w:p>
        </w:tc>
        <w:tc>
          <w:tcPr>
            <w:tcW w:w="1063" w:type="dxa"/>
            <w:tcBorders>
              <w:top w:val="nil"/>
              <w:left w:val="nil"/>
              <w:bottom w:val="single" w:sz="4" w:space="0" w:color="auto"/>
              <w:right w:val="single" w:sz="4" w:space="0" w:color="auto"/>
            </w:tcBorders>
            <w:shd w:val="clear" w:color="000000" w:fill="FFFFFF"/>
            <w:noWrap/>
            <w:vAlign w:val="center"/>
            <w:hideMark/>
          </w:tcPr>
          <w:p w14:paraId="299EDD8B"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3</w:t>
            </w:r>
          </w:p>
        </w:tc>
        <w:tc>
          <w:tcPr>
            <w:tcW w:w="1063" w:type="dxa"/>
            <w:tcBorders>
              <w:top w:val="nil"/>
              <w:left w:val="nil"/>
              <w:bottom w:val="single" w:sz="4" w:space="0" w:color="auto"/>
              <w:right w:val="single" w:sz="4" w:space="0" w:color="auto"/>
            </w:tcBorders>
            <w:shd w:val="clear" w:color="000000" w:fill="FFFFFF"/>
            <w:noWrap/>
            <w:vAlign w:val="center"/>
            <w:hideMark/>
          </w:tcPr>
          <w:p w14:paraId="4EA5F204"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w:t>
            </w:r>
          </w:p>
        </w:tc>
        <w:tc>
          <w:tcPr>
            <w:tcW w:w="1063" w:type="dxa"/>
            <w:tcBorders>
              <w:top w:val="nil"/>
              <w:left w:val="nil"/>
              <w:bottom w:val="single" w:sz="4" w:space="0" w:color="auto"/>
              <w:right w:val="single" w:sz="4" w:space="0" w:color="auto"/>
            </w:tcBorders>
            <w:shd w:val="clear" w:color="000000" w:fill="FFFFFF"/>
            <w:noWrap/>
            <w:vAlign w:val="center"/>
            <w:hideMark/>
          </w:tcPr>
          <w:p w14:paraId="4F425918"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33%</w:t>
            </w:r>
          </w:p>
        </w:tc>
      </w:tr>
      <w:tr w:rsidR="00BA0D82" w:rsidRPr="0005691D" w14:paraId="0D2118C0" w14:textId="77777777" w:rsidTr="00BC793A">
        <w:trPr>
          <w:trHeight w:val="300"/>
        </w:trPr>
        <w:tc>
          <w:tcPr>
            <w:tcW w:w="2506" w:type="dxa"/>
            <w:tcBorders>
              <w:top w:val="nil"/>
              <w:left w:val="nil"/>
              <w:bottom w:val="nil"/>
              <w:right w:val="nil"/>
            </w:tcBorders>
            <w:shd w:val="clear" w:color="auto" w:fill="auto"/>
            <w:noWrap/>
            <w:vAlign w:val="bottom"/>
            <w:hideMark/>
          </w:tcPr>
          <w:p w14:paraId="025E01E3" w14:textId="77777777" w:rsidR="00BA0D82" w:rsidRPr="0005691D" w:rsidRDefault="00BA0D82" w:rsidP="001A5653">
            <w:pPr>
              <w:spacing w:after="0" w:line="240" w:lineRule="auto"/>
              <w:jc w:val="center"/>
              <w:rPr>
                <w:rFonts w:ascii="Calibri" w:eastAsia="Times New Roman" w:hAnsi="Calibri" w:cs="Calibri"/>
                <w:color w:val="000000"/>
              </w:rPr>
            </w:pPr>
          </w:p>
        </w:tc>
        <w:tc>
          <w:tcPr>
            <w:tcW w:w="1165" w:type="dxa"/>
            <w:tcBorders>
              <w:top w:val="nil"/>
              <w:left w:val="nil"/>
              <w:bottom w:val="nil"/>
              <w:right w:val="nil"/>
            </w:tcBorders>
            <w:shd w:val="clear" w:color="auto" w:fill="auto"/>
            <w:noWrap/>
            <w:vAlign w:val="center"/>
            <w:hideMark/>
          </w:tcPr>
          <w:p w14:paraId="6B7B1AB5" w14:textId="77777777" w:rsidR="00BA0D82" w:rsidRPr="0005691D" w:rsidRDefault="00BA0D82" w:rsidP="001A5653">
            <w:pPr>
              <w:spacing w:after="0" w:line="240" w:lineRule="auto"/>
              <w:rPr>
                <w:rFonts w:ascii="Times New Roman" w:eastAsia="Times New Roman" w:hAnsi="Times New Roman" w:cs="Times New Roman"/>
                <w:sz w:val="20"/>
                <w:szCs w:val="20"/>
              </w:rPr>
            </w:pPr>
          </w:p>
        </w:tc>
        <w:tc>
          <w:tcPr>
            <w:tcW w:w="1254" w:type="dxa"/>
            <w:tcBorders>
              <w:top w:val="nil"/>
              <w:left w:val="nil"/>
              <w:bottom w:val="nil"/>
              <w:right w:val="nil"/>
            </w:tcBorders>
            <w:shd w:val="clear" w:color="auto" w:fill="auto"/>
            <w:noWrap/>
            <w:vAlign w:val="center"/>
            <w:hideMark/>
          </w:tcPr>
          <w:p w14:paraId="6CBC8944"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c>
          <w:tcPr>
            <w:tcW w:w="897" w:type="dxa"/>
            <w:tcBorders>
              <w:top w:val="nil"/>
              <w:left w:val="nil"/>
              <w:bottom w:val="nil"/>
              <w:right w:val="nil"/>
            </w:tcBorders>
            <w:shd w:val="clear" w:color="auto" w:fill="auto"/>
            <w:noWrap/>
            <w:vAlign w:val="center"/>
            <w:hideMark/>
          </w:tcPr>
          <w:p w14:paraId="17EADBAF"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c>
          <w:tcPr>
            <w:tcW w:w="897" w:type="dxa"/>
            <w:tcBorders>
              <w:top w:val="nil"/>
              <w:left w:val="nil"/>
              <w:bottom w:val="nil"/>
              <w:right w:val="nil"/>
            </w:tcBorders>
            <w:shd w:val="clear" w:color="auto" w:fill="auto"/>
            <w:noWrap/>
            <w:vAlign w:val="center"/>
            <w:hideMark/>
          </w:tcPr>
          <w:p w14:paraId="27FA844B"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c>
          <w:tcPr>
            <w:tcW w:w="892" w:type="dxa"/>
            <w:tcBorders>
              <w:top w:val="nil"/>
              <w:left w:val="nil"/>
              <w:bottom w:val="nil"/>
              <w:right w:val="nil"/>
            </w:tcBorders>
            <w:shd w:val="clear" w:color="auto" w:fill="auto"/>
            <w:noWrap/>
            <w:vAlign w:val="center"/>
            <w:hideMark/>
          </w:tcPr>
          <w:p w14:paraId="50B2022B"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c>
          <w:tcPr>
            <w:tcW w:w="1063" w:type="dxa"/>
            <w:tcBorders>
              <w:top w:val="nil"/>
              <w:left w:val="nil"/>
              <w:bottom w:val="nil"/>
              <w:right w:val="nil"/>
            </w:tcBorders>
            <w:shd w:val="clear" w:color="auto" w:fill="auto"/>
            <w:noWrap/>
            <w:vAlign w:val="center"/>
            <w:hideMark/>
          </w:tcPr>
          <w:p w14:paraId="580A0C0D"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c>
          <w:tcPr>
            <w:tcW w:w="1063" w:type="dxa"/>
            <w:tcBorders>
              <w:top w:val="nil"/>
              <w:left w:val="nil"/>
              <w:bottom w:val="nil"/>
              <w:right w:val="nil"/>
            </w:tcBorders>
            <w:shd w:val="clear" w:color="auto" w:fill="auto"/>
            <w:noWrap/>
            <w:vAlign w:val="center"/>
            <w:hideMark/>
          </w:tcPr>
          <w:p w14:paraId="147D4629"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c>
          <w:tcPr>
            <w:tcW w:w="1063" w:type="dxa"/>
            <w:tcBorders>
              <w:top w:val="nil"/>
              <w:left w:val="nil"/>
              <w:bottom w:val="nil"/>
              <w:right w:val="nil"/>
            </w:tcBorders>
            <w:shd w:val="clear" w:color="auto" w:fill="auto"/>
            <w:noWrap/>
            <w:vAlign w:val="center"/>
            <w:hideMark/>
          </w:tcPr>
          <w:p w14:paraId="24F95AE7"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r>
      <w:tr w:rsidR="00BA0D82" w:rsidRPr="0005691D" w14:paraId="4A00AB03" w14:textId="77777777" w:rsidTr="001A5653">
        <w:trPr>
          <w:trHeight w:val="465"/>
        </w:trPr>
        <w:tc>
          <w:tcPr>
            <w:tcW w:w="10800" w:type="dxa"/>
            <w:gridSpan w:val="9"/>
            <w:tcBorders>
              <w:top w:val="single" w:sz="4" w:space="0" w:color="auto"/>
              <w:left w:val="nil"/>
              <w:bottom w:val="single" w:sz="4" w:space="0" w:color="auto"/>
              <w:right w:val="nil"/>
            </w:tcBorders>
            <w:shd w:val="clear" w:color="auto" w:fill="auto"/>
            <w:noWrap/>
            <w:vAlign w:val="bottom"/>
            <w:hideMark/>
          </w:tcPr>
          <w:p w14:paraId="49BF4681" w14:textId="77777777" w:rsidR="00BA0D82" w:rsidRPr="0005691D" w:rsidRDefault="00BA0D82" w:rsidP="00BA0D82">
            <w:pPr>
              <w:pStyle w:val="Heading2"/>
              <w:numPr>
                <w:ilvl w:val="0"/>
                <w:numId w:val="0"/>
              </w:numPr>
              <w:rPr>
                <w:rFonts w:eastAsia="Times New Roman"/>
              </w:rPr>
            </w:pPr>
            <w:bookmarkStart w:id="193" w:name="_Toc27143186"/>
            <w:bookmarkStart w:id="194" w:name="_Toc28011485"/>
            <w:r w:rsidRPr="0005691D">
              <w:rPr>
                <w:rFonts w:eastAsia="Times New Roman"/>
              </w:rPr>
              <w:t>Colorado Combined</w:t>
            </w:r>
            <w:bookmarkEnd w:id="193"/>
            <w:bookmarkEnd w:id="194"/>
          </w:p>
        </w:tc>
      </w:tr>
      <w:tr w:rsidR="00BA0D82" w:rsidRPr="0005691D" w14:paraId="41D1D4EA" w14:textId="77777777" w:rsidTr="00BC793A">
        <w:trPr>
          <w:trHeight w:val="1305"/>
        </w:trPr>
        <w:tc>
          <w:tcPr>
            <w:tcW w:w="2506" w:type="dxa"/>
            <w:tcBorders>
              <w:top w:val="nil"/>
              <w:left w:val="single" w:sz="4" w:space="0" w:color="auto"/>
              <w:bottom w:val="single" w:sz="4" w:space="0" w:color="auto"/>
              <w:right w:val="single" w:sz="4" w:space="0" w:color="auto"/>
            </w:tcBorders>
            <w:shd w:val="clear" w:color="000000" w:fill="B4C6E7"/>
            <w:vAlign w:val="bottom"/>
            <w:hideMark/>
          </w:tcPr>
          <w:p w14:paraId="16AD7E5D" w14:textId="77777777" w:rsidR="00BA0D82" w:rsidRPr="0005691D" w:rsidRDefault="00BA0D82" w:rsidP="001A5653">
            <w:pPr>
              <w:spacing w:after="0" w:line="240" w:lineRule="auto"/>
              <w:jc w:val="right"/>
              <w:rPr>
                <w:rFonts w:ascii="Calibri" w:eastAsia="Times New Roman" w:hAnsi="Calibri" w:cs="Calibri"/>
                <w:b/>
                <w:bCs/>
                <w:color w:val="000000"/>
                <w:szCs w:val="28"/>
              </w:rPr>
            </w:pPr>
            <w:r w:rsidRPr="0005691D">
              <w:rPr>
                <w:rFonts w:ascii="Calibri" w:eastAsia="Times New Roman" w:hAnsi="Calibri" w:cs="Calibri"/>
                <w:b/>
                <w:bCs/>
                <w:color w:val="000000"/>
                <w:szCs w:val="28"/>
              </w:rPr>
              <w:t>Area</w:t>
            </w:r>
          </w:p>
        </w:tc>
        <w:tc>
          <w:tcPr>
            <w:tcW w:w="1165" w:type="dxa"/>
            <w:tcBorders>
              <w:top w:val="nil"/>
              <w:left w:val="nil"/>
              <w:bottom w:val="single" w:sz="4" w:space="0" w:color="auto"/>
              <w:right w:val="single" w:sz="4" w:space="0" w:color="auto"/>
            </w:tcBorders>
            <w:shd w:val="clear" w:color="000000" w:fill="B4C6E7"/>
            <w:vAlign w:val="bottom"/>
            <w:hideMark/>
          </w:tcPr>
          <w:p w14:paraId="18D57B52"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of Total Activities</w:t>
            </w:r>
          </w:p>
        </w:tc>
        <w:tc>
          <w:tcPr>
            <w:tcW w:w="1254" w:type="dxa"/>
            <w:tcBorders>
              <w:top w:val="nil"/>
              <w:left w:val="nil"/>
              <w:bottom w:val="single" w:sz="4" w:space="0" w:color="auto"/>
              <w:right w:val="single" w:sz="4" w:space="0" w:color="auto"/>
            </w:tcBorders>
            <w:shd w:val="clear" w:color="000000" w:fill="B4C6E7"/>
            <w:vAlign w:val="bottom"/>
            <w:hideMark/>
          </w:tcPr>
          <w:p w14:paraId="50E8C1D8"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Average Progress on Activities (%)</w:t>
            </w:r>
          </w:p>
        </w:tc>
        <w:tc>
          <w:tcPr>
            <w:tcW w:w="897" w:type="dxa"/>
            <w:tcBorders>
              <w:top w:val="nil"/>
              <w:left w:val="nil"/>
              <w:bottom w:val="single" w:sz="4" w:space="0" w:color="auto"/>
              <w:right w:val="single" w:sz="4" w:space="0" w:color="auto"/>
            </w:tcBorders>
            <w:shd w:val="clear" w:color="000000" w:fill="B4C6E7"/>
            <w:vAlign w:val="bottom"/>
            <w:hideMark/>
          </w:tcPr>
          <w:p w14:paraId="0C615922"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Outputs</w:t>
            </w:r>
          </w:p>
        </w:tc>
        <w:tc>
          <w:tcPr>
            <w:tcW w:w="897" w:type="dxa"/>
            <w:tcBorders>
              <w:top w:val="nil"/>
              <w:left w:val="nil"/>
              <w:bottom w:val="single" w:sz="4" w:space="0" w:color="auto"/>
              <w:right w:val="single" w:sz="4" w:space="0" w:color="auto"/>
            </w:tcBorders>
            <w:shd w:val="clear" w:color="000000" w:fill="B4C6E7"/>
            <w:vAlign w:val="bottom"/>
            <w:hideMark/>
          </w:tcPr>
          <w:p w14:paraId="0DA522C7"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Outputs Met</w:t>
            </w:r>
          </w:p>
        </w:tc>
        <w:tc>
          <w:tcPr>
            <w:tcW w:w="892" w:type="dxa"/>
            <w:tcBorders>
              <w:top w:val="nil"/>
              <w:left w:val="nil"/>
              <w:bottom w:val="single" w:sz="4" w:space="0" w:color="auto"/>
              <w:right w:val="single" w:sz="4" w:space="0" w:color="auto"/>
            </w:tcBorders>
            <w:shd w:val="clear" w:color="000000" w:fill="B4C6E7"/>
            <w:vAlign w:val="bottom"/>
            <w:hideMark/>
          </w:tcPr>
          <w:p w14:paraId="1333F354"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Outputs Met</w:t>
            </w:r>
          </w:p>
        </w:tc>
        <w:tc>
          <w:tcPr>
            <w:tcW w:w="1063" w:type="dxa"/>
            <w:tcBorders>
              <w:top w:val="nil"/>
              <w:left w:val="nil"/>
              <w:bottom w:val="single" w:sz="4" w:space="0" w:color="auto"/>
              <w:right w:val="single" w:sz="4" w:space="0" w:color="auto"/>
            </w:tcBorders>
            <w:shd w:val="clear" w:color="000000" w:fill="B4C6E7"/>
            <w:vAlign w:val="bottom"/>
            <w:hideMark/>
          </w:tcPr>
          <w:p w14:paraId="4B0A987C"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Short-Term Outcomes</w:t>
            </w:r>
          </w:p>
        </w:tc>
        <w:tc>
          <w:tcPr>
            <w:tcW w:w="1063" w:type="dxa"/>
            <w:tcBorders>
              <w:top w:val="nil"/>
              <w:left w:val="nil"/>
              <w:bottom w:val="single" w:sz="4" w:space="0" w:color="auto"/>
              <w:right w:val="single" w:sz="4" w:space="0" w:color="auto"/>
            </w:tcBorders>
            <w:shd w:val="clear" w:color="000000" w:fill="B4C6E7"/>
            <w:vAlign w:val="bottom"/>
            <w:hideMark/>
          </w:tcPr>
          <w:p w14:paraId="7088A503"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Short-Term Outcomes Met</w:t>
            </w:r>
          </w:p>
        </w:tc>
        <w:tc>
          <w:tcPr>
            <w:tcW w:w="1063" w:type="dxa"/>
            <w:tcBorders>
              <w:top w:val="nil"/>
              <w:left w:val="nil"/>
              <w:bottom w:val="single" w:sz="4" w:space="0" w:color="auto"/>
              <w:right w:val="single" w:sz="4" w:space="0" w:color="auto"/>
            </w:tcBorders>
            <w:shd w:val="clear" w:color="000000" w:fill="B4C6E7"/>
            <w:vAlign w:val="bottom"/>
            <w:hideMark/>
          </w:tcPr>
          <w:p w14:paraId="452F475F"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%Short-Term Outcomes Achieved</w:t>
            </w:r>
          </w:p>
        </w:tc>
      </w:tr>
      <w:tr w:rsidR="00BA0D82" w:rsidRPr="0005691D" w14:paraId="6C023DC0" w14:textId="77777777" w:rsidTr="00BC793A">
        <w:trPr>
          <w:trHeight w:val="300"/>
        </w:trPr>
        <w:tc>
          <w:tcPr>
            <w:tcW w:w="2506" w:type="dxa"/>
            <w:tcBorders>
              <w:top w:val="nil"/>
              <w:left w:val="single" w:sz="4" w:space="0" w:color="auto"/>
              <w:bottom w:val="single" w:sz="4" w:space="0" w:color="auto"/>
              <w:right w:val="single" w:sz="4" w:space="0" w:color="auto"/>
            </w:tcBorders>
            <w:shd w:val="clear" w:color="000000" w:fill="B4C6E7"/>
            <w:noWrap/>
            <w:vAlign w:val="center"/>
            <w:hideMark/>
          </w:tcPr>
          <w:p w14:paraId="29E1E0D6" w14:textId="77777777" w:rsidR="00BA0D82" w:rsidRPr="0005691D" w:rsidRDefault="00BA0D82" w:rsidP="001A5653">
            <w:pPr>
              <w:spacing w:after="0" w:line="240" w:lineRule="auto"/>
              <w:jc w:val="right"/>
              <w:rPr>
                <w:rFonts w:ascii="Calibri" w:eastAsia="Times New Roman" w:hAnsi="Calibri" w:cs="Calibri"/>
                <w:b/>
                <w:bCs/>
                <w:color w:val="000000"/>
              </w:rPr>
            </w:pPr>
            <w:r w:rsidRPr="0005691D">
              <w:rPr>
                <w:rFonts w:ascii="Calibri" w:eastAsia="Times New Roman" w:hAnsi="Calibri" w:cs="Calibri"/>
                <w:b/>
                <w:bCs/>
                <w:color w:val="000000"/>
              </w:rPr>
              <w:t>Customized Employment</w:t>
            </w:r>
          </w:p>
        </w:tc>
        <w:tc>
          <w:tcPr>
            <w:tcW w:w="1165" w:type="dxa"/>
            <w:tcBorders>
              <w:top w:val="nil"/>
              <w:left w:val="nil"/>
              <w:bottom w:val="single" w:sz="4" w:space="0" w:color="auto"/>
              <w:right w:val="single" w:sz="4" w:space="0" w:color="auto"/>
            </w:tcBorders>
            <w:shd w:val="clear" w:color="000000" w:fill="FFFFFF"/>
            <w:noWrap/>
            <w:vAlign w:val="center"/>
            <w:hideMark/>
          </w:tcPr>
          <w:p w14:paraId="597B44B0"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12</w:t>
            </w:r>
          </w:p>
        </w:tc>
        <w:tc>
          <w:tcPr>
            <w:tcW w:w="1254" w:type="dxa"/>
            <w:tcBorders>
              <w:top w:val="nil"/>
              <w:left w:val="nil"/>
              <w:bottom w:val="single" w:sz="4" w:space="0" w:color="auto"/>
              <w:right w:val="single" w:sz="4" w:space="0" w:color="auto"/>
            </w:tcBorders>
            <w:shd w:val="clear" w:color="000000" w:fill="FFFFFF"/>
            <w:noWrap/>
            <w:vAlign w:val="center"/>
            <w:hideMark/>
          </w:tcPr>
          <w:p w14:paraId="6906F0B2"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73%</w:t>
            </w:r>
          </w:p>
        </w:tc>
        <w:tc>
          <w:tcPr>
            <w:tcW w:w="897" w:type="dxa"/>
            <w:tcBorders>
              <w:top w:val="nil"/>
              <w:left w:val="nil"/>
              <w:bottom w:val="single" w:sz="4" w:space="0" w:color="auto"/>
              <w:right w:val="single" w:sz="4" w:space="0" w:color="auto"/>
            </w:tcBorders>
            <w:shd w:val="clear" w:color="000000" w:fill="FFFFFF"/>
            <w:noWrap/>
            <w:vAlign w:val="center"/>
            <w:hideMark/>
          </w:tcPr>
          <w:p w14:paraId="4A4CD7EC"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12</w:t>
            </w:r>
          </w:p>
        </w:tc>
        <w:tc>
          <w:tcPr>
            <w:tcW w:w="897" w:type="dxa"/>
            <w:tcBorders>
              <w:top w:val="nil"/>
              <w:left w:val="nil"/>
              <w:bottom w:val="single" w:sz="4" w:space="0" w:color="auto"/>
              <w:right w:val="single" w:sz="4" w:space="0" w:color="auto"/>
            </w:tcBorders>
            <w:shd w:val="clear" w:color="000000" w:fill="FFFFFF"/>
            <w:noWrap/>
            <w:vAlign w:val="center"/>
            <w:hideMark/>
          </w:tcPr>
          <w:p w14:paraId="01044ADC"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8</w:t>
            </w:r>
          </w:p>
        </w:tc>
        <w:tc>
          <w:tcPr>
            <w:tcW w:w="892" w:type="dxa"/>
            <w:tcBorders>
              <w:top w:val="nil"/>
              <w:left w:val="nil"/>
              <w:bottom w:val="single" w:sz="4" w:space="0" w:color="auto"/>
              <w:right w:val="single" w:sz="4" w:space="0" w:color="auto"/>
            </w:tcBorders>
            <w:shd w:val="clear" w:color="000000" w:fill="FFFFFF"/>
            <w:noWrap/>
            <w:vAlign w:val="center"/>
            <w:hideMark/>
          </w:tcPr>
          <w:p w14:paraId="1CB89066"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67%</w:t>
            </w:r>
          </w:p>
        </w:tc>
        <w:tc>
          <w:tcPr>
            <w:tcW w:w="1063" w:type="dxa"/>
            <w:tcBorders>
              <w:top w:val="nil"/>
              <w:left w:val="nil"/>
              <w:bottom w:val="single" w:sz="4" w:space="0" w:color="auto"/>
              <w:right w:val="single" w:sz="4" w:space="0" w:color="auto"/>
            </w:tcBorders>
            <w:shd w:val="clear" w:color="000000" w:fill="FFFFFF"/>
            <w:noWrap/>
            <w:vAlign w:val="center"/>
            <w:hideMark/>
          </w:tcPr>
          <w:p w14:paraId="6F884E8D"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9</w:t>
            </w:r>
          </w:p>
        </w:tc>
        <w:tc>
          <w:tcPr>
            <w:tcW w:w="1063" w:type="dxa"/>
            <w:tcBorders>
              <w:top w:val="nil"/>
              <w:left w:val="nil"/>
              <w:bottom w:val="single" w:sz="4" w:space="0" w:color="auto"/>
              <w:right w:val="single" w:sz="4" w:space="0" w:color="auto"/>
            </w:tcBorders>
            <w:shd w:val="clear" w:color="000000" w:fill="FFFFFF"/>
            <w:noWrap/>
            <w:vAlign w:val="center"/>
            <w:hideMark/>
          </w:tcPr>
          <w:p w14:paraId="5B3A7716"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w:t>
            </w:r>
          </w:p>
        </w:tc>
        <w:tc>
          <w:tcPr>
            <w:tcW w:w="1063" w:type="dxa"/>
            <w:tcBorders>
              <w:top w:val="nil"/>
              <w:left w:val="nil"/>
              <w:bottom w:val="single" w:sz="4" w:space="0" w:color="auto"/>
              <w:right w:val="single" w:sz="4" w:space="0" w:color="auto"/>
            </w:tcBorders>
            <w:shd w:val="clear" w:color="000000" w:fill="FFFFFF"/>
            <w:noWrap/>
            <w:vAlign w:val="center"/>
            <w:hideMark/>
          </w:tcPr>
          <w:p w14:paraId="6CF772F6"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11%</w:t>
            </w:r>
          </w:p>
        </w:tc>
      </w:tr>
      <w:tr w:rsidR="00BA0D82" w:rsidRPr="0005691D" w14:paraId="394B7596" w14:textId="77777777" w:rsidTr="00BC793A">
        <w:trPr>
          <w:trHeight w:val="300"/>
        </w:trPr>
        <w:tc>
          <w:tcPr>
            <w:tcW w:w="2506" w:type="dxa"/>
            <w:tcBorders>
              <w:top w:val="nil"/>
              <w:left w:val="nil"/>
              <w:bottom w:val="nil"/>
              <w:right w:val="nil"/>
            </w:tcBorders>
            <w:shd w:val="clear" w:color="auto" w:fill="auto"/>
            <w:noWrap/>
            <w:vAlign w:val="bottom"/>
            <w:hideMark/>
          </w:tcPr>
          <w:p w14:paraId="2D07EEA7" w14:textId="77777777" w:rsidR="00BA0D82" w:rsidRPr="0005691D" w:rsidRDefault="00BA0D82" w:rsidP="001A5653">
            <w:pPr>
              <w:spacing w:after="0" w:line="240" w:lineRule="auto"/>
              <w:jc w:val="center"/>
              <w:rPr>
                <w:rFonts w:ascii="Calibri" w:eastAsia="Times New Roman" w:hAnsi="Calibri" w:cs="Calibri"/>
                <w:color w:val="000000"/>
              </w:rPr>
            </w:pPr>
          </w:p>
        </w:tc>
        <w:tc>
          <w:tcPr>
            <w:tcW w:w="1165" w:type="dxa"/>
            <w:tcBorders>
              <w:top w:val="nil"/>
              <w:left w:val="nil"/>
              <w:bottom w:val="nil"/>
              <w:right w:val="nil"/>
            </w:tcBorders>
            <w:shd w:val="clear" w:color="auto" w:fill="auto"/>
            <w:noWrap/>
            <w:vAlign w:val="center"/>
            <w:hideMark/>
          </w:tcPr>
          <w:p w14:paraId="245B58E8" w14:textId="77777777" w:rsidR="00BA0D82" w:rsidRPr="0005691D" w:rsidRDefault="00BA0D82" w:rsidP="001A5653">
            <w:pPr>
              <w:spacing w:after="0" w:line="240" w:lineRule="auto"/>
              <w:rPr>
                <w:rFonts w:ascii="Times New Roman" w:eastAsia="Times New Roman" w:hAnsi="Times New Roman" w:cs="Times New Roman"/>
                <w:sz w:val="20"/>
                <w:szCs w:val="20"/>
              </w:rPr>
            </w:pPr>
          </w:p>
        </w:tc>
        <w:tc>
          <w:tcPr>
            <w:tcW w:w="1254" w:type="dxa"/>
            <w:tcBorders>
              <w:top w:val="nil"/>
              <w:left w:val="nil"/>
              <w:bottom w:val="nil"/>
              <w:right w:val="nil"/>
            </w:tcBorders>
            <w:shd w:val="clear" w:color="auto" w:fill="auto"/>
            <w:noWrap/>
            <w:vAlign w:val="center"/>
            <w:hideMark/>
          </w:tcPr>
          <w:p w14:paraId="5F6E86C2"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c>
          <w:tcPr>
            <w:tcW w:w="897" w:type="dxa"/>
            <w:tcBorders>
              <w:top w:val="nil"/>
              <w:left w:val="nil"/>
              <w:bottom w:val="nil"/>
              <w:right w:val="nil"/>
            </w:tcBorders>
            <w:shd w:val="clear" w:color="auto" w:fill="auto"/>
            <w:noWrap/>
            <w:vAlign w:val="center"/>
            <w:hideMark/>
          </w:tcPr>
          <w:p w14:paraId="2E34AF72"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c>
          <w:tcPr>
            <w:tcW w:w="897" w:type="dxa"/>
            <w:tcBorders>
              <w:top w:val="nil"/>
              <w:left w:val="nil"/>
              <w:bottom w:val="nil"/>
              <w:right w:val="nil"/>
            </w:tcBorders>
            <w:shd w:val="clear" w:color="auto" w:fill="auto"/>
            <w:noWrap/>
            <w:vAlign w:val="center"/>
            <w:hideMark/>
          </w:tcPr>
          <w:p w14:paraId="363B82A1"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c>
          <w:tcPr>
            <w:tcW w:w="892" w:type="dxa"/>
            <w:tcBorders>
              <w:top w:val="nil"/>
              <w:left w:val="nil"/>
              <w:bottom w:val="nil"/>
              <w:right w:val="nil"/>
            </w:tcBorders>
            <w:shd w:val="clear" w:color="auto" w:fill="auto"/>
            <w:noWrap/>
            <w:vAlign w:val="center"/>
            <w:hideMark/>
          </w:tcPr>
          <w:p w14:paraId="240F28A4"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c>
          <w:tcPr>
            <w:tcW w:w="1063" w:type="dxa"/>
            <w:tcBorders>
              <w:top w:val="nil"/>
              <w:left w:val="nil"/>
              <w:bottom w:val="nil"/>
              <w:right w:val="nil"/>
            </w:tcBorders>
            <w:shd w:val="clear" w:color="auto" w:fill="auto"/>
            <w:noWrap/>
            <w:vAlign w:val="center"/>
            <w:hideMark/>
          </w:tcPr>
          <w:p w14:paraId="7496E05C"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c>
          <w:tcPr>
            <w:tcW w:w="1063" w:type="dxa"/>
            <w:tcBorders>
              <w:top w:val="nil"/>
              <w:left w:val="nil"/>
              <w:bottom w:val="nil"/>
              <w:right w:val="nil"/>
            </w:tcBorders>
            <w:shd w:val="clear" w:color="auto" w:fill="auto"/>
            <w:noWrap/>
            <w:vAlign w:val="center"/>
            <w:hideMark/>
          </w:tcPr>
          <w:p w14:paraId="5B2A1FE2"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c>
          <w:tcPr>
            <w:tcW w:w="1063" w:type="dxa"/>
            <w:tcBorders>
              <w:top w:val="nil"/>
              <w:left w:val="nil"/>
              <w:bottom w:val="nil"/>
              <w:right w:val="nil"/>
            </w:tcBorders>
            <w:shd w:val="clear" w:color="auto" w:fill="auto"/>
            <w:noWrap/>
            <w:vAlign w:val="center"/>
            <w:hideMark/>
          </w:tcPr>
          <w:p w14:paraId="7A1601AE"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r>
      <w:tr w:rsidR="00BA0D82" w:rsidRPr="0005691D" w14:paraId="2E1E9C8F" w14:textId="77777777" w:rsidTr="001A5653">
        <w:trPr>
          <w:trHeight w:val="465"/>
        </w:trPr>
        <w:tc>
          <w:tcPr>
            <w:tcW w:w="10800" w:type="dxa"/>
            <w:gridSpan w:val="9"/>
            <w:tcBorders>
              <w:top w:val="single" w:sz="4" w:space="0" w:color="auto"/>
              <w:left w:val="nil"/>
              <w:bottom w:val="single" w:sz="4" w:space="0" w:color="auto"/>
              <w:right w:val="nil"/>
            </w:tcBorders>
            <w:shd w:val="clear" w:color="auto" w:fill="auto"/>
            <w:noWrap/>
            <w:vAlign w:val="bottom"/>
            <w:hideMark/>
          </w:tcPr>
          <w:p w14:paraId="1EEABB42" w14:textId="77777777" w:rsidR="00BA0D82" w:rsidRPr="0005691D" w:rsidRDefault="00BA0D82" w:rsidP="00BA0D82">
            <w:pPr>
              <w:pStyle w:val="Heading2"/>
              <w:numPr>
                <w:ilvl w:val="0"/>
                <w:numId w:val="0"/>
              </w:numPr>
              <w:rPr>
                <w:rFonts w:eastAsia="Times New Roman"/>
              </w:rPr>
            </w:pPr>
            <w:bookmarkStart w:id="195" w:name="_Toc27143187"/>
            <w:bookmarkStart w:id="196" w:name="_Toc28011486"/>
            <w:r w:rsidRPr="0005691D">
              <w:rPr>
                <w:rFonts w:eastAsia="Times New Roman"/>
              </w:rPr>
              <w:t>Connecticut General</w:t>
            </w:r>
            <w:bookmarkEnd w:id="195"/>
            <w:bookmarkEnd w:id="196"/>
          </w:p>
        </w:tc>
      </w:tr>
      <w:tr w:rsidR="00BA0D82" w:rsidRPr="0005691D" w14:paraId="2DD41D3A" w14:textId="77777777" w:rsidTr="00BC793A">
        <w:trPr>
          <w:trHeight w:val="1305"/>
        </w:trPr>
        <w:tc>
          <w:tcPr>
            <w:tcW w:w="2506" w:type="dxa"/>
            <w:tcBorders>
              <w:top w:val="nil"/>
              <w:left w:val="single" w:sz="4" w:space="0" w:color="auto"/>
              <w:bottom w:val="single" w:sz="4" w:space="0" w:color="auto"/>
              <w:right w:val="single" w:sz="4" w:space="0" w:color="auto"/>
            </w:tcBorders>
            <w:shd w:val="clear" w:color="000000" w:fill="B4C6E7"/>
            <w:vAlign w:val="bottom"/>
            <w:hideMark/>
          </w:tcPr>
          <w:p w14:paraId="6768DBA9" w14:textId="77777777" w:rsidR="00BA0D82" w:rsidRPr="0005691D" w:rsidRDefault="00BA0D82" w:rsidP="001A5653">
            <w:pPr>
              <w:spacing w:after="0" w:line="240" w:lineRule="auto"/>
              <w:jc w:val="right"/>
              <w:rPr>
                <w:rFonts w:ascii="Calibri" w:eastAsia="Times New Roman" w:hAnsi="Calibri" w:cs="Calibri"/>
                <w:b/>
                <w:bCs/>
                <w:color w:val="000000"/>
                <w:szCs w:val="28"/>
              </w:rPr>
            </w:pPr>
            <w:r w:rsidRPr="0005691D">
              <w:rPr>
                <w:rFonts w:ascii="Calibri" w:eastAsia="Times New Roman" w:hAnsi="Calibri" w:cs="Calibri"/>
                <w:b/>
                <w:bCs/>
                <w:color w:val="000000"/>
                <w:szCs w:val="28"/>
              </w:rPr>
              <w:t>Area</w:t>
            </w:r>
          </w:p>
        </w:tc>
        <w:tc>
          <w:tcPr>
            <w:tcW w:w="1165" w:type="dxa"/>
            <w:tcBorders>
              <w:top w:val="nil"/>
              <w:left w:val="nil"/>
              <w:bottom w:val="single" w:sz="4" w:space="0" w:color="auto"/>
              <w:right w:val="single" w:sz="4" w:space="0" w:color="auto"/>
            </w:tcBorders>
            <w:shd w:val="clear" w:color="000000" w:fill="B4C6E7"/>
            <w:vAlign w:val="bottom"/>
            <w:hideMark/>
          </w:tcPr>
          <w:p w14:paraId="3CBFC7B3"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of Total Activities</w:t>
            </w:r>
          </w:p>
        </w:tc>
        <w:tc>
          <w:tcPr>
            <w:tcW w:w="1254" w:type="dxa"/>
            <w:tcBorders>
              <w:top w:val="nil"/>
              <w:left w:val="nil"/>
              <w:bottom w:val="single" w:sz="4" w:space="0" w:color="auto"/>
              <w:right w:val="single" w:sz="4" w:space="0" w:color="auto"/>
            </w:tcBorders>
            <w:shd w:val="clear" w:color="000000" w:fill="B4C6E7"/>
            <w:vAlign w:val="bottom"/>
            <w:hideMark/>
          </w:tcPr>
          <w:p w14:paraId="245CE7AF"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Average Progress on Activities (%)</w:t>
            </w:r>
          </w:p>
        </w:tc>
        <w:tc>
          <w:tcPr>
            <w:tcW w:w="897" w:type="dxa"/>
            <w:tcBorders>
              <w:top w:val="nil"/>
              <w:left w:val="nil"/>
              <w:bottom w:val="single" w:sz="4" w:space="0" w:color="auto"/>
              <w:right w:val="single" w:sz="4" w:space="0" w:color="auto"/>
            </w:tcBorders>
            <w:shd w:val="clear" w:color="000000" w:fill="B4C6E7"/>
            <w:vAlign w:val="bottom"/>
            <w:hideMark/>
          </w:tcPr>
          <w:p w14:paraId="1B30ED42"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Outputs</w:t>
            </w:r>
          </w:p>
        </w:tc>
        <w:tc>
          <w:tcPr>
            <w:tcW w:w="897" w:type="dxa"/>
            <w:tcBorders>
              <w:top w:val="nil"/>
              <w:left w:val="nil"/>
              <w:bottom w:val="single" w:sz="4" w:space="0" w:color="auto"/>
              <w:right w:val="single" w:sz="4" w:space="0" w:color="auto"/>
            </w:tcBorders>
            <w:shd w:val="clear" w:color="000000" w:fill="B4C6E7"/>
            <w:vAlign w:val="bottom"/>
            <w:hideMark/>
          </w:tcPr>
          <w:p w14:paraId="3F0AB7CC"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Outputs Met</w:t>
            </w:r>
          </w:p>
        </w:tc>
        <w:tc>
          <w:tcPr>
            <w:tcW w:w="892" w:type="dxa"/>
            <w:tcBorders>
              <w:top w:val="nil"/>
              <w:left w:val="nil"/>
              <w:bottom w:val="single" w:sz="4" w:space="0" w:color="auto"/>
              <w:right w:val="single" w:sz="4" w:space="0" w:color="auto"/>
            </w:tcBorders>
            <w:shd w:val="clear" w:color="000000" w:fill="B4C6E7"/>
            <w:vAlign w:val="bottom"/>
            <w:hideMark/>
          </w:tcPr>
          <w:p w14:paraId="1939D724"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Outputs Met</w:t>
            </w:r>
          </w:p>
        </w:tc>
        <w:tc>
          <w:tcPr>
            <w:tcW w:w="1063" w:type="dxa"/>
            <w:tcBorders>
              <w:top w:val="nil"/>
              <w:left w:val="nil"/>
              <w:bottom w:val="single" w:sz="4" w:space="0" w:color="auto"/>
              <w:right w:val="single" w:sz="4" w:space="0" w:color="auto"/>
            </w:tcBorders>
            <w:shd w:val="clear" w:color="000000" w:fill="B4C6E7"/>
            <w:vAlign w:val="bottom"/>
            <w:hideMark/>
          </w:tcPr>
          <w:p w14:paraId="5AFF453C"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Short-Term Outcomes</w:t>
            </w:r>
          </w:p>
        </w:tc>
        <w:tc>
          <w:tcPr>
            <w:tcW w:w="1063" w:type="dxa"/>
            <w:tcBorders>
              <w:top w:val="nil"/>
              <w:left w:val="nil"/>
              <w:bottom w:val="single" w:sz="4" w:space="0" w:color="auto"/>
              <w:right w:val="single" w:sz="4" w:space="0" w:color="auto"/>
            </w:tcBorders>
            <w:shd w:val="clear" w:color="000000" w:fill="B4C6E7"/>
            <w:vAlign w:val="bottom"/>
            <w:hideMark/>
          </w:tcPr>
          <w:p w14:paraId="0E1001BE"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Short-Term Outcomes Met</w:t>
            </w:r>
          </w:p>
        </w:tc>
        <w:tc>
          <w:tcPr>
            <w:tcW w:w="1063" w:type="dxa"/>
            <w:tcBorders>
              <w:top w:val="nil"/>
              <w:left w:val="nil"/>
              <w:bottom w:val="single" w:sz="4" w:space="0" w:color="auto"/>
              <w:right w:val="single" w:sz="4" w:space="0" w:color="auto"/>
            </w:tcBorders>
            <w:shd w:val="clear" w:color="000000" w:fill="B4C6E7"/>
            <w:vAlign w:val="bottom"/>
            <w:hideMark/>
          </w:tcPr>
          <w:p w14:paraId="171F7B91"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%Short-Term Outcomes Achieved</w:t>
            </w:r>
          </w:p>
        </w:tc>
      </w:tr>
      <w:tr w:rsidR="00BA0D82" w:rsidRPr="0005691D" w14:paraId="57AA9DD6" w14:textId="77777777" w:rsidTr="00BC793A">
        <w:trPr>
          <w:trHeight w:val="300"/>
        </w:trPr>
        <w:tc>
          <w:tcPr>
            <w:tcW w:w="2506" w:type="dxa"/>
            <w:tcBorders>
              <w:top w:val="nil"/>
              <w:left w:val="single" w:sz="4" w:space="0" w:color="auto"/>
              <w:bottom w:val="single" w:sz="4" w:space="0" w:color="auto"/>
              <w:right w:val="single" w:sz="4" w:space="0" w:color="auto"/>
            </w:tcBorders>
            <w:shd w:val="clear" w:color="000000" w:fill="B4C6E7"/>
            <w:noWrap/>
            <w:vAlign w:val="center"/>
            <w:hideMark/>
          </w:tcPr>
          <w:p w14:paraId="3D7212B6" w14:textId="77777777" w:rsidR="00BA0D82" w:rsidRPr="0005691D" w:rsidRDefault="00BA0D82" w:rsidP="001A5653">
            <w:pPr>
              <w:spacing w:after="0" w:line="240" w:lineRule="auto"/>
              <w:jc w:val="right"/>
              <w:rPr>
                <w:rFonts w:ascii="Calibri" w:eastAsia="Times New Roman" w:hAnsi="Calibri" w:cs="Calibri"/>
                <w:b/>
                <w:bCs/>
                <w:color w:val="000000"/>
              </w:rPr>
            </w:pPr>
            <w:r w:rsidRPr="0005691D">
              <w:rPr>
                <w:rFonts w:ascii="Calibri" w:eastAsia="Times New Roman" w:hAnsi="Calibri" w:cs="Calibri"/>
                <w:b/>
                <w:bCs/>
                <w:color w:val="000000"/>
              </w:rPr>
              <w:t>Workforce Integration</w:t>
            </w:r>
          </w:p>
        </w:tc>
        <w:tc>
          <w:tcPr>
            <w:tcW w:w="1165" w:type="dxa"/>
            <w:tcBorders>
              <w:top w:val="nil"/>
              <w:left w:val="nil"/>
              <w:bottom w:val="single" w:sz="4" w:space="0" w:color="auto"/>
              <w:right w:val="single" w:sz="4" w:space="0" w:color="auto"/>
            </w:tcBorders>
            <w:shd w:val="clear" w:color="000000" w:fill="FFFFFF"/>
            <w:noWrap/>
            <w:vAlign w:val="center"/>
            <w:hideMark/>
          </w:tcPr>
          <w:p w14:paraId="5C44A562"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2</w:t>
            </w:r>
          </w:p>
        </w:tc>
        <w:tc>
          <w:tcPr>
            <w:tcW w:w="1254" w:type="dxa"/>
            <w:tcBorders>
              <w:top w:val="nil"/>
              <w:left w:val="nil"/>
              <w:bottom w:val="single" w:sz="4" w:space="0" w:color="auto"/>
              <w:right w:val="single" w:sz="4" w:space="0" w:color="auto"/>
            </w:tcBorders>
            <w:shd w:val="clear" w:color="000000" w:fill="FFFFFF"/>
            <w:noWrap/>
            <w:vAlign w:val="center"/>
            <w:hideMark/>
          </w:tcPr>
          <w:p w14:paraId="50899590"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38%</w:t>
            </w:r>
          </w:p>
        </w:tc>
        <w:tc>
          <w:tcPr>
            <w:tcW w:w="897" w:type="dxa"/>
            <w:tcBorders>
              <w:top w:val="nil"/>
              <w:left w:val="nil"/>
              <w:bottom w:val="single" w:sz="4" w:space="0" w:color="auto"/>
              <w:right w:val="single" w:sz="4" w:space="0" w:color="auto"/>
            </w:tcBorders>
            <w:shd w:val="clear" w:color="000000" w:fill="FFFFFF"/>
            <w:noWrap/>
            <w:vAlign w:val="center"/>
            <w:hideMark/>
          </w:tcPr>
          <w:p w14:paraId="493BA3E8"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2</w:t>
            </w:r>
          </w:p>
        </w:tc>
        <w:tc>
          <w:tcPr>
            <w:tcW w:w="897" w:type="dxa"/>
            <w:tcBorders>
              <w:top w:val="nil"/>
              <w:left w:val="nil"/>
              <w:bottom w:val="single" w:sz="4" w:space="0" w:color="auto"/>
              <w:right w:val="single" w:sz="4" w:space="0" w:color="auto"/>
            </w:tcBorders>
            <w:shd w:val="clear" w:color="000000" w:fill="FFFFFF"/>
            <w:noWrap/>
            <w:vAlign w:val="center"/>
            <w:hideMark/>
          </w:tcPr>
          <w:p w14:paraId="100BD905"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0</w:t>
            </w:r>
          </w:p>
        </w:tc>
        <w:tc>
          <w:tcPr>
            <w:tcW w:w="892" w:type="dxa"/>
            <w:tcBorders>
              <w:top w:val="nil"/>
              <w:left w:val="nil"/>
              <w:bottom w:val="single" w:sz="4" w:space="0" w:color="auto"/>
              <w:right w:val="single" w:sz="4" w:space="0" w:color="auto"/>
            </w:tcBorders>
            <w:shd w:val="clear" w:color="000000" w:fill="FFFFFF"/>
            <w:noWrap/>
            <w:vAlign w:val="center"/>
            <w:hideMark/>
          </w:tcPr>
          <w:p w14:paraId="31915136"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0%</w:t>
            </w:r>
          </w:p>
        </w:tc>
        <w:tc>
          <w:tcPr>
            <w:tcW w:w="1063" w:type="dxa"/>
            <w:tcBorders>
              <w:top w:val="nil"/>
              <w:left w:val="nil"/>
              <w:bottom w:val="single" w:sz="4" w:space="0" w:color="auto"/>
              <w:right w:val="single" w:sz="4" w:space="0" w:color="auto"/>
            </w:tcBorders>
            <w:shd w:val="clear" w:color="000000" w:fill="FFFFFF"/>
            <w:noWrap/>
            <w:vAlign w:val="center"/>
            <w:hideMark/>
          </w:tcPr>
          <w:p w14:paraId="2EE54788"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w:t>
            </w:r>
          </w:p>
        </w:tc>
        <w:tc>
          <w:tcPr>
            <w:tcW w:w="1063" w:type="dxa"/>
            <w:tcBorders>
              <w:top w:val="nil"/>
              <w:left w:val="nil"/>
              <w:bottom w:val="single" w:sz="4" w:space="0" w:color="auto"/>
              <w:right w:val="single" w:sz="4" w:space="0" w:color="auto"/>
            </w:tcBorders>
            <w:shd w:val="clear" w:color="000000" w:fill="FFFFFF"/>
            <w:noWrap/>
            <w:vAlign w:val="center"/>
            <w:hideMark/>
          </w:tcPr>
          <w:p w14:paraId="2CF5E7C0"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0</w:t>
            </w:r>
          </w:p>
        </w:tc>
        <w:tc>
          <w:tcPr>
            <w:tcW w:w="1063" w:type="dxa"/>
            <w:tcBorders>
              <w:top w:val="nil"/>
              <w:left w:val="nil"/>
              <w:bottom w:val="single" w:sz="4" w:space="0" w:color="auto"/>
              <w:right w:val="single" w:sz="4" w:space="0" w:color="auto"/>
            </w:tcBorders>
            <w:shd w:val="clear" w:color="000000" w:fill="FFFFFF"/>
            <w:noWrap/>
            <w:vAlign w:val="center"/>
            <w:hideMark/>
          </w:tcPr>
          <w:p w14:paraId="70C88531"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0%</w:t>
            </w:r>
          </w:p>
        </w:tc>
      </w:tr>
      <w:tr w:rsidR="00BA0D82" w:rsidRPr="0005691D" w14:paraId="44C1C42C" w14:textId="77777777" w:rsidTr="00BC793A">
        <w:trPr>
          <w:trHeight w:val="300"/>
        </w:trPr>
        <w:tc>
          <w:tcPr>
            <w:tcW w:w="2506" w:type="dxa"/>
            <w:tcBorders>
              <w:top w:val="nil"/>
              <w:left w:val="single" w:sz="4" w:space="0" w:color="auto"/>
              <w:bottom w:val="single" w:sz="4" w:space="0" w:color="auto"/>
              <w:right w:val="single" w:sz="4" w:space="0" w:color="auto"/>
            </w:tcBorders>
            <w:shd w:val="clear" w:color="000000" w:fill="B4C6E7"/>
            <w:noWrap/>
            <w:vAlign w:val="center"/>
            <w:hideMark/>
          </w:tcPr>
          <w:p w14:paraId="47761074" w14:textId="77777777" w:rsidR="00BA0D82" w:rsidRPr="0005691D" w:rsidRDefault="00BA0D82" w:rsidP="001A5653">
            <w:pPr>
              <w:spacing w:after="0" w:line="240" w:lineRule="auto"/>
              <w:jc w:val="right"/>
              <w:rPr>
                <w:rFonts w:ascii="Calibri" w:eastAsia="Times New Roman" w:hAnsi="Calibri" w:cs="Calibri"/>
                <w:b/>
                <w:bCs/>
                <w:color w:val="000000"/>
              </w:rPr>
            </w:pPr>
            <w:r w:rsidRPr="0005691D">
              <w:rPr>
                <w:rFonts w:ascii="Calibri" w:eastAsia="Times New Roman" w:hAnsi="Calibri" w:cs="Calibri"/>
                <w:b/>
                <w:bCs/>
                <w:color w:val="000000"/>
              </w:rPr>
              <w:t>Common Performance Measures</w:t>
            </w:r>
          </w:p>
        </w:tc>
        <w:tc>
          <w:tcPr>
            <w:tcW w:w="1165" w:type="dxa"/>
            <w:tcBorders>
              <w:top w:val="nil"/>
              <w:left w:val="nil"/>
              <w:bottom w:val="single" w:sz="4" w:space="0" w:color="auto"/>
              <w:right w:val="single" w:sz="4" w:space="0" w:color="auto"/>
            </w:tcBorders>
            <w:shd w:val="clear" w:color="000000" w:fill="D9E2F3"/>
            <w:noWrap/>
            <w:vAlign w:val="center"/>
            <w:hideMark/>
          </w:tcPr>
          <w:p w14:paraId="176219B2"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3</w:t>
            </w:r>
          </w:p>
        </w:tc>
        <w:tc>
          <w:tcPr>
            <w:tcW w:w="1254" w:type="dxa"/>
            <w:tcBorders>
              <w:top w:val="nil"/>
              <w:left w:val="nil"/>
              <w:bottom w:val="single" w:sz="4" w:space="0" w:color="auto"/>
              <w:right w:val="single" w:sz="4" w:space="0" w:color="auto"/>
            </w:tcBorders>
            <w:shd w:val="clear" w:color="000000" w:fill="D9E2F3"/>
            <w:noWrap/>
            <w:vAlign w:val="center"/>
            <w:hideMark/>
          </w:tcPr>
          <w:p w14:paraId="29807631"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72%</w:t>
            </w:r>
          </w:p>
        </w:tc>
        <w:tc>
          <w:tcPr>
            <w:tcW w:w="897" w:type="dxa"/>
            <w:tcBorders>
              <w:top w:val="nil"/>
              <w:left w:val="nil"/>
              <w:bottom w:val="single" w:sz="4" w:space="0" w:color="auto"/>
              <w:right w:val="single" w:sz="4" w:space="0" w:color="auto"/>
            </w:tcBorders>
            <w:shd w:val="clear" w:color="000000" w:fill="D9E2F3"/>
            <w:noWrap/>
            <w:vAlign w:val="center"/>
            <w:hideMark/>
          </w:tcPr>
          <w:p w14:paraId="4042F5F1"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3</w:t>
            </w:r>
          </w:p>
        </w:tc>
        <w:tc>
          <w:tcPr>
            <w:tcW w:w="897" w:type="dxa"/>
            <w:tcBorders>
              <w:top w:val="nil"/>
              <w:left w:val="nil"/>
              <w:bottom w:val="single" w:sz="4" w:space="0" w:color="auto"/>
              <w:right w:val="single" w:sz="4" w:space="0" w:color="auto"/>
            </w:tcBorders>
            <w:shd w:val="clear" w:color="000000" w:fill="D9E2F3"/>
            <w:noWrap/>
            <w:vAlign w:val="center"/>
            <w:hideMark/>
          </w:tcPr>
          <w:p w14:paraId="63E1E49B"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w:t>
            </w:r>
          </w:p>
        </w:tc>
        <w:tc>
          <w:tcPr>
            <w:tcW w:w="892" w:type="dxa"/>
            <w:tcBorders>
              <w:top w:val="nil"/>
              <w:left w:val="nil"/>
              <w:bottom w:val="single" w:sz="4" w:space="0" w:color="auto"/>
              <w:right w:val="single" w:sz="4" w:space="0" w:color="auto"/>
            </w:tcBorders>
            <w:shd w:val="clear" w:color="000000" w:fill="D9E2F3"/>
            <w:noWrap/>
            <w:vAlign w:val="center"/>
            <w:hideMark/>
          </w:tcPr>
          <w:p w14:paraId="6C0C0824"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33%</w:t>
            </w:r>
          </w:p>
        </w:tc>
        <w:tc>
          <w:tcPr>
            <w:tcW w:w="1063" w:type="dxa"/>
            <w:tcBorders>
              <w:top w:val="nil"/>
              <w:left w:val="nil"/>
              <w:bottom w:val="single" w:sz="4" w:space="0" w:color="auto"/>
              <w:right w:val="single" w:sz="4" w:space="0" w:color="auto"/>
            </w:tcBorders>
            <w:shd w:val="clear" w:color="000000" w:fill="D9E2F3"/>
            <w:noWrap/>
            <w:vAlign w:val="center"/>
            <w:hideMark/>
          </w:tcPr>
          <w:p w14:paraId="24A13442"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w:t>
            </w:r>
          </w:p>
        </w:tc>
        <w:tc>
          <w:tcPr>
            <w:tcW w:w="1063" w:type="dxa"/>
            <w:tcBorders>
              <w:top w:val="nil"/>
              <w:left w:val="nil"/>
              <w:bottom w:val="single" w:sz="4" w:space="0" w:color="auto"/>
              <w:right w:val="single" w:sz="4" w:space="0" w:color="auto"/>
            </w:tcBorders>
            <w:shd w:val="clear" w:color="000000" w:fill="D9E2F3"/>
            <w:noWrap/>
            <w:vAlign w:val="center"/>
            <w:hideMark/>
          </w:tcPr>
          <w:p w14:paraId="575E8019"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w:t>
            </w:r>
          </w:p>
        </w:tc>
        <w:tc>
          <w:tcPr>
            <w:tcW w:w="1063" w:type="dxa"/>
            <w:tcBorders>
              <w:top w:val="nil"/>
              <w:left w:val="nil"/>
              <w:bottom w:val="single" w:sz="4" w:space="0" w:color="auto"/>
              <w:right w:val="single" w:sz="4" w:space="0" w:color="auto"/>
            </w:tcBorders>
            <w:shd w:val="clear" w:color="000000" w:fill="D9E2F3"/>
            <w:noWrap/>
            <w:vAlign w:val="center"/>
            <w:hideMark/>
          </w:tcPr>
          <w:p w14:paraId="5F651ACB"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100%</w:t>
            </w:r>
          </w:p>
        </w:tc>
      </w:tr>
      <w:tr w:rsidR="00BA0D82" w:rsidRPr="0005691D" w14:paraId="661D6264" w14:textId="77777777" w:rsidTr="00BC793A">
        <w:trPr>
          <w:trHeight w:val="300"/>
        </w:trPr>
        <w:tc>
          <w:tcPr>
            <w:tcW w:w="2506" w:type="dxa"/>
            <w:tcBorders>
              <w:top w:val="nil"/>
              <w:left w:val="nil"/>
              <w:bottom w:val="nil"/>
              <w:right w:val="nil"/>
            </w:tcBorders>
            <w:shd w:val="clear" w:color="auto" w:fill="auto"/>
            <w:noWrap/>
            <w:vAlign w:val="bottom"/>
            <w:hideMark/>
          </w:tcPr>
          <w:p w14:paraId="588FB170" w14:textId="77777777" w:rsidR="00BA0D82" w:rsidRPr="0005691D" w:rsidRDefault="00BA0D82" w:rsidP="001A5653">
            <w:pPr>
              <w:spacing w:after="0" w:line="240" w:lineRule="auto"/>
              <w:jc w:val="center"/>
              <w:rPr>
                <w:rFonts w:ascii="Calibri" w:eastAsia="Times New Roman" w:hAnsi="Calibri" w:cs="Calibri"/>
                <w:color w:val="000000"/>
              </w:rPr>
            </w:pPr>
          </w:p>
        </w:tc>
        <w:tc>
          <w:tcPr>
            <w:tcW w:w="1165" w:type="dxa"/>
            <w:tcBorders>
              <w:top w:val="nil"/>
              <w:left w:val="nil"/>
              <w:bottom w:val="nil"/>
              <w:right w:val="nil"/>
            </w:tcBorders>
            <w:shd w:val="clear" w:color="auto" w:fill="auto"/>
            <w:noWrap/>
            <w:vAlign w:val="center"/>
            <w:hideMark/>
          </w:tcPr>
          <w:p w14:paraId="1B96ED48" w14:textId="77777777" w:rsidR="00BA0D82" w:rsidRPr="0005691D" w:rsidRDefault="00BA0D82" w:rsidP="001A5653">
            <w:pPr>
              <w:spacing w:after="0" w:line="240" w:lineRule="auto"/>
              <w:rPr>
                <w:rFonts w:ascii="Times New Roman" w:eastAsia="Times New Roman" w:hAnsi="Times New Roman" w:cs="Times New Roman"/>
                <w:sz w:val="20"/>
                <w:szCs w:val="20"/>
              </w:rPr>
            </w:pPr>
          </w:p>
        </w:tc>
        <w:tc>
          <w:tcPr>
            <w:tcW w:w="1254" w:type="dxa"/>
            <w:tcBorders>
              <w:top w:val="nil"/>
              <w:left w:val="nil"/>
              <w:bottom w:val="nil"/>
              <w:right w:val="nil"/>
            </w:tcBorders>
            <w:shd w:val="clear" w:color="auto" w:fill="auto"/>
            <w:noWrap/>
            <w:vAlign w:val="center"/>
            <w:hideMark/>
          </w:tcPr>
          <w:p w14:paraId="0819A399"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c>
          <w:tcPr>
            <w:tcW w:w="897" w:type="dxa"/>
            <w:tcBorders>
              <w:top w:val="nil"/>
              <w:left w:val="nil"/>
              <w:bottom w:val="nil"/>
              <w:right w:val="nil"/>
            </w:tcBorders>
            <w:shd w:val="clear" w:color="auto" w:fill="auto"/>
            <w:noWrap/>
            <w:vAlign w:val="center"/>
            <w:hideMark/>
          </w:tcPr>
          <w:p w14:paraId="5AA5E026"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c>
          <w:tcPr>
            <w:tcW w:w="897" w:type="dxa"/>
            <w:tcBorders>
              <w:top w:val="nil"/>
              <w:left w:val="nil"/>
              <w:bottom w:val="nil"/>
              <w:right w:val="nil"/>
            </w:tcBorders>
            <w:shd w:val="clear" w:color="auto" w:fill="auto"/>
            <w:noWrap/>
            <w:vAlign w:val="center"/>
            <w:hideMark/>
          </w:tcPr>
          <w:p w14:paraId="2894FB28"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c>
          <w:tcPr>
            <w:tcW w:w="892" w:type="dxa"/>
            <w:tcBorders>
              <w:top w:val="nil"/>
              <w:left w:val="nil"/>
              <w:bottom w:val="nil"/>
              <w:right w:val="nil"/>
            </w:tcBorders>
            <w:shd w:val="clear" w:color="auto" w:fill="auto"/>
            <w:noWrap/>
            <w:vAlign w:val="center"/>
            <w:hideMark/>
          </w:tcPr>
          <w:p w14:paraId="7673EFD7"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c>
          <w:tcPr>
            <w:tcW w:w="1063" w:type="dxa"/>
            <w:tcBorders>
              <w:top w:val="nil"/>
              <w:left w:val="nil"/>
              <w:bottom w:val="nil"/>
              <w:right w:val="nil"/>
            </w:tcBorders>
            <w:shd w:val="clear" w:color="auto" w:fill="auto"/>
            <w:noWrap/>
            <w:vAlign w:val="center"/>
            <w:hideMark/>
          </w:tcPr>
          <w:p w14:paraId="58C501CA"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c>
          <w:tcPr>
            <w:tcW w:w="1063" w:type="dxa"/>
            <w:tcBorders>
              <w:top w:val="nil"/>
              <w:left w:val="nil"/>
              <w:bottom w:val="nil"/>
              <w:right w:val="nil"/>
            </w:tcBorders>
            <w:shd w:val="clear" w:color="auto" w:fill="auto"/>
            <w:noWrap/>
            <w:vAlign w:val="center"/>
            <w:hideMark/>
          </w:tcPr>
          <w:p w14:paraId="18E297CC"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c>
          <w:tcPr>
            <w:tcW w:w="1063" w:type="dxa"/>
            <w:tcBorders>
              <w:top w:val="nil"/>
              <w:left w:val="nil"/>
              <w:bottom w:val="nil"/>
              <w:right w:val="nil"/>
            </w:tcBorders>
            <w:shd w:val="clear" w:color="auto" w:fill="auto"/>
            <w:noWrap/>
            <w:vAlign w:val="center"/>
            <w:hideMark/>
          </w:tcPr>
          <w:p w14:paraId="47E638C9"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r>
      <w:tr w:rsidR="00BA0D82" w:rsidRPr="0005691D" w14:paraId="140C4007" w14:textId="77777777" w:rsidTr="001A5653">
        <w:trPr>
          <w:trHeight w:val="465"/>
        </w:trPr>
        <w:tc>
          <w:tcPr>
            <w:tcW w:w="10800" w:type="dxa"/>
            <w:gridSpan w:val="9"/>
            <w:tcBorders>
              <w:top w:val="single" w:sz="4" w:space="0" w:color="auto"/>
              <w:left w:val="nil"/>
              <w:bottom w:val="single" w:sz="4" w:space="0" w:color="auto"/>
              <w:right w:val="nil"/>
            </w:tcBorders>
            <w:shd w:val="clear" w:color="auto" w:fill="auto"/>
            <w:noWrap/>
            <w:vAlign w:val="bottom"/>
            <w:hideMark/>
          </w:tcPr>
          <w:p w14:paraId="10547B56" w14:textId="77777777" w:rsidR="00BA0D82" w:rsidRPr="0005691D" w:rsidRDefault="00BA0D82" w:rsidP="00BA0D82">
            <w:pPr>
              <w:pStyle w:val="Heading2"/>
              <w:numPr>
                <w:ilvl w:val="0"/>
                <w:numId w:val="0"/>
              </w:numPr>
              <w:rPr>
                <w:rFonts w:eastAsia="Times New Roman"/>
              </w:rPr>
            </w:pPr>
            <w:bookmarkStart w:id="197" w:name="_Toc27143188"/>
            <w:bookmarkStart w:id="198" w:name="_Toc28011487"/>
            <w:r w:rsidRPr="0005691D">
              <w:rPr>
                <w:rFonts w:eastAsia="Times New Roman"/>
              </w:rPr>
              <w:t>Delaware Blind</w:t>
            </w:r>
            <w:bookmarkEnd w:id="197"/>
            <w:bookmarkEnd w:id="198"/>
          </w:p>
        </w:tc>
      </w:tr>
      <w:tr w:rsidR="00BA0D82" w:rsidRPr="0005691D" w14:paraId="46C3C502" w14:textId="77777777" w:rsidTr="00BC793A">
        <w:trPr>
          <w:trHeight w:val="1305"/>
        </w:trPr>
        <w:tc>
          <w:tcPr>
            <w:tcW w:w="2506" w:type="dxa"/>
            <w:tcBorders>
              <w:top w:val="nil"/>
              <w:left w:val="single" w:sz="4" w:space="0" w:color="auto"/>
              <w:bottom w:val="single" w:sz="4" w:space="0" w:color="auto"/>
              <w:right w:val="single" w:sz="4" w:space="0" w:color="auto"/>
            </w:tcBorders>
            <w:shd w:val="clear" w:color="000000" w:fill="B4C6E7"/>
            <w:vAlign w:val="bottom"/>
            <w:hideMark/>
          </w:tcPr>
          <w:p w14:paraId="3500FF58" w14:textId="77777777" w:rsidR="00BA0D82" w:rsidRPr="0005691D" w:rsidRDefault="00BA0D82" w:rsidP="001A5653">
            <w:pPr>
              <w:spacing w:after="0" w:line="240" w:lineRule="auto"/>
              <w:jc w:val="right"/>
              <w:rPr>
                <w:rFonts w:ascii="Calibri" w:eastAsia="Times New Roman" w:hAnsi="Calibri" w:cs="Calibri"/>
                <w:b/>
                <w:bCs/>
                <w:color w:val="000000"/>
                <w:szCs w:val="28"/>
              </w:rPr>
            </w:pPr>
            <w:r w:rsidRPr="0005691D">
              <w:rPr>
                <w:rFonts w:ascii="Calibri" w:eastAsia="Times New Roman" w:hAnsi="Calibri" w:cs="Calibri"/>
                <w:b/>
                <w:bCs/>
                <w:color w:val="000000"/>
                <w:szCs w:val="28"/>
              </w:rPr>
              <w:t>Area</w:t>
            </w:r>
          </w:p>
        </w:tc>
        <w:tc>
          <w:tcPr>
            <w:tcW w:w="1165" w:type="dxa"/>
            <w:tcBorders>
              <w:top w:val="nil"/>
              <w:left w:val="nil"/>
              <w:bottom w:val="single" w:sz="4" w:space="0" w:color="auto"/>
              <w:right w:val="single" w:sz="4" w:space="0" w:color="auto"/>
            </w:tcBorders>
            <w:shd w:val="clear" w:color="000000" w:fill="B4C6E7"/>
            <w:vAlign w:val="bottom"/>
            <w:hideMark/>
          </w:tcPr>
          <w:p w14:paraId="0250B2A8"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of Total Activities</w:t>
            </w:r>
          </w:p>
        </w:tc>
        <w:tc>
          <w:tcPr>
            <w:tcW w:w="1254" w:type="dxa"/>
            <w:tcBorders>
              <w:top w:val="nil"/>
              <w:left w:val="nil"/>
              <w:bottom w:val="single" w:sz="4" w:space="0" w:color="auto"/>
              <w:right w:val="single" w:sz="4" w:space="0" w:color="auto"/>
            </w:tcBorders>
            <w:shd w:val="clear" w:color="000000" w:fill="B4C6E7"/>
            <w:vAlign w:val="bottom"/>
            <w:hideMark/>
          </w:tcPr>
          <w:p w14:paraId="6CE288C8"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Average Progress on Activities (%)</w:t>
            </w:r>
          </w:p>
        </w:tc>
        <w:tc>
          <w:tcPr>
            <w:tcW w:w="897" w:type="dxa"/>
            <w:tcBorders>
              <w:top w:val="nil"/>
              <w:left w:val="nil"/>
              <w:bottom w:val="single" w:sz="4" w:space="0" w:color="auto"/>
              <w:right w:val="single" w:sz="4" w:space="0" w:color="auto"/>
            </w:tcBorders>
            <w:shd w:val="clear" w:color="000000" w:fill="B4C6E7"/>
            <w:vAlign w:val="bottom"/>
            <w:hideMark/>
          </w:tcPr>
          <w:p w14:paraId="49A651E0"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Outputs</w:t>
            </w:r>
          </w:p>
        </w:tc>
        <w:tc>
          <w:tcPr>
            <w:tcW w:w="897" w:type="dxa"/>
            <w:tcBorders>
              <w:top w:val="nil"/>
              <w:left w:val="nil"/>
              <w:bottom w:val="single" w:sz="4" w:space="0" w:color="auto"/>
              <w:right w:val="single" w:sz="4" w:space="0" w:color="auto"/>
            </w:tcBorders>
            <w:shd w:val="clear" w:color="000000" w:fill="B4C6E7"/>
            <w:vAlign w:val="bottom"/>
            <w:hideMark/>
          </w:tcPr>
          <w:p w14:paraId="0C9FDA77"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Outputs Met</w:t>
            </w:r>
          </w:p>
        </w:tc>
        <w:tc>
          <w:tcPr>
            <w:tcW w:w="892" w:type="dxa"/>
            <w:tcBorders>
              <w:top w:val="nil"/>
              <w:left w:val="nil"/>
              <w:bottom w:val="single" w:sz="4" w:space="0" w:color="auto"/>
              <w:right w:val="single" w:sz="4" w:space="0" w:color="auto"/>
            </w:tcBorders>
            <w:shd w:val="clear" w:color="000000" w:fill="B4C6E7"/>
            <w:vAlign w:val="bottom"/>
            <w:hideMark/>
          </w:tcPr>
          <w:p w14:paraId="6B8CC3C5"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Outputs Met</w:t>
            </w:r>
          </w:p>
        </w:tc>
        <w:tc>
          <w:tcPr>
            <w:tcW w:w="1063" w:type="dxa"/>
            <w:tcBorders>
              <w:top w:val="nil"/>
              <w:left w:val="nil"/>
              <w:bottom w:val="single" w:sz="4" w:space="0" w:color="auto"/>
              <w:right w:val="single" w:sz="4" w:space="0" w:color="auto"/>
            </w:tcBorders>
            <w:shd w:val="clear" w:color="000000" w:fill="B4C6E7"/>
            <w:vAlign w:val="bottom"/>
            <w:hideMark/>
          </w:tcPr>
          <w:p w14:paraId="123F53C8"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Short-Term Outcomes</w:t>
            </w:r>
          </w:p>
        </w:tc>
        <w:tc>
          <w:tcPr>
            <w:tcW w:w="1063" w:type="dxa"/>
            <w:tcBorders>
              <w:top w:val="nil"/>
              <w:left w:val="nil"/>
              <w:bottom w:val="single" w:sz="4" w:space="0" w:color="auto"/>
              <w:right w:val="single" w:sz="4" w:space="0" w:color="auto"/>
            </w:tcBorders>
            <w:shd w:val="clear" w:color="000000" w:fill="B4C6E7"/>
            <w:vAlign w:val="bottom"/>
            <w:hideMark/>
          </w:tcPr>
          <w:p w14:paraId="227DD2D6"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Short-Term Outcomes Met</w:t>
            </w:r>
          </w:p>
        </w:tc>
        <w:tc>
          <w:tcPr>
            <w:tcW w:w="1063" w:type="dxa"/>
            <w:tcBorders>
              <w:top w:val="nil"/>
              <w:left w:val="nil"/>
              <w:bottom w:val="single" w:sz="4" w:space="0" w:color="auto"/>
              <w:right w:val="single" w:sz="4" w:space="0" w:color="auto"/>
            </w:tcBorders>
            <w:shd w:val="clear" w:color="000000" w:fill="B4C6E7"/>
            <w:vAlign w:val="bottom"/>
            <w:hideMark/>
          </w:tcPr>
          <w:p w14:paraId="500E118A"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%Short-Term Outcomes Achieved</w:t>
            </w:r>
          </w:p>
        </w:tc>
      </w:tr>
      <w:tr w:rsidR="00BA0D82" w:rsidRPr="0005691D" w14:paraId="559EC796" w14:textId="77777777" w:rsidTr="00BC793A">
        <w:trPr>
          <w:trHeight w:val="300"/>
        </w:trPr>
        <w:tc>
          <w:tcPr>
            <w:tcW w:w="2506" w:type="dxa"/>
            <w:tcBorders>
              <w:top w:val="nil"/>
              <w:left w:val="single" w:sz="4" w:space="0" w:color="auto"/>
              <w:bottom w:val="single" w:sz="4" w:space="0" w:color="auto"/>
              <w:right w:val="single" w:sz="4" w:space="0" w:color="auto"/>
            </w:tcBorders>
            <w:shd w:val="clear" w:color="000000" w:fill="B4C6E7"/>
            <w:noWrap/>
            <w:vAlign w:val="center"/>
            <w:hideMark/>
          </w:tcPr>
          <w:p w14:paraId="5F69AA74" w14:textId="77777777" w:rsidR="00BA0D82" w:rsidRPr="0005691D" w:rsidRDefault="00BA0D82" w:rsidP="001A5653">
            <w:pPr>
              <w:spacing w:after="0" w:line="240" w:lineRule="auto"/>
              <w:jc w:val="right"/>
              <w:rPr>
                <w:rFonts w:ascii="Calibri" w:eastAsia="Times New Roman" w:hAnsi="Calibri" w:cs="Calibri"/>
                <w:b/>
                <w:bCs/>
                <w:color w:val="000000"/>
              </w:rPr>
            </w:pPr>
            <w:r w:rsidRPr="0005691D">
              <w:rPr>
                <w:rFonts w:ascii="Calibri" w:eastAsia="Times New Roman" w:hAnsi="Calibri" w:cs="Calibri"/>
                <w:b/>
                <w:bCs/>
                <w:color w:val="000000"/>
              </w:rPr>
              <w:t>Pre-ETS</w:t>
            </w:r>
          </w:p>
        </w:tc>
        <w:tc>
          <w:tcPr>
            <w:tcW w:w="1165" w:type="dxa"/>
            <w:tcBorders>
              <w:top w:val="nil"/>
              <w:left w:val="nil"/>
              <w:bottom w:val="single" w:sz="4" w:space="0" w:color="auto"/>
              <w:right w:val="single" w:sz="4" w:space="0" w:color="auto"/>
            </w:tcBorders>
            <w:shd w:val="clear" w:color="000000" w:fill="FFFFFF"/>
            <w:noWrap/>
            <w:vAlign w:val="center"/>
            <w:hideMark/>
          </w:tcPr>
          <w:p w14:paraId="73BCFDFA"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9</w:t>
            </w:r>
          </w:p>
        </w:tc>
        <w:tc>
          <w:tcPr>
            <w:tcW w:w="1254" w:type="dxa"/>
            <w:tcBorders>
              <w:top w:val="nil"/>
              <w:left w:val="nil"/>
              <w:bottom w:val="single" w:sz="4" w:space="0" w:color="auto"/>
              <w:right w:val="single" w:sz="4" w:space="0" w:color="auto"/>
            </w:tcBorders>
            <w:shd w:val="clear" w:color="000000" w:fill="FFFFFF"/>
            <w:noWrap/>
            <w:vAlign w:val="center"/>
            <w:hideMark/>
          </w:tcPr>
          <w:p w14:paraId="346857DB"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25%</w:t>
            </w:r>
          </w:p>
        </w:tc>
        <w:tc>
          <w:tcPr>
            <w:tcW w:w="897" w:type="dxa"/>
            <w:tcBorders>
              <w:top w:val="nil"/>
              <w:left w:val="nil"/>
              <w:bottom w:val="single" w:sz="4" w:space="0" w:color="auto"/>
              <w:right w:val="single" w:sz="4" w:space="0" w:color="auto"/>
            </w:tcBorders>
            <w:shd w:val="clear" w:color="000000" w:fill="FFFFFF"/>
            <w:noWrap/>
            <w:vAlign w:val="center"/>
            <w:hideMark/>
          </w:tcPr>
          <w:p w14:paraId="21FF461A"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9</w:t>
            </w:r>
          </w:p>
        </w:tc>
        <w:tc>
          <w:tcPr>
            <w:tcW w:w="897" w:type="dxa"/>
            <w:tcBorders>
              <w:top w:val="nil"/>
              <w:left w:val="nil"/>
              <w:bottom w:val="single" w:sz="4" w:space="0" w:color="auto"/>
              <w:right w:val="single" w:sz="4" w:space="0" w:color="auto"/>
            </w:tcBorders>
            <w:shd w:val="clear" w:color="000000" w:fill="FFFFFF"/>
            <w:noWrap/>
            <w:vAlign w:val="center"/>
            <w:hideMark/>
          </w:tcPr>
          <w:p w14:paraId="5931093E"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w:t>
            </w:r>
          </w:p>
        </w:tc>
        <w:tc>
          <w:tcPr>
            <w:tcW w:w="892" w:type="dxa"/>
            <w:tcBorders>
              <w:top w:val="nil"/>
              <w:left w:val="nil"/>
              <w:bottom w:val="single" w:sz="4" w:space="0" w:color="auto"/>
              <w:right w:val="single" w:sz="4" w:space="0" w:color="auto"/>
            </w:tcBorders>
            <w:shd w:val="clear" w:color="000000" w:fill="FFFFFF"/>
            <w:noWrap/>
            <w:vAlign w:val="center"/>
            <w:hideMark/>
          </w:tcPr>
          <w:p w14:paraId="493C7966"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11%</w:t>
            </w:r>
          </w:p>
        </w:tc>
        <w:tc>
          <w:tcPr>
            <w:tcW w:w="1063" w:type="dxa"/>
            <w:tcBorders>
              <w:top w:val="nil"/>
              <w:left w:val="nil"/>
              <w:bottom w:val="single" w:sz="4" w:space="0" w:color="auto"/>
              <w:right w:val="single" w:sz="4" w:space="0" w:color="auto"/>
            </w:tcBorders>
            <w:shd w:val="clear" w:color="000000" w:fill="FFFFFF"/>
            <w:noWrap/>
            <w:vAlign w:val="center"/>
            <w:hideMark/>
          </w:tcPr>
          <w:p w14:paraId="300A0AC8"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3</w:t>
            </w:r>
          </w:p>
        </w:tc>
        <w:tc>
          <w:tcPr>
            <w:tcW w:w="1063" w:type="dxa"/>
            <w:tcBorders>
              <w:top w:val="nil"/>
              <w:left w:val="nil"/>
              <w:bottom w:val="single" w:sz="4" w:space="0" w:color="auto"/>
              <w:right w:val="single" w:sz="4" w:space="0" w:color="auto"/>
            </w:tcBorders>
            <w:shd w:val="clear" w:color="000000" w:fill="FFFFFF"/>
            <w:noWrap/>
            <w:vAlign w:val="center"/>
            <w:hideMark/>
          </w:tcPr>
          <w:p w14:paraId="0C4C7480"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0</w:t>
            </w:r>
          </w:p>
        </w:tc>
        <w:tc>
          <w:tcPr>
            <w:tcW w:w="1063" w:type="dxa"/>
            <w:tcBorders>
              <w:top w:val="nil"/>
              <w:left w:val="nil"/>
              <w:bottom w:val="single" w:sz="4" w:space="0" w:color="auto"/>
              <w:right w:val="single" w:sz="4" w:space="0" w:color="auto"/>
            </w:tcBorders>
            <w:shd w:val="clear" w:color="000000" w:fill="FFFFFF"/>
            <w:noWrap/>
            <w:vAlign w:val="center"/>
            <w:hideMark/>
          </w:tcPr>
          <w:p w14:paraId="6C1DFDCE"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0%</w:t>
            </w:r>
          </w:p>
        </w:tc>
      </w:tr>
      <w:tr w:rsidR="00BA0D82" w:rsidRPr="0005691D" w14:paraId="573C8B60" w14:textId="77777777" w:rsidTr="00BC793A">
        <w:trPr>
          <w:trHeight w:val="300"/>
        </w:trPr>
        <w:tc>
          <w:tcPr>
            <w:tcW w:w="2506" w:type="dxa"/>
            <w:tcBorders>
              <w:top w:val="nil"/>
              <w:left w:val="single" w:sz="4" w:space="0" w:color="auto"/>
              <w:bottom w:val="single" w:sz="4" w:space="0" w:color="auto"/>
              <w:right w:val="single" w:sz="4" w:space="0" w:color="auto"/>
            </w:tcBorders>
            <w:shd w:val="clear" w:color="000000" w:fill="B4C6E7"/>
            <w:noWrap/>
            <w:vAlign w:val="center"/>
            <w:hideMark/>
          </w:tcPr>
          <w:p w14:paraId="475BBA28" w14:textId="77777777" w:rsidR="00BA0D82" w:rsidRPr="0005691D" w:rsidRDefault="00BA0D82" w:rsidP="001A5653">
            <w:pPr>
              <w:spacing w:after="0" w:line="240" w:lineRule="auto"/>
              <w:jc w:val="right"/>
              <w:rPr>
                <w:rFonts w:ascii="Calibri" w:eastAsia="Times New Roman" w:hAnsi="Calibri" w:cs="Calibri"/>
                <w:b/>
                <w:bCs/>
                <w:color w:val="000000"/>
              </w:rPr>
            </w:pPr>
            <w:r w:rsidRPr="0005691D">
              <w:rPr>
                <w:rFonts w:ascii="Calibri" w:eastAsia="Times New Roman" w:hAnsi="Calibri" w:cs="Calibri"/>
                <w:b/>
                <w:bCs/>
                <w:color w:val="000000"/>
              </w:rPr>
              <w:t>Workforce Integration</w:t>
            </w:r>
          </w:p>
        </w:tc>
        <w:tc>
          <w:tcPr>
            <w:tcW w:w="1165" w:type="dxa"/>
            <w:tcBorders>
              <w:top w:val="nil"/>
              <w:left w:val="nil"/>
              <w:bottom w:val="single" w:sz="4" w:space="0" w:color="auto"/>
              <w:right w:val="single" w:sz="4" w:space="0" w:color="auto"/>
            </w:tcBorders>
            <w:shd w:val="clear" w:color="000000" w:fill="D9E2F3"/>
            <w:noWrap/>
            <w:vAlign w:val="center"/>
            <w:hideMark/>
          </w:tcPr>
          <w:p w14:paraId="25016341"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11</w:t>
            </w:r>
          </w:p>
        </w:tc>
        <w:tc>
          <w:tcPr>
            <w:tcW w:w="1254" w:type="dxa"/>
            <w:tcBorders>
              <w:top w:val="nil"/>
              <w:left w:val="nil"/>
              <w:bottom w:val="single" w:sz="4" w:space="0" w:color="auto"/>
              <w:right w:val="single" w:sz="4" w:space="0" w:color="auto"/>
            </w:tcBorders>
            <w:shd w:val="clear" w:color="000000" w:fill="D9E2F3"/>
            <w:noWrap/>
            <w:vAlign w:val="center"/>
            <w:hideMark/>
          </w:tcPr>
          <w:p w14:paraId="41497C78"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41%</w:t>
            </w:r>
          </w:p>
        </w:tc>
        <w:tc>
          <w:tcPr>
            <w:tcW w:w="897" w:type="dxa"/>
            <w:tcBorders>
              <w:top w:val="nil"/>
              <w:left w:val="nil"/>
              <w:bottom w:val="single" w:sz="4" w:space="0" w:color="auto"/>
              <w:right w:val="single" w:sz="4" w:space="0" w:color="auto"/>
            </w:tcBorders>
            <w:shd w:val="clear" w:color="000000" w:fill="D9E2F3"/>
            <w:noWrap/>
            <w:vAlign w:val="center"/>
            <w:hideMark/>
          </w:tcPr>
          <w:p w14:paraId="3B38E8DA"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11</w:t>
            </w:r>
          </w:p>
        </w:tc>
        <w:tc>
          <w:tcPr>
            <w:tcW w:w="897" w:type="dxa"/>
            <w:tcBorders>
              <w:top w:val="nil"/>
              <w:left w:val="nil"/>
              <w:bottom w:val="single" w:sz="4" w:space="0" w:color="auto"/>
              <w:right w:val="single" w:sz="4" w:space="0" w:color="auto"/>
            </w:tcBorders>
            <w:shd w:val="clear" w:color="000000" w:fill="D9E2F3"/>
            <w:noWrap/>
            <w:vAlign w:val="center"/>
            <w:hideMark/>
          </w:tcPr>
          <w:p w14:paraId="1149C432"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w:t>
            </w:r>
          </w:p>
        </w:tc>
        <w:tc>
          <w:tcPr>
            <w:tcW w:w="892" w:type="dxa"/>
            <w:tcBorders>
              <w:top w:val="nil"/>
              <w:left w:val="nil"/>
              <w:bottom w:val="single" w:sz="4" w:space="0" w:color="auto"/>
              <w:right w:val="single" w:sz="4" w:space="0" w:color="auto"/>
            </w:tcBorders>
            <w:shd w:val="clear" w:color="000000" w:fill="D9E2F3"/>
            <w:noWrap/>
            <w:vAlign w:val="center"/>
            <w:hideMark/>
          </w:tcPr>
          <w:p w14:paraId="55F87333"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9%</w:t>
            </w:r>
          </w:p>
        </w:tc>
        <w:tc>
          <w:tcPr>
            <w:tcW w:w="1063" w:type="dxa"/>
            <w:tcBorders>
              <w:top w:val="nil"/>
              <w:left w:val="nil"/>
              <w:bottom w:val="single" w:sz="4" w:space="0" w:color="auto"/>
              <w:right w:val="single" w:sz="4" w:space="0" w:color="auto"/>
            </w:tcBorders>
            <w:shd w:val="clear" w:color="000000" w:fill="D9E2F3"/>
            <w:noWrap/>
            <w:vAlign w:val="center"/>
            <w:hideMark/>
          </w:tcPr>
          <w:p w14:paraId="37685ED8"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3</w:t>
            </w:r>
          </w:p>
        </w:tc>
        <w:tc>
          <w:tcPr>
            <w:tcW w:w="1063" w:type="dxa"/>
            <w:tcBorders>
              <w:top w:val="nil"/>
              <w:left w:val="nil"/>
              <w:bottom w:val="single" w:sz="4" w:space="0" w:color="auto"/>
              <w:right w:val="single" w:sz="4" w:space="0" w:color="auto"/>
            </w:tcBorders>
            <w:shd w:val="clear" w:color="000000" w:fill="D9E2F3"/>
            <w:noWrap/>
            <w:vAlign w:val="center"/>
            <w:hideMark/>
          </w:tcPr>
          <w:p w14:paraId="3A0B4CDA"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0</w:t>
            </w:r>
          </w:p>
        </w:tc>
        <w:tc>
          <w:tcPr>
            <w:tcW w:w="1063" w:type="dxa"/>
            <w:tcBorders>
              <w:top w:val="nil"/>
              <w:left w:val="nil"/>
              <w:bottom w:val="single" w:sz="4" w:space="0" w:color="auto"/>
              <w:right w:val="single" w:sz="4" w:space="0" w:color="auto"/>
            </w:tcBorders>
            <w:shd w:val="clear" w:color="000000" w:fill="D9E2F3"/>
            <w:noWrap/>
            <w:vAlign w:val="center"/>
            <w:hideMark/>
          </w:tcPr>
          <w:p w14:paraId="5E900C81"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0%</w:t>
            </w:r>
          </w:p>
        </w:tc>
      </w:tr>
      <w:tr w:rsidR="00BA0D82" w:rsidRPr="0005691D" w14:paraId="3E1159CF" w14:textId="77777777" w:rsidTr="00BC793A">
        <w:trPr>
          <w:trHeight w:val="300"/>
        </w:trPr>
        <w:tc>
          <w:tcPr>
            <w:tcW w:w="2506" w:type="dxa"/>
            <w:tcBorders>
              <w:top w:val="nil"/>
              <w:left w:val="single" w:sz="4" w:space="0" w:color="auto"/>
              <w:bottom w:val="single" w:sz="4" w:space="0" w:color="auto"/>
              <w:right w:val="single" w:sz="4" w:space="0" w:color="auto"/>
            </w:tcBorders>
            <w:shd w:val="clear" w:color="000000" w:fill="B4C6E7"/>
            <w:noWrap/>
            <w:vAlign w:val="center"/>
            <w:hideMark/>
          </w:tcPr>
          <w:p w14:paraId="48BBCBE6" w14:textId="77777777" w:rsidR="00BA0D82" w:rsidRPr="0005691D" w:rsidRDefault="00BA0D82" w:rsidP="001A5653">
            <w:pPr>
              <w:spacing w:after="0" w:line="240" w:lineRule="auto"/>
              <w:jc w:val="right"/>
              <w:rPr>
                <w:rFonts w:ascii="Calibri" w:eastAsia="Times New Roman" w:hAnsi="Calibri" w:cs="Calibri"/>
                <w:b/>
                <w:bCs/>
                <w:color w:val="000000"/>
              </w:rPr>
            </w:pPr>
            <w:r w:rsidRPr="0005691D">
              <w:rPr>
                <w:rFonts w:ascii="Calibri" w:eastAsia="Times New Roman" w:hAnsi="Calibri" w:cs="Calibri"/>
                <w:b/>
                <w:bCs/>
                <w:color w:val="000000"/>
              </w:rPr>
              <w:t>Common Performance Measures</w:t>
            </w:r>
          </w:p>
        </w:tc>
        <w:tc>
          <w:tcPr>
            <w:tcW w:w="1165" w:type="dxa"/>
            <w:tcBorders>
              <w:top w:val="nil"/>
              <w:left w:val="nil"/>
              <w:bottom w:val="single" w:sz="4" w:space="0" w:color="auto"/>
              <w:right w:val="single" w:sz="4" w:space="0" w:color="auto"/>
            </w:tcBorders>
            <w:shd w:val="clear" w:color="000000" w:fill="FFFFFF"/>
            <w:noWrap/>
            <w:vAlign w:val="center"/>
            <w:hideMark/>
          </w:tcPr>
          <w:p w14:paraId="678A1137"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5</w:t>
            </w:r>
          </w:p>
        </w:tc>
        <w:tc>
          <w:tcPr>
            <w:tcW w:w="1254" w:type="dxa"/>
            <w:tcBorders>
              <w:top w:val="nil"/>
              <w:left w:val="nil"/>
              <w:bottom w:val="single" w:sz="4" w:space="0" w:color="auto"/>
              <w:right w:val="single" w:sz="4" w:space="0" w:color="auto"/>
            </w:tcBorders>
            <w:shd w:val="clear" w:color="000000" w:fill="FFFFFF"/>
            <w:noWrap/>
            <w:vAlign w:val="center"/>
            <w:hideMark/>
          </w:tcPr>
          <w:p w14:paraId="36C362F1"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45%</w:t>
            </w:r>
          </w:p>
        </w:tc>
        <w:tc>
          <w:tcPr>
            <w:tcW w:w="897" w:type="dxa"/>
            <w:tcBorders>
              <w:top w:val="nil"/>
              <w:left w:val="nil"/>
              <w:bottom w:val="single" w:sz="4" w:space="0" w:color="auto"/>
              <w:right w:val="single" w:sz="4" w:space="0" w:color="auto"/>
            </w:tcBorders>
            <w:shd w:val="clear" w:color="000000" w:fill="FFFFFF"/>
            <w:noWrap/>
            <w:vAlign w:val="center"/>
            <w:hideMark/>
          </w:tcPr>
          <w:p w14:paraId="00B789FA"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5</w:t>
            </w:r>
          </w:p>
        </w:tc>
        <w:tc>
          <w:tcPr>
            <w:tcW w:w="897" w:type="dxa"/>
            <w:tcBorders>
              <w:top w:val="nil"/>
              <w:left w:val="nil"/>
              <w:bottom w:val="single" w:sz="4" w:space="0" w:color="auto"/>
              <w:right w:val="single" w:sz="4" w:space="0" w:color="auto"/>
            </w:tcBorders>
            <w:shd w:val="clear" w:color="000000" w:fill="FFFFFF"/>
            <w:noWrap/>
            <w:vAlign w:val="center"/>
            <w:hideMark/>
          </w:tcPr>
          <w:p w14:paraId="1C34E7CE"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w:t>
            </w:r>
          </w:p>
        </w:tc>
        <w:tc>
          <w:tcPr>
            <w:tcW w:w="892" w:type="dxa"/>
            <w:tcBorders>
              <w:top w:val="nil"/>
              <w:left w:val="nil"/>
              <w:bottom w:val="single" w:sz="4" w:space="0" w:color="auto"/>
              <w:right w:val="single" w:sz="4" w:space="0" w:color="auto"/>
            </w:tcBorders>
            <w:shd w:val="clear" w:color="000000" w:fill="FFFFFF"/>
            <w:noWrap/>
            <w:vAlign w:val="center"/>
            <w:hideMark/>
          </w:tcPr>
          <w:p w14:paraId="34AD9537"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20%</w:t>
            </w:r>
          </w:p>
        </w:tc>
        <w:tc>
          <w:tcPr>
            <w:tcW w:w="1063" w:type="dxa"/>
            <w:tcBorders>
              <w:top w:val="nil"/>
              <w:left w:val="nil"/>
              <w:bottom w:val="single" w:sz="4" w:space="0" w:color="auto"/>
              <w:right w:val="single" w:sz="4" w:space="0" w:color="auto"/>
            </w:tcBorders>
            <w:shd w:val="clear" w:color="000000" w:fill="FFFFFF"/>
            <w:noWrap/>
            <w:vAlign w:val="center"/>
            <w:hideMark/>
          </w:tcPr>
          <w:p w14:paraId="024239FC"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w:t>
            </w:r>
          </w:p>
        </w:tc>
        <w:tc>
          <w:tcPr>
            <w:tcW w:w="1063" w:type="dxa"/>
            <w:tcBorders>
              <w:top w:val="nil"/>
              <w:left w:val="nil"/>
              <w:bottom w:val="single" w:sz="4" w:space="0" w:color="auto"/>
              <w:right w:val="single" w:sz="4" w:space="0" w:color="auto"/>
            </w:tcBorders>
            <w:shd w:val="clear" w:color="000000" w:fill="FFFFFF"/>
            <w:noWrap/>
            <w:vAlign w:val="center"/>
            <w:hideMark/>
          </w:tcPr>
          <w:p w14:paraId="41B72FF5"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w:t>
            </w:r>
          </w:p>
        </w:tc>
        <w:tc>
          <w:tcPr>
            <w:tcW w:w="1063" w:type="dxa"/>
            <w:tcBorders>
              <w:top w:val="nil"/>
              <w:left w:val="nil"/>
              <w:bottom w:val="single" w:sz="4" w:space="0" w:color="auto"/>
              <w:right w:val="single" w:sz="4" w:space="0" w:color="auto"/>
            </w:tcBorders>
            <w:shd w:val="clear" w:color="000000" w:fill="FFFFFF"/>
            <w:noWrap/>
            <w:vAlign w:val="center"/>
            <w:hideMark/>
          </w:tcPr>
          <w:p w14:paraId="2BB79D11"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100%</w:t>
            </w:r>
          </w:p>
        </w:tc>
      </w:tr>
      <w:tr w:rsidR="00BA0D82" w:rsidRPr="0005691D" w14:paraId="49DC065B" w14:textId="77777777" w:rsidTr="00BC793A">
        <w:trPr>
          <w:trHeight w:val="300"/>
        </w:trPr>
        <w:tc>
          <w:tcPr>
            <w:tcW w:w="2506" w:type="dxa"/>
            <w:tcBorders>
              <w:top w:val="nil"/>
              <w:left w:val="single" w:sz="4" w:space="0" w:color="auto"/>
              <w:bottom w:val="single" w:sz="4" w:space="0" w:color="auto"/>
              <w:right w:val="single" w:sz="4" w:space="0" w:color="auto"/>
            </w:tcBorders>
            <w:shd w:val="clear" w:color="000000" w:fill="B4C6E7"/>
            <w:noWrap/>
            <w:vAlign w:val="center"/>
            <w:hideMark/>
          </w:tcPr>
          <w:p w14:paraId="3AAF42BA" w14:textId="77777777" w:rsidR="00BA0D82" w:rsidRPr="0005691D" w:rsidRDefault="00BA0D82" w:rsidP="001A5653">
            <w:pPr>
              <w:spacing w:after="0" w:line="240" w:lineRule="auto"/>
              <w:jc w:val="right"/>
              <w:rPr>
                <w:rFonts w:ascii="Calibri" w:eastAsia="Times New Roman" w:hAnsi="Calibri" w:cs="Calibri"/>
                <w:b/>
                <w:bCs/>
                <w:color w:val="000000"/>
              </w:rPr>
            </w:pPr>
            <w:r w:rsidRPr="0005691D">
              <w:rPr>
                <w:rFonts w:ascii="Calibri" w:eastAsia="Times New Roman" w:hAnsi="Calibri" w:cs="Calibri"/>
                <w:b/>
                <w:bCs/>
                <w:color w:val="000000"/>
              </w:rPr>
              <w:t>Business Engagement</w:t>
            </w:r>
          </w:p>
        </w:tc>
        <w:tc>
          <w:tcPr>
            <w:tcW w:w="1165" w:type="dxa"/>
            <w:tcBorders>
              <w:top w:val="nil"/>
              <w:left w:val="nil"/>
              <w:bottom w:val="single" w:sz="4" w:space="0" w:color="auto"/>
              <w:right w:val="single" w:sz="4" w:space="0" w:color="auto"/>
            </w:tcBorders>
            <w:shd w:val="clear" w:color="000000" w:fill="D9E2F3"/>
            <w:noWrap/>
            <w:vAlign w:val="center"/>
            <w:hideMark/>
          </w:tcPr>
          <w:p w14:paraId="709F9BF4"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w:t>
            </w:r>
          </w:p>
        </w:tc>
        <w:tc>
          <w:tcPr>
            <w:tcW w:w="1254" w:type="dxa"/>
            <w:tcBorders>
              <w:top w:val="nil"/>
              <w:left w:val="nil"/>
              <w:bottom w:val="single" w:sz="4" w:space="0" w:color="auto"/>
              <w:right w:val="single" w:sz="4" w:space="0" w:color="auto"/>
            </w:tcBorders>
            <w:shd w:val="clear" w:color="000000" w:fill="D9E2F3"/>
            <w:noWrap/>
            <w:vAlign w:val="center"/>
            <w:hideMark/>
          </w:tcPr>
          <w:p w14:paraId="362EDD4C"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75%</w:t>
            </w:r>
          </w:p>
        </w:tc>
        <w:tc>
          <w:tcPr>
            <w:tcW w:w="897" w:type="dxa"/>
            <w:tcBorders>
              <w:top w:val="nil"/>
              <w:left w:val="nil"/>
              <w:bottom w:val="single" w:sz="4" w:space="0" w:color="auto"/>
              <w:right w:val="single" w:sz="4" w:space="0" w:color="auto"/>
            </w:tcBorders>
            <w:shd w:val="clear" w:color="000000" w:fill="D9E2F3"/>
            <w:noWrap/>
            <w:vAlign w:val="center"/>
            <w:hideMark/>
          </w:tcPr>
          <w:p w14:paraId="3EEC779D"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w:t>
            </w:r>
          </w:p>
        </w:tc>
        <w:tc>
          <w:tcPr>
            <w:tcW w:w="897" w:type="dxa"/>
            <w:tcBorders>
              <w:top w:val="nil"/>
              <w:left w:val="nil"/>
              <w:bottom w:val="single" w:sz="4" w:space="0" w:color="auto"/>
              <w:right w:val="single" w:sz="4" w:space="0" w:color="auto"/>
            </w:tcBorders>
            <w:shd w:val="clear" w:color="000000" w:fill="D9E2F3"/>
            <w:noWrap/>
            <w:vAlign w:val="center"/>
            <w:hideMark/>
          </w:tcPr>
          <w:p w14:paraId="10B5950F"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0</w:t>
            </w:r>
          </w:p>
        </w:tc>
        <w:tc>
          <w:tcPr>
            <w:tcW w:w="892" w:type="dxa"/>
            <w:tcBorders>
              <w:top w:val="nil"/>
              <w:left w:val="nil"/>
              <w:bottom w:val="single" w:sz="4" w:space="0" w:color="auto"/>
              <w:right w:val="single" w:sz="4" w:space="0" w:color="auto"/>
            </w:tcBorders>
            <w:shd w:val="clear" w:color="000000" w:fill="D9E2F3"/>
            <w:noWrap/>
            <w:vAlign w:val="center"/>
            <w:hideMark/>
          </w:tcPr>
          <w:p w14:paraId="21241DD1"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0%</w:t>
            </w:r>
          </w:p>
        </w:tc>
        <w:tc>
          <w:tcPr>
            <w:tcW w:w="1063" w:type="dxa"/>
            <w:tcBorders>
              <w:top w:val="nil"/>
              <w:left w:val="nil"/>
              <w:bottom w:val="single" w:sz="4" w:space="0" w:color="auto"/>
              <w:right w:val="single" w:sz="4" w:space="0" w:color="auto"/>
            </w:tcBorders>
            <w:shd w:val="clear" w:color="000000" w:fill="D9E2F3"/>
            <w:noWrap/>
            <w:vAlign w:val="center"/>
            <w:hideMark/>
          </w:tcPr>
          <w:p w14:paraId="0198ABB4"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0</w:t>
            </w:r>
          </w:p>
        </w:tc>
        <w:tc>
          <w:tcPr>
            <w:tcW w:w="1063" w:type="dxa"/>
            <w:tcBorders>
              <w:top w:val="nil"/>
              <w:left w:val="nil"/>
              <w:bottom w:val="single" w:sz="4" w:space="0" w:color="auto"/>
              <w:right w:val="single" w:sz="4" w:space="0" w:color="auto"/>
            </w:tcBorders>
            <w:shd w:val="clear" w:color="000000" w:fill="D9E2F3"/>
            <w:noWrap/>
            <w:vAlign w:val="center"/>
            <w:hideMark/>
          </w:tcPr>
          <w:p w14:paraId="58FFC486"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0</w:t>
            </w:r>
          </w:p>
        </w:tc>
        <w:tc>
          <w:tcPr>
            <w:tcW w:w="1063" w:type="dxa"/>
            <w:tcBorders>
              <w:top w:val="nil"/>
              <w:left w:val="nil"/>
              <w:bottom w:val="single" w:sz="4" w:space="0" w:color="auto"/>
              <w:right w:val="single" w:sz="4" w:space="0" w:color="auto"/>
            </w:tcBorders>
            <w:shd w:val="clear" w:color="000000" w:fill="D9E2F3"/>
            <w:noWrap/>
            <w:vAlign w:val="center"/>
            <w:hideMark/>
          </w:tcPr>
          <w:p w14:paraId="672321FE"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 </w:t>
            </w:r>
          </w:p>
        </w:tc>
      </w:tr>
      <w:tr w:rsidR="00BA0D82" w:rsidRPr="0005691D" w14:paraId="3311985E" w14:textId="77777777" w:rsidTr="00BC793A">
        <w:trPr>
          <w:trHeight w:val="300"/>
        </w:trPr>
        <w:tc>
          <w:tcPr>
            <w:tcW w:w="2506" w:type="dxa"/>
            <w:tcBorders>
              <w:top w:val="nil"/>
              <w:left w:val="single" w:sz="4" w:space="0" w:color="auto"/>
              <w:bottom w:val="single" w:sz="4" w:space="0" w:color="auto"/>
              <w:right w:val="single" w:sz="4" w:space="0" w:color="auto"/>
            </w:tcBorders>
            <w:shd w:val="clear" w:color="000000" w:fill="B4C6E7"/>
            <w:noWrap/>
            <w:vAlign w:val="center"/>
            <w:hideMark/>
          </w:tcPr>
          <w:p w14:paraId="18ECBF48" w14:textId="77777777" w:rsidR="00BA0D82" w:rsidRPr="0005691D" w:rsidRDefault="00BA0D82" w:rsidP="001A5653">
            <w:pPr>
              <w:spacing w:after="0" w:line="240" w:lineRule="auto"/>
              <w:jc w:val="right"/>
              <w:rPr>
                <w:rFonts w:ascii="Calibri" w:eastAsia="Times New Roman" w:hAnsi="Calibri" w:cs="Calibri"/>
                <w:b/>
                <w:bCs/>
                <w:color w:val="000000"/>
              </w:rPr>
            </w:pPr>
            <w:r w:rsidRPr="0005691D">
              <w:rPr>
                <w:rFonts w:ascii="Calibri" w:eastAsia="Times New Roman" w:hAnsi="Calibri" w:cs="Calibri"/>
                <w:b/>
                <w:bCs/>
                <w:color w:val="000000"/>
              </w:rPr>
              <w:t>The Career Index Plus (TCI+) and LMI</w:t>
            </w:r>
          </w:p>
        </w:tc>
        <w:tc>
          <w:tcPr>
            <w:tcW w:w="1165" w:type="dxa"/>
            <w:tcBorders>
              <w:top w:val="nil"/>
              <w:left w:val="nil"/>
              <w:bottom w:val="single" w:sz="4" w:space="0" w:color="auto"/>
              <w:right w:val="single" w:sz="4" w:space="0" w:color="auto"/>
            </w:tcBorders>
            <w:shd w:val="clear" w:color="000000" w:fill="FFFFFF"/>
            <w:noWrap/>
            <w:vAlign w:val="center"/>
            <w:hideMark/>
          </w:tcPr>
          <w:p w14:paraId="4D72E80D"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w:t>
            </w:r>
          </w:p>
        </w:tc>
        <w:tc>
          <w:tcPr>
            <w:tcW w:w="1254" w:type="dxa"/>
            <w:tcBorders>
              <w:top w:val="nil"/>
              <w:left w:val="nil"/>
              <w:bottom w:val="single" w:sz="4" w:space="0" w:color="auto"/>
              <w:right w:val="single" w:sz="4" w:space="0" w:color="auto"/>
            </w:tcBorders>
            <w:shd w:val="clear" w:color="000000" w:fill="FFFFFF"/>
            <w:noWrap/>
            <w:vAlign w:val="center"/>
            <w:hideMark/>
          </w:tcPr>
          <w:p w14:paraId="4C3D0BB8"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50%</w:t>
            </w:r>
          </w:p>
        </w:tc>
        <w:tc>
          <w:tcPr>
            <w:tcW w:w="897" w:type="dxa"/>
            <w:tcBorders>
              <w:top w:val="nil"/>
              <w:left w:val="nil"/>
              <w:bottom w:val="single" w:sz="4" w:space="0" w:color="auto"/>
              <w:right w:val="single" w:sz="4" w:space="0" w:color="auto"/>
            </w:tcBorders>
            <w:shd w:val="clear" w:color="000000" w:fill="FFFFFF"/>
            <w:noWrap/>
            <w:vAlign w:val="center"/>
            <w:hideMark/>
          </w:tcPr>
          <w:p w14:paraId="5CF7793E"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w:t>
            </w:r>
          </w:p>
        </w:tc>
        <w:tc>
          <w:tcPr>
            <w:tcW w:w="897" w:type="dxa"/>
            <w:tcBorders>
              <w:top w:val="nil"/>
              <w:left w:val="nil"/>
              <w:bottom w:val="single" w:sz="4" w:space="0" w:color="auto"/>
              <w:right w:val="single" w:sz="4" w:space="0" w:color="auto"/>
            </w:tcBorders>
            <w:shd w:val="clear" w:color="000000" w:fill="FFFFFF"/>
            <w:noWrap/>
            <w:vAlign w:val="center"/>
            <w:hideMark/>
          </w:tcPr>
          <w:p w14:paraId="1CF332D7"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0</w:t>
            </w:r>
          </w:p>
        </w:tc>
        <w:tc>
          <w:tcPr>
            <w:tcW w:w="892" w:type="dxa"/>
            <w:tcBorders>
              <w:top w:val="nil"/>
              <w:left w:val="nil"/>
              <w:bottom w:val="single" w:sz="4" w:space="0" w:color="auto"/>
              <w:right w:val="single" w:sz="4" w:space="0" w:color="auto"/>
            </w:tcBorders>
            <w:shd w:val="clear" w:color="000000" w:fill="FFFFFF"/>
            <w:noWrap/>
            <w:vAlign w:val="center"/>
            <w:hideMark/>
          </w:tcPr>
          <w:p w14:paraId="38F22A7D"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0%</w:t>
            </w:r>
          </w:p>
        </w:tc>
        <w:tc>
          <w:tcPr>
            <w:tcW w:w="1063" w:type="dxa"/>
            <w:tcBorders>
              <w:top w:val="nil"/>
              <w:left w:val="nil"/>
              <w:bottom w:val="single" w:sz="4" w:space="0" w:color="auto"/>
              <w:right w:val="single" w:sz="4" w:space="0" w:color="auto"/>
            </w:tcBorders>
            <w:shd w:val="clear" w:color="000000" w:fill="FFFFFF"/>
            <w:noWrap/>
            <w:vAlign w:val="center"/>
            <w:hideMark/>
          </w:tcPr>
          <w:p w14:paraId="3D54C2B8"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w:t>
            </w:r>
          </w:p>
        </w:tc>
        <w:tc>
          <w:tcPr>
            <w:tcW w:w="1063" w:type="dxa"/>
            <w:tcBorders>
              <w:top w:val="nil"/>
              <w:left w:val="nil"/>
              <w:bottom w:val="single" w:sz="4" w:space="0" w:color="auto"/>
              <w:right w:val="single" w:sz="4" w:space="0" w:color="auto"/>
            </w:tcBorders>
            <w:shd w:val="clear" w:color="000000" w:fill="FFFFFF"/>
            <w:noWrap/>
            <w:vAlign w:val="center"/>
            <w:hideMark/>
          </w:tcPr>
          <w:p w14:paraId="77BEE75B"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0</w:t>
            </w:r>
          </w:p>
        </w:tc>
        <w:tc>
          <w:tcPr>
            <w:tcW w:w="1063" w:type="dxa"/>
            <w:tcBorders>
              <w:top w:val="nil"/>
              <w:left w:val="nil"/>
              <w:bottom w:val="single" w:sz="4" w:space="0" w:color="auto"/>
              <w:right w:val="single" w:sz="4" w:space="0" w:color="auto"/>
            </w:tcBorders>
            <w:shd w:val="clear" w:color="000000" w:fill="FFFFFF"/>
            <w:noWrap/>
            <w:vAlign w:val="center"/>
            <w:hideMark/>
          </w:tcPr>
          <w:p w14:paraId="71BE7814"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0%</w:t>
            </w:r>
          </w:p>
        </w:tc>
      </w:tr>
      <w:tr w:rsidR="00BA0D82" w:rsidRPr="0005691D" w14:paraId="2E3CEBA2" w14:textId="77777777" w:rsidTr="00BC793A">
        <w:trPr>
          <w:trHeight w:val="300"/>
        </w:trPr>
        <w:tc>
          <w:tcPr>
            <w:tcW w:w="2506" w:type="dxa"/>
            <w:tcBorders>
              <w:top w:val="nil"/>
              <w:left w:val="nil"/>
              <w:bottom w:val="nil"/>
              <w:right w:val="nil"/>
            </w:tcBorders>
            <w:shd w:val="clear" w:color="auto" w:fill="auto"/>
            <w:noWrap/>
            <w:vAlign w:val="bottom"/>
            <w:hideMark/>
          </w:tcPr>
          <w:p w14:paraId="450F26CA" w14:textId="77777777" w:rsidR="00BA0D82" w:rsidRPr="0005691D" w:rsidRDefault="00BA0D82" w:rsidP="001A5653">
            <w:pPr>
              <w:spacing w:after="0" w:line="240" w:lineRule="auto"/>
              <w:jc w:val="center"/>
              <w:rPr>
                <w:rFonts w:ascii="Calibri" w:eastAsia="Times New Roman" w:hAnsi="Calibri" w:cs="Calibri"/>
                <w:color w:val="000000"/>
              </w:rPr>
            </w:pPr>
          </w:p>
        </w:tc>
        <w:tc>
          <w:tcPr>
            <w:tcW w:w="1165" w:type="dxa"/>
            <w:tcBorders>
              <w:top w:val="nil"/>
              <w:left w:val="nil"/>
              <w:bottom w:val="nil"/>
              <w:right w:val="nil"/>
            </w:tcBorders>
            <w:shd w:val="clear" w:color="auto" w:fill="auto"/>
            <w:noWrap/>
            <w:vAlign w:val="center"/>
            <w:hideMark/>
          </w:tcPr>
          <w:p w14:paraId="714FE8A6" w14:textId="77777777" w:rsidR="00BA0D82" w:rsidRPr="0005691D" w:rsidRDefault="00BA0D82" w:rsidP="001A5653">
            <w:pPr>
              <w:spacing w:after="0" w:line="240" w:lineRule="auto"/>
              <w:rPr>
                <w:rFonts w:ascii="Times New Roman" w:eastAsia="Times New Roman" w:hAnsi="Times New Roman" w:cs="Times New Roman"/>
                <w:sz w:val="20"/>
                <w:szCs w:val="20"/>
              </w:rPr>
            </w:pPr>
          </w:p>
        </w:tc>
        <w:tc>
          <w:tcPr>
            <w:tcW w:w="1254" w:type="dxa"/>
            <w:tcBorders>
              <w:top w:val="nil"/>
              <w:left w:val="nil"/>
              <w:bottom w:val="nil"/>
              <w:right w:val="nil"/>
            </w:tcBorders>
            <w:shd w:val="clear" w:color="auto" w:fill="auto"/>
            <w:noWrap/>
            <w:vAlign w:val="center"/>
            <w:hideMark/>
          </w:tcPr>
          <w:p w14:paraId="219D1D45"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c>
          <w:tcPr>
            <w:tcW w:w="897" w:type="dxa"/>
            <w:tcBorders>
              <w:top w:val="nil"/>
              <w:left w:val="nil"/>
              <w:bottom w:val="nil"/>
              <w:right w:val="nil"/>
            </w:tcBorders>
            <w:shd w:val="clear" w:color="auto" w:fill="auto"/>
            <w:noWrap/>
            <w:vAlign w:val="center"/>
            <w:hideMark/>
          </w:tcPr>
          <w:p w14:paraId="2378A860"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c>
          <w:tcPr>
            <w:tcW w:w="897" w:type="dxa"/>
            <w:tcBorders>
              <w:top w:val="nil"/>
              <w:left w:val="nil"/>
              <w:bottom w:val="nil"/>
              <w:right w:val="nil"/>
            </w:tcBorders>
            <w:shd w:val="clear" w:color="auto" w:fill="auto"/>
            <w:noWrap/>
            <w:vAlign w:val="center"/>
            <w:hideMark/>
          </w:tcPr>
          <w:p w14:paraId="66E02937"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c>
          <w:tcPr>
            <w:tcW w:w="892" w:type="dxa"/>
            <w:tcBorders>
              <w:top w:val="nil"/>
              <w:left w:val="nil"/>
              <w:bottom w:val="nil"/>
              <w:right w:val="nil"/>
            </w:tcBorders>
            <w:shd w:val="clear" w:color="auto" w:fill="auto"/>
            <w:noWrap/>
            <w:vAlign w:val="center"/>
            <w:hideMark/>
          </w:tcPr>
          <w:p w14:paraId="409A019D"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c>
          <w:tcPr>
            <w:tcW w:w="1063" w:type="dxa"/>
            <w:tcBorders>
              <w:top w:val="nil"/>
              <w:left w:val="nil"/>
              <w:bottom w:val="nil"/>
              <w:right w:val="nil"/>
            </w:tcBorders>
            <w:shd w:val="clear" w:color="auto" w:fill="auto"/>
            <w:noWrap/>
            <w:vAlign w:val="center"/>
            <w:hideMark/>
          </w:tcPr>
          <w:p w14:paraId="6F3CCDAE"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c>
          <w:tcPr>
            <w:tcW w:w="1063" w:type="dxa"/>
            <w:tcBorders>
              <w:top w:val="nil"/>
              <w:left w:val="nil"/>
              <w:bottom w:val="nil"/>
              <w:right w:val="nil"/>
            </w:tcBorders>
            <w:shd w:val="clear" w:color="auto" w:fill="auto"/>
            <w:noWrap/>
            <w:vAlign w:val="center"/>
            <w:hideMark/>
          </w:tcPr>
          <w:p w14:paraId="0AAB90C3"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c>
          <w:tcPr>
            <w:tcW w:w="1063" w:type="dxa"/>
            <w:tcBorders>
              <w:top w:val="nil"/>
              <w:left w:val="nil"/>
              <w:bottom w:val="nil"/>
              <w:right w:val="nil"/>
            </w:tcBorders>
            <w:shd w:val="clear" w:color="auto" w:fill="auto"/>
            <w:noWrap/>
            <w:vAlign w:val="center"/>
            <w:hideMark/>
          </w:tcPr>
          <w:p w14:paraId="72DD48C0"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r>
      <w:tr w:rsidR="00BA0D82" w:rsidRPr="0005691D" w14:paraId="11DDB2D8" w14:textId="77777777" w:rsidTr="001A5653">
        <w:trPr>
          <w:trHeight w:val="465"/>
        </w:trPr>
        <w:tc>
          <w:tcPr>
            <w:tcW w:w="10800" w:type="dxa"/>
            <w:gridSpan w:val="9"/>
            <w:tcBorders>
              <w:top w:val="single" w:sz="4" w:space="0" w:color="auto"/>
              <w:left w:val="nil"/>
              <w:bottom w:val="single" w:sz="4" w:space="0" w:color="auto"/>
              <w:right w:val="nil"/>
            </w:tcBorders>
            <w:shd w:val="clear" w:color="auto" w:fill="auto"/>
            <w:noWrap/>
            <w:vAlign w:val="bottom"/>
            <w:hideMark/>
          </w:tcPr>
          <w:p w14:paraId="72285F52" w14:textId="77777777" w:rsidR="00BA0D82" w:rsidRPr="0005691D" w:rsidRDefault="00BA0D82" w:rsidP="00BA0D82">
            <w:pPr>
              <w:pStyle w:val="Heading2"/>
              <w:numPr>
                <w:ilvl w:val="0"/>
                <w:numId w:val="0"/>
              </w:numPr>
              <w:rPr>
                <w:rFonts w:eastAsia="Times New Roman"/>
              </w:rPr>
            </w:pPr>
            <w:bookmarkStart w:id="199" w:name="_Toc27143189"/>
            <w:bookmarkStart w:id="200" w:name="_Toc28011488"/>
            <w:r w:rsidRPr="0005691D">
              <w:rPr>
                <w:rFonts w:eastAsia="Times New Roman"/>
              </w:rPr>
              <w:lastRenderedPageBreak/>
              <w:t>Delaware General</w:t>
            </w:r>
            <w:bookmarkEnd w:id="199"/>
            <w:bookmarkEnd w:id="200"/>
          </w:p>
        </w:tc>
      </w:tr>
      <w:tr w:rsidR="00BA0D82" w:rsidRPr="0005691D" w14:paraId="1840C81C" w14:textId="77777777" w:rsidTr="00BC793A">
        <w:trPr>
          <w:trHeight w:val="1305"/>
        </w:trPr>
        <w:tc>
          <w:tcPr>
            <w:tcW w:w="2506" w:type="dxa"/>
            <w:tcBorders>
              <w:top w:val="nil"/>
              <w:left w:val="single" w:sz="4" w:space="0" w:color="auto"/>
              <w:bottom w:val="single" w:sz="4" w:space="0" w:color="auto"/>
              <w:right w:val="single" w:sz="4" w:space="0" w:color="auto"/>
            </w:tcBorders>
            <w:shd w:val="clear" w:color="000000" w:fill="B4C6E7"/>
            <w:vAlign w:val="bottom"/>
            <w:hideMark/>
          </w:tcPr>
          <w:p w14:paraId="0122CB3C" w14:textId="77777777" w:rsidR="00BA0D82" w:rsidRPr="0005691D" w:rsidRDefault="00BA0D82" w:rsidP="001A5653">
            <w:pPr>
              <w:spacing w:after="0" w:line="240" w:lineRule="auto"/>
              <w:jc w:val="right"/>
              <w:rPr>
                <w:rFonts w:ascii="Calibri" w:eastAsia="Times New Roman" w:hAnsi="Calibri" w:cs="Calibri"/>
                <w:b/>
                <w:bCs/>
                <w:color w:val="000000"/>
                <w:szCs w:val="28"/>
              </w:rPr>
            </w:pPr>
            <w:r w:rsidRPr="0005691D">
              <w:rPr>
                <w:rFonts w:ascii="Calibri" w:eastAsia="Times New Roman" w:hAnsi="Calibri" w:cs="Calibri"/>
                <w:b/>
                <w:bCs/>
                <w:color w:val="000000"/>
                <w:szCs w:val="28"/>
              </w:rPr>
              <w:t>Area</w:t>
            </w:r>
          </w:p>
        </w:tc>
        <w:tc>
          <w:tcPr>
            <w:tcW w:w="1165" w:type="dxa"/>
            <w:tcBorders>
              <w:top w:val="nil"/>
              <w:left w:val="nil"/>
              <w:bottom w:val="single" w:sz="4" w:space="0" w:color="auto"/>
              <w:right w:val="single" w:sz="4" w:space="0" w:color="auto"/>
            </w:tcBorders>
            <w:shd w:val="clear" w:color="000000" w:fill="B4C6E7"/>
            <w:vAlign w:val="bottom"/>
            <w:hideMark/>
          </w:tcPr>
          <w:p w14:paraId="2EDB6A34"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of Total Activities</w:t>
            </w:r>
          </w:p>
        </w:tc>
        <w:tc>
          <w:tcPr>
            <w:tcW w:w="1254" w:type="dxa"/>
            <w:tcBorders>
              <w:top w:val="nil"/>
              <w:left w:val="nil"/>
              <w:bottom w:val="single" w:sz="4" w:space="0" w:color="auto"/>
              <w:right w:val="single" w:sz="4" w:space="0" w:color="auto"/>
            </w:tcBorders>
            <w:shd w:val="clear" w:color="000000" w:fill="B4C6E7"/>
            <w:vAlign w:val="bottom"/>
            <w:hideMark/>
          </w:tcPr>
          <w:p w14:paraId="32862994"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Average Progress on Activities (%)</w:t>
            </w:r>
          </w:p>
        </w:tc>
        <w:tc>
          <w:tcPr>
            <w:tcW w:w="897" w:type="dxa"/>
            <w:tcBorders>
              <w:top w:val="nil"/>
              <w:left w:val="nil"/>
              <w:bottom w:val="single" w:sz="4" w:space="0" w:color="auto"/>
              <w:right w:val="single" w:sz="4" w:space="0" w:color="auto"/>
            </w:tcBorders>
            <w:shd w:val="clear" w:color="000000" w:fill="B4C6E7"/>
            <w:vAlign w:val="bottom"/>
            <w:hideMark/>
          </w:tcPr>
          <w:p w14:paraId="5FF5EC31"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Outputs</w:t>
            </w:r>
          </w:p>
        </w:tc>
        <w:tc>
          <w:tcPr>
            <w:tcW w:w="897" w:type="dxa"/>
            <w:tcBorders>
              <w:top w:val="nil"/>
              <w:left w:val="nil"/>
              <w:bottom w:val="single" w:sz="4" w:space="0" w:color="auto"/>
              <w:right w:val="single" w:sz="4" w:space="0" w:color="auto"/>
            </w:tcBorders>
            <w:shd w:val="clear" w:color="000000" w:fill="B4C6E7"/>
            <w:vAlign w:val="bottom"/>
            <w:hideMark/>
          </w:tcPr>
          <w:p w14:paraId="7872F8B0"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Outputs Met</w:t>
            </w:r>
          </w:p>
        </w:tc>
        <w:tc>
          <w:tcPr>
            <w:tcW w:w="892" w:type="dxa"/>
            <w:tcBorders>
              <w:top w:val="nil"/>
              <w:left w:val="nil"/>
              <w:bottom w:val="single" w:sz="4" w:space="0" w:color="auto"/>
              <w:right w:val="single" w:sz="4" w:space="0" w:color="auto"/>
            </w:tcBorders>
            <w:shd w:val="clear" w:color="000000" w:fill="B4C6E7"/>
            <w:vAlign w:val="bottom"/>
            <w:hideMark/>
          </w:tcPr>
          <w:p w14:paraId="6DBB7B36"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Outputs Met</w:t>
            </w:r>
          </w:p>
        </w:tc>
        <w:tc>
          <w:tcPr>
            <w:tcW w:w="1063" w:type="dxa"/>
            <w:tcBorders>
              <w:top w:val="nil"/>
              <w:left w:val="nil"/>
              <w:bottom w:val="single" w:sz="4" w:space="0" w:color="auto"/>
              <w:right w:val="single" w:sz="4" w:space="0" w:color="auto"/>
            </w:tcBorders>
            <w:shd w:val="clear" w:color="000000" w:fill="B4C6E7"/>
            <w:vAlign w:val="bottom"/>
            <w:hideMark/>
          </w:tcPr>
          <w:p w14:paraId="4C72A972"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Short-Term Outcomes</w:t>
            </w:r>
          </w:p>
        </w:tc>
        <w:tc>
          <w:tcPr>
            <w:tcW w:w="1063" w:type="dxa"/>
            <w:tcBorders>
              <w:top w:val="nil"/>
              <w:left w:val="nil"/>
              <w:bottom w:val="single" w:sz="4" w:space="0" w:color="auto"/>
              <w:right w:val="single" w:sz="4" w:space="0" w:color="auto"/>
            </w:tcBorders>
            <w:shd w:val="clear" w:color="000000" w:fill="B4C6E7"/>
            <w:vAlign w:val="bottom"/>
            <w:hideMark/>
          </w:tcPr>
          <w:p w14:paraId="65DB6ABB"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Short-Term Outcomes Met</w:t>
            </w:r>
          </w:p>
        </w:tc>
        <w:tc>
          <w:tcPr>
            <w:tcW w:w="1063" w:type="dxa"/>
            <w:tcBorders>
              <w:top w:val="nil"/>
              <w:left w:val="nil"/>
              <w:bottom w:val="single" w:sz="4" w:space="0" w:color="auto"/>
              <w:right w:val="single" w:sz="4" w:space="0" w:color="auto"/>
            </w:tcBorders>
            <w:shd w:val="clear" w:color="000000" w:fill="B4C6E7"/>
            <w:vAlign w:val="bottom"/>
            <w:hideMark/>
          </w:tcPr>
          <w:p w14:paraId="2D9A6C7D"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%Short-Term Outcomes Achieved</w:t>
            </w:r>
          </w:p>
        </w:tc>
      </w:tr>
      <w:tr w:rsidR="00BA0D82" w:rsidRPr="0005691D" w14:paraId="25635336" w14:textId="77777777" w:rsidTr="00BC793A">
        <w:trPr>
          <w:trHeight w:val="300"/>
        </w:trPr>
        <w:tc>
          <w:tcPr>
            <w:tcW w:w="2506" w:type="dxa"/>
            <w:tcBorders>
              <w:top w:val="nil"/>
              <w:left w:val="single" w:sz="4" w:space="0" w:color="auto"/>
              <w:bottom w:val="single" w:sz="4" w:space="0" w:color="auto"/>
              <w:right w:val="single" w:sz="4" w:space="0" w:color="auto"/>
            </w:tcBorders>
            <w:shd w:val="clear" w:color="000000" w:fill="B4C6E7"/>
            <w:noWrap/>
            <w:vAlign w:val="center"/>
            <w:hideMark/>
          </w:tcPr>
          <w:p w14:paraId="0849A5B4" w14:textId="77777777" w:rsidR="00BA0D82" w:rsidRPr="0005691D" w:rsidRDefault="00BA0D82" w:rsidP="001A5653">
            <w:pPr>
              <w:spacing w:after="0" w:line="240" w:lineRule="auto"/>
              <w:jc w:val="right"/>
              <w:rPr>
                <w:rFonts w:ascii="Calibri" w:eastAsia="Times New Roman" w:hAnsi="Calibri" w:cs="Calibri"/>
                <w:b/>
                <w:bCs/>
                <w:color w:val="000000"/>
              </w:rPr>
            </w:pPr>
            <w:r w:rsidRPr="0005691D">
              <w:rPr>
                <w:rFonts w:ascii="Calibri" w:eastAsia="Times New Roman" w:hAnsi="Calibri" w:cs="Calibri"/>
                <w:b/>
                <w:bCs/>
                <w:color w:val="000000"/>
              </w:rPr>
              <w:t>Pre-ETS</w:t>
            </w:r>
          </w:p>
        </w:tc>
        <w:tc>
          <w:tcPr>
            <w:tcW w:w="1165" w:type="dxa"/>
            <w:tcBorders>
              <w:top w:val="nil"/>
              <w:left w:val="nil"/>
              <w:bottom w:val="single" w:sz="4" w:space="0" w:color="auto"/>
              <w:right w:val="single" w:sz="4" w:space="0" w:color="auto"/>
            </w:tcBorders>
            <w:shd w:val="clear" w:color="000000" w:fill="FFFFFF"/>
            <w:noWrap/>
            <w:vAlign w:val="center"/>
            <w:hideMark/>
          </w:tcPr>
          <w:p w14:paraId="0C66A177"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8</w:t>
            </w:r>
          </w:p>
        </w:tc>
        <w:tc>
          <w:tcPr>
            <w:tcW w:w="1254" w:type="dxa"/>
            <w:tcBorders>
              <w:top w:val="nil"/>
              <w:left w:val="nil"/>
              <w:bottom w:val="single" w:sz="4" w:space="0" w:color="auto"/>
              <w:right w:val="single" w:sz="4" w:space="0" w:color="auto"/>
            </w:tcBorders>
            <w:shd w:val="clear" w:color="000000" w:fill="FFFFFF"/>
            <w:noWrap/>
            <w:vAlign w:val="center"/>
            <w:hideMark/>
          </w:tcPr>
          <w:p w14:paraId="584D191D"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34%</w:t>
            </w:r>
          </w:p>
        </w:tc>
        <w:tc>
          <w:tcPr>
            <w:tcW w:w="897" w:type="dxa"/>
            <w:tcBorders>
              <w:top w:val="nil"/>
              <w:left w:val="nil"/>
              <w:bottom w:val="single" w:sz="4" w:space="0" w:color="auto"/>
              <w:right w:val="single" w:sz="4" w:space="0" w:color="auto"/>
            </w:tcBorders>
            <w:shd w:val="clear" w:color="000000" w:fill="FFFFFF"/>
            <w:noWrap/>
            <w:vAlign w:val="center"/>
            <w:hideMark/>
          </w:tcPr>
          <w:p w14:paraId="20C940EF"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8</w:t>
            </w:r>
          </w:p>
        </w:tc>
        <w:tc>
          <w:tcPr>
            <w:tcW w:w="897" w:type="dxa"/>
            <w:tcBorders>
              <w:top w:val="nil"/>
              <w:left w:val="nil"/>
              <w:bottom w:val="single" w:sz="4" w:space="0" w:color="auto"/>
              <w:right w:val="single" w:sz="4" w:space="0" w:color="auto"/>
            </w:tcBorders>
            <w:shd w:val="clear" w:color="000000" w:fill="FFFFFF"/>
            <w:noWrap/>
            <w:vAlign w:val="center"/>
            <w:hideMark/>
          </w:tcPr>
          <w:p w14:paraId="63CCCAAB"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2</w:t>
            </w:r>
          </w:p>
        </w:tc>
        <w:tc>
          <w:tcPr>
            <w:tcW w:w="892" w:type="dxa"/>
            <w:tcBorders>
              <w:top w:val="nil"/>
              <w:left w:val="nil"/>
              <w:bottom w:val="single" w:sz="4" w:space="0" w:color="auto"/>
              <w:right w:val="single" w:sz="4" w:space="0" w:color="auto"/>
            </w:tcBorders>
            <w:shd w:val="clear" w:color="000000" w:fill="FFFFFF"/>
            <w:noWrap/>
            <w:vAlign w:val="center"/>
            <w:hideMark/>
          </w:tcPr>
          <w:p w14:paraId="4287E4A7"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25%</w:t>
            </w:r>
          </w:p>
        </w:tc>
        <w:tc>
          <w:tcPr>
            <w:tcW w:w="1063" w:type="dxa"/>
            <w:tcBorders>
              <w:top w:val="nil"/>
              <w:left w:val="nil"/>
              <w:bottom w:val="single" w:sz="4" w:space="0" w:color="auto"/>
              <w:right w:val="single" w:sz="4" w:space="0" w:color="auto"/>
            </w:tcBorders>
            <w:shd w:val="clear" w:color="000000" w:fill="FFFFFF"/>
            <w:noWrap/>
            <w:vAlign w:val="center"/>
            <w:hideMark/>
          </w:tcPr>
          <w:p w14:paraId="725BAF09"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4</w:t>
            </w:r>
          </w:p>
        </w:tc>
        <w:tc>
          <w:tcPr>
            <w:tcW w:w="1063" w:type="dxa"/>
            <w:tcBorders>
              <w:top w:val="nil"/>
              <w:left w:val="nil"/>
              <w:bottom w:val="single" w:sz="4" w:space="0" w:color="auto"/>
              <w:right w:val="single" w:sz="4" w:space="0" w:color="auto"/>
            </w:tcBorders>
            <w:shd w:val="clear" w:color="000000" w:fill="FFFFFF"/>
            <w:noWrap/>
            <w:vAlign w:val="center"/>
            <w:hideMark/>
          </w:tcPr>
          <w:p w14:paraId="4256DA57"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3</w:t>
            </w:r>
          </w:p>
        </w:tc>
        <w:tc>
          <w:tcPr>
            <w:tcW w:w="1063" w:type="dxa"/>
            <w:tcBorders>
              <w:top w:val="nil"/>
              <w:left w:val="nil"/>
              <w:bottom w:val="single" w:sz="4" w:space="0" w:color="auto"/>
              <w:right w:val="single" w:sz="4" w:space="0" w:color="auto"/>
            </w:tcBorders>
            <w:shd w:val="clear" w:color="000000" w:fill="FFFFFF"/>
            <w:noWrap/>
            <w:vAlign w:val="center"/>
            <w:hideMark/>
          </w:tcPr>
          <w:p w14:paraId="19030F01"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75%</w:t>
            </w:r>
          </w:p>
        </w:tc>
      </w:tr>
      <w:tr w:rsidR="00BA0D82" w:rsidRPr="0005691D" w14:paraId="65C2A2C1" w14:textId="77777777" w:rsidTr="00BC793A">
        <w:trPr>
          <w:trHeight w:val="300"/>
        </w:trPr>
        <w:tc>
          <w:tcPr>
            <w:tcW w:w="2506" w:type="dxa"/>
            <w:tcBorders>
              <w:top w:val="nil"/>
              <w:left w:val="nil"/>
              <w:bottom w:val="nil"/>
              <w:right w:val="nil"/>
            </w:tcBorders>
            <w:shd w:val="clear" w:color="auto" w:fill="auto"/>
            <w:noWrap/>
            <w:vAlign w:val="bottom"/>
            <w:hideMark/>
          </w:tcPr>
          <w:p w14:paraId="6E7BFAC8" w14:textId="77777777" w:rsidR="00BA0D82" w:rsidRPr="0005691D" w:rsidRDefault="00BA0D82" w:rsidP="001A5653">
            <w:pPr>
              <w:spacing w:after="0" w:line="240" w:lineRule="auto"/>
              <w:jc w:val="center"/>
              <w:rPr>
                <w:rFonts w:ascii="Calibri" w:eastAsia="Times New Roman" w:hAnsi="Calibri" w:cs="Calibri"/>
                <w:color w:val="000000"/>
              </w:rPr>
            </w:pPr>
          </w:p>
        </w:tc>
        <w:tc>
          <w:tcPr>
            <w:tcW w:w="1165" w:type="dxa"/>
            <w:tcBorders>
              <w:top w:val="nil"/>
              <w:left w:val="nil"/>
              <w:bottom w:val="nil"/>
              <w:right w:val="nil"/>
            </w:tcBorders>
            <w:shd w:val="clear" w:color="auto" w:fill="auto"/>
            <w:noWrap/>
            <w:vAlign w:val="center"/>
            <w:hideMark/>
          </w:tcPr>
          <w:p w14:paraId="2550C564" w14:textId="77777777" w:rsidR="00BA0D82" w:rsidRPr="0005691D" w:rsidRDefault="00BA0D82" w:rsidP="001A5653">
            <w:pPr>
              <w:spacing w:after="0" w:line="240" w:lineRule="auto"/>
              <w:rPr>
                <w:rFonts w:ascii="Times New Roman" w:eastAsia="Times New Roman" w:hAnsi="Times New Roman" w:cs="Times New Roman"/>
                <w:sz w:val="20"/>
                <w:szCs w:val="20"/>
              </w:rPr>
            </w:pPr>
          </w:p>
        </w:tc>
        <w:tc>
          <w:tcPr>
            <w:tcW w:w="1254" w:type="dxa"/>
            <w:tcBorders>
              <w:top w:val="nil"/>
              <w:left w:val="nil"/>
              <w:bottom w:val="nil"/>
              <w:right w:val="nil"/>
            </w:tcBorders>
            <w:shd w:val="clear" w:color="auto" w:fill="auto"/>
            <w:noWrap/>
            <w:vAlign w:val="center"/>
            <w:hideMark/>
          </w:tcPr>
          <w:p w14:paraId="26B15530"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c>
          <w:tcPr>
            <w:tcW w:w="897" w:type="dxa"/>
            <w:tcBorders>
              <w:top w:val="nil"/>
              <w:left w:val="nil"/>
              <w:bottom w:val="nil"/>
              <w:right w:val="nil"/>
            </w:tcBorders>
            <w:shd w:val="clear" w:color="auto" w:fill="auto"/>
            <w:noWrap/>
            <w:vAlign w:val="center"/>
            <w:hideMark/>
          </w:tcPr>
          <w:p w14:paraId="7C1DCD54"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c>
          <w:tcPr>
            <w:tcW w:w="897" w:type="dxa"/>
            <w:tcBorders>
              <w:top w:val="nil"/>
              <w:left w:val="nil"/>
              <w:bottom w:val="nil"/>
              <w:right w:val="nil"/>
            </w:tcBorders>
            <w:shd w:val="clear" w:color="auto" w:fill="auto"/>
            <w:noWrap/>
            <w:vAlign w:val="center"/>
            <w:hideMark/>
          </w:tcPr>
          <w:p w14:paraId="1E5B06E1"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c>
          <w:tcPr>
            <w:tcW w:w="892" w:type="dxa"/>
            <w:tcBorders>
              <w:top w:val="nil"/>
              <w:left w:val="nil"/>
              <w:bottom w:val="nil"/>
              <w:right w:val="nil"/>
            </w:tcBorders>
            <w:shd w:val="clear" w:color="auto" w:fill="auto"/>
            <w:noWrap/>
            <w:vAlign w:val="center"/>
            <w:hideMark/>
          </w:tcPr>
          <w:p w14:paraId="2523A6DA"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c>
          <w:tcPr>
            <w:tcW w:w="1063" w:type="dxa"/>
            <w:tcBorders>
              <w:top w:val="nil"/>
              <w:left w:val="nil"/>
              <w:bottom w:val="nil"/>
              <w:right w:val="nil"/>
            </w:tcBorders>
            <w:shd w:val="clear" w:color="auto" w:fill="auto"/>
            <w:noWrap/>
            <w:vAlign w:val="center"/>
            <w:hideMark/>
          </w:tcPr>
          <w:p w14:paraId="63C4CD1D"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c>
          <w:tcPr>
            <w:tcW w:w="1063" w:type="dxa"/>
            <w:tcBorders>
              <w:top w:val="nil"/>
              <w:left w:val="nil"/>
              <w:bottom w:val="nil"/>
              <w:right w:val="nil"/>
            </w:tcBorders>
            <w:shd w:val="clear" w:color="auto" w:fill="auto"/>
            <w:noWrap/>
            <w:vAlign w:val="center"/>
            <w:hideMark/>
          </w:tcPr>
          <w:p w14:paraId="0FFDBC29"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c>
          <w:tcPr>
            <w:tcW w:w="1063" w:type="dxa"/>
            <w:tcBorders>
              <w:top w:val="nil"/>
              <w:left w:val="nil"/>
              <w:bottom w:val="nil"/>
              <w:right w:val="nil"/>
            </w:tcBorders>
            <w:shd w:val="clear" w:color="auto" w:fill="auto"/>
            <w:noWrap/>
            <w:vAlign w:val="center"/>
            <w:hideMark/>
          </w:tcPr>
          <w:p w14:paraId="14283695"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r>
      <w:tr w:rsidR="00BA0D82" w:rsidRPr="0005691D" w14:paraId="271D4ABB" w14:textId="77777777" w:rsidTr="001A5653">
        <w:trPr>
          <w:trHeight w:val="465"/>
        </w:trPr>
        <w:tc>
          <w:tcPr>
            <w:tcW w:w="10800" w:type="dxa"/>
            <w:gridSpan w:val="9"/>
            <w:tcBorders>
              <w:top w:val="single" w:sz="4" w:space="0" w:color="auto"/>
              <w:left w:val="nil"/>
              <w:bottom w:val="single" w:sz="4" w:space="0" w:color="auto"/>
              <w:right w:val="nil"/>
            </w:tcBorders>
            <w:shd w:val="clear" w:color="auto" w:fill="auto"/>
            <w:noWrap/>
            <w:vAlign w:val="bottom"/>
            <w:hideMark/>
          </w:tcPr>
          <w:p w14:paraId="76EAC1E4" w14:textId="77777777" w:rsidR="00BA0D82" w:rsidRPr="0005691D" w:rsidRDefault="00BA0D82" w:rsidP="00BA0D82">
            <w:pPr>
              <w:pStyle w:val="Heading2"/>
              <w:numPr>
                <w:ilvl w:val="0"/>
                <w:numId w:val="0"/>
              </w:numPr>
              <w:rPr>
                <w:rFonts w:eastAsia="Times New Roman"/>
              </w:rPr>
            </w:pPr>
            <w:bookmarkStart w:id="201" w:name="_Toc27143190"/>
            <w:bookmarkStart w:id="202" w:name="_Toc28011489"/>
            <w:r w:rsidRPr="0005691D">
              <w:rPr>
                <w:rFonts w:eastAsia="Times New Roman"/>
              </w:rPr>
              <w:t>District of Columbia Combined</w:t>
            </w:r>
            <w:bookmarkEnd w:id="201"/>
            <w:bookmarkEnd w:id="202"/>
          </w:p>
        </w:tc>
      </w:tr>
      <w:tr w:rsidR="00BA0D82" w:rsidRPr="0005691D" w14:paraId="56D9BEE3" w14:textId="77777777" w:rsidTr="00BC793A">
        <w:trPr>
          <w:trHeight w:val="1305"/>
        </w:trPr>
        <w:tc>
          <w:tcPr>
            <w:tcW w:w="2506" w:type="dxa"/>
            <w:tcBorders>
              <w:top w:val="nil"/>
              <w:left w:val="single" w:sz="4" w:space="0" w:color="auto"/>
              <w:bottom w:val="single" w:sz="4" w:space="0" w:color="auto"/>
              <w:right w:val="single" w:sz="4" w:space="0" w:color="auto"/>
            </w:tcBorders>
            <w:shd w:val="clear" w:color="000000" w:fill="B4C6E7"/>
            <w:vAlign w:val="bottom"/>
            <w:hideMark/>
          </w:tcPr>
          <w:p w14:paraId="29C8A800" w14:textId="77777777" w:rsidR="00BA0D82" w:rsidRPr="0005691D" w:rsidRDefault="00BA0D82" w:rsidP="001A5653">
            <w:pPr>
              <w:spacing w:after="0" w:line="240" w:lineRule="auto"/>
              <w:jc w:val="right"/>
              <w:rPr>
                <w:rFonts w:ascii="Calibri" w:eastAsia="Times New Roman" w:hAnsi="Calibri" w:cs="Calibri"/>
                <w:b/>
                <w:bCs/>
                <w:color w:val="000000"/>
                <w:szCs w:val="28"/>
              </w:rPr>
            </w:pPr>
            <w:r w:rsidRPr="0005691D">
              <w:rPr>
                <w:rFonts w:ascii="Calibri" w:eastAsia="Times New Roman" w:hAnsi="Calibri" w:cs="Calibri"/>
                <w:b/>
                <w:bCs/>
                <w:color w:val="000000"/>
                <w:szCs w:val="28"/>
              </w:rPr>
              <w:t>Area</w:t>
            </w:r>
          </w:p>
        </w:tc>
        <w:tc>
          <w:tcPr>
            <w:tcW w:w="1165" w:type="dxa"/>
            <w:tcBorders>
              <w:top w:val="nil"/>
              <w:left w:val="nil"/>
              <w:bottom w:val="single" w:sz="4" w:space="0" w:color="auto"/>
              <w:right w:val="single" w:sz="4" w:space="0" w:color="auto"/>
            </w:tcBorders>
            <w:shd w:val="clear" w:color="000000" w:fill="B4C6E7"/>
            <w:vAlign w:val="bottom"/>
            <w:hideMark/>
          </w:tcPr>
          <w:p w14:paraId="11E1C718"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of Total Activities</w:t>
            </w:r>
          </w:p>
        </w:tc>
        <w:tc>
          <w:tcPr>
            <w:tcW w:w="1254" w:type="dxa"/>
            <w:tcBorders>
              <w:top w:val="nil"/>
              <w:left w:val="nil"/>
              <w:bottom w:val="single" w:sz="4" w:space="0" w:color="auto"/>
              <w:right w:val="single" w:sz="4" w:space="0" w:color="auto"/>
            </w:tcBorders>
            <w:shd w:val="clear" w:color="000000" w:fill="B4C6E7"/>
            <w:vAlign w:val="bottom"/>
            <w:hideMark/>
          </w:tcPr>
          <w:p w14:paraId="1D9F94F3"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Average Progress on Activities (%)</w:t>
            </w:r>
          </w:p>
        </w:tc>
        <w:tc>
          <w:tcPr>
            <w:tcW w:w="897" w:type="dxa"/>
            <w:tcBorders>
              <w:top w:val="nil"/>
              <w:left w:val="nil"/>
              <w:bottom w:val="single" w:sz="4" w:space="0" w:color="auto"/>
              <w:right w:val="single" w:sz="4" w:space="0" w:color="auto"/>
            </w:tcBorders>
            <w:shd w:val="clear" w:color="000000" w:fill="B4C6E7"/>
            <w:vAlign w:val="bottom"/>
            <w:hideMark/>
          </w:tcPr>
          <w:p w14:paraId="0E21EEB8"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Outputs</w:t>
            </w:r>
          </w:p>
        </w:tc>
        <w:tc>
          <w:tcPr>
            <w:tcW w:w="897" w:type="dxa"/>
            <w:tcBorders>
              <w:top w:val="nil"/>
              <w:left w:val="nil"/>
              <w:bottom w:val="single" w:sz="4" w:space="0" w:color="auto"/>
              <w:right w:val="single" w:sz="4" w:space="0" w:color="auto"/>
            </w:tcBorders>
            <w:shd w:val="clear" w:color="000000" w:fill="B4C6E7"/>
            <w:vAlign w:val="bottom"/>
            <w:hideMark/>
          </w:tcPr>
          <w:p w14:paraId="46CFC469"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Outputs Met</w:t>
            </w:r>
          </w:p>
        </w:tc>
        <w:tc>
          <w:tcPr>
            <w:tcW w:w="892" w:type="dxa"/>
            <w:tcBorders>
              <w:top w:val="nil"/>
              <w:left w:val="nil"/>
              <w:bottom w:val="single" w:sz="4" w:space="0" w:color="auto"/>
              <w:right w:val="single" w:sz="4" w:space="0" w:color="auto"/>
            </w:tcBorders>
            <w:shd w:val="clear" w:color="000000" w:fill="B4C6E7"/>
            <w:vAlign w:val="bottom"/>
            <w:hideMark/>
          </w:tcPr>
          <w:p w14:paraId="2BAED97F"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Outputs Met</w:t>
            </w:r>
          </w:p>
        </w:tc>
        <w:tc>
          <w:tcPr>
            <w:tcW w:w="1063" w:type="dxa"/>
            <w:tcBorders>
              <w:top w:val="nil"/>
              <w:left w:val="nil"/>
              <w:bottom w:val="single" w:sz="4" w:space="0" w:color="auto"/>
              <w:right w:val="single" w:sz="4" w:space="0" w:color="auto"/>
            </w:tcBorders>
            <w:shd w:val="clear" w:color="000000" w:fill="B4C6E7"/>
            <w:vAlign w:val="bottom"/>
            <w:hideMark/>
          </w:tcPr>
          <w:p w14:paraId="6DDA9F72"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Short-Term Outcomes</w:t>
            </w:r>
          </w:p>
        </w:tc>
        <w:tc>
          <w:tcPr>
            <w:tcW w:w="1063" w:type="dxa"/>
            <w:tcBorders>
              <w:top w:val="nil"/>
              <w:left w:val="nil"/>
              <w:bottom w:val="single" w:sz="4" w:space="0" w:color="auto"/>
              <w:right w:val="single" w:sz="4" w:space="0" w:color="auto"/>
            </w:tcBorders>
            <w:shd w:val="clear" w:color="000000" w:fill="B4C6E7"/>
            <w:vAlign w:val="bottom"/>
            <w:hideMark/>
          </w:tcPr>
          <w:p w14:paraId="7723CF19"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Short-Term Outcomes Met</w:t>
            </w:r>
          </w:p>
        </w:tc>
        <w:tc>
          <w:tcPr>
            <w:tcW w:w="1063" w:type="dxa"/>
            <w:tcBorders>
              <w:top w:val="nil"/>
              <w:left w:val="nil"/>
              <w:bottom w:val="single" w:sz="4" w:space="0" w:color="auto"/>
              <w:right w:val="single" w:sz="4" w:space="0" w:color="auto"/>
            </w:tcBorders>
            <w:shd w:val="clear" w:color="000000" w:fill="B4C6E7"/>
            <w:vAlign w:val="bottom"/>
            <w:hideMark/>
          </w:tcPr>
          <w:p w14:paraId="33CCE77F"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%Short-Term Outcomes Achieved</w:t>
            </w:r>
          </w:p>
        </w:tc>
      </w:tr>
      <w:tr w:rsidR="00BA0D82" w:rsidRPr="0005691D" w14:paraId="139A650A" w14:textId="77777777" w:rsidTr="00BC793A">
        <w:trPr>
          <w:trHeight w:val="300"/>
        </w:trPr>
        <w:tc>
          <w:tcPr>
            <w:tcW w:w="2506" w:type="dxa"/>
            <w:tcBorders>
              <w:top w:val="nil"/>
              <w:left w:val="single" w:sz="4" w:space="0" w:color="auto"/>
              <w:bottom w:val="single" w:sz="4" w:space="0" w:color="auto"/>
              <w:right w:val="single" w:sz="4" w:space="0" w:color="auto"/>
            </w:tcBorders>
            <w:shd w:val="clear" w:color="000000" w:fill="B4C6E7"/>
            <w:noWrap/>
            <w:vAlign w:val="center"/>
            <w:hideMark/>
          </w:tcPr>
          <w:p w14:paraId="7A7CFCCD" w14:textId="77777777" w:rsidR="00BA0D82" w:rsidRPr="0005691D" w:rsidRDefault="00BA0D82" w:rsidP="001A5653">
            <w:pPr>
              <w:spacing w:after="0" w:line="240" w:lineRule="auto"/>
              <w:jc w:val="right"/>
              <w:rPr>
                <w:rFonts w:ascii="Calibri" w:eastAsia="Times New Roman" w:hAnsi="Calibri" w:cs="Calibri"/>
                <w:b/>
                <w:bCs/>
                <w:color w:val="000000"/>
              </w:rPr>
            </w:pPr>
            <w:r w:rsidRPr="0005691D">
              <w:rPr>
                <w:rFonts w:ascii="Calibri" w:eastAsia="Times New Roman" w:hAnsi="Calibri" w:cs="Calibri"/>
                <w:b/>
                <w:bCs/>
                <w:color w:val="000000"/>
              </w:rPr>
              <w:t>Common Performance Measures</w:t>
            </w:r>
          </w:p>
        </w:tc>
        <w:tc>
          <w:tcPr>
            <w:tcW w:w="1165" w:type="dxa"/>
            <w:tcBorders>
              <w:top w:val="nil"/>
              <w:left w:val="nil"/>
              <w:bottom w:val="single" w:sz="4" w:space="0" w:color="auto"/>
              <w:right w:val="single" w:sz="4" w:space="0" w:color="auto"/>
            </w:tcBorders>
            <w:shd w:val="clear" w:color="000000" w:fill="FFFFFF"/>
            <w:noWrap/>
            <w:vAlign w:val="center"/>
            <w:hideMark/>
          </w:tcPr>
          <w:p w14:paraId="27FB4BB8"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4</w:t>
            </w:r>
          </w:p>
        </w:tc>
        <w:tc>
          <w:tcPr>
            <w:tcW w:w="1254" w:type="dxa"/>
            <w:tcBorders>
              <w:top w:val="nil"/>
              <w:left w:val="nil"/>
              <w:bottom w:val="single" w:sz="4" w:space="0" w:color="auto"/>
              <w:right w:val="single" w:sz="4" w:space="0" w:color="auto"/>
            </w:tcBorders>
            <w:shd w:val="clear" w:color="000000" w:fill="FFFFFF"/>
            <w:noWrap/>
            <w:vAlign w:val="center"/>
            <w:hideMark/>
          </w:tcPr>
          <w:p w14:paraId="6E94A66F"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69%</w:t>
            </w:r>
          </w:p>
        </w:tc>
        <w:tc>
          <w:tcPr>
            <w:tcW w:w="897" w:type="dxa"/>
            <w:tcBorders>
              <w:top w:val="nil"/>
              <w:left w:val="nil"/>
              <w:bottom w:val="single" w:sz="4" w:space="0" w:color="auto"/>
              <w:right w:val="single" w:sz="4" w:space="0" w:color="auto"/>
            </w:tcBorders>
            <w:shd w:val="clear" w:color="000000" w:fill="FFFFFF"/>
            <w:noWrap/>
            <w:vAlign w:val="center"/>
            <w:hideMark/>
          </w:tcPr>
          <w:p w14:paraId="57C1F34C"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4</w:t>
            </w:r>
          </w:p>
        </w:tc>
        <w:tc>
          <w:tcPr>
            <w:tcW w:w="897" w:type="dxa"/>
            <w:tcBorders>
              <w:top w:val="nil"/>
              <w:left w:val="nil"/>
              <w:bottom w:val="single" w:sz="4" w:space="0" w:color="auto"/>
              <w:right w:val="single" w:sz="4" w:space="0" w:color="auto"/>
            </w:tcBorders>
            <w:shd w:val="clear" w:color="000000" w:fill="FFFFFF"/>
            <w:noWrap/>
            <w:vAlign w:val="center"/>
            <w:hideMark/>
          </w:tcPr>
          <w:p w14:paraId="469F97EE"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w:t>
            </w:r>
          </w:p>
        </w:tc>
        <w:tc>
          <w:tcPr>
            <w:tcW w:w="892" w:type="dxa"/>
            <w:tcBorders>
              <w:top w:val="nil"/>
              <w:left w:val="nil"/>
              <w:bottom w:val="single" w:sz="4" w:space="0" w:color="auto"/>
              <w:right w:val="single" w:sz="4" w:space="0" w:color="auto"/>
            </w:tcBorders>
            <w:shd w:val="clear" w:color="000000" w:fill="FFFFFF"/>
            <w:noWrap/>
            <w:vAlign w:val="center"/>
            <w:hideMark/>
          </w:tcPr>
          <w:p w14:paraId="73945FD2"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25%</w:t>
            </w:r>
          </w:p>
        </w:tc>
        <w:tc>
          <w:tcPr>
            <w:tcW w:w="1063" w:type="dxa"/>
            <w:tcBorders>
              <w:top w:val="nil"/>
              <w:left w:val="nil"/>
              <w:bottom w:val="single" w:sz="4" w:space="0" w:color="auto"/>
              <w:right w:val="single" w:sz="4" w:space="0" w:color="auto"/>
            </w:tcBorders>
            <w:shd w:val="clear" w:color="000000" w:fill="FFFFFF"/>
            <w:noWrap/>
            <w:vAlign w:val="center"/>
            <w:hideMark/>
          </w:tcPr>
          <w:p w14:paraId="1E2CFDBE"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w:t>
            </w:r>
          </w:p>
        </w:tc>
        <w:tc>
          <w:tcPr>
            <w:tcW w:w="1063" w:type="dxa"/>
            <w:tcBorders>
              <w:top w:val="nil"/>
              <w:left w:val="nil"/>
              <w:bottom w:val="single" w:sz="4" w:space="0" w:color="auto"/>
              <w:right w:val="single" w:sz="4" w:space="0" w:color="auto"/>
            </w:tcBorders>
            <w:shd w:val="clear" w:color="000000" w:fill="FFFFFF"/>
            <w:noWrap/>
            <w:vAlign w:val="center"/>
            <w:hideMark/>
          </w:tcPr>
          <w:p w14:paraId="3F0F1EA4"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w:t>
            </w:r>
          </w:p>
        </w:tc>
        <w:tc>
          <w:tcPr>
            <w:tcW w:w="1063" w:type="dxa"/>
            <w:tcBorders>
              <w:top w:val="nil"/>
              <w:left w:val="nil"/>
              <w:bottom w:val="single" w:sz="4" w:space="0" w:color="auto"/>
              <w:right w:val="single" w:sz="4" w:space="0" w:color="auto"/>
            </w:tcBorders>
            <w:shd w:val="clear" w:color="000000" w:fill="FFFFFF"/>
            <w:noWrap/>
            <w:vAlign w:val="center"/>
            <w:hideMark/>
          </w:tcPr>
          <w:p w14:paraId="42175165"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100%</w:t>
            </w:r>
          </w:p>
        </w:tc>
      </w:tr>
      <w:tr w:rsidR="00BA0D82" w:rsidRPr="0005691D" w14:paraId="72421227" w14:textId="77777777" w:rsidTr="00BC793A">
        <w:trPr>
          <w:trHeight w:val="300"/>
        </w:trPr>
        <w:tc>
          <w:tcPr>
            <w:tcW w:w="2506" w:type="dxa"/>
            <w:tcBorders>
              <w:top w:val="nil"/>
              <w:left w:val="nil"/>
              <w:bottom w:val="nil"/>
              <w:right w:val="nil"/>
            </w:tcBorders>
            <w:shd w:val="clear" w:color="auto" w:fill="auto"/>
            <w:noWrap/>
            <w:vAlign w:val="bottom"/>
            <w:hideMark/>
          </w:tcPr>
          <w:p w14:paraId="2522DFD7" w14:textId="77777777" w:rsidR="00BA0D82" w:rsidRPr="0005691D" w:rsidRDefault="00BA0D82" w:rsidP="001A5653">
            <w:pPr>
              <w:spacing w:after="0" w:line="240" w:lineRule="auto"/>
              <w:jc w:val="center"/>
              <w:rPr>
                <w:rFonts w:ascii="Calibri" w:eastAsia="Times New Roman" w:hAnsi="Calibri" w:cs="Calibri"/>
                <w:color w:val="000000"/>
              </w:rPr>
            </w:pPr>
          </w:p>
        </w:tc>
        <w:tc>
          <w:tcPr>
            <w:tcW w:w="1165" w:type="dxa"/>
            <w:tcBorders>
              <w:top w:val="nil"/>
              <w:left w:val="nil"/>
              <w:bottom w:val="nil"/>
              <w:right w:val="nil"/>
            </w:tcBorders>
            <w:shd w:val="clear" w:color="auto" w:fill="auto"/>
            <w:noWrap/>
            <w:vAlign w:val="center"/>
            <w:hideMark/>
          </w:tcPr>
          <w:p w14:paraId="45F1FF37" w14:textId="77777777" w:rsidR="00BA0D82" w:rsidRPr="0005691D" w:rsidRDefault="00BA0D82" w:rsidP="001A5653">
            <w:pPr>
              <w:spacing w:after="0" w:line="240" w:lineRule="auto"/>
              <w:rPr>
                <w:rFonts w:ascii="Times New Roman" w:eastAsia="Times New Roman" w:hAnsi="Times New Roman" w:cs="Times New Roman"/>
                <w:sz w:val="20"/>
                <w:szCs w:val="20"/>
              </w:rPr>
            </w:pPr>
          </w:p>
        </w:tc>
        <w:tc>
          <w:tcPr>
            <w:tcW w:w="1254" w:type="dxa"/>
            <w:tcBorders>
              <w:top w:val="nil"/>
              <w:left w:val="nil"/>
              <w:bottom w:val="nil"/>
              <w:right w:val="nil"/>
            </w:tcBorders>
            <w:shd w:val="clear" w:color="auto" w:fill="auto"/>
            <w:noWrap/>
            <w:vAlign w:val="center"/>
            <w:hideMark/>
          </w:tcPr>
          <w:p w14:paraId="6FD8BF16"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c>
          <w:tcPr>
            <w:tcW w:w="897" w:type="dxa"/>
            <w:tcBorders>
              <w:top w:val="nil"/>
              <w:left w:val="nil"/>
              <w:bottom w:val="nil"/>
              <w:right w:val="nil"/>
            </w:tcBorders>
            <w:shd w:val="clear" w:color="auto" w:fill="auto"/>
            <w:noWrap/>
            <w:vAlign w:val="center"/>
            <w:hideMark/>
          </w:tcPr>
          <w:p w14:paraId="6927B496"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c>
          <w:tcPr>
            <w:tcW w:w="897" w:type="dxa"/>
            <w:tcBorders>
              <w:top w:val="nil"/>
              <w:left w:val="nil"/>
              <w:bottom w:val="nil"/>
              <w:right w:val="nil"/>
            </w:tcBorders>
            <w:shd w:val="clear" w:color="auto" w:fill="auto"/>
            <w:noWrap/>
            <w:vAlign w:val="center"/>
            <w:hideMark/>
          </w:tcPr>
          <w:p w14:paraId="3347D99A"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c>
          <w:tcPr>
            <w:tcW w:w="892" w:type="dxa"/>
            <w:tcBorders>
              <w:top w:val="nil"/>
              <w:left w:val="nil"/>
              <w:bottom w:val="nil"/>
              <w:right w:val="nil"/>
            </w:tcBorders>
            <w:shd w:val="clear" w:color="auto" w:fill="auto"/>
            <w:noWrap/>
            <w:vAlign w:val="center"/>
            <w:hideMark/>
          </w:tcPr>
          <w:p w14:paraId="6673AD21"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c>
          <w:tcPr>
            <w:tcW w:w="1063" w:type="dxa"/>
            <w:tcBorders>
              <w:top w:val="nil"/>
              <w:left w:val="nil"/>
              <w:bottom w:val="nil"/>
              <w:right w:val="nil"/>
            </w:tcBorders>
            <w:shd w:val="clear" w:color="auto" w:fill="auto"/>
            <w:noWrap/>
            <w:vAlign w:val="center"/>
            <w:hideMark/>
          </w:tcPr>
          <w:p w14:paraId="7EC5B010"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c>
          <w:tcPr>
            <w:tcW w:w="1063" w:type="dxa"/>
            <w:tcBorders>
              <w:top w:val="nil"/>
              <w:left w:val="nil"/>
              <w:bottom w:val="nil"/>
              <w:right w:val="nil"/>
            </w:tcBorders>
            <w:shd w:val="clear" w:color="auto" w:fill="auto"/>
            <w:noWrap/>
            <w:vAlign w:val="center"/>
            <w:hideMark/>
          </w:tcPr>
          <w:p w14:paraId="0100574B"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c>
          <w:tcPr>
            <w:tcW w:w="1063" w:type="dxa"/>
            <w:tcBorders>
              <w:top w:val="nil"/>
              <w:left w:val="nil"/>
              <w:bottom w:val="nil"/>
              <w:right w:val="nil"/>
            </w:tcBorders>
            <w:shd w:val="clear" w:color="auto" w:fill="auto"/>
            <w:noWrap/>
            <w:vAlign w:val="center"/>
            <w:hideMark/>
          </w:tcPr>
          <w:p w14:paraId="052186EE"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r>
      <w:tr w:rsidR="00BA0D82" w:rsidRPr="0005691D" w14:paraId="291D7F7E" w14:textId="77777777" w:rsidTr="001A5653">
        <w:trPr>
          <w:trHeight w:val="465"/>
        </w:trPr>
        <w:tc>
          <w:tcPr>
            <w:tcW w:w="10800" w:type="dxa"/>
            <w:gridSpan w:val="9"/>
            <w:tcBorders>
              <w:top w:val="single" w:sz="4" w:space="0" w:color="auto"/>
              <w:left w:val="nil"/>
              <w:bottom w:val="single" w:sz="4" w:space="0" w:color="auto"/>
              <w:right w:val="nil"/>
            </w:tcBorders>
            <w:shd w:val="clear" w:color="auto" w:fill="auto"/>
            <w:noWrap/>
            <w:vAlign w:val="bottom"/>
            <w:hideMark/>
          </w:tcPr>
          <w:p w14:paraId="6BBF689F" w14:textId="77777777" w:rsidR="00BA0D82" w:rsidRPr="0005691D" w:rsidRDefault="00BA0D82" w:rsidP="00BA0D82">
            <w:pPr>
              <w:pStyle w:val="Heading2"/>
              <w:numPr>
                <w:ilvl w:val="0"/>
                <w:numId w:val="0"/>
              </w:numPr>
              <w:rPr>
                <w:rFonts w:eastAsia="Times New Roman"/>
              </w:rPr>
            </w:pPr>
            <w:bookmarkStart w:id="203" w:name="_Toc27143191"/>
            <w:bookmarkStart w:id="204" w:name="_Toc28011490"/>
            <w:r w:rsidRPr="0005691D">
              <w:rPr>
                <w:rFonts w:eastAsia="Times New Roman"/>
              </w:rPr>
              <w:t>Florida Blind</w:t>
            </w:r>
            <w:bookmarkEnd w:id="203"/>
            <w:bookmarkEnd w:id="204"/>
          </w:p>
        </w:tc>
      </w:tr>
      <w:tr w:rsidR="00BA0D82" w:rsidRPr="0005691D" w14:paraId="4DB9C331" w14:textId="77777777" w:rsidTr="00BC793A">
        <w:trPr>
          <w:trHeight w:val="1305"/>
        </w:trPr>
        <w:tc>
          <w:tcPr>
            <w:tcW w:w="2506" w:type="dxa"/>
            <w:tcBorders>
              <w:top w:val="nil"/>
              <w:left w:val="single" w:sz="4" w:space="0" w:color="auto"/>
              <w:bottom w:val="single" w:sz="4" w:space="0" w:color="auto"/>
              <w:right w:val="single" w:sz="4" w:space="0" w:color="auto"/>
            </w:tcBorders>
            <w:shd w:val="clear" w:color="000000" w:fill="B4C6E7"/>
            <w:vAlign w:val="bottom"/>
            <w:hideMark/>
          </w:tcPr>
          <w:p w14:paraId="6BB0D59E" w14:textId="77777777" w:rsidR="00BA0D82" w:rsidRPr="0005691D" w:rsidRDefault="00BA0D82" w:rsidP="001A5653">
            <w:pPr>
              <w:spacing w:after="0" w:line="240" w:lineRule="auto"/>
              <w:jc w:val="right"/>
              <w:rPr>
                <w:rFonts w:ascii="Calibri" w:eastAsia="Times New Roman" w:hAnsi="Calibri" w:cs="Calibri"/>
                <w:b/>
                <w:bCs/>
                <w:color w:val="000000"/>
                <w:szCs w:val="28"/>
              </w:rPr>
            </w:pPr>
            <w:r w:rsidRPr="0005691D">
              <w:rPr>
                <w:rFonts w:ascii="Calibri" w:eastAsia="Times New Roman" w:hAnsi="Calibri" w:cs="Calibri"/>
                <w:b/>
                <w:bCs/>
                <w:color w:val="000000"/>
                <w:szCs w:val="28"/>
              </w:rPr>
              <w:t>Area</w:t>
            </w:r>
          </w:p>
        </w:tc>
        <w:tc>
          <w:tcPr>
            <w:tcW w:w="1165" w:type="dxa"/>
            <w:tcBorders>
              <w:top w:val="nil"/>
              <w:left w:val="nil"/>
              <w:bottom w:val="single" w:sz="4" w:space="0" w:color="auto"/>
              <w:right w:val="single" w:sz="4" w:space="0" w:color="auto"/>
            </w:tcBorders>
            <w:shd w:val="clear" w:color="000000" w:fill="B4C6E7"/>
            <w:vAlign w:val="bottom"/>
            <w:hideMark/>
          </w:tcPr>
          <w:p w14:paraId="7A000E39"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of Total Activities</w:t>
            </w:r>
          </w:p>
        </w:tc>
        <w:tc>
          <w:tcPr>
            <w:tcW w:w="1254" w:type="dxa"/>
            <w:tcBorders>
              <w:top w:val="nil"/>
              <w:left w:val="nil"/>
              <w:bottom w:val="single" w:sz="4" w:space="0" w:color="auto"/>
              <w:right w:val="single" w:sz="4" w:space="0" w:color="auto"/>
            </w:tcBorders>
            <w:shd w:val="clear" w:color="000000" w:fill="B4C6E7"/>
            <w:vAlign w:val="bottom"/>
            <w:hideMark/>
          </w:tcPr>
          <w:p w14:paraId="6F2E9C69"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Average Progress on Activities (%)</w:t>
            </w:r>
          </w:p>
        </w:tc>
        <w:tc>
          <w:tcPr>
            <w:tcW w:w="897" w:type="dxa"/>
            <w:tcBorders>
              <w:top w:val="nil"/>
              <w:left w:val="nil"/>
              <w:bottom w:val="single" w:sz="4" w:space="0" w:color="auto"/>
              <w:right w:val="single" w:sz="4" w:space="0" w:color="auto"/>
            </w:tcBorders>
            <w:shd w:val="clear" w:color="000000" w:fill="B4C6E7"/>
            <w:vAlign w:val="bottom"/>
            <w:hideMark/>
          </w:tcPr>
          <w:p w14:paraId="6A336426"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Outputs</w:t>
            </w:r>
          </w:p>
        </w:tc>
        <w:tc>
          <w:tcPr>
            <w:tcW w:w="897" w:type="dxa"/>
            <w:tcBorders>
              <w:top w:val="nil"/>
              <w:left w:val="nil"/>
              <w:bottom w:val="single" w:sz="4" w:space="0" w:color="auto"/>
              <w:right w:val="single" w:sz="4" w:space="0" w:color="auto"/>
            </w:tcBorders>
            <w:shd w:val="clear" w:color="000000" w:fill="B4C6E7"/>
            <w:vAlign w:val="bottom"/>
            <w:hideMark/>
          </w:tcPr>
          <w:p w14:paraId="5095F752"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Outputs Met</w:t>
            </w:r>
          </w:p>
        </w:tc>
        <w:tc>
          <w:tcPr>
            <w:tcW w:w="892" w:type="dxa"/>
            <w:tcBorders>
              <w:top w:val="nil"/>
              <w:left w:val="nil"/>
              <w:bottom w:val="single" w:sz="4" w:space="0" w:color="auto"/>
              <w:right w:val="single" w:sz="4" w:space="0" w:color="auto"/>
            </w:tcBorders>
            <w:shd w:val="clear" w:color="000000" w:fill="B4C6E7"/>
            <w:vAlign w:val="bottom"/>
            <w:hideMark/>
          </w:tcPr>
          <w:p w14:paraId="243DE5C0"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Outputs Met</w:t>
            </w:r>
          </w:p>
        </w:tc>
        <w:tc>
          <w:tcPr>
            <w:tcW w:w="1063" w:type="dxa"/>
            <w:tcBorders>
              <w:top w:val="nil"/>
              <w:left w:val="nil"/>
              <w:bottom w:val="single" w:sz="4" w:space="0" w:color="auto"/>
              <w:right w:val="single" w:sz="4" w:space="0" w:color="auto"/>
            </w:tcBorders>
            <w:shd w:val="clear" w:color="000000" w:fill="B4C6E7"/>
            <w:vAlign w:val="bottom"/>
            <w:hideMark/>
          </w:tcPr>
          <w:p w14:paraId="75A3ABDF"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Short-Term Outcomes</w:t>
            </w:r>
          </w:p>
        </w:tc>
        <w:tc>
          <w:tcPr>
            <w:tcW w:w="1063" w:type="dxa"/>
            <w:tcBorders>
              <w:top w:val="nil"/>
              <w:left w:val="nil"/>
              <w:bottom w:val="single" w:sz="4" w:space="0" w:color="auto"/>
              <w:right w:val="single" w:sz="4" w:space="0" w:color="auto"/>
            </w:tcBorders>
            <w:shd w:val="clear" w:color="000000" w:fill="B4C6E7"/>
            <w:vAlign w:val="bottom"/>
            <w:hideMark/>
          </w:tcPr>
          <w:p w14:paraId="230581E6"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Short-Term Outcomes Met</w:t>
            </w:r>
          </w:p>
        </w:tc>
        <w:tc>
          <w:tcPr>
            <w:tcW w:w="1063" w:type="dxa"/>
            <w:tcBorders>
              <w:top w:val="nil"/>
              <w:left w:val="nil"/>
              <w:bottom w:val="single" w:sz="4" w:space="0" w:color="auto"/>
              <w:right w:val="single" w:sz="4" w:space="0" w:color="auto"/>
            </w:tcBorders>
            <w:shd w:val="clear" w:color="000000" w:fill="B4C6E7"/>
            <w:vAlign w:val="bottom"/>
            <w:hideMark/>
          </w:tcPr>
          <w:p w14:paraId="25552002"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%Short-Term Outcomes Achieved</w:t>
            </w:r>
          </w:p>
        </w:tc>
      </w:tr>
      <w:tr w:rsidR="00BA0D82" w:rsidRPr="0005691D" w14:paraId="3E62BA09" w14:textId="77777777" w:rsidTr="00BC793A">
        <w:trPr>
          <w:trHeight w:val="300"/>
        </w:trPr>
        <w:tc>
          <w:tcPr>
            <w:tcW w:w="2506" w:type="dxa"/>
            <w:tcBorders>
              <w:top w:val="nil"/>
              <w:left w:val="single" w:sz="4" w:space="0" w:color="auto"/>
              <w:bottom w:val="single" w:sz="4" w:space="0" w:color="auto"/>
              <w:right w:val="single" w:sz="4" w:space="0" w:color="auto"/>
            </w:tcBorders>
            <w:shd w:val="clear" w:color="000000" w:fill="B4C6E7"/>
            <w:noWrap/>
            <w:vAlign w:val="center"/>
            <w:hideMark/>
          </w:tcPr>
          <w:p w14:paraId="6A82202A" w14:textId="77777777" w:rsidR="00BA0D82" w:rsidRPr="0005691D" w:rsidRDefault="00BA0D82" w:rsidP="001A5653">
            <w:pPr>
              <w:spacing w:after="0" w:line="240" w:lineRule="auto"/>
              <w:jc w:val="right"/>
              <w:rPr>
                <w:rFonts w:ascii="Calibri" w:eastAsia="Times New Roman" w:hAnsi="Calibri" w:cs="Calibri"/>
                <w:b/>
                <w:bCs/>
                <w:color w:val="000000"/>
              </w:rPr>
            </w:pPr>
            <w:r w:rsidRPr="0005691D">
              <w:rPr>
                <w:rFonts w:ascii="Calibri" w:eastAsia="Times New Roman" w:hAnsi="Calibri" w:cs="Calibri"/>
                <w:b/>
                <w:bCs/>
                <w:color w:val="000000"/>
              </w:rPr>
              <w:t>Pre-ETS</w:t>
            </w:r>
          </w:p>
        </w:tc>
        <w:tc>
          <w:tcPr>
            <w:tcW w:w="1165" w:type="dxa"/>
            <w:tcBorders>
              <w:top w:val="nil"/>
              <w:left w:val="nil"/>
              <w:bottom w:val="single" w:sz="4" w:space="0" w:color="auto"/>
              <w:right w:val="single" w:sz="4" w:space="0" w:color="auto"/>
            </w:tcBorders>
            <w:shd w:val="clear" w:color="000000" w:fill="FFFFFF"/>
            <w:noWrap/>
            <w:vAlign w:val="center"/>
            <w:hideMark/>
          </w:tcPr>
          <w:p w14:paraId="1D18E4A5"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9</w:t>
            </w:r>
          </w:p>
        </w:tc>
        <w:tc>
          <w:tcPr>
            <w:tcW w:w="1254" w:type="dxa"/>
            <w:tcBorders>
              <w:top w:val="nil"/>
              <w:left w:val="nil"/>
              <w:bottom w:val="single" w:sz="4" w:space="0" w:color="auto"/>
              <w:right w:val="single" w:sz="4" w:space="0" w:color="auto"/>
            </w:tcBorders>
            <w:shd w:val="clear" w:color="000000" w:fill="FFFFFF"/>
            <w:noWrap/>
            <w:vAlign w:val="center"/>
            <w:hideMark/>
          </w:tcPr>
          <w:p w14:paraId="5F084B4E"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85%</w:t>
            </w:r>
          </w:p>
        </w:tc>
        <w:tc>
          <w:tcPr>
            <w:tcW w:w="897" w:type="dxa"/>
            <w:tcBorders>
              <w:top w:val="nil"/>
              <w:left w:val="nil"/>
              <w:bottom w:val="single" w:sz="4" w:space="0" w:color="auto"/>
              <w:right w:val="single" w:sz="4" w:space="0" w:color="auto"/>
            </w:tcBorders>
            <w:shd w:val="clear" w:color="000000" w:fill="FFFFFF"/>
            <w:noWrap/>
            <w:vAlign w:val="center"/>
            <w:hideMark/>
          </w:tcPr>
          <w:p w14:paraId="5C3DE678"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9</w:t>
            </w:r>
          </w:p>
        </w:tc>
        <w:tc>
          <w:tcPr>
            <w:tcW w:w="897" w:type="dxa"/>
            <w:tcBorders>
              <w:top w:val="nil"/>
              <w:left w:val="nil"/>
              <w:bottom w:val="single" w:sz="4" w:space="0" w:color="auto"/>
              <w:right w:val="single" w:sz="4" w:space="0" w:color="auto"/>
            </w:tcBorders>
            <w:shd w:val="clear" w:color="000000" w:fill="FFFFFF"/>
            <w:noWrap/>
            <w:vAlign w:val="center"/>
            <w:hideMark/>
          </w:tcPr>
          <w:p w14:paraId="4DBF8274"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6</w:t>
            </w:r>
          </w:p>
        </w:tc>
        <w:tc>
          <w:tcPr>
            <w:tcW w:w="892" w:type="dxa"/>
            <w:tcBorders>
              <w:top w:val="nil"/>
              <w:left w:val="nil"/>
              <w:bottom w:val="single" w:sz="4" w:space="0" w:color="auto"/>
              <w:right w:val="single" w:sz="4" w:space="0" w:color="auto"/>
            </w:tcBorders>
            <w:shd w:val="clear" w:color="000000" w:fill="FFFFFF"/>
            <w:noWrap/>
            <w:vAlign w:val="center"/>
            <w:hideMark/>
          </w:tcPr>
          <w:p w14:paraId="46FC7574"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67%</w:t>
            </w:r>
          </w:p>
        </w:tc>
        <w:tc>
          <w:tcPr>
            <w:tcW w:w="1063" w:type="dxa"/>
            <w:tcBorders>
              <w:top w:val="nil"/>
              <w:left w:val="nil"/>
              <w:bottom w:val="single" w:sz="4" w:space="0" w:color="auto"/>
              <w:right w:val="single" w:sz="4" w:space="0" w:color="auto"/>
            </w:tcBorders>
            <w:shd w:val="clear" w:color="000000" w:fill="FFFFFF"/>
            <w:noWrap/>
            <w:vAlign w:val="center"/>
            <w:hideMark/>
          </w:tcPr>
          <w:p w14:paraId="5E32D0C2"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4</w:t>
            </w:r>
          </w:p>
        </w:tc>
        <w:tc>
          <w:tcPr>
            <w:tcW w:w="1063" w:type="dxa"/>
            <w:tcBorders>
              <w:top w:val="nil"/>
              <w:left w:val="nil"/>
              <w:bottom w:val="single" w:sz="4" w:space="0" w:color="auto"/>
              <w:right w:val="single" w:sz="4" w:space="0" w:color="auto"/>
            </w:tcBorders>
            <w:shd w:val="clear" w:color="000000" w:fill="FFFFFF"/>
            <w:noWrap/>
            <w:vAlign w:val="center"/>
            <w:hideMark/>
          </w:tcPr>
          <w:p w14:paraId="5E7F98B6"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2</w:t>
            </w:r>
          </w:p>
        </w:tc>
        <w:tc>
          <w:tcPr>
            <w:tcW w:w="1063" w:type="dxa"/>
            <w:tcBorders>
              <w:top w:val="nil"/>
              <w:left w:val="nil"/>
              <w:bottom w:val="single" w:sz="4" w:space="0" w:color="auto"/>
              <w:right w:val="single" w:sz="4" w:space="0" w:color="auto"/>
            </w:tcBorders>
            <w:shd w:val="clear" w:color="000000" w:fill="FFFFFF"/>
            <w:noWrap/>
            <w:vAlign w:val="center"/>
            <w:hideMark/>
          </w:tcPr>
          <w:p w14:paraId="60127015"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50%</w:t>
            </w:r>
          </w:p>
        </w:tc>
      </w:tr>
      <w:tr w:rsidR="00BA0D82" w:rsidRPr="0005691D" w14:paraId="44538AD8" w14:textId="77777777" w:rsidTr="00BC793A">
        <w:trPr>
          <w:trHeight w:val="300"/>
        </w:trPr>
        <w:tc>
          <w:tcPr>
            <w:tcW w:w="2506" w:type="dxa"/>
            <w:tcBorders>
              <w:top w:val="nil"/>
              <w:left w:val="single" w:sz="4" w:space="0" w:color="auto"/>
              <w:bottom w:val="single" w:sz="4" w:space="0" w:color="auto"/>
              <w:right w:val="single" w:sz="4" w:space="0" w:color="auto"/>
            </w:tcBorders>
            <w:shd w:val="clear" w:color="000000" w:fill="B4C6E7"/>
            <w:noWrap/>
            <w:vAlign w:val="center"/>
            <w:hideMark/>
          </w:tcPr>
          <w:p w14:paraId="6C87AE07" w14:textId="77777777" w:rsidR="00BA0D82" w:rsidRPr="0005691D" w:rsidRDefault="00BA0D82" w:rsidP="001A5653">
            <w:pPr>
              <w:spacing w:after="0" w:line="240" w:lineRule="auto"/>
              <w:jc w:val="right"/>
              <w:rPr>
                <w:rFonts w:ascii="Calibri" w:eastAsia="Times New Roman" w:hAnsi="Calibri" w:cs="Calibri"/>
                <w:b/>
                <w:bCs/>
                <w:color w:val="000000"/>
              </w:rPr>
            </w:pPr>
            <w:r w:rsidRPr="0005691D">
              <w:rPr>
                <w:rFonts w:ascii="Calibri" w:eastAsia="Times New Roman" w:hAnsi="Calibri" w:cs="Calibri"/>
                <w:b/>
                <w:bCs/>
                <w:color w:val="000000"/>
              </w:rPr>
              <w:t>Workforce Integration</w:t>
            </w:r>
          </w:p>
        </w:tc>
        <w:tc>
          <w:tcPr>
            <w:tcW w:w="1165" w:type="dxa"/>
            <w:tcBorders>
              <w:top w:val="nil"/>
              <w:left w:val="nil"/>
              <w:bottom w:val="single" w:sz="4" w:space="0" w:color="auto"/>
              <w:right w:val="single" w:sz="4" w:space="0" w:color="auto"/>
            </w:tcBorders>
            <w:shd w:val="clear" w:color="000000" w:fill="D9E2F3"/>
            <w:noWrap/>
            <w:vAlign w:val="center"/>
            <w:hideMark/>
          </w:tcPr>
          <w:p w14:paraId="2C2C3CAD"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2</w:t>
            </w:r>
          </w:p>
        </w:tc>
        <w:tc>
          <w:tcPr>
            <w:tcW w:w="1254" w:type="dxa"/>
            <w:tcBorders>
              <w:top w:val="nil"/>
              <w:left w:val="nil"/>
              <w:bottom w:val="single" w:sz="4" w:space="0" w:color="auto"/>
              <w:right w:val="single" w:sz="4" w:space="0" w:color="auto"/>
            </w:tcBorders>
            <w:shd w:val="clear" w:color="000000" w:fill="D9E2F3"/>
            <w:noWrap/>
            <w:vAlign w:val="center"/>
            <w:hideMark/>
          </w:tcPr>
          <w:p w14:paraId="382095AF"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63%</w:t>
            </w:r>
          </w:p>
        </w:tc>
        <w:tc>
          <w:tcPr>
            <w:tcW w:w="897" w:type="dxa"/>
            <w:tcBorders>
              <w:top w:val="nil"/>
              <w:left w:val="nil"/>
              <w:bottom w:val="single" w:sz="4" w:space="0" w:color="auto"/>
              <w:right w:val="single" w:sz="4" w:space="0" w:color="auto"/>
            </w:tcBorders>
            <w:shd w:val="clear" w:color="000000" w:fill="D9E2F3"/>
            <w:noWrap/>
            <w:vAlign w:val="center"/>
            <w:hideMark/>
          </w:tcPr>
          <w:p w14:paraId="551B366F"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2</w:t>
            </w:r>
          </w:p>
        </w:tc>
        <w:tc>
          <w:tcPr>
            <w:tcW w:w="897" w:type="dxa"/>
            <w:tcBorders>
              <w:top w:val="nil"/>
              <w:left w:val="nil"/>
              <w:bottom w:val="single" w:sz="4" w:space="0" w:color="auto"/>
              <w:right w:val="single" w:sz="4" w:space="0" w:color="auto"/>
            </w:tcBorders>
            <w:shd w:val="clear" w:color="000000" w:fill="D9E2F3"/>
            <w:noWrap/>
            <w:vAlign w:val="center"/>
            <w:hideMark/>
          </w:tcPr>
          <w:p w14:paraId="100434B1"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w:t>
            </w:r>
          </w:p>
        </w:tc>
        <w:tc>
          <w:tcPr>
            <w:tcW w:w="892" w:type="dxa"/>
            <w:tcBorders>
              <w:top w:val="nil"/>
              <w:left w:val="nil"/>
              <w:bottom w:val="single" w:sz="4" w:space="0" w:color="auto"/>
              <w:right w:val="single" w:sz="4" w:space="0" w:color="auto"/>
            </w:tcBorders>
            <w:shd w:val="clear" w:color="000000" w:fill="D9E2F3"/>
            <w:noWrap/>
            <w:vAlign w:val="center"/>
            <w:hideMark/>
          </w:tcPr>
          <w:p w14:paraId="0C662127"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50%</w:t>
            </w:r>
          </w:p>
        </w:tc>
        <w:tc>
          <w:tcPr>
            <w:tcW w:w="1063" w:type="dxa"/>
            <w:tcBorders>
              <w:top w:val="nil"/>
              <w:left w:val="nil"/>
              <w:bottom w:val="single" w:sz="4" w:space="0" w:color="auto"/>
              <w:right w:val="single" w:sz="4" w:space="0" w:color="auto"/>
            </w:tcBorders>
            <w:shd w:val="clear" w:color="000000" w:fill="D9E2F3"/>
            <w:noWrap/>
            <w:vAlign w:val="center"/>
            <w:hideMark/>
          </w:tcPr>
          <w:p w14:paraId="45128725"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w:t>
            </w:r>
          </w:p>
        </w:tc>
        <w:tc>
          <w:tcPr>
            <w:tcW w:w="1063" w:type="dxa"/>
            <w:tcBorders>
              <w:top w:val="nil"/>
              <w:left w:val="nil"/>
              <w:bottom w:val="single" w:sz="4" w:space="0" w:color="auto"/>
              <w:right w:val="single" w:sz="4" w:space="0" w:color="auto"/>
            </w:tcBorders>
            <w:shd w:val="clear" w:color="000000" w:fill="D9E2F3"/>
            <w:noWrap/>
            <w:vAlign w:val="center"/>
            <w:hideMark/>
          </w:tcPr>
          <w:p w14:paraId="72D77632"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0</w:t>
            </w:r>
          </w:p>
        </w:tc>
        <w:tc>
          <w:tcPr>
            <w:tcW w:w="1063" w:type="dxa"/>
            <w:tcBorders>
              <w:top w:val="nil"/>
              <w:left w:val="nil"/>
              <w:bottom w:val="single" w:sz="4" w:space="0" w:color="auto"/>
              <w:right w:val="single" w:sz="4" w:space="0" w:color="auto"/>
            </w:tcBorders>
            <w:shd w:val="clear" w:color="000000" w:fill="D9E2F3"/>
            <w:noWrap/>
            <w:vAlign w:val="center"/>
            <w:hideMark/>
          </w:tcPr>
          <w:p w14:paraId="4EDE619C"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0%</w:t>
            </w:r>
          </w:p>
        </w:tc>
      </w:tr>
      <w:tr w:rsidR="00BA0D82" w:rsidRPr="0005691D" w14:paraId="3001DC76" w14:textId="77777777" w:rsidTr="00BC793A">
        <w:trPr>
          <w:trHeight w:val="300"/>
        </w:trPr>
        <w:tc>
          <w:tcPr>
            <w:tcW w:w="2506" w:type="dxa"/>
            <w:tcBorders>
              <w:top w:val="nil"/>
              <w:left w:val="single" w:sz="4" w:space="0" w:color="auto"/>
              <w:bottom w:val="single" w:sz="4" w:space="0" w:color="auto"/>
              <w:right w:val="single" w:sz="4" w:space="0" w:color="auto"/>
            </w:tcBorders>
            <w:shd w:val="clear" w:color="000000" w:fill="B4C6E7"/>
            <w:noWrap/>
            <w:vAlign w:val="center"/>
            <w:hideMark/>
          </w:tcPr>
          <w:p w14:paraId="54024CE5" w14:textId="77777777" w:rsidR="00BA0D82" w:rsidRPr="0005691D" w:rsidRDefault="00BA0D82" w:rsidP="001A5653">
            <w:pPr>
              <w:spacing w:after="0" w:line="240" w:lineRule="auto"/>
              <w:jc w:val="right"/>
              <w:rPr>
                <w:rFonts w:ascii="Calibri" w:eastAsia="Times New Roman" w:hAnsi="Calibri" w:cs="Calibri"/>
                <w:b/>
                <w:bCs/>
                <w:color w:val="000000"/>
              </w:rPr>
            </w:pPr>
            <w:r w:rsidRPr="0005691D">
              <w:rPr>
                <w:rFonts w:ascii="Calibri" w:eastAsia="Times New Roman" w:hAnsi="Calibri" w:cs="Calibri"/>
                <w:b/>
                <w:bCs/>
                <w:color w:val="000000"/>
              </w:rPr>
              <w:t>Common Performance Measures</w:t>
            </w:r>
          </w:p>
        </w:tc>
        <w:tc>
          <w:tcPr>
            <w:tcW w:w="1165" w:type="dxa"/>
            <w:tcBorders>
              <w:top w:val="nil"/>
              <w:left w:val="nil"/>
              <w:bottom w:val="single" w:sz="4" w:space="0" w:color="auto"/>
              <w:right w:val="single" w:sz="4" w:space="0" w:color="auto"/>
            </w:tcBorders>
            <w:shd w:val="clear" w:color="000000" w:fill="FFFFFF"/>
            <w:noWrap/>
            <w:vAlign w:val="center"/>
            <w:hideMark/>
          </w:tcPr>
          <w:p w14:paraId="774CD184"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4</w:t>
            </w:r>
          </w:p>
        </w:tc>
        <w:tc>
          <w:tcPr>
            <w:tcW w:w="1254" w:type="dxa"/>
            <w:tcBorders>
              <w:top w:val="nil"/>
              <w:left w:val="nil"/>
              <w:bottom w:val="single" w:sz="4" w:space="0" w:color="auto"/>
              <w:right w:val="single" w:sz="4" w:space="0" w:color="auto"/>
            </w:tcBorders>
            <w:shd w:val="clear" w:color="000000" w:fill="FFFFFF"/>
            <w:noWrap/>
            <w:vAlign w:val="center"/>
            <w:hideMark/>
          </w:tcPr>
          <w:p w14:paraId="590EBD79"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13%</w:t>
            </w:r>
          </w:p>
        </w:tc>
        <w:tc>
          <w:tcPr>
            <w:tcW w:w="897" w:type="dxa"/>
            <w:tcBorders>
              <w:top w:val="nil"/>
              <w:left w:val="nil"/>
              <w:bottom w:val="single" w:sz="4" w:space="0" w:color="auto"/>
              <w:right w:val="single" w:sz="4" w:space="0" w:color="auto"/>
            </w:tcBorders>
            <w:shd w:val="clear" w:color="000000" w:fill="FFFFFF"/>
            <w:noWrap/>
            <w:vAlign w:val="center"/>
            <w:hideMark/>
          </w:tcPr>
          <w:p w14:paraId="2587A300"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4</w:t>
            </w:r>
          </w:p>
        </w:tc>
        <w:tc>
          <w:tcPr>
            <w:tcW w:w="897" w:type="dxa"/>
            <w:tcBorders>
              <w:top w:val="nil"/>
              <w:left w:val="nil"/>
              <w:bottom w:val="single" w:sz="4" w:space="0" w:color="auto"/>
              <w:right w:val="single" w:sz="4" w:space="0" w:color="auto"/>
            </w:tcBorders>
            <w:shd w:val="clear" w:color="000000" w:fill="FFFFFF"/>
            <w:noWrap/>
            <w:vAlign w:val="center"/>
            <w:hideMark/>
          </w:tcPr>
          <w:p w14:paraId="5F84FAE2"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0</w:t>
            </w:r>
          </w:p>
        </w:tc>
        <w:tc>
          <w:tcPr>
            <w:tcW w:w="892" w:type="dxa"/>
            <w:tcBorders>
              <w:top w:val="nil"/>
              <w:left w:val="nil"/>
              <w:bottom w:val="single" w:sz="4" w:space="0" w:color="auto"/>
              <w:right w:val="single" w:sz="4" w:space="0" w:color="auto"/>
            </w:tcBorders>
            <w:shd w:val="clear" w:color="000000" w:fill="FFFFFF"/>
            <w:noWrap/>
            <w:vAlign w:val="center"/>
            <w:hideMark/>
          </w:tcPr>
          <w:p w14:paraId="0B999FAC"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0%</w:t>
            </w:r>
          </w:p>
        </w:tc>
        <w:tc>
          <w:tcPr>
            <w:tcW w:w="1063" w:type="dxa"/>
            <w:tcBorders>
              <w:top w:val="nil"/>
              <w:left w:val="nil"/>
              <w:bottom w:val="single" w:sz="4" w:space="0" w:color="auto"/>
              <w:right w:val="single" w:sz="4" w:space="0" w:color="auto"/>
            </w:tcBorders>
            <w:shd w:val="clear" w:color="000000" w:fill="FFFFFF"/>
            <w:noWrap/>
            <w:vAlign w:val="center"/>
            <w:hideMark/>
          </w:tcPr>
          <w:p w14:paraId="1F8F4EB8"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w:t>
            </w:r>
          </w:p>
        </w:tc>
        <w:tc>
          <w:tcPr>
            <w:tcW w:w="1063" w:type="dxa"/>
            <w:tcBorders>
              <w:top w:val="nil"/>
              <w:left w:val="nil"/>
              <w:bottom w:val="single" w:sz="4" w:space="0" w:color="auto"/>
              <w:right w:val="single" w:sz="4" w:space="0" w:color="auto"/>
            </w:tcBorders>
            <w:shd w:val="clear" w:color="000000" w:fill="FFFFFF"/>
            <w:noWrap/>
            <w:vAlign w:val="center"/>
            <w:hideMark/>
          </w:tcPr>
          <w:p w14:paraId="57CBBC63"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0</w:t>
            </w:r>
          </w:p>
        </w:tc>
        <w:tc>
          <w:tcPr>
            <w:tcW w:w="1063" w:type="dxa"/>
            <w:tcBorders>
              <w:top w:val="nil"/>
              <w:left w:val="nil"/>
              <w:bottom w:val="single" w:sz="4" w:space="0" w:color="auto"/>
              <w:right w:val="single" w:sz="4" w:space="0" w:color="auto"/>
            </w:tcBorders>
            <w:shd w:val="clear" w:color="000000" w:fill="FFFFFF"/>
            <w:noWrap/>
            <w:vAlign w:val="center"/>
            <w:hideMark/>
          </w:tcPr>
          <w:p w14:paraId="3E07101C"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0%</w:t>
            </w:r>
          </w:p>
        </w:tc>
      </w:tr>
      <w:tr w:rsidR="00BA0D82" w:rsidRPr="0005691D" w14:paraId="66040F3E" w14:textId="77777777" w:rsidTr="00BC793A">
        <w:trPr>
          <w:trHeight w:val="300"/>
        </w:trPr>
        <w:tc>
          <w:tcPr>
            <w:tcW w:w="2506" w:type="dxa"/>
            <w:tcBorders>
              <w:top w:val="nil"/>
              <w:left w:val="nil"/>
              <w:bottom w:val="nil"/>
              <w:right w:val="nil"/>
            </w:tcBorders>
            <w:shd w:val="clear" w:color="auto" w:fill="auto"/>
            <w:noWrap/>
            <w:vAlign w:val="bottom"/>
            <w:hideMark/>
          </w:tcPr>
          <w:p w14:paraId="52736FFC" w14:textId="77777777" w:rsidR="00BA0D82" w:rsidRPr="0005691D" w:rsidRDefault="00BA0D82" w:rsidP="001A5653">
            <w:pPr>
              <w:spacing w:after="0" w:line="240" w:lineRule="auto"/>
              <w:jc w:val="center"/>
              <w:rPr>
                <w:rFonts w:ascii="Calibri" w:eastAsia="Times New Roman" w:hAnsi="Calibri" w:cs="Calibri"/>
                <w:color w:val="000000"/>
              </w:rPr>
            </w:pPr>
          </w:p>
        </w:tc>
        <w:tc>
          <w:tcPr>
            <w:tcW w:w="1165" w:type="dxa"/>
            <w:tcBorders>
              <w:top w:val="nil"/>
              <w:left w:val="nil"/>
              <w:bottom w:val="nil"/>
              <w:right w:val="nil"/>
            </w:tcBorders>
            <w:shd w:val="clear" w:color="auto" w:fill="auto"/>
            <w:noWrap/>
            <w:vAlign w:val="center"/>
            <w:hideMark/>
          </w:tcPr>
          <w:p w14:paraId="319BFD93" w14:textId="77777777" w:rsidR="00BA0D82" w:rsidRPr="0005691D" w:rsidRDefault="00BA0D82" w:rsidP="001A5653">
            <w:pPr>
              <w:spacing w:after="0" w:line="240" w:lineRule="auto"/>
              <w:rPr>
                <w:rFonts w:ascii="Times New Roman" w:eastAsia="Times New Roman" w:hAnsi="Times New Roman" w:cs="Times New Roman"/>
                <w:sz w:val="20"/>
                <w:szCs w:val="20"/>
              </w:rPr>
            </w:pPr>
          </w:p>
        </w:tc>
        <w:tc>
          <w:tcPr>
            <w:tcW w:w="1254" w:type="dxa"/>
            <w:tcBorders>
              <w:top w:val="nil"/>
              <w:left w:val="nil"/>
              <w:bottom w:val="nil"/>
              <w:right w:val="nil"/>
            </w:tcBorders>
            <w:shd w:val="clear" w:color="auto" w:fill="auto"/>
            <w:noWrap/>
            <w:vAlign w:val="center"/>
            <w:hideMark/>
          </w:tcPr>
          <w:p w14:paraId="485BC0E0"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c>
          <w:tcPr>
            <w:tcW w:w="897" w:type="dxa"/>
            <w:tcBorders>
              <w:top w:val="nil"/>
              <w:left w:val="nil"/>
              <w:bottom w:val="nil"/>
              <w:right w:val="nil"/>
            </w:tcBorders>
            <w:shd w:val="clear" w:color="auto" w:fill="auto"/>
            <w:noWrap/>
            <w:vAlign w:val="center"/>
            <w:hideMark/>
          </w:tcPr>
          <w:p w14:paraId="03032E5D"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c>
          <w:tcPr>
            <w:tcW w:w="897" w:type="dxa"/>
            <w:tcBorders>
              <w:top w:val="nil"/>
              <w:left w:val="nil"/>
              <w:bottom w:val="nil"/>
              <w:right w:val="nil"/>
            </w:tcBorders>
            <w:shd w:val="clear" w:color="auto" w:fill="auto"/>
            <w:noWrap/>
            <w:vAlign w:val="center"/>
            <w:hideMark/>
          </w:tcPr>
          <w:p w14:paraId="2C166939"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c>
          <w:tcPr>
            <w:tcW w:w="892" w:type="dxa"/>
            <w:tcBorders>
              <w:top w:val="nil"/>
              <w:left w:val="nil"/>
              <w:bottom w:val="nil"/>
              <w:right w:val="nil"/>
            </w:tcBorders>
            <w:shd w:val="clear" w:color="auto" w:fill="auto"/>
            <w:noWrap/>
            <w:vAlign w:val="center"/>
            <w:hideMark/>
          </w:tcPr>
          <w:p w14:paraId="72CF7577"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c>
          <w:tcPr>
            <w:tcW w:w="1063" w:type="dxa"/>
            <w:tcBorders>
              <w:top w:val="nil"/>
              <w:left w:val="nil"/>
              <w:bottom w:val="nil"/>
              <w:right w:val="nil"/>
            </w:tcBorders>
            <w:shd w:val="clear" w:color="auto" w:fill="auto"/>
            <w:noWrap/>
            <w:vAlign w:val="center"/>
            <w:hideMark/>
          </w:tcPr>
          <w:p w14:paraId="1BDA4B32"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c>
          <w:tcPr>
            <w:tcW w:w="1063" w:type="dxa"/>
            <w:tcBorders>
              <w:top w:val="nil"/>
              <w:left w:val="nil"/>
              <w:bottom w:val="nil"/>
              <w:right w:val="nil"/>
            </w:tcBorders>
            <w:shd w:val="clear" w:color="auto" w:fill="auto"/>
            <w:noWrap/>
            <w:vAlign w:val="center"/>
            <w:hideMark/>
          </w:tcPr>
          <w:p w14:paraId="20838579"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c>
          <w:tcPr>
            <w:tcW w:w="1063" w:type="dxa"/>
            <w:tcBorders>
              <w:top w:val="nil"/>
              <w:left w:val="nil"/>
              <w:bottom w:val="nil"/>
              <w:right w:val="nil"/>
            </w:tcBorders>
            <w:shd w:val="clear" w:color="auto" w:fill="auto"/>
            <w:noWrap/>
            <w:vAlign w:val="center"/>
            <w:hideMark/>
          </w:tcPr>
          <w:p w14:paraId="70A4314B"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r>
      <w:tr w:rsidR="00BA0D82" w:rsidRPr="0005691D" w14:paraId="0722010B" w14:textId="77777777" w:rsidTr="001A5653">
        <w:trPr>
          <w:trHeight w:val="465"/>
        </w:trPr>
        <w:tc>
          <w:tcPr>
            <w:tcW w:w="10800" w:type="dxa"/>
            <w:gridSpan w:val="9"/>
            <w:tcBorders>
              <w:top w:val="single" w:sz="4" w:space="0" w:color="auto"/>
              <w:left w:val="nil"/>
              <w:bottom w:val="single" w:sz="4" w:space="0" w:color="auto"/>
              <w:right w:val="nil"/>
            </w:tcBorders>
            <w:shd w:val="clear" w:color="auto" w:fill="auto"/>
            <w:noWrap/>
            <w:vAlign w:val="bottom"/>
            <w:hideMark/>
          </w:tcPr>
          <w:p w14:paraId="44C9A73F" w14:textId="77777777" w:rsidR="00BA0D82" w:rsidRPr="0005691D" w:rsidRDefault="00BA0D82" w:rsidP="00BA0D82">
            <w:pPr>
              <w:pStyle w:val="Heading2"/>
              <w:numPr>
                <w:ilvl w:val="0"/>
                <w:numId w:val="0"/>
              </w:numPr>
              <w:rPr>
                <w:rFonts w:eastAsia="Times New Roman"/>
              </w:rPr>
            </w:pPr>
            <w:bookmarkStart w:id="205" w:name="_Toc27143192"/>
            <w:bookmarkStart w:id="206" w:name="_Toc28011491"/>
            <w:r w:rsidRPr="0005691D">
              <w:rPr>
                <w:rFonts w:eastAsia="Times New Roman"/>
              </w:rPr>
              <w:t>Florida General</w:t>
            </w:r>
            <w:bookmarkEnd w:id="205"/>
            <w:bookmarkEnd w:id="206"/>
          </w:p>
        </w:tc>
      </w:tr>
      <w:tr w:rsidR="00BA0D82" w:rsidRPr="0005691D" w14:paraId="6FD08BF1" w14:textId="77777777" w:rsidTr="00BC793A">
        <w:trPr>
          <w:trHeight w:val="1305"/>
        </w:trPr>
        <w:tc>
          <w:tcPr>
            <w:tcW w:w="2506" w:type="dxa"/>
            <w:tcBorders>
              <w:top w:val="nil"/>
              <w:left w:val="single" w:sz="4" w:space="0" w:color="auto"/>
              <w:bottom w:val="single" w:sz="4" w:space="0" w:color="auto"/>
              <w:right w:val="single" w:sz="4" w:space="0" w:color="auto"/>
            </w:tcBorders>
            <w:shd w:val="clear" w:color="000000" w:fill="B4C6E7"/>
            <w:vAlign w:val="bottom"/>
            <w:hideMark/>
          </w:tcPr>
          <w:p w14:paraId="3E8EBEB7" w14:textId="77777777" w:rsidR="00BA0D82" w:rsidRPr="0005691D" w:rsidRDefault="00BA0D82" w:rsidP="001A5653">
            <w:pPr>
              <w:spacing w:after="0" w:line="240" w:lineRule="auto"/>
              <w:jc w:val="right"/>
              <w:rPr>
                <w:rFonts w:ascii="Calibri" w:eastAsia="Times New Roman" w:hAnsi="Calibri" w:cs="Calibri"/>
                <w:b/>
                <w:bCs/>
                <w:color w:val="000000"/>
                <w:szCs w:val="28"/>
              </w:rPr>
            </w:pPr>
            <w:r w:rsidRPr="0005691D">
              <w:rPr>
                <w:rFonts w:ascii="Calibri" w:eastAsia="Times New Roman" w:hAnsi="Calibri" w:cs="Calibri"/>
                <w:b/>
                <w:bCs/>
                <w:color w:val="000000"/>
                <w:szCs w:val="28"/>
              </w:rPr>
              <w:t>Area</w:t>
            </w:r>
          </w:p>
        </w:tc>
        <w:tc>
          <w:tcPr>
            <w:tcW w:w="1165" w:type="dxa"/>
            <w:tcBorders>
              <w:top w:val="nil"/>
              <w:left w:val="nil"/>
              <w:bottom w:val="single" w:sz="4" w:space="0" w:color="auto"/>
              <w:right w:val="single" w:sz="4" w:space="0" w:color="auto"/>
            </w:tcBorders>
            <w:shd w:val="clear" w:color="000000" w:fill="B4C6E7"/>
            <w:vAlign w:val="bottom"/>
            <w:hideMark/>
          </w:tcPr>
          <w:p w14:paraId="05374368"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of Total Activities</w:t>
            </w:r>
          </w:p>
        </w:tc>
        <w:tc>
          <w:tcPr>
            <w:tcW w:w="1254" w:type="dxa"/>
            <w:tcBorders>
              <w:top w:val="nil"/>
              <w:left w:val="nil"/>
              <w:bottom w:val="single" w:sz="4" w:space="0" w:color="auto"/>
              <w:right w:val="single" w:sz="4" w:space="0" w:color="auto"/>
            </w:tcBorders>
            <w:shd w:val="clear" w:color="000000" w:fill="B4C6E7"/>
            <w:vAlign w:val="bottom"/>
            <w:hideMark/>
          </w:tcPr>
          <w:p w14:paraId="3421A6DA"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Average Progress on Activities (%)</w:t>
            </w:r>
          </w:p>
        </w:tc>
        <w:tc>
          <w:tcPr>
            <w:tcW w:w="897" w:type="dxa"/>
            <w:tcBorders>
              <w:top w:val="nil"/>
              <w:left w:val="nil"/>
              <w:bottom w:val="single" w:sz="4" w:space="0" w:color="auto"/>
              <w:right w:val="single" w:sz="4" w:space="0" w:color="auto"/>
            </w:tcBorders>
            <w:shd w:val="clear" w:color="000000" w:fill="B4C6E7"/>
            <w:vAlign w:val="bottom"/>
            <w:hideMark/>
          </w:tcPr>
          <w:p w14:paraId="0A0ACA45"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Outputs</w:t>
            </w:r>
          </w:p>
        </w:tc>
        <w:tc>
          <w:tcPr>
            <w:tcW w:w="897" w:type="dxa"/>
            <w:tcBorders>
              <w:top w:val="nil"/>
              <w:left w:val="nil"/>
              <w:bottom w:val="single" w:sz="4" w:space="0" w:color="auto"/>
              <w:right w:val="single" w:sz="4" w:space="0" w:color="auto"/>
            </w:tcBorders>
            <w:shd w:val="clear" w:color="000000" w:fill="B4C6E7"/>
            <w:vAlign w:val="bottom"/>
            <w:hideMark/>
          </w:tcPr>
          <w:p w14:paraId="5AFE8112"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Outputs Met</w:t>
            </w:r>
          </w:p>
        </w:tc>
        <w:tc>
          <w:tcPr>
            <w:tcW w:w="892" w:type="dxa"/>
            <w:tcBorders>
              <w:top w:val="nil"/>
              <w:left w:val="nil"/>
              <w:bottom w:val="single" w:sz="4" w:space="0" w:color="auto"/>
              <w:right w:val="single" w:sz="4" w:space="0" w:color="auto"/>
            </w:tcBorders>
            <w:shd w:val="clear" w:color="000000" w:fill="B4C6E7"/>
            <w:vAlign w:val="bottom"/>
            <w:hideMark/>
          </w:tcPr>
          <w:p w14:paraId="70AA7EBB"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Outputs Met</w:t>
            </w:r>
          </w:p>
        </w:tc>
        <w:tc>
          <w:tcPr>
            <w:tcW w:w="1063" w:type="dxa"/>
            <w:tcBorders>
              <w:top w:val="nil"/>
              <w:left w:val="nil"/>
              <w:bottom w:val="single" w:sz="4" w:space="0" w:color="auto"/>
              <w:right w:val="single" w:sz="4" w:space="0" w:color="auto"/>
            </w:tcBorders>
            <w:shd w:val="clear" w:color="000000" w:fill="B4C6E7"/>
            <w:vAlign w:val="bottom"/>
            <w:hideMark/>
          </w:tcPr>
          <w:p w14:paraId="57CCBB0D"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Short-Term Outcomes</w:t>
            </w:r>
          </w:p>
        </w:tc>
        <w:tc>
          <w:tcPr>
            <w:tcW w:w="1063" w:type="dxa"/>
            <w:tcBorders>
              <w:top w:val="nil"/>
              <w:left w:val="nil"/>
              <w:bottom w:val="single" w:sz="4" w:space="0" w:color="auto"/>
              <w:right w:val="single" w:sz="4" w:space="0" w:color="auto"/>
            </w:tcBorders>
            <w:shd w:val="clear" w:color="000000" w:fill="B4C6E7"/>
            <w:vAlign w:val="bottom"/>
            <w:hideMark/>
          </w:tcPr>
          <w:p w14:paraId="6430C9F2"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Short-Term Outcomes Met</w:t>
            </w:r>
          </w:p>
        </w:tc>
        <w:tc>
          <w:tcPr>
            <w:tcW w:w="1063" w:type="dxa"/>
            <w:tcBorders>
              <w:top w:val="nil"/>
              <w:left w:val="nil"/>
              <w:bottom w:val="single" w:sz="4" w:space="0" w:color="auto"/>
              <w:right w:val="single" w:sz="4" w:space="0" w:color="auto"/>
            </w:tcBorders>
            <w:shd w:val="clear" w:color="000000" w:fill="B4C6E7"/>
            <w:vAlign w:val="bottom"/>
            <w:hideMark/>
          </w:tcPr>
          <w:p w14:paraId="3EC03C27"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%Short-Term Outcomes Achieved</w:t>
            </w:r>
          </w:p>
        </w:tc>
      </w:tr>
      <w:tr w:rsidR="00BA0D82" w:rsidRPr="0005691D" w14:paraId="37CE5E95" w14:textId="77777777" w:rsidTr="00BC793A">
        <w:trPr>
          <w:trHeight w:val="300"/>
        </w:trPr>
        <w:tc>
          <w:tcPr>
            <w:tcW w:w="2506" w:type="dxa"/>
            <w:tcBorders>
              <w:top w:val="nil"/>
              <w:left w:val="single" w:sz="4" w:space="0" w:color="auto"/>
              <w:bottom w:val="single" w:sz="4" w:space="0" w:color="auto"/>
              <w:right w:val="single" w:sz="4" w:space="0" w:color="auto"/>
            </w:tcBorders>
            <w:shd w:val="clear" w:color="000000" w:fill="B4C6E7"/>
            <w:noWrap/>
            <w:vAlign w:val="center"/>
            <w:hideMark/>
          </w:tcPr>
          <w:p w14:paraId="2E958C58" w14:textId="77777777" w:rsidR="00BA0D82" w:rsidRPr="0005691D" w:rsidRDefault="00BA0D82" w:rsidP="001A5653">
            <w:pPr>
              <w:spacing w:after="0" w:line="240" w:lineRule="auto"/>
              <w:jc w:val="right"/>
              <w:rPr>
                <w:rFonts w:ascii="Calibri" w:eastAsia="Times New Roman" w:hAnsi="Calibri" w:cs="Calibri"/>
                <w:b/>
                <w:bCs/>
                <w:color w:val="000000"/>
              </w:rPr>
            </w:pPr>
            <w:r w:rsidRPr="0005691D">
              <w:rPr>
                <w:rFonts w:ascii="Calibri" w:eastAsia="Times New Roman" w:hAnsi="Calibri" w:cs="Calibri"/>
                <w:b/>
                <w:bCs/>
                <w:color w:val="000000"/>
              </w:rPr>
              <w:t>Pre-ETS</w:t>
            </w:r>
          </w:p>
        </w:tc>
        <w:tc>
          <w:tcPr>
            <w:tcW w:w="1165" w:type="dxa"/>
            <w:tcBorders>
              <w:top w:val="nil"/>
              <w:left w:val="nil"/>
              <w:bottom w:val="single" w:sz="4" w:space="0" w:color="auto"/>
              <w:right w:val="single" w:sz="4" w:space="0" w:color="auto"/>
            </w:tcBorders>
            <w:shd w:val="clear" w:color="000000" w:fill="FFFFFF"/>
            <w:noWrap/>
            <w:vAlign w:val="center"/>
            <w:hideMark/>
          </w:tcPr>
          <w:p w14:paraId="3A35E61C"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6</w:t>
            </w:r>
          </w:p>
        </w:tc>
        <w:tc>
          <w:tcPr>
            <w:tcW w:w="1254" w:type="dxa"/>
            <w:tcBorders>
              <w:top w:val="nil"/>
              <w:left w:val="nil"/>
              <w:bottom w:val="single" w:sz="4" w:space="0" w:color="auto"/>
              <w:right w:val="single" w:sz="4" w:space="0" w:color="auto"/>
            </w:tcBorders>
            <w:shd w:val="clear" w:color="000000" w:fill="FFFFFF"/>
            <w:noWrap/>
            <w:vAlign w:val="center"/>
            <w:hideMark/>
          </w:tcPr>
          <w:p w14:paraId="40C9875B"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63%</w:t>
            </w:r>
          </w:p>
        </w:tc>
        <w:tc>
          <w:tcPr>
            <w:tcW w:w="897" w:type="dxa"/>
            <w:tcBorders>
              <w:top w:val="nil"/>
              <w:left w:val="nil"/>
              <w:bottom w:val="single" w:sz="4" w:space="0" w:color="auto"/>
              <w:right w:val="single" w:sz="4" w:space="0" w:color="auto"/>
            </w:tcBorders>
            <w:shd w:val="clear" w:color="000000" w:fill="FFFFFF"/>
            <w:noWrap/>
            <w:vAlign w:val="center"/>
            <w:hideMark/>
          </w:tcPr>
          <w:p w14:paraId="0E5A76F8"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6</w:t>
            </w:r>
          </w:p>
        </w:tc>
        <w:tc>
          <w:tcPr>
            <w:tcW w:w="897" w:type="dxa"/>
            <w:tcBorders>
              <w:top w:val="nil"/>
              <w:left w:val="nil"/>
              <w:bottom w:val="single" w:sz="4" w:space="0" w:color="auto"/>
              <w:right w:val="single" w:sz="4" w:space="0" w:color="auto"/>
            </w:tcBorders>
            <w:shd w:val="clear" w:color="000000" w:fill="FFFFFF"/>
            <w:noWrap/>
            <w:vAlign w:val="center"/>
            <w:hideMark/>
          </w:tcPr>
          <w:p w14:paraId="3F92B174"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3</w:t>
            </w:r>
          </w:p>
        </w:tc>
        <w:tc>
          <w:tcPr>
            <w:tcW w:w="892" w:type="dxa"/>
            <w:tcBorders>
              <w:top w:val="nil"/>
              <w:left w:val="nil"/>
              <w:bottom w:val="single" w:sz="4" w:space="0" w:color="auto"/>
              <w:right w:val="single" w:sz="4" w:space="0" w:color="auto"/>
            </w:tcBorders>
            <w:shd w:val="clear" w:color="000000" w:fill="FFFFFF"/>
            <w:noWrap/>
            <w:vAlign w:val="center"/>
            <w:hideMark/>
          </w:tcPr>
          <w:p w14:paraId="79AE932B"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50%</w:t>
            </w:r>
          </w:p>
        </w:tc>
        <w:tc>
          <w:tcPr>
            <w:tcW w:w="1063" w:type="dxa"/>
            <w:tcBorders>
              <w:top w:val="nil"/>
              <w:left w:val="nil"/>
              <w:bottom w:val="single" w:sz="4" w:space="0" w:color="auto"/>
              <w:right w:val="single" w:sz="4" w:space="0" w:color="auto"/>
            </w:tcBorders>
            <w:shd w:val="clear" w:color="000000" w:fill="FFFFFF"/>
            <w:noWrap/>
            <w:vAlign w:val="center"/>
            <w:hideMark/>
          </w:tcPr>
          <w:p w14:paraId="3950C545"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3</w:t>
            </w:r>
          </w:p>
        </w:tc>
        <w:tc>
          <w:tcPr>
            <w:tcW w:w="1063" w:type="dxa"/>
            <w:tcBorders>
              <w:top w:val="nil"/>
              <w:left w:val="nil"/>
              <w:bottom w:val="single" w:sz="4" w:space="0" w:color="auto"/>
              <w:right w:val="single" w:sz="4" w:space="0" w:color="auto"/>
            </w:tcBorders>
            <w:shd w:val="clear" w:color="000000" w:fill="FFFFFF"/>
            <w:noWrap/>
            <w:vAlign w:val="center"/>
            <w:hideMark/>
          </w:tcPr>
          <w:p w14:paraId="6AACAA3A"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w:t>
            </w:r>
          </w:p>
        </w:tc>
        <w:tc>
          <w:tcPr>
            <w:tcW w:w="1063" w:type="dxa"/>
            <w:tcBorders>
              <w:top w:val="nil"/>
              <w:left w:val="nil"/>
              <w:bottom w:val="single" w:sz="4" w:space="0" w:color="auto"/>
              <w:right w:val="single" w:sz="4" w:space="0" w:color="auto"/>
            </w:tcBorders>
            <w:shd w:val="clear" w:color="000000" w:fill="FFFFFF"/>
            <w:noWrap/>
            <w:vAlign w:val="center"/>
            <w:hideMark/>
          </w:tcPr>
          <w:p w14:paraId="7D0B5BD1"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33%</w:t>
            </w:r>
          </w:p>
        </w:tc>
      </w:tr>
      <w:tr w:rsidR="00BA0D82" w:rsidRPr="0005691D" w14:paraId="7202BE00" w14:textId="77777777" w:rsidTr="00BC793A">
        <w:trPr>
          <w:trHeight w:val="300"/>
        </w:trPr>
        <w:tc>
          <w:tcPr>
            <w:tcW w:w="2506" w:type="dxa"/>
            <w:tcBorders>
              <w:top w:val="nil"/>
              <w:left w:val="single" w:sz="4" w:space="0" w:color="auto"/>
              <w:bottom w:val="single" w:sz="4" w:space="0" w:color="auto"/>
              <w:right w:val="single" w:sz="4" w:space="0" w:color="auto"/>
            </w:tcBorders>
            <w:shd w:val="clear" w:color="000000" w:fill="B4C6E7"/>
            <w:noWrap/>
            <w:vAlign w:val="center"/>
            <w:hideMark/>
          </w:tcPr>
          <w:p w14:paraId="030F4523" w14:textId="77777777" w:rsidR="00BA0D82" w:rsidRPr="0005691D" w:rsidRDefault="00BA0D82" w:rsidP="001A5653">
            <w:pPr>
              <w:spacing w:after="0" w:line="240" w:lineRule="auto"/>
              <w:jc w:val="right"/>
              <w:rPr>
                <w:rFonts w:ascii="Calibri" w:eastAsia="Times New Roman" w:hAnsi="Calibri" w:cs="Calibri"/>
                <w:b/>
                <w:bCs/>
                <w:color w:val="000000"/>
              </w:rPr>
            </w:pPr>
            <w:r w:rsidRPr="0005691D">
              <w:rPr>
                <w:rFonts w:ascii="Calibri" w:eastAsia="Times New Roman" w:hAnsi="Calibri" w:cs="Calibri"/>
                <w:b/>
                <w:bCs/>
                <w:color w:val="000000"/>
              </w:rPr>
              <w:t>Peer Mentoring</w:t>
            </w:r>
          </w:p>
        </w:tc>
        <w:tc>
          <w:tcPr>
            <w:tcW w:w="1165" w:type="dxa"/>
            <w:tcBorders>
              <w:top w:val="nil"/>
              <w:left w:val="nil"/>
              <w:bottom w:val="single" w:sz="4" w:space="0" w:color="auto"/>
              <w:right w:val="single" w:sz="4" w:space="0" w:color="auto"/>
            </w:tcBorders>
            <w:shd w:val="clear" w:color="000000" w:fill="D9E2F3"/>
            <w:noWrap/>
            <w:vAlign w:val="center"/>
            <w:hideMark/>
          </w:tcPr>
          <w:p w14:paraId="7BDBFC5E"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3</w:t>
            </w:r>
          </w:p>
        </w:tc>
        <w:tc>
          <w:tcPr>
            <w:tcW w:w="1254" w:type="dxa"/>
            <w:tcBorders>
              <w:top w:val="nil"/>
              <w:left w:val="nil"/>
              <w:bottom w:val="single" w:sz="4" w:space="0" w:color="auto"/>
              <w:right w:val="single" w:sz="4" w:space="0" w:color="auto"/>
            </w:tcBorders>
            <w:shd w:val="clear" w:color="000000" w:fill="D9E2F3"/>
            <w:noWrap/>
            <w:vAlign w:val="center"/>
            <w:hideMark/>
          </w:tcPr>
          <w:p w14:paraId="416DAC3E"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100%</w:t>
            </w:r>
          </w:p>
        </w:tc>
        <w:tc>
          <w:tcPr>
            <w:tcW w:w="897" w:type="dxa"/>
            <w:tcBorders>
              <w:top w:val="nil"/>
              <w:left w:val="nil"/>
              <w:bottom w:val="single" w:sz="4" w:space="0" w:color="auto"/>
              <w:right w:val="single" w:sz="4" w:space="0" w:color="auto"/>
            </w:tcBorders>
            <w:shd w:val="clear" w:color="000000" w:fill="D9E2F3"/>
            <w:noWrap/>
            <w:vAlign w:val="center"/>
            <w:hideMark/>
          </w:tcPr>
          <w:p w14:paraId="2775AE4D"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3</w:t>
            </w:r>
          </w:p>
        </w:tc>
        <w:tc>
          <w:tcPr>
            <w:tcW w:w="897" w:type="dxa"/>
            <w:tcBorders>
              <w:top w:val="nil"/>
              <w:left w:val="nil"/>
              <w:bottom w:val="single" w:sz="4" w:space="0" w:color="auto"/>
              <w:right w:val="single" w:sz="4" w:space="0" w:color="auto"/>
            </w:tcBorders>
            <w:shd w:val="clear" w:color="000000" w:fill="D9E2F3"/>
            <w:noWrap/>
            <w:vAlign w:val="center"/>
            <w:hideMark/>
          </w:tcPr>
          <w:p w14:paraId="68AC8966"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2</w:t>
            </w:r>
          </w:p>
        </w:tc>
        <w:tc>
          <w:tcPr>
            <w:tcW w:w="892" w:type="dxa"/>
            <w:tcBorders>
              <w:top w:val="nil"/>
              <w:left w:val="nil"/>
              <w:bottom w:val="single" w:sz="4" w:space="0" w:color="auto"/>
              <w:right w:val="single" w:sz="4" w:space="0" w:color="auto"/>
            </w:tcBorders>
            <w:shd w:val="clear" w:color="000000" w:fill="D9E2F3"/>
            <w:noWrap/>
            <w:vAlign w:val="center"/>
            <w:hideMark/>
          </w:tcPr>
          <w:p w14:paraId="3E200E8F"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67%</w:t>
            </w:r>
          </w:p>
        </w:tc>
        <w:tc>
          <w:tcPr>
            <w:tcW w:w="1063" w:type="dxa"/>
            <w:tcBorders>
              <w:top w:val="nil"/>
              <w:left w:val="nil"/>
              <w:bottom w:val="single" w:sz="4" w:space="0" w:color="auto"/>
              <w:right w:val="single" w:sz="4" w:space="0" w:color="auto"/>
            </w:tcBorders>
            <w:shd w:val="clear" w:color="000000" w:fill="D9E2F3"/>
            <w:noWrap/>
            <w:vAlign w:val="center"/>
            <w:hideMark/>
          </w:tcPr>
          <w:p w14:paraId="6EDB4B21"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2</w:t>
            </w:r>
          </w:p>
        </w:tc>
        <w:tc>
          <w:tcPr>
            <w:tcW w:w="1063" w:type="dxa"/>
            <w:tcBorders>
              <w:top w:val="nil"/>
              <w:left w:val="nil"/>
              <w:bottom w:val="single" w:sz="4" w:space="0" w:color="auto"/>
              <w:right w:val="single" w:sz="4" w:space="0" w:color="auto"/>
            </w:tcBorders>
            <w:shd w:val="clear" w:color="000000" w:fill="D9E2F3"/>
            <w:noWrap/>
            <w:vAlign w:val="center"/>
            <w:hideMark/>
          </w:tcPr>
          <w:p w14:paraId="6DDE2041"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w:t>
            </w:r>
          </w:p>
        </w:tc>
        <w:tc>
          <w:tcPr>
            <w:tcW w:w="1063" w:type="dxa"/>
            <w:tcBorders>
              <w:top w:val="nil"/>
              <w:left w:val="nil"/>
              <w:bottom w:val="single" w:sz="4" w:space="0" w:color="auto"/>
              <w:right w:val="single" w:sz="4" w:space="0" w:color="auto"/>
            </w:tcBorders>
            <w:shd w:val="clear" w:color="000000" w:fill="D9E2F3"/>
            <w:noWrap/>
            <w:vAlign w:val="center"/>
            <w:hideMark/>
          </w:tcPr>
          <w:p w14:paraId="7D8853C6"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50%</w:t>
            </w:r>
          </w:p>
        </w:tc>
      </w:tr>
      <w:tr w:rsidR="00BA0D82" w:rsidRPr="0005691D" w14:paraId="511D7D3F" w14:textId="77777777" w:rsidTr="00BC793A">
        <w:trPr>
          <w:trHeight w:val="300"/>
        </w:trPr>
        <w:tc>
          <w:tcPr>
            <w:tcW w:w="2506" w:type="dxa"/>
            <w:tcBorders>
              <w:top w:val="nil"/>
              <w:left w:val="nil"/>
              <w:bottom w:val="nil"/>
              <w:right w:val="nil"/>
            </w:tcBorders>
            <w:shd w:val="clear" w:color="auto" w:fill="auto"/>
            <w:noWrap/>
            <w:vAlign w:val="center"/>
            <w:hideMark/>
          </w:tcPr>
          <w:p w14:paraId="6E3FF591" w14:textId="77777777" w:rsidR="00BA0D82" w:rsidRPr="0005691D" w:rsidRDefault="00BA0D82" w:rsidP="001A5653">
            <w:pPr>
              <w:spacing w:after="0" w:line="240" w:lineRule="auto"/>
              <w:jc w:val="center"/>
              <w:rPr>
                <w:rFonts w:ascii="Calibri" w:eastAsia="Times New Roman" w:hAnsi="Calibri" w:cs="Calibri"/>
                <w:color w:val="000000"/>
              </w:rPr>
            </w:pPr>
          </w:p>
        </w:tc>
        <w:tc>
          <w:tcPr>
            <w:tcW w:w="1165" w:type="dxa"/>
            <w:tcBorders>
              <w:top w:val="nil"/>
              <w:left w:val="nil"/>
              <w:bottom w:val="nil"/>
              <w:right w:val="nil"/>
            </w:tcBorders>
            <w:shd w:val="clear" w:color="000000" w:fill="FFFFFF"/>
            <w:noWrap/>
            <w:vAlign w:val="center"/>
            <w:hideMark/>
          </w:tcPr>
          <w:p w14:paraId="26BCA75A"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 </w:t>
            </w:r>
          </w:p>
        </w:tc>
        <w:tc>
          <w:tcPr>
            <w:tcW w:w="1254" w:type="dxa"/>
            <w:tcBorders>
              <w:top w:val="nil"/>
              <w:left w:val="nil"/>
              <w:bottom w:val="nil"/>
              <w:right w:val="nil"/>
            </w:tcBorders>
            <w:shd w:val="clear" w:color="000000" w:fill="FFFFFF"/>
            <w:noWrap/>
            <w:vAlign w:val="center"/>
            <w:hideMark/>
          </w:tcPr>
          <w:p w14:paraId="2E6CDBEC"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 </w:t>
            </w:r>
          </w:p>
        </w:tc>
        <w:tc>
          <w:tcPr>
            <w:tcW w:w="897" w:type="dxa"/>
            <w:tcBorders>
              <w:top w:val="nil"/>
              <w:left w:val="nil"/>
              <w:bottom w:val="nil"/>
              <w:right w:val="nil"/>
            </w:tcBorders>
            <w:shd w:val="clear" w:color="000000" w:fill="FFFFFF"/>
            <w:noWrap/>
            <w:vAlign w:val="center"/>
            <w:hideMark/>
          </w:tcPr>
          <w:p w14:paraId="213DB75D"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 </w:t>
            </w:r>
          </w:p>
        </w:tc>
        <w:tc>
          <w:tcPr>
            <w:tcW w:w="897" w:type="dxa"/>
            <w:tcBorders>
              <w:top w:val="nil"/>
              <w:left w:val="nil"/>
              <w:bottom w:val="nil"/>
              <w:right w:val="nil"/>
            </w:tcBorders>
            <w:shd w:val="clear" w:color="000000" w:fill="FFFFFF"/>
            <w:noWrap/>
            <w:vAlign w:val="center"/>
            <w:hideMark/>
          </w:tcPr>
          <w:p w14:paraId="57B04154"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 </w:t>
            </w:r>
          </w:p>
        </w:tc>
        <w:tc>
          <w:tcPr>
            <w:tcW w:w="892" w:type="dxa"/>
            <w:tcBorders>
              <w:top w:val="nil"/>
              <w:left w:val="nil"/>
              <w:bottom w:val="nil"/>
              <w:right w:val="nil"/>
            </w:tcBorders>
            <w:shd w:val="clear" w:color="000000" w:fill="FFFFFF"/>
            <w:noWrap/>
            <w:vAlign w:val="center"/>
            <w:hideMark/>
          </w:tcPr>
          <w:p w14:paraId="1FC7057D"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 </w:t>
            </w:r>
          </w:p>
        </w:tc>
        <w:tc>
          <w:tcPr>
            <w:tcW w:w="1063" w:type="dxa"/>
            <w:tcBorders>
              <w:top w:val="nil"/>
              <w:left w:val="nil"/>
              <w:bottom w:val="nil"/>
              <w:right w:val="nil"/>
            </w:tcBorders>
            <w:shd w:val="clear" w:color="000000" w:fill="FFFFFF"/>
            <w:noWrap/>
            <w:vAlign w:val="center"/>
            <w:hideMark/>
          </w:tcPr>
          <w:p w14:paraId="312A5B50"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 </w:t>
            </w:r>
          </w:p>
        </w:tc>
        <w:tc>
          <w:tcPr>
            <w:tcW w:w="1063" w:type="dxa"/>
            <w:tcBorders>
              <w:top w:val="nil"/>
              <w:left w:val="nil"/>
              <w:bottom w:val="nil"/>
              <w:right w:val="nil"/>
            </w:tcBorders>
            <w:shd w:val="clear" w:color="000000" w:fill="FFFFFF"/>
            <w:noWrap/>
            <w:vAlign w:val="center"/>
            <w:hideMark/>
          </w:tcPr>
          <w:p w14:paraId="40FDC9CE"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 </w:t>
            </w:r>
          </w:p>
        </w:tc>
        <w:tc>
          <w:tcPr>
            <w:tcW w:w="1063" w:type="dxa"/>
            <w:tcBorders>
              <w:top w:val="nil"/>
              <w:left w:val="nil"/>
              <w:bottom w:val="nil"/>
              <w:right w:val="nil"/>
            </w:tcBorders>
            <w:shd w:val="clear" w:color="000000" w:fill="FFFFFF"/>
            <w:noWrap/>
            <w:vAlign w:val="center"/>
            <w:hideMark/>
          </w:tcPr>
          <w:p w14:paraId="6333B116"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 </w:t>
            </w:r>
          </w:p>
        </w:tc>
      </w:tr>
    </w:tbl>
    <w:p w14:paraId="0358D5F1" w14:textId="77777777" w:rsidR="00BC793A" w:rsidRDefault="00BC793A">
      <w:bookmarkStart w:id="207" w:name="_Toc27143193"/>
      <w:r>
        <w:rPr>
          <w:b/>
        </w:rPr>
        <w:br w:type="page"/>
      </w:r>
    </w:p>
    <w:tbl>
      <w:tblPr>
        <w:tblW w:w="10800" w:type="dxa"/>
        <w:tblLook w:val="04A0" w:firstRow="1" w:lastRow="0" w:firstColumn="1" w:lastColumn="0" w:noHBand="0" w:noVBand="1"/>
      </w:tblPr>
      <w:tblGrid>
        <w:gridCol w:w="2506"/>
        <w:gridCol w:w="1165"/>
        <w:gridCol w:w="1254"/>
        <w:gridCol w:w="897"/>
        <w:gridCol w:w="897"/>
        <w:gridCol w:w="892"/>
        <w:gridCol w:w="1063"/>
        <w:gridCol w:w="1063"/>
        <w:gridCol w:w="1063"/>
      </w:tblGrid>
      <w:tr w:rsidR="00BA0D82" w:rsidRPr="0005691D" w14:paraId="79E175E9" w14:textId="77777777" w:rsidTr="001A5653">
        <w:trPr>
          <w:trHeight w:val="465"/>
        </w:trPr>
        <w:tc>
          <w:tcPr>
            <w:tcW w:w="10800" w:type="dxa"/>
            <w:gridSpan w:val="9"/>
            <w:tcBorders>
              <w:top w:val="single" w:sz="4" w:space="0" w:color="auto"/>
              <w:left w:val="nil"/>
              <w:bottom w:val="single" w:sz="4" w:space="0" w:color="auto"/>
              <w:right w:val="nil"/>
            </w:tcBorders>
            <w:shd w:val="clear" w:color="auto" w:fill="auto"/>
            <w:noWrap/>
            <w:vAlign w:val="bottom"/>
            <w:hideMark/>
          </w:tcPr>
          <w:p w14:paraId="735AB512" w14:textId="163B7DE1" w:rsidR="00BA0D82" w:rsidRPr="0005691D" w:rsidRDefault="00BA0D82" w:rsidP="00BA0D82">
            <w:pPr>
              <w:pStyle w:val="Heading2"/>
              <w:numPr>
                <w:ilvl w:val="0"/>
                <w:numId w:val="0"/>
              </w:numPr>
              <w:rPr>
                <w:rFonts w:eastAsia="Times New Roman"/>
              </w:rPr>
            </w:pPr>
            <w:bookmarkStart w:id="208" w:name="_Toc28011492"/>
            <w:r w:rsidRPr="0005691D">
              <w:rPr>
                <w:rFonts w:eastAsia="Times New Roman"/>
              </w:rPr>
              <w:lastRenderedPageBreak/>
              <w:t>Georgia Combined</w:t>
            </w:r>
            <w:bookmarkEnd w:id="207"/>
            <w:bookmarkEnd w:id="208"/>
            <w:r w:rsidRPr="0005691D">
              <w:rPr>
                <w:rFonts w:eastAsia="Times New Roman"/>
              </w:rPr>
              <w:t xml:space="preserve"> </w:t>
            </w:r>
          </w:p>
        </w:tc>
      </w:tr>
      <w:tr w:rsidR="00BA0D82" w:rsidRPr="0005691D" w14:paraId="6EF72FBE" w14:textId="77777777" w:rsidTr="00BC793A">
        <w:trPr>
          <w:trHeight w:val="1305"/>
        </w:trPr>
        <w:tc>
          <w:tcPr>
            <w:tcW w:w="2506" w:type="dxa"/>
            <w:tcBorders>
              <w:top w:val="nil"/>
              <w:left w:val="single" w:sz="4" w:space="0" w:color="auto"/>
              <w:bottom w:val="single" w:sz="4" w:space="0" w:color="auto"/>
              <w:right w:val="single" w:sz="4" w:space="0" w:color="auto"/>
            </w:tcBorders>
            <w:shd w:val="clear" w:color="000000" w:fill="B4C6E7"/>
            <w:vAlign w:val="bottom"/>
            <w:hideMark/>
          </w:tcPr>
          <w:p w14:paraId="59756DF2" w14:textId="77777777" w:rsidR="00BA0D82" w:rsidRPr="0005691D" w:rsidRDefault="00BA0D82" w:rsidP="001A5653">
            <w:pPr>
              <w:spacing w:after="0" w:line="240" w:lineRule="auto"/>
              <w:jc w:val="right"/>
              <w:rPr>
                <w:rFonts w:ascii="Calibri" w:eastAsia="Times New Roman" w:hAnsi="Calibri" w:cs="Calibri"/>
                <w:b/>
                <w:bCs/>
                <w:color w:val="000000"/>
                <w:szCs w:val="28"/>
              </w:rPr>
            </w:pPr>
            <w:r w:rsidRPr="0005691D">
              <w:rPr>
                <w:rFonts w:ascii="Calibri" w:eastAsia="Times New Roman" w:hAnsi="Calibri" w:cs="Calibri"/>
                <w:b/>
                <w:bCs/>
                <w:color w:val="000000"/>
                <w:szCs w:val="28"/>
              </w:rPr>
              <w:t>Area</w:t>
            </w:r>
          </w:p>
        </w:tc>
        <w:tc>
          <w:tcPr>
            <w:tcW w:w="1165" w:type="dxa"/>
            <w:tcBorders>
              <w:top w:val="nil"/>
              <w:left w:val="nil"/>
              <w:bottom w:val="single" w:sz="4" w:space="0" w:color="auto"/>
              <w:right w:val="single" w:sz="4" w:space="0" w:color="auto"/>
            </w:tcBorders>
            <w:shd w:val="clear" w:color="000000" w:fill="B4C6E7"/>
            <w:vAlign w:val="bottom"/>
            <w:hideMark/>
          </w:tcPr>
          <w:p w14:paraId="0907B1F6"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of Total Activities</w:t>
            </w:r>
          </w:p>
        </w:tc>
        <w:tc>
          <w:tcPr>
            <w:tcW w:w="1254" w:type="dxa"/>
            <w:tcBorders>
              <w:top w:val="nil"/>
              <w:left w:val="nil"/>
              <w:bottom w:val="single" w:sz="4" w:space="0" w:color="auto"/>
              <w:right w:val="single" w:sz="4" w:space="0" w:color="auto"/>
            </w:tcBorders>
            <w:shd w:val="clear" w:color="000000" w:fill="B4C6E7"/>
            <w:vAlign w:val="bottom"/>
            <w:hideMark/>
          </w:tcPr>
          <w:p w14:paraId="0742E411"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Average Progress on Activities (%)</w:t>
            </w:r>
          </w:p>
        </w:tc>
        <w:tc>
          <w:tcPr>
            <w:tcW w:w="897" w:type="dxa"/>
            <w:tcBorders>
              <w:top w:val="nil"/>
              <w:left w:val="nil"/>
              <w:bottom w:val="single" w:sz="4" w:space="0" w:color="auto"/>
              <w:right w:val="single" w:sz="4" w:space="0" w:color="auto"/>
            </w:tcBorders>
            <w:shd w:val="clear" w:color="000000" w:fill="B4C6E7"/>
            <w:vAlign w:val="bottom"/>
            <w:hideMark/>
          </w:tcPr>
          <w:p w14:paraId="2C340E68"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Outputs</w:t>
            </w:r>
          </w:p>
        </w:tc>
        <w:tc>
          <w:tcPr>
            <w:tcW w:w="897" w:type="dxa"/>
            <w:tcBorders>
              <w:top w:val="nil"/>
              <w:left w:val="nil"/>
              <w:bottom w:val="single" w:sz="4" w:space="0" w:color="auto"/>
              <w:right w:val="single" w:sz="4" w:space="0" w:color="auto"/>
            </w:tcBorders>
            <w:shd w:val="clear" w:color="000000" w:fill="B4C6E7"/>
            <w:vAlign w:val="bottom"/>
            <w:hideMark/>
          </w:tcPr>
          <w:p w14:paraId="64198864"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Outputs Met</w:t>
            </w:r>
          </w:p>
        </w:tc>
        <w:tc>
          <w:tcPr>
            <w:tcW w:w="892" w:type="dxa"/>
            <w:tcBorders>
              <w:top w:val="nil"/>
              <w:left w:val="nil"/>
              <w:bottom w:val="single" w:sz="4" w:space="0" w:color="auto"/>
              <w:right w:val="single" w:sz="4" w:space="0" w:color="auto"/>
            </w:tcBorders>
            <w:shd w:val="clear" w:color="000000" w:fill="B4C6E7"/>
            <w:vAlign w:val="bottom"/>
            <w:hideMark/>
          </w:tcPr>
          <w:p w14:paraId="429251A6"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Outputs Met</w:t>
            </w:r>
          </w:p>
        </w:tc>
        <w:tc>
          <w:tcPr>
            <w:tcW w:w="1063" w:type="dxa"/>
            <w:tcBorders>
              <w:top w:val="nil"/>
              <w:left w:val="nil"/>
              <w:bottom w:val="single" w:sz="4" w:space="0" w:color="auto"/>
              <w:right w:val="single" w:sz="4" w:space="0" w:color="auto"/>
            </w:tcBorders>
            <w:shd w:val="clear" w:color="000000" w:fill="B4C6E7"/>
            <w:vAlign w:val="bottom"/>
            <w:hideMark/>
          </w:tcPr>
          <w:p w14:paraId="025327AC"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Short-Term Outcomes</w:t>
            </w:r>
          </w:p>
        </w:tc>
        <w:tc>
          <w:tcPr>
            <w:tcW w:w="1063" w:type="dxa"/>
            <w:tcBorders>
              <w:top w:val="nil"/>
              <w:left w:val="nil"/>
              <w:bottom w:val="single" w:sz="4" w:space="0" w:color="auto"/>
              <w:right w:val="single" w:sz="4" w:space="0" w:color="auto"/>
            </w:tcBorders>
            <w:shd w:val="clear" w:color="000000" w:fill="B4C6E7"/>
            <w:vAlign w:val="bottom"/>
            <w:hideMark/>
          </w:tcPr>
          <w:p w14:paraId="4B25A735"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Short-Term Outcomes Met</w:t>
            </w:r>
          </w:p>
        </w:tc>
        <w:tc>
          <w:tcPr>
            <w:tcW w:w="1063" w:type="dxa"/>
            <w:tcBorders>
              <w:top w:val="nil"/>
              <w:left w:val="nil"/>
              <w:bottom w:val="single" w:sz="4" w:space="0" w:color="auto"/>
              <w:right w:val="single" w:sz="4" w:space="0" w:color="auto"/>
            </w:tcBorders>
            <w:shd w:val="clear" w:color="000000" w:fill="B4C6E7"/>
            <w:vAlign w:val="bottom"/>
            <w:hideMark/>
          </w:tcPr>
          <w:p w14:paraId="7E8C7F28"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%Short-Term Outcomes Achieved</w:t>
            </w:r>
          </w:p>
        </w:tc>
      </w:tr>
      <w:tr w:rsidR="00BA0D82" w:rsidRPr="0005691D" w14:paraId="2BA25AC0" w14:textId="77777777" w:rsidTr="00BC793A">
        <w:trPr>
          <w:trHeight w:val="300"/>
        </w:trPr>
        <w:tc>
          <w:tcPr>
            <w:tcW w:w="2506" w:type="dxa"/>
            <w:tcBorders>
              <w:top w:val="nil"/>
              <w:left w:val="single" w:sz="4" w:space="0" w:color="auto"/>
              <w:bottom w:val="single" w:sz="4" w:space="0" w:color="auto"/>
              <w:right w:val="single" w:sz="4" w:space="0" w:color="auto"/>
            </w:tcBorders>
            <w:shd w:val="clear" w:color="000000" w:fill="B4C6E7"/>
            <w:noWrap/>
            <w:vAlign w:val="center"/>
            <w:hideMark/>
          </w:tcPr>
          <w:p w14:paraId="1BEF82F0" w14:textId="77777777" w:rsidR="00BA0D82" w:rsidRPr="0005691D" w:rsidRDefault="00BA0D82" w:rsidP="001A5653">
            <w:pPr>
              <w:spacing w:after="0" w:line="240" w:lineRule="auto"/>
              <w:jc w:val="right"/>
              <w:rPr>
                <w:rFonts w:ascii="Calibri" w:eastAsia="Times New Roman" w:hAnsi="Calibri" w:cs="Calibri"/>
                <w:b/>
                <w:bCs/>
                <w:color w:val="000000"/>
              </w:rPr>
            </w:pPr>
            <w:r w:rsidRPr="0005691D">
              <w:rPr>
                <w:rFonts w:ascii="Calibri" w:eastAsia="Times New Roman" w:hAnsi="Calibri" w:cs="Calibri"/>
                <w:b/>
                <w:bCs/>
                <w:color w:val="000000"/>
              </w:rPr>
              <w:t>Pre-ETS</w:t>
            </w:r>
          </w:p>
        </w:tc>
        <w:tc>
          <w:tcPr>
            <w:tcW w:w="1165" w:type="dxa"/>
            <w:tcBorders>
              <w:top w:val="nil"/>
              <w:left w:val="nil"/>
              <w:bottom w:val="single" w:sz="4" w:space="0" w:color="auto"/>
              <w:right w:val="single" w:sz="4" w:space="0" w:color="auto"/>
            </w:tcBorders>
            <w:shd w:val="clear" w:color="000000" w:fill="FFFFFF"/>
            <w:noWrap/>
            <w:vAlign w:val="center"/>
            <w:hideMark/>
          </w:tcPr>
          <w:p w14:paraId="4E7EEEDA"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5</w:t>
            </w:r>
          </w:p>
        </w:tc>
        <w:tc>
          <w:tcPr>
            <w:tcW w:w="1254" w:type="dxa"/>
            <w:tcBorders>
              <w:top w:val="nil"/>
              <w:left w:val="nil"/>
              <w:bottom w:val="single" w:sz="4" w:space="0" w:color="auto"/>
              <w:right w:val="single" w:sz="4" w:space="0" w:color="auto"/>
            </w:tcBorders>
            <w:shd w:val="clear" w:color="000000" w:fill="FFFFFF"/>
            <w:noWrap/>
            <w:vAlign w:val="center"/>
            <w:hideMark/>
          </w:tcPr>
          <w:p w14:paraId="769E0DD7"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5%</w:t>
            </w:r>
          </w:p>
        </w:tc>
        <w:tc>
          <w:tcPr>
            <w:tcW w:w="897" w:type="dxa"/>
            <w:tcBorders>
              <w:top w:val="nil"/>
              <w:left w:val="nil"/>
              <w:bottom w:val="single" w:sz="4" w:space="0" w:color="auto"/>
              <w:right w:val="single" w:sz="4" w:space="0" w:color="auto"/>
            </w:tcBorders>
            <w:shd w:val="clear" w:color="000000" w:fill="FFFFFF"/>
            <w:noWrap/>
            <w:vAlign w:val="center"/>
            <w:hideMark/>
          </w:tcPr>
          <w:p w14:paraId="2885D97B"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5</w:t>
            </w:r>
          </w:p>
        </w:tc>
        <w:tc>
          <w:tcPr>
            <w:tcW w:w="897" w:type="dxa"/>
            <w:tcBorders>
              <w:top w:val="nil"/>
              <w:left w:val="nil"/>
              <w:bottom w:val="single" w:sz="4" w:space="0" w:color="auto"/>
              <w:right w:val="single" w:sz="4" w:space="0" w:color="auto"/>
            </w:tcBorders>
            <w:shd w:val="clear" w:color="000000" w:fill="FFFFFF"/>
            <w:noWrap/>
            <w:vAlign w:val="center"/>
            <w:hideMark/>
          </w:tcPr>
          <w:p w14:paraId="31F51E93"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0</w:t>
            </w:r>
          </w:p>
        </w:tc>
        <w:tc>
          <w:tcPr>
            <w:tcW w:w="892" w:type="dxa"/>
            <w:tcBorders>
              <w:top w:val="nil"/>
              <w:left w:val="nil"/>
              <w:bottom w:val="single" w:sz="4" w:space="0" w:color="auto"/>
              <w:right w:val="single" w:sz="4" w:space="0" w:color="auto"/>
            </w:tcBorders>
            <w:shd w:val="clear" w:color="000000" w:fill="FFFFFF"/>
            <w:noWrap/>
            <w:vAlign w:val="center"/>
            <w:hideMark/>
          </w:tcPr>
          <w:p w14:paraId="23A2AD8B"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0%</w:t>
            </w:r>
          </w:p>
        </w:tc>
        <w:tc>
          <w:tcPr>
            <w:tcW w:w="1063" w:type="dxa"/>
            <w:tcBorders>
              <w:top w:val="nil"/>
              <w:left w:val="nil"/>
              <w:bottom w:val="single" w:sz="4" w:space="0" w:color="auto"/>
              <w:right w:val="single" w:sz="4" w:space="0" w:color="auto"/>
            </w:tcBorders>
            <w:shd w:val="clear" w:color="000000" w:fill="FFFFFF"/>
            <w:noWrap/>
            <w:vAlign w:val="center"/>
            <w:hideMark/>
          </w:tcPr>
          <w:p w14:paraId="32E8738E"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2</w:t>
            </w:r>
          </w:p>
        </w:tc>
        <w:tc>
          <w:tcPr>
            <w:tcW w:w="1063" w:type="dxa"/>
            <w:tcBorders>
              <w:top w:val="nil"/>
              <w:left w:val="nil"/>
              <w:bottom w:val="single" w:sz="4" w:space="0" w:color="auto"/>
              <w:right w:val="single" w:sz="4" w:space="0" w:color="auto"/>
            </w:tcBorders>
            <w:shd w:val="clear" w:color="000000" w:fill="FFFFFF"/>
            <w:noWrap/>
            <w:vAlign w:val="center"/>
            <w:hideMark/>
          </w:tcPr>
          <w:p w14:paraId="1AA5E20F"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0</w:t>
            </w:r>
          </w:p>
        </w:tc>
        <w:tc>
          <w:tcPr>
            <w:tcW w:w="1063" w:type="dxa"/>
            <w:tcBorders>
              <w:top w:val="nil"/>
              <w:left w:val="nil"/>
              <w:bottom w:val="single" w:sz="4" w:space="0" w:color="auto"/>
              <w:right w:val="single" w:sz="4" w:space="0" w:color="auto"/>
            </w:tcBorders>
            <w:shd w:val="clear" w:color="000000" w:fill="FFFFFF"/>
            <w:noWrap/>
            <w:vAlign w:val="center"/>
            <w:hideMark/>
          </w:tcPr>
          <w:p w14:paraId="68DE1A43"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0%</w:t>
            </w:r>
          </w:p>
        </w:tc>
      </w:tr>
      <w:tr w:rsidR="00BA0D82" w:rsidRPr="0005691D" w14:paraId="020D8625" w14:textId="77777777" w:rsidTr="00BC793A">
        <w:trPr>
          <w:trHeight w:val="300"/>
        </w:trPr>
        <w:tc>
          <w:tcPr>
            <w:tcW w:w="2506" w:type="dxa"/>
            <w:tcBorders>
              <w:top w:val="nil"/>
              <w:left w:val="single" w:sz="4" w:space="0" w:color="auto"/>
              <w:bottom w:val="single" w:sz="4" w:space="0" w:color="auto"/>
              <w:right w:val="single" w:sz="4" w:space="0" w:color="auto"/>
            </w:tcBorders>
            <w:shd w:val="clear" w:color="000000" w:fill="B4C6E7"/>
            <w:noWrap/>
            <w:vAlign w:val="center"/>
            <w:hideMark/>
          </w:tcPr>
          <w:p w14:paraId="0E804C7F" w14:textId="77777777" w:rsidR="00BA0D82" w:rsidRPr="0005691D" w:rsidRDefault="00BA0D82" w:rsidP="001A5653">
            <w:pPr>
              <w:spacing w:after="0" w:line="240" w:lineRule="auto"/>
              <w:jc w:val="right"/>
              <w:rPr>
                <w:rFonts w:ascii="Calibri" w:eastAsia="Times New Roman" w:hAnsi="Calibri" w:cs="Calibri"/>
                <w:b/>
                <w:bCs/>
                <w:color w:val="000000"/>
              </w:rPr>
            </w:pPr>
            <w:r w:rsidRPr="0005691D">
              <w:rPr>
                <w:rFonts w:ascii="Calibri" w:eastAsia="Times New Roman" w:hAnsi="Calibri" w:cs="Calibri"/>
                <w:b/>
                <w:bCs/>
                <w:color w:val="000000"/>
              </w:rPr>
              <w:t>Common Performance Measures</w:t>
            </w:r>
          </w:p>
        </w:tc>
        <w:tc>
          <w:tcPr>
            <w:tcW w:w="1165" w:type="dxa"/>
            <w:tcBorders>
              <w:top w:val="nil"/>
              <w:left w:val="nil"/>
              <w:bottom w:val="single" w:sz="4" w:space="0" w:color="auto"/>
              <w:right w:val="single" w:sz="4" w:space="0" w:color="auto"/>
            </w:tcBorders>
            <w:shd w:val="clear" w:color="000000" w:fill="D9E2F3"/>
            <w:noWrap/>
            <w:vAlign w:val="center"/>
            <w:hideMark/>
          </w:tcPr>
          <w:p w14:paraId="6B036852"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6</w:t>
            </w:r>
          </w:p>
        </w:tc>
        <w:tc>
          <w:tcPr>
            <w:tcW w:w="1254" w:type="dxa"/>
            <w:tcBorders>
              <w:top w:val="nil"/>
              <w:left w:val="nil"/>
              <w:bottom w:val="single" w:sz="4" w:space="0" w:color="auto"/>
              <w:right w:val="single" w:sz="4" w:space="0" w:color="auto"/>
            </w:tcBorders>
            <w:shd w:val="clear" w:color="000000" w:fill="D9E2F3"/>
            <w:noWrap/>
            <w:vAlign w:val="center"/>
            <w:hideMark/>
          </w:tcPr>
          <w:p w14:paraId="7CC5F6DD"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42%</w:t>
            </w:r>
          </w:p>
        </w:tc>
        <w:tc>
          <w:tcPr>
            <w:tcW w:w="897" w:type="dxa"/>
            <w:tcBorders>
              <w:top w:val="nil"/>
              <w:left w:val="nil"/>
              <w:bottom w:val="single" w:sz="4" w:space="0" w:color="auto"/>
              <w:right w:val="single" w:sz="4" w:space="0" w:color="auto"/>
            </w:tcBorders>
            <w:shd w:val="clear" w:color="000000" w:fill="D9E2F3"/>
            <w:noWrap/>
            <w:vAlign w:val="center"/>
            <w:hideMark/>
          </w:tcPr>
          <w:p w14:paraId="519C7DD6"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6</w:t>
            </w:r>
          </w:p>
        </w:tc>
        <w:tc>
          <w:tcPr>
            <w:tcW w:w="897" w:type="dxa"/>
            <w:tcBorders>
              <w:top w:val="nil"/>
              <w:left w:val="nil"/>
              <w:bottom w:val="single" w:sz="4" w:space="0" w:color="auto"/>
              <w:right w:val="single" w:sz="4" w:space="0" w:color="auto"/>
            </w:tcBorders>
            <w:shd w:val="clear" w:color="000000" w:fill="D9E2F3"/>
            <w:noWrap/>
            <w:vAlign w:val="center"/>
            <w:hideMark/>
          </w:tcPr>
          <w:p w14:paraId="7B9456D3"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0</w:t>
            </w:r>
          </w:p>
        </w:tc>
        <w:tc>
          <w:tcPr>
            <w:tcW w:w="892" w:type="dxa"/>
            <w:tcBorders>
              <w:top w:val="nil"/>
              <w:left w:val="nil"/>
              <w:bottom w:val="single" w:sz="4" w:space="0" w:color="auto"/>
              <w:right w:val="single" w:sz="4" w:space="0" w:color="auto"/>
            </w:tcBorders>
            <w:shd w:val="clear" w:color="000000" w:fill="D9E2F3"/>
            <w:noWrap/>
            <w:vAlign w:val="center"/>
            <w:hideMark/>
          </w:tcPr>
          <w:p w14:paraId="04D3E5ED"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0%</w:t>
            </w:r>
          </w:p>
        </w:tc>
        <w:tc>
          <w:tcPr>
            <w:tcW w:w="1063" w:type="dxa"/>
            <w:tcBorders>
              <w:top w:val="nil"/>
              <w:left w:val="nil"/>
              <w:bottom w:val="single" w:sz="4" w:space="0" w:color="auto"/>
              <w:right w:val="single" w:sz="4" w:space="0" w:color="auto"/>
            </w:tcBorders>
            <w:shd w:val="clear" w:color="000000" w:fill="D9E2F3"/>
            <w:noWrap/>
            <w:vAlign w:val="center"/>
            <w:hideMark/>
          </w:tcPr>
          <w:p w14:paraId="50285F95"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w:t>
            </w:r>
          </w:p>
        </w:tc>
        <w:tc>
          <w:tcPr>
            <w:tcW w:w="1063" w:type="dxa"/>
            <w:tcBorders>
              <w:top w:val="nil"/>
              <w:left w:val="nil"/>
              <w:bottom w:val="single" w:sz="4" w:space="0" w:color="auto"/>
              <w:right w:val="single" w:sz="4" w:space="0" w:color="auto"/>
            </w:tcBorders>
            <w:shd w:val="clear" w:color="000000" w:fill="D9E2F3"/>
            <w:noWrap/>
            <w:vAlign w:val="center"/>
            <w:hideMark/>
          </w:tcPr>
          <w:p w14:paraId="37E7B098"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w:t>
            </w:r>
          </w:p>
        </w:tc>
        <w:tc>
          <w:tcPr>
            <w:tcW w:w="1063" w:type="dxa"/>
            <w:tcBorders>
              <w:top w:val="nil"/>
              <w:left w:val="nil"/>
              <w:bottom w:val="single" w:sz="4" w:space="0" w:color="auto"/>
              <w:right w:val="single" w:sz="4" w:space="0" w:color="auto"/>
            </w:tcBorders>
            <w:shd w:val="clear" w:color="000000" w:fill="D9E2F3"/>
            <w:noWrap/>
            <w:vAlign w:val="center"/>
            <w:hideMark/>
          </w:tcPr>
          <w:p w14:paraId="4E6E8C69"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100%</w:t>
            </w:r>
          </w:p>
        </w:tc>
      </w:tr>
      <w:tr w:rsidR="00BA0D82" w:rsidRPr="0005691D" w14:paraId="7DBA253D" w14:textId="77777777" w:rsidTr="00BC793A">
        <w:trPr>
          <w:trHeight w:val="300"/>
        </w:trPr>
        <w:tc>
          <w:tcPr>
            <w:tcW w:w="2506" w:type="dxa"/>
            <w:tcBorders>
              <w:top w:val="nil"/>
              <w:left w:val="nil"/>
              <w:bottom w:val="nil"/>
              <w:right w:val="nil"/>
            </w:tcBorders>
            <w:shd w:val="clear" w:color="auto" w:fill="auto"/>
            <w:noWrap/>
            <w:vAlign w:val="bottom"/>
            <w:hideMark/>
          </w:tcPr>
          <w:p w14:paraId="5BDFDF6E" w14:textId="77777777" w:rsidR="00BA0D82" w:rsidRPr="0005691D" w:rsidRDefault="00BA0D82" w:rsidP="001A5653">
            <w:pPr>
              <w:spacing w:after="0" w:line="240" w:lineRule="auto"/>
              <w:jc w:val="center"/>
              <w:rPr>
                <w:rFonts w:ascii="Calibri" w:eastAsia="Times New Roman" w:hAnsi="Calibri" w:cs="Calibri"/>
                <w:color w:val="000000"/>
              </w:rPr>
            </w:pPr>
          </w:p>
        </w:tc>
        <w:tc>
          <w:tcPr>
            <w:tcW w:w="1165" w:type="dxa"/>
            <w:tcBorders>
              <w:top w:val="nil"/>
              <w:left w:val="nil"/>
              <w:bottom w:val="nil"/>
              <w:right w:val="nil"/>
            </w:tcBorders>
            <w:shd w:val="clear" w:color="auto" w:fill="auto"/>
            <w:noWrap/>
            <w:vAlign w:val="center"/>
            <w:hideMark/>
          </w:tcPr>
          <w:p w14:paraId="368B5C53" w14:textId="77777777" w:rsidR="00BA0D82" w:rsidRPr="0005691D" w:rsidRDefault="00BA0D82" w:rsidP="001A5653">
            <w:pPr>
              <w:spacing w:after="0" w:line="240" w:lineRule="auto"/>
              <w:rPr>
                <w:rFonts w:ascii="Times New Roman" w:eastAsia="Times New Roman" w:hAnsi="Times New Roman" w:cs="Times New Roman"/>
                <w:sz w:val="20"/>
                <w:szCs w:val="20"/>
              </w:rPr>
            </w:pPr>
          </w:p>
        </w:tc>
        <w:tc>
          <w:tcPr>
            <w:tcW w:w="1254" w:type="dxa"/>
            <w:tcBorders>
              <w:top w:val="nil"/>
              <w:left w:val="nil"/>
              <w:bottom w:val="nil"/>
              <w:right w:val="nil"/>
            </w:tcBorders>
            <w:shd w:val="clear" w:color="auto" w:fill="auto"/>
            <w:noWrap/>
            <w:vAlign w:val="center"/>
            <w:hideMark/>
          </w:tcPr>
          <w:p w14:paraId="1B61B312"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c>
          <w:tcPr>
            <w:tcW w:w="897" w:type="dxa"/>
            <w:tcBorders>
              <w:top w:val="nil"/>
              <w:left w:val="nil"/>
              <w:bottom w:val="nil"/>
              <w:right w:val="nil"/>
            </w:tcBorders>
            <w:shd w:val="clear" w:color="auto" w:fill="auto"/>
            <w:noWrap/>
            <w:vAlign w:val="center"/>
            <w:hideMark/>
          </w:tcPr>
          <w:p w14:paraId="0E1F87FE"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c>
          <w:tcPr>
            <w:tcW w:w="897" w:type="dxa"/>
            <w:tcBorders>
              <w:top w:val="nil"/>
              <w:left w:val="nil"/>
              <w:bottom w:val="nil"/>
              <w:right w:val="nil"/>
            </w:tcBorders>
            <w:shd w:val="clear" w:color="auto" w:fill="auto"/>
            <w:noWrap/>
            <w:vAlign w:val="center"/>
            <w:hideMark/>
          </w:tcPr>
          <w:p w14:paraId="6AB0D591"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c>
          <w:tcPr>
            <w:tcW w:w="892" w:type="dxa"/>
            <w:tcBorders>
              <w:top w:val="nil"/>
              <w:left w:val="nil"/>
              <w:bottom w:val="nil"/>
              <w:right w:val="nil"/>
            </w:tcBorders>
            <w:shd w:val="clear" w:color="auto" w:fill="auto"/>
            <w:noWrap/>
            <w:vAlign w:val="center"/>
            <w:hideMark/>
          </w:tcPr>
          <w:p w14:paraId="1CFE01A8"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c>
          <w:tcPr>
            <w:tcW w:w="1063" w:type="dxa"/>
            <w:tcBorders>
              <w:top w:val="nil"/>
              <w:left w:val="nil"/>
              <w:bottom w:val="nil"/>
              <w:right w:val="nil"/>
            </w:tcBorders>
            <w:shd w:val="clear" w:color="auto" w:fill="auto"/>
            <w:noWrap/>
            <w:vAlign w:val="center"/>
            <w:hideMark/>
          </w:tcPr>
          <w:p w14:paraId="579245AC"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c>
          <w:tcPr>
            <w:tcW w:w="1063" w:type="dxa"/>
            <w:tcBorders>
              <w:top w:val="nil"/>
              <w:left w:val="nil"/>
              <w:bottom w:val="nil"/>
              <w:right w:val="nil"/>
            </w:tcBorders>
            <w:shd w:val="clear" w:color="auto" w:fill="auto"/>
            <w:noWrap/>
            <w:vAlign w:val="center"/>
            <w:hideMark/>
          </w:tcPr>
          <w:p w14:paraId="2187C7CE"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c>
          <w:tcPr>
            <w:tcW w:w="1063" w:type="dxa"/>
            <w:tcBorders>
              <w:top w:val="nil"/>
              <w:left w:val="nil"/>
              <w:bottom w:val="nil"/>
              <w:right w:val="nil"/>
            </w:tcBorders>
            <w:shd w:val="clear" w:color="auto" w:fill="auto"/>
            <w:noWrap/>
            <w:vAlign w:val="center"/>
            <w:hideMark/>
          </w:tcPr>
          <w:p w14:paraId="7108E806"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r>
      <w:tr w:rsidR="00BA0D82" w:rsidRPr="0005691D" w14:paraId="78D3BB1A" w14:textId="77777777" w:rsidTr="001A5653">
        <w:trPr>
          <w:trHeight w:val="465"/>
        </w:trPr>
        <w:tc>
          <w:tcPr>
            <w:tcW w:w="10800" w:type="dxa"/>
            <w:gridSpan w:val="9"/>
            <w:tcBorders>
              <w:top w:val="single" w:sz="4" w:space="0" w:color="auto"/>
              <w:left w:val="nil"/>
              <w:bottom w:val="single" w:sz="4" w:space="0" w:color="auto"/>
              <w:right w:val="nil"/>
            </w:tcBorders>
            <w:shd w:val="clear" w:color="auto" w:fill="auto"/>
            <w:noWrap/>
            <w:vAlign w:val="bottom"/>
            <w:hideMark/>
          </w:tcPr>
          <w:p w14:paraId="69338720" w14:textId="77777777" w:rsidR="00BA0D82" w:rsidRPr="0005691D" w:rsidRDefault="00BA0D82" w:rsidP="00BA0D82">
            <w:pPr>
              <w:pStyle w:val="Heading2"/>
              <w:numPr>
                <w:ilvl w:val="0"/>
                <w:numId w:val="0"/>
              </w:numPr>
              <w:rPr>
                <w:rFonts w:eastAsia="Times New Roman"/>
              </w:rPr>
            </w:pPr>
            <w:bookmarkStart w:id="209" w:name="_Toc27143194"/>
            <w:bookmarkStart w:id="210" w:name="_Toc28011493"/>
            <w:r w:rsidRPr="0005691D">
              <w:rPr>
                <w:rFonts w:eastAsia="Times New Roman"/>
              </w:rPr>
              <w:t>Guam</w:t>
            </w:r>
            <w:bookmarkEnd w:id="209"/>
            <w:bookmarkEnd w:id="210"/>
          </w:p>
        </w:tc>
      </w:tr>
      <w:tr w:rsidR="00BA0D82" w:rsidRPr="0005691D" w14:paraId="548FD2A8" w14:textId="77777777" w:rsidTr="00BC793A">
        <w:trPr>
          <w:trHeight w:val="1305"/>
        </w:trPr>
        <w:tc>
          <w:tcPr>
            <w:tcW w:w="2506" w:type="dxa"/>
            <w:tcBorders>
              <w:top w:val="nil"/>
              <w:left w:val="single" w:sz="4" w:space="0" w:color="auto"/>
              <w:bottom w:val="single" w:sz="4" w:space="0" w:color="auto"/>
              <w:right w:val="single" w:sz="4" w:space="0" w:color="auto"/>
            </w:tcBorders>
            <w:shd w:val="clear" w:color="000000" w:fill="B4C6E7"/>
            <w:vAlign w:val="bottom"/>
            <w:hideMark/>
          </w:tcPr>
          <w:p w14:paraId="6DBDC489" w14:textId="77777777" w:rsidR="00BA0D82" w:rsidRPr="0005691D" w:rsidRDefault="00BA0D82" w:rsidP="001A5653">
            <w:pPr>
              <w:spacing w:after="0" w:line="240" w:lineRule="auto"/>
              <w:jc w:val="right"/>
              <w:rPr>
                <w:rFonts w:ascii="Calibri" w:eastAsia="Times New Roman" w:hAnsi="Calibri" w:cs="Calibri"/>
                <w:b/>
                <w:bCs/>
                <w:color w:val="000000"/>
                <w:szCs w:val="28"/>
              </w:rPr>
            </w:pPr>
            <w:r w:rsidRPr="0005691D">
              <w:rPr>
                <w:rFonts w:ascii="Calibri" w:eastAsia="Times New Roman" w:hAnsi="Calibri" w:cs="Calibri"/>
                <w:b/>
                <w:bCs/>
                <w:color w:val="000000"/>
                <w:szCs w:val="28"/>
              </w:rPr>
              <w:t>Area</w:t>
            </w:r>
          </w:p>
        </w:tc>
        <w:tc>
          <w:tcPr>
            <w:tcW w:w="1165" w:type="dxa"/>
            <w:tcBorders>
              <w:top w:val="nil"/>
              <w:left w:val="nil"/>
              <w:bottom w:val="single" w:sz="4" w:space="0" w:color="auto"/>
              <w:right w:val="single" w:sz="4" w:space="0" w:color="auto"/>
            </w:tcBorders>
            <w:shd w:val="clear" w:color="000000" w:fill="B4C6E7"/>
            <w:vAlign w:val="bottom"/>
            <w:hideMark/>
          </w:tcPr>
          <w:p w14:paraId="2429B1C9"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of Total Activities</w:t>
            </w:r>
          </w:p>
        </w:tc>
        <w:tc>
          <w:tcPr>
            <w:tcW w:w="1254" w:type="dxa"/>
            <w:tcBorders>
              <w:top w:val="nil"/>
              <w:left w:val="nil"/>
              <w:bottom w:val="single" w:sz="4" w:space="0" w:color="auto"/>
              <w:right w:val="single" w:sz="4" w:space="0" w:color="auto"/>
            </w:tcBorders>
            <w:shd w:val="clear" w:color="000000" w:fill="B4C6E7"/>
            <w:vAlign w:val="bottom"/>
            <w:hideMark/>
          </w:tcPr>
          <w:p w14:paraId="6E9622CA"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Average Progress on Activities (%)</w:t>
            </w:r>
          </w:p>
        </w:tc>
        <w:tc>
          <w:tcPr>
            <w:tcW w:w="897" w:type="dxa"/>
            <w:tcBorders>
              <w:top w:val="nil"/>
              <w:left w:val="nil"/>
              <w:bottom w:val="single" w:sz="4" w:space="0" w:color="auto"/>
              <w:right w:val="single" w:sz="4" w:space="0" w:color="auto"/>
            </w:tcBorders>
            <w:shd w:val="clear" w:color="000000" w:fill="B4C6E7"/>
            <w:vAlign w:val="bottom"/>
            <w:hideMark/>
          </w:tcPr>
          <w:p w14:paraId="10C1971F"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Outputs</w:t>
            </w:r>
          </w:p>
        </w:tc>
        <w:tc>
          <w:tcPr>
            <w:tcW w:w="897" w:type="dxa"/>
            <w:tcBorders>
              <w:top w:val="nil"/>
              <w:left w:val="nil"/>
              <w:bottom w:val="single" w:sz="4" w:space="0" w:color="auto"/>
              <w:right w:val="single" w:sz="4" w:space="0" w:color="auto"/>
            </w:tcBorders>
            <w:shd w:val="clear" w:color="000000" w:fill="B4C6E7"/>
            <w:vAlign w:val="bottom"/>
            <w:hideMark/>
          </w:tcPr>
          <w:p w14:paraId="6DCF3DED"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Outputs Met</w:t>
            </w:r>
          </w:p>
        </w:tc>
        <w:tc>
          <w:tcPr>
            <w:tcW w:w="892" w:type="dxa"/>
            <w:tcBorders>
              <w:top w:val="nil"/>
              <w:left w:val="nil"/>
              <w:bottom w:val="single" w:sz="4" w:space="0" w:color="auto"/>
              <w:right w:val="single" w:sz="4" w:space="0" w:color="auto"/>
            </w:tcBorders>
            <w:shd w:val="clear" w:color="000000" w:fill="B4C6E7"/>
            <w:vAlign w:val="bottom"/>
            <w:hideMark/>
          </w:tcPr>
          <w:p w14:paraId="428799BE"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Outputs Met</w:t>
            </w:r>
          </w:p>
        </w:tc>
        <w:tc>
          <w:tcPr>
            <w:tcW w:w="1063" w:type="dxa"/>
            <w:tcBorders>
              <w:top w:val="nil"/>
              <w:left w:val="nil"/>
              <w:bottom w:val="single" w:sz="4" w:space="0" w:color="auto"/>
              <w:right w:val="single" w:sz="4" w:space="0" w:color="auto"/>
            </w:tcBorders>
            <w:shd w:val="clear" w:color="000000" w:fill="B4C6E7"/>
            <w:vAlign w:val="bottom"/>
            <w:hideMark/>
          </w:tcPr>
          <w:p w14:paraId="6721F68C"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Short-Term Outcomes</w:t>
            </w:r>
          </w:p>
        </w:tc>
        <w:tc>
          <w:tcPr>
            <w:tcW w:w="1063" w:type="dxa"/>
            <w:tcBorders>
              <w:top w:val="nil"/>
              <w:left w:val="nil"/>
              <w:bottom w:val="single" w:sz="4" w:space="0" w:color="auto"/>
              <w:right w:val="single" w:sz="4" w:space="0" w:color="auto"/>
            </w:tcBorders>
            <w:shd w:val="clear" w:color="000000" w:fill="B4C6E7"/>
            <w:vAlign w:val="bottom"/>
            <w:hideMark/>
          </w:tcPr>
          <w:p w14:paraId="1CFC419D"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Short-Term Outcomes Met</w:t>
            </w:r>
          </w:p>
        </w:tc>
        <w:tc>
          <w:tcPr>
            <w:tcW w:w="1063" w:type="dxa"/>
            <w:tcBorders>
              <w:top w:val="nil"/>
              <w:left w:val="nil"/>
              <w:bottom w:val="single" w:sz="4" w:space="0" w:color="auto"/>
              <w:right w:val="single" w:sz="4" w:space="0" w:color="auto"/>
            </w:tcBorders>
            <w:shd w:val="clear" w:color="000000" w:fill="B4C6E7"/>
            <w:vAlign w:val="bottom"/>
            <w:hideMark/>
          </w:tcPr>
          <w:p w14:paraId="146DD4F7"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%Short-Term Outcomes Achieved</w:t>
            </w:r>
          </w:p>
        </w:tc>
      </w:tr>
      <w:tr w:rsidR="00BA0D82" w:rsidRPr="0005691D" w14:paraId="7922ECE7" w14:textId="77777777" w:rsidTr="00BC793A">
        <w:trPr>
          <w:trHeight w:val="300"/>
        </w:trPr>
        <w:tc>
          <w:tcPr>
            <w:tcW w:w="2506" w:type="dxa"/>
            <w:tcBorders>
              <w:top w:val="nil"/>
              <w:left w:val="single" w:sz="4" w:space="0" w:color="auto"/>
              <w:bottom w:val="single" w:sz="4" w:space="0" w:color="auto"/>
              <w:right w:val="single" w:sz="4" w:space="0" w:color="auto"/>
            </w:tcBorders>
            <w:shd w:val="clear" w:color="000000" w:fill="B4C6E7"/>
            <w:noWrap/>
            <w:vAlign w:val="center"/>
            <w:hideMark/>
          </w:tcPr>
          <w:p w14:paraId="2C916973" w14:textId="77777777" w:rsidR="00BA0D82" w:rsidRPr="0005691D" w:rsidRDefault="00BA0D82" w:rsidP="001A5653">
            <w:pPr>
              <w:spacing w:after="0" w:line="240" w:lineRule="auto"/>
              <w:jc w:val="right"/>
              <w:rPr>
                <w:rFonts w:ascii="Calibri" w:eastAsia="Times New Roman" w:hAnsi="Calibri" w:cs="Calibri"/>
                <w:b/>
                <w:bCs/>
                <w:color w:val="000000"/>
              </w:rPr>
            </w:pPr>
            <w:r w:rsidRPr="0005691D">
              <w:rPr>
                <w:rFonts w:ascii="Calibri" w:eastAsia="Times New Roman" w:hAnsi="Calibri" w:cs="Calibri"/>
                <w:b/>
                <w:bCs/>
                <w:color w:val="000000"/>
              </w:rPr>
              <w:t>Pre-ETS</w:t>
            </w:r>
          </w:p>
        </w:tc>
        <w:tc>
          <w:tcPr>
            <w:tcW w:w="1165" w:type="dxa"/>
            <w:tcBorders>
              <w:top w:val="nil"/>
              <w:left w:val="nil"/>
              <w:bottom w:val="single" w:sz="4" w:space="0" w:color="auto"/>
              <w:right w:val="single" w:sz="4" w:space="0" w:color="auto"/>
            </w:tcBorders>
            <w:shd w:val="clear" w:color="000000" w:fill="FFFFFF"/>
            <w:noWrap/>
            <w:vAlign w:val="center"/>
            <w:hideMark/>
          </w:tcPr>
          <w:p w14:paraId="61872243"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7</w:t>
            </w:r>
          </w:p>
        </w:tc>
        <w:tc>
          <w:tcPr>
            <w:tcW w:w="1254" w:type="dxa"/>
            <w:tcBorders>
              <w:top w:val="nil"/>
              <w:left w:val="nil"/>
              <w:bottom w:val="single" w:sz="4" w:space="0" w:color="auto"/>
              <w:right w:val="single" w:sz="4" w:space="0" w:color="auto"/>
            </w:tcBorders>
            <w:shd w:val="clear" w:color="000000" w:fill="FFFFFF"/>
            <w:noWrap/>
            <w:vAlign w:val="center"/>
            <w:hideMark/>
          </w:tcPr>
          <w:p w14:paraId="183A5B1B"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50%</w:t>
            </w:r>
          </w:p>
        </w:tc>
        <w:tc>
          <w:tcPr>
            <w:tcW w:w="897" w:type="dxa"/>
            <w:tcBorders>
              <w:top w:val="nil"/>
              <w:left w:val="nil"/>
              <w:bottom w:val="single" w:sz="4" w:space="0" w:color="auto"/>
              <w:right w:val="single" w:sz="4" w:space="0" w:color="auto"/>
            </w:tcBorders>
            <w:shd w:val="clear" w:color="000000" w:fill="FFFFFF"/>
            <w:noWrap/>
            <w:vAlign w:val="center"/>
            <w:hideMark/>
          </w:tcPr>
          <w:p w14:paraId="11C5CA77"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7</w:t>
            </w:r>
          </w:p>
        </w:tc>
        <w:tc>
          <w:tcPr>
            <w:tcW w:w="897" w:type="dxa"/>
            <w:tcBorders>
              <w:top w:val="nil"/>
              <w:left w:val="nil"/>
              <w:bottom w:val="single" w:sz="4" w:space="0" w:color="auto"/>
              <w:right w:val="single" w:sz="4" w:space="0" w:color="auto"/>
            </w:tcBorders>
            <w:shd w:val="clear" w:color="000000" w:fill="FFFFFF"/>
            <w:noWrap/>
            <w:vAlign w:val="center"/>
            <w:hideMark/>
          </w:tcPr>
          <w:p w14:paraId="6BF4FEC9"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2</w:t>
            </w:r>
          </w:p>
        </w:tc>
        <w:tc>
          <w:tcPr>
            <w:tcW w:w="892" w:type="dxa"/>
            <w:tcBorders>
              <w:top w:val="nil"/>
              <w:left w:val="nil"/>
              <w:bottom w:val="single" w:sz="4" w:space="0" w:color="auto"/>
              <w:right w:val="single" w:sz="4" w:space="0" w:color="auto"/>
            </w:tcBorders>
            <w:shd w:val="clear" w:color="000000" w:fill="FFFFFF"/>
            <w:noWrap/>
            <w:vAlign w:val="center"/>
            <w:hideMark/>
          </w:tcPr>
          <w:p w14:paraId="30DF50C5"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29%</w:t>
            </w:r>
          </w:p>
        </w:tc>
        <w:tc>
          <w:tcPr>
            <w:tcW w:w="1063" w:type="dxa"/>
            <w:tcBorders>
              <w:top w:val="nil"/>
              <w:left w:val="nil"/>
              <w:bottom w:val="single" w:sz="4" w:space="0" w:color="auto"/>
              <w:right w:val="single" w:sz="4" w:space="0" w:color="auto"/>
            </w:tcBorders>
            <w:shd w:val="clear" w:color="000000" w:fill="FFFFFF"/>
            <w:noWrap/>
            <w:vAlign w:val="center"/>
            <w:hideMark/>
          </w:tcPr>
          <w:p w14:paraId="022A50D7"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4</w:t>
            </w:r>
          </w:p>
        </w:tc>
        <w:tc>
          <w:tcPr>
            <w:tcW w:w="1063" w:type="dxa"/>
            <w:tcBorders>
              <w:top w:val="nil"/>
              <w:left w:val="nil"/>
              <w:bottom w:val="single" w:sz="4" w:space="0" w:color="auto"/>
              <w:right w:val="single" w:sz="4" w:space="0" w:color="auto"/>
            </w:tcBorders>
            <w:shd w:val="clear" w:color="000000" w:fill="FFFFFF"/>
            <w:noWrap/>
            <w:vAlign w:val="center"/>
            <w:hideMark/>
          </w:tcPr>
          <w:p w14:paraId="2C6BEF38"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0</w:t>
            </w:r>
          </w:p>
        </w:tc>
        <w:tc>
          <w:tcPr>
            <w:tcW w:w="1063" w:type="dxa"/>
            <w:tcBorders>
              <w:top w:val="nil"/>
              <w:left w:val="nil"/>
              <w:bottom w:val="single" w:sz="4" w:space="0" w:color="auto"/>
              <w:right w:val="single" w:sz="4" w:space="0" w:color="auto"/>
            </w:tcBorders>
            <w:shd w:val="clear" w:color="000000" w:fill="FFFFFF"/>
            <w:noWrap/>
            <w:vAlign w:val="center"/>
            <w:hideMark/>
          </w:tcPr>
          <w:p w14:paraId="43C50A24"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0%</w:t>
            </w:r>
          </w:p>
        </w:tc>
      </w:tr>
      <w:tr w:rsidR="00BA0D82" w:rsidRPr="0005691D" w14:paraId="525CC2E5" w14:textId="77777777" w:rsidTr="00BC793A">
        <w:trPr>
          <w:trHeight w:val="300"/>
        </w:trPr>
        <w:tc>
          <w:tcPr>
            <w:tcW w:w="2506" w:type="dxa"/>
            <w:tcBorders>
              <w:top w:val="nil"/>
              <w:left w:val="nil"/>
              <w:bottom w:val="nil"/>
              <w:right w:val="nil"/>
            </w:tcBorders>
            <w:shd w:val="clear" w:color="auto" w:fill="auto"/>
            <w:noWrap/>
            <w:vAlign w:val="bottom"/>
            <w:hideMark/>
          </w:tcPr>
          <w:p w14:paraId="4BE7545A" w14:textId="77777777" w:rsidR="00BA0D82" w:rsidRPr="0005691D" w:rsidRDefault="00BA0D82" w:rsidP="001A5653">
            <w:pPr>
              <w:spacing w:after="0" w:line="240" w:lineRule="auto"/>
              <w:jc w:val="center"/>
              <w:rPr>
                <w:rFonts w:ascii="Calibri" w:eastAsia="Times New Roman" w:hAnsi="Calibri" w:cs="Calibri"/>
                <w:color w:val="000000"/>
              </w:rPr>
            </w:pPr>
          </w:p>
        </w:tc>
        <w:tc>
          <w:tcPr>
            <w:tcW w:w="1165" w:type="dxa"/>
            <w:tcBorders>
              <w:top w:val="nil"/>
              <w:left w:val="nil"/>
              <w:bottom w:val="nil"/>
              <w:right w:val="nil"/>
            </w:tcBorders>
            <w:shd w:val="clear" w:color="auto" w:fill="auto"/>
            <w:noWrap/>
            <w:vAlign w:val="center"/>
            <w:hideMark/>
          </w:tcPr>
          <w:p w14:paraId="049BD30C" w14:textId="77777777" w:rsidR="00BA0D82" w:rsidRPr="0005691D" w:rsidRDefault="00BA0D82" w:rsidP="001A5653">
            <w:pPr>
              <w:spacing w:after="0" w:line="240" w:lineRule="auto"/>
              <w:rPr>
                <w:rFonts w:ascii="Times New Roman" w:eastAsia="Times New Roman" w:hAnsi="Times New Roman" w:cs="Times New Roman"/>
                <w:sz w:val="20"/>
                <w:szCs w:val="20"/>
              </w:rPr>
            </w:pPr>
          </w:p>
        </w:tc>
        <w:tc>
          <w:tcPr>
            <w:tcW w:w="1254" w:type="dxa"/>
            <w:tcBorders>
              <w:top w:val="nil"/>
              <w:left w:val="nil"/>
              <w:bottom w:val="nil"/>
              <w:right w:val="nil"/>
            </w:tcBorders>
            <w:shd w:val="clear" w:color="auto" w:fill="auto"/>
            <w:noWrap/>
            <w:vAlign w:val="center"/>
            <w:hideMark/>
          </w:tcPr>
          <w:p w14:paraId="68FC185F"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c>
          <w:tcPr>
            <w:tcW w:w="897" w:type="dxa"/>
            <w:tcBorders>
              <w:top w:val="nil"/>
              <w:left w:val="nil"/>
              <w:bottom w:val="nil"/>
              <w:right w:val="nil"/>
            </w:tcBorders>
            <w:shd w:val="clear" w:color="auto" w:fill="auto"/>
            <w:noWrap/>
            <w:vAlign w:val="center"/>
            <w:hideMark/>
          </w:tcPr>
          <w:p w14:paraId="2A3FEA60"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c>
          <w:tcPr>
            <w:tcW w:w="897" w:type="dxa"/>
            <w:tcBorders>
              <w:top w:val="nil"/>
              <w:left w:val="nil"/>
              <w:bottom w:val="nil"/>
              <w:right w:val="nil"/>
            </w:tcBorders>
            <w:shd w:val="clear" w:color="auto" w:fill="auto"/>
            <w:noWrap/>
            <w:vAlign w:val="center"/>
            <w:hideMark/>
          </w:tcPr>
          <w:p w14:paraId="710F33FF"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c>
          <w:tcPr>
            <w:tcW w:w="892" w:type="dxa"/>
            <w:tcBorders>
              <w:top w:val="nil"/>
              <w:left w:val="nil"/>
              <w:bottom w:val="nil"/>
              <w:right w:val="nil"/>
            </w:tcBorders>
            <w:shd w:val="clear" w:color="auto" w:fill="auto"/>
            <w:noWrap/>
            <w:vAlign w:val="center"/>
            <w:hideMark/>
          </w:tcPr>
          <w:p w14:paraId="6F4AB6A5"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c>
          <w:tcPr>
            <w:tcW w:w="1063" w:type="dxa"/>
            <w:tcBorders>
              <w:top w:val="nil"/>
              <w:left w:val="nil"/>
              <w:bottom w:val="nil"/>
              <w:right w:val="nil"/>
            </w:tcBorders>
            <w:shd w:val="clear" w:color="auto" w:fill="auto"/>
            <w:noWrap/>
            <w:vAlign w:val="center"/>
            <w:hideMark/>
          </w:tcPr>
          <w:p w14:paraId="204DBF45"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c>
          <w:tcPr>
            <w:tcW w:w="1063" w:type="dxa"/>
            <w:tcBorders>
              <w:top w:val="nil"/>
              <w:left w:val="nil"/>
              <w:bottom w:val="nil"/>
              <w:right w:val="nil"/>
            </w:tcBorders>
            <w:shd w:val="clear" w:color="auto" w:fill="auto"/>
            <w:noWrap/>
            <w:vAlign w:val="center"/>
            <w:hideMark/>
          </w:tcPr>
          <w:p w14:paraId="61AF801F"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c>
          <w:tcPr>
            <w:tcW w:w="1063" w:type="dxa"/>
            <w:tcBorders>
              <w:top w:val="nil"/>
              <w:left w:val="nil"/>
              <w:bottom w:val="nil"/>
              <w:right w:val="nil"/>
            </w:tcBorders>
            <w:shd w:val="clear" w:color="auto" w:fill="auto"/>
            <w:noWrap/>
            <w:vAlign w:val="center"/>
            <w:hideMark/>
          </w:tcPr>
          <w:p w14:paraId="24D31F19"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r>
      <w:tr w:rsidR="00BA0D82" w:rsidRPr="0005691D" w14:paraId="60504DB0" w14:textId="77777777" w:rsidTr="001A5653">
        <w:trPr>
          <w:trHeight w:val="465"/>
        </w:trPr>
        <w:tc>
          <w:tcPr>
            <w:tcW w:w="10800" w:type="dxa"/>
            <w:gridSpan w:val="9"/>
            <w:tcBorders>
              <w:top w:val="single" w:sz="4" w:space="0" w:color="auto"/>
              <w:left w:val="nil"/>
              <w:bottom w:val="single" w:sz="4" w:space="0" w:color="auto"/>
              <w:right w:val="nil"/>
            </w:tcBorders>
            <w:shd w:val="clear" w:color="auto" w:fill="auto"/>
            <w:noWrap/>
            <w:vAlign w:val="bottom"/>
            <w:hideMark/>
          </w:tcPr>
          <w:p w14:paraId="4BADA99A" w14:textId="77777777" w:rsidR="00BA0D82" w:rsidRPr="0005691D" w:rsidRDefault="00BA0D82" w:rsidP="00BA0D82">
            <w:pPr>
              <w:pStyle w:val="Heading2"/>
              <w:numPr>
                <w:ilvl w:val="0"/>
                <w:numId w:val="0"/>
              </w:numPr>
              <w:rPr>
                <w:rFonts w:eastAsia="Times New Roman"/>
              </w:rPr>
            </w:pPr>
            <w:bookmarkStart w:id="211" w:name="_Toc27143195"/>
            <w:bookmarkStart w:id="212" w:name="_Toc28011494"/>
            <w:r w:rsidRPr="0005691D">
              <w:rPr>
                <w:rFonts w:eastAsia="Times New Roman"/>
              </w:rPr>
              <w:t>Hawaii Combined</w:t>
            </w:r>
            <w:bookmarkEnd w:id="211"/>
            <w:bookmarkEnd w:id="212"/>
          </w:p>
        </w:tc>
      </w:tr>
      <w:tr w:rsidR="00BA0D82" w:rsidRPr="0005691D" w14:paraId="08DE6604" w14:textId="77777777" w:rsidTr="00BC793A">
        <w:trPr>
          <w:trHeight w:val="1305"/>
        </w:trPr>
        <w:tc>
          <w:tcPr>
            <w:tcW w:w="2506" w:type="dxa"/>
            <w:tcBorders>
              <w:top w:val="nil"/>
              <w:left w:val="single" w:sz="4" w:space="0" w:color="auto"/>
              <w:bottom w:val="single" w:sz="4" w:space="0" w:color="auto"/>
              <w:right w:val="single" w:sz="4" w:space="0" w:color="auto"/>
            </w:tcBorders>
            <w:shd w:val="clear" w:color="000000" w:fill="B4C6E7"/>
            <w:vAlign w:val="bottom"/>
            <w:hideMark/>
          </w:tcPr>
          <w:p w14:paraId="03C1437D" w14:textId="77777777" w:rsidR="00BA0D82" w:rsidRPr="0005691D" w:rsidRDefault="00BA0D82" w:rsidP="001A5653">
            <w:pPr>
              <w:spacing w:after="0" w:line="240" w:lineRule="auto"/>
              <w:jc w:val="right"/>
              <w:rPr>
                <w:rFonts w:ascii="Calibri" w:eastAsia="Times New Roman" w:hAnsi="Calibri" w:cs="Calibri"/>
                <w:b/>
                <w:bCs/>
                <w:color w:val="000000"/>
                <w:szCs w:val="28"/>
              </w:rPr>
            </w:pPr>
            <w:r w:rsidRPr="0005691D">
              <w:rPr>
                <w:rFonts w:ascii="Calibri" w:eastAsia="Times New Roman" w:hAnsi="Calibri" w:cs="Calibri"/>
                <w:b/>
                <w:bCs/>
                <w:color w:val="000000"/>
                <w:szCs w:val="28"/>
              </w:rPr>
              <w:t>Area</w:t>
            </w:r>
          </w:p>
        </w:tc>
        <w:tc>
          <w:tcPr>
            <w:tcW w:w="1165" w:type="dxa"/>
            <w:tcBorders>
              <w:top w:val="nil"/>
              <w:left w:val="nil"/>
              <w:bottom w:val="single" w:sz="4" w:space="0" w:color="auto"/>
              <w:right w:val="single" w:sz="4" w:space="0" w:color="auto"/>
            </w:tcBorders>
            <w:shd w:val="clear" w:color="000000" w:fill="B4C6E7"/>
            <w:vAlign w:val="bottom"/>
            <w:hideMark/>
          </w:tcPr>
          <w:p w14:paraId="2846D120"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of Total Activities</w:t>
            </w:r>
          </w:p>
        </w:tc>
        <w:tc>
          <w:tcPr>
            <w:tcW w:w="1254" w:type="dxa"/>
            <w:tcBorders>
              <w:top w:val="nil"/>
              <w:left w:val="nil"/>
              <w:bottom w:val="single" w:sz="4" w:space="0" w:color="auto"/>
              <w:right w:val="single" w:sz="4" w:space="0" w:color="auto"/>
            </w:tcBorders>
            <w:shd w:val="clear" w:color="000000" w:fill="B4C6E7"/>
            <w:vAlign w:val="bottom"/>
            <w:hideMark/>
          </w:tcPr>
          <w:p w14:paraId="3FD193BD"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Average Progress on Activities (%)</w:t>
            </w:r>
          </w:p>
        </w:tc>
        <w:tc>
          <w:tcPr>
            <w:tcW w:w="897" w:type="dxa"/>
            <w:tcBorders>
              <w:top w:val="nil"/>
              <w:left w:val="nil"/>
              <w:bottom w:val="single" w:sz="4" w:space="0" w:color="auto"/>
              <w:right w:val="single" w:sz="4" w:space="0" w:color="auto"/>
            </w:tcBorders>
            <w:shd w:val="clear" w:color="000000" w:fill="B4C6E7"/>
            <w:vAlign w:val="bottom"/>
            <w:hideMark/>
          </w:tcPr>
          <w:p w14:paraId="661D8EB4"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Outputs</w:t>
            </w:r>
          </w:p>
        </w:tc>
        <w:tc>
          <w:tcPr>
            <w:tcW w:w="897" w:type="dxa"/>
            <w:tcBorders>
              <w:top w:val="nil"/>
              <w:left w:val="nil"/>
              <w:bottom w:val="single" w:sz="4" w:space="0" w:color="auto"/>
              <w:right w:val="single" w:sz="4" w:space="0" w:color="auto"/>
            </w:tcBorders>
            <w:shd w:val="clear" w:color="000000" w:fill="B4C6E7"/>
            <w:vAlign w:val="bottom"/>
            <w:hideMark/>
          </w:tcPr>
          <w:p w14:paraId="16F86F74"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Outputs Met</w:t>
            </w:r>
          </w:p>
        </w:tc>
        <w:tc>
          <w:tcPr>
            <w:tcW w:w="892" w:type="dxa"/>
            <w:tcBorders>
              <w:top w:val="nil"/>
              <w:left w:val="nil"/>
              <w:bottom w:val="single" w:sz="4" w:space="0" w:color="auto"/>
              <w:right w:val="single" w:sz="4" w:space="0" w:color="auto"/>
            </w:tcBorders>
            <w:shd w:val="clear" w:color="000000" w:fill="B4C6E7"/>
            <w:vAlign w:val="bottom"/>
            <w:hideMark/>
          </w:tcPr>
          <w:p w14:paraId="53D8635F"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Outputs Met</w:t>
            </w:r>
          </w:p>
        </w:tc>
        <w:tc>
          <w:tcPr>
            <w:tcW w:w="1063" w:type="dxa"/>
            <w:tcBorders>
              <w:top w:val="nil"/>
              <w:left w:val="nil"/>
              <w:bottom w:val="single" w:sz="4" w:space="0" w:color="auto"/>
              <w:right w:val="single" w:sz="4" w:space="0" w:color="auto"/>
            </w:tcBorders>
            <w:shd w:val="clear" w:color="000000" w:fill="B4C6E7"/>
            <w:vAlign w:val="bottom"/>
            <w:hideMark/>
          </w:tcPr>
          <w:p w14:paraId="2F691020"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Short-Term Outcomes</w:t>
            </w:r>
          </w:p>
        </w:tc>
        <w:tc>
          <w:tcPr>
            <w:tcW w:w="1063" w:type="dxa"/>
            <w:tcBorders>
              <w:top w:val="nil"/>
              <w:left w:val="nil"/>
              <w:bottom w:val="single" w:sz="4" w:space="0" w:color="auto"/>
              <w:right w:val="single" w:sz="4" w:space="0" w:color="auto"/>
            </w:tcBorders>
            <w:shd w:val="clear" w:color="000000" w:fill="B4C6E7"/>
            <w:vAlign w:val="bottom"/>
            <w:hideMark/>
          </w:tcPr>
          <w:p w14:paraId="6C9C6294"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Short-Term Outcomes Met</w:t>
            </w:r>
          </w:p>
        </w:tc>
        <w:tc>
          <w:tcPr>
            <w:tcW w:w="1063" w:type="dxa"/>
            <w:tcBorders>
              <w:top w:val="nil"/>
              <w:left w:val="nil"/>
              <w:bottom w:val="single" w:sz="4" w:space="0" w:color="auto"/>
              <w:right w:val="single" w:sz="4" w:space="0" w:color="auto"/>
            </w:tcBorders>
            <w:shd w:val="clear" w:color="000000" w:fill="B4C6E7"/>
            <w:vAlign w:val="bottom"/>
            <w:hideMark/>
          </w:tcPr>
          <w:p w14:paraId="467EC87E"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%Short-Term Outcomes Achieved</w:t>
            </w:r>
          </w:p>
        </w:tc>
      </w:tr>
      <w:tr w:rsidR="00BA0D82" w:rsidRPr="0005691D" w14:paraId="0BC2B3C1" w14:textId="77777777" w:rsidTr="00BC793A">
        <w:trPr>
          <w:trHeight w:val="300"/>
        </w:trPr>
        <w:tc>
          <w:tcPr>
            <w:tcW w:w="2506" w:type="dxa"/>
            <w:tcBorders>
              <w:top w:val="nil"/>
              <w:left w:val="single" w:sz="4" w:space="0" w:color="auto"/>
              <w:bottom w:val="single" w:sz="4" w:space="0" w:color="auto"/>
              <w:right w:val="single" w:sz="4" w:space="0" w:color="auto"/>
            </w:tcBorders>
            <w:shd w:val="clear" w:color="000000" w:fill="B4C6E7"/>
            <w:noWrap/>
            <w:vAlign w:val="center"/>
            <w:hideMark/>
          </w:tcPr>
          <w:p w14:paraId="56FC4B91" w14:textId="77777777" w:rsidR="00BA0D82" w:rsidRPr="0005691D" w:rsidRDefault="00BA0D82" w:rsidP="001A5653">
            <w:pPr>
              <w:spacing w:after="0" w:line="240" w:lineRule="auto"/>
              <w:jc w:val="right"/>
              <w:rPr>
                <w:rFonts w:ascii="Calibri" w:eastAsia="Times New Roman" w:hAnsi="Calibri" w:cs="Calibri"/>
                <w:b/>
                <w:bCs/>
                <w:color w:val="000000"/>
              </w:rPr>
            </w:pPr>
            <w:r w:rsidRPr="0005691D">
              <w:rPr>
                <w:rFonts w:ascii="Calibri" w:eastAsia="Times New Roman" w:hAnsi="Calibri" w:cs="Calibri"/>
                <w:b/>
                <w:bCs/>
                <w:color w:val="000000"/>
              </w:rPr>
              <w:t>Pre-ETS</w:t>
            </w:r>
          </w:p>
        </w:tc>
        <w:tc>
          <w:tcPr>
            <w:tcW w:w="1165" w:type="dxa"/>
            <w:tcBorders>
              <w:top w:val="nil"/>
              <w:left w:val="nil"/>
              <w:bottom w:val="single" w:sz="4" w:space="0" w:color="auto"/>
              <w:right w:val="single" w:sz="4" w:space="0" w:color="auto"/>
            </w:tcBorders>
            <w:shd w:val="clear" w:color="000000" w:fill="FFFFFF"/>
            <w:noWrap/>
            <w:vAlign w:val="center"/>
            <w:hideMark/>
          </w:tcPr>
          <w:p w14:paraId="27EBE8A5"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6</w:t>
            </w:r>
          </w:p>
        </w:tc>
        <w:tc>
          <w:tcPr>
            <w:tcW w:w="1254" w:type="dxa"/>
            <w:tcBorders>
              <w:top w:val="nil"/>
              <w:left w:val="nil"/>
              <w:bottom w:val="single" w:sz="4" w:space="0" w:color="auto"/>
              <w:right w:val="single" w:sz="4" w:space="0" w:color="auto"/>
            </w:tcBorders>
            <w:shd w:val="clear" w:color="000000" w:fill="FFFFFF"/>
            <w:noWrap/>
            <w:vAlign w:val="center"/>
            <w:hideMark/>
          </w:tcPr>
          <w:p w14:paraId="2048DC28"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100%</w:t>
            </w:r>
          </w:p>
        </w:tc>
        <w:tc>
          <w:tcPr>
            <w:tcW w:w="897" w:type="dxa"/>
            <w:tcBorders>
              <w:top w:val="nil"/>
              <w:left w:val="nil"/>
              <w:bottom w:val="single" w:sz="4" w:space="0" w:color="auto"/>
              <w:right w:val="single" w:sz="4" w:space="0" w:color="auto"/>
            </w:tcBorders>
            <w:shd w:val="clear" w:color="000000" w:fill="FFFFFF"/>
            <w:noWrap/>
            <w:vAlign w:val="center"/>
            <w:hideMark/>
          </w:tcPr>
          <w:p w14:paraId="2632B8AF"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6</w:t>
            </w:r>
          </w:p>
        </w:tc>
        <w:tc>
          <w:tcPr>
            <w:tcW w:w="897" w:type="dxa"/>
            <w:tcBorders>
              <w:top w:val="nil"/>
              <w:left w:val="nil"/>
              <w:bottom w:val="single" w:sz="4" w:space="0" w:color="auto"/>
              <w:right w:val="single" w:sz="4" w:space="0" w:color="auto"/>
            </w:tcBorders>
            <w:shd w:val="clear" w:color="000000" w:fill="FFFFFF"/>
            <w:noWrap/>
            <w:vAlign w:val="center"/>
            <w:hideMark/>
          </w:tcPr>
          <w:p w14:paraId="02E3D65D"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6</w:t>
            </w:r>
          </w:p>
        </w:tc>
        <w:tc>
          <w:tcPr>
            <w:tcW w:w="892" w:type="dxa"/>
            <w:tcBorders>
              <w:top w:val="nil"/>
              <w:left w:val="nil"/>
              <w:bottom w:val="single" w:sz="4" w:space="0" w:color="auto"/>
              <w:right w:val="single" w:sz="4" w:space="0" w:color="auto"/>
            </w:tcBorders>
            <w:shd w:val="clear" w:color="000000" w:fill="FFFFFF"/>
            <w:noWrap/>
            <w:vAlign w:val="center"/>
            <w:hideMark/>
          </w:tcPr>
          <w:p w14:paraId="79A35784"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100%</w:t>
            </w:r>
          </w:p>
        </w:tc>
        <w:tc>
          <w:tcPr>
            <w:tcW w:w="1063" w:type="dxa"/>
            <w:tcBorders>
              <w:top w:val="nil"/>
              <w:left w:val="nil"/>
              <w:bottom w:val="single" w:sz="4" w:space="0" w:color="auto"/>
              <w:right w:val="single" w:sz="4" w:space="0" w:color="auto"/>
            </w:tcBorders>
            <w:shd w:val="clear" w:color="000000" w:fill="FFFFFF"/>
            <w:noWrap/>
            <w:vAlign w:val="center"/>
            <w:hideMark/>
          </w:tcPr>
          <w:p w14:paraId="0A6169D4"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4</w:t>
            </w:r>
          </w:p>
        </w:tc>
        <w:tc>
          <w:tcPr>
            <w:tcW w:w="1063" w:type="dxa"/>
            <w:tcBorders>
              <w:top w:val="nil"/>
              <w:left w:val="nil"/>
              <w:bottom w:val="single" w:sz="4" w:space="0" w:color="auto"/>
              <w:right w:val="single" w:sz="4" w:space="0" w:color="auto"/>
            </w:tcBorders>
            <w:shd w:val="clear" w:color="000000" w:fill="FFFFFF"/>
            <w:noWrap/>
            <w:vAlign w:val="center"/>
            <w:hideMark/>
          </w:tcPr>
          <w:p w14:paraId="5625B2C5"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w:t>
            </w:r>
          </w:p>
        </w:tc>
        <w:tc>
          <w:tcPr>
            <w:tcW w:w="1063" w:type="dxa"/>
            <w:tcBorders>
              <w:top w:val="nil"/>
              <w:left w:val="nil"/>
              <w:bottom w:val="single" w:sz="4" w:space="0" w:color="auto"/>
              <w:right w:val="single" w:sz="4" w:space="0" w:color="auto"/>
            </w:tcBorders>
            <w:shd w:val="clear" w:color="000000" w:fill="FFFFFF"/>
            <w:noWrap/>
            <w:vAlign w:val="center"/>
            <w:hideMark/>
          </w:tcPr>
          <w:p w14:paraId="7F4817B7"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25%</w:t>
            </w:r>
          </w:p>
        </w:tc>
      </w:tr>
      <w:tr w:rsidR="00BA0D82" w:rsidRPr="0005691D" w14:paraId="2B1C76D4" w14:textId="77777777" w:rsidTr="00BC793A">
        <w:trPr>
          <w:trHeight w:val="300"/>
        </w:trPr>
        <w:tc>
          <w:tcPr>
            <w:tcW w:w="2506" w:type="dxa"/>
            <w:tcBorders>
              <w:top w:val="nil"/>
              <w:left w:val="single" w:sz="4" w:space="0" w:color="auto"/>
              <w:bottom w:val="single" w:sz="4" w:space="0" w:color="auto"/>
              <w:right w:val="single" w:sz="4" w:space="0" w:color="auto"/>
            </w:tcBorders>
            <w:shd w:val="clear" w:color="000000" w:fill="B4C6E7"/>
            <w:noWrap/>
            <w:vAlign w:val="center"/>
            <w:hideMark/>
          </w:tcPr>
          <w:p w14:paraId="4776B8B9" w14:textId="77777777" w:rsidR="00BA0D82" w:rsidRPr="0005691D" w:rsidRDefault="00BA0D82" w:rsidP="001A5653">
            <w:pPr>
              <w:spacing w:after="0" w:line="240" w:lineRule="auto"/>
              <w:jc w:val="right"/>
              <w:rPr>
                <w:rFonts w:ascii="Calibri" w:eastAsia="Times New Roman" w:hAnsi="Calibri" w:cs="Calibri"/>
                <w:b/>
                <w:bCs/>
                <w:color w:val="000000"/>
              </w:rPr>
            </w:pPr>
            <w:r w:rsidRPr="0005691D">
              <w:rPr>
                <w:rFonts w:ascii="Calibri" w:eastAsia="Times New Roman" w:hAnsi="Calibri" w:cs="Calibri"/>
                <w:b/>
                <w:bCs/>
                <w:color w:val="000000"/>
              </w:rPr>
              <w:t>Section 511</w:t>
            </w:r>
          </w:p>
        </w:tc>
        <w:tc>
          <w:tcPr>
            <w:tcW w:w="1165" w:type="dxa"/>
            <w:tcBorders>
              <w:top w:val="nil"/>
              <w:left w:val="nil"/>
              <w:bottom w:val="single" w:sz="4" w:space="0" w:color="auto"/>
              <w:right w:val="single" w:sz="4" w:space="0" w:color="auto"/>
            </w:tcBorders>
            <w:shd w:val="clear" w:color="000000" w:fill="D9E2F3"/>
            <w:noWrap/>
            <w:vAlign w:val="center"/>
            <w:hideMark/>
          </w:tcPr>
          <w:p w14:paraId="3099613B"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w:t>
            </w:r>
          </w:p>
        </w:tc>
        <w:tc>
          <w:tcPr>
            <w:tcW w:w="1254" w:type="dxa"/>
            <w:tcBorders>
              <w:top w:val="nil"/>
              <w:left w:val="nil"/>
              <w:bottom w:val="single" w:sz="4" w:space="0" w:color="auto"/>
              <w:right w:val="single" w:sz="4" w:space="0" w:color="auto"/>
            </w:tcBorders>
            <w:shd w:val="clear" w:color="000000" w:fill="D9E2F3"/>
            <w:noWrap/>
            <w:vAlign w:val="center"/>
            <w:hideMark/>
          </w:tcPr>
          <w:p w14:paraId="0733EDFA"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100%</w:t>
            </w:r>
          </w:p>
        </w:tc>
        <w:tc>
          <w:tcPr>
            <w:tcW w:w="897" w:type="dxa"/>
            <w:tcBorders>
              <w:top w:val="nil"/>
              <w:left w:val="nil"/>
              <w:bottom w:val="single" w:sz="4" w:space="0" w:color="auto"/>
              <w:right w:val="single" w:sz="4" w:space="0" w:color="auto"/>
            </w:tcBorders>
            <w:shd w:val="clear" w:color="000000" w:fill="D9E2F3"/>
            <w:noWrap/>
            <w:vAlign w:val="center"/>
            <w:hideMark/>
          </w:tcPr>
          <w:p w14:paraId="6E3D459E"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w:t>
            </w:r>
          </w:p>
        </w:tc>
        <w:tc>
          <w:tcPr>
            <w:tcW w:w="897" w:type="dxa"/>
            <w:tcBorders>
              <w:top w:val="nil"/>
              <w:left w:val="nil"/>
              <w:bottom w:val="single" w:sz="4" w:space="0" w:color="auto"/>
              <w:right w:val="single" w:sz="4" w:space="0" w:color="auto"/>
            </w:tcBorders>
            <w:shd w:val="clear" w:color="000000" w:fill="D9E2F3"/>
            <w:noWrap/>
            <w:vAlign w:val="center"/>
            <w:hideMark/>
          </w:tcPr>
          <w:p w14:paraId="3FA4A846"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w:t>
            </w:r>
          </w:p>
        </w:tc>
        <w:tc>
          <w:tcPr>
            <w:tcW w:w="892" w:type="dxa"/>
            <w:tcBorders>
              <w:top w:val="nil"/>
              <w:left w:val="nil"/>
              <w:bottom w:val="single" w:sz="4" w:space="0" w:color="auto"/>
              <w:right w:val="single" w:sz="4" w:space="0" w:color="auto"/>
            </w:tcBorders>
            <w:shd w:val="clear" w:color="000000" w:fill="D9E2F3"/>
            <w:noWrap/>
            <w:vAlign w:val="center"/>
            <w:hideMark/>
          </w:tcPr>
          <w:p w14:paraId="2AD8523C"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100%</w:t>
            </w:r>
          </w:p>
        </w:tc>
        <w:tc>
          <w:tcPr>
            <w:tcW w:w="1063" w:type="dxa"/>
            <w:tcBorders>
              <w:top w:val="nil"/>
              <w:left w:val="nil"/>
              <w:bottom w:val="single" w:sz="4" w:space="0" w:color="auto"/>
              <w:right w:val="single" w:sz="4" w:space="0" w:color="auto"/>
            </w:tcBorders>
            <w:shd w:val="clear" w:color="000000" w:fill="D9E2F3"/>
            <w:noWrap/>
            <w:vAlign w:val="center"/>
            <w:hideMark/>
          </w:tcPr>
          <w:p w14:paraId="47D7823E"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2</w:t>
            </w:r>
          </w:p>
        </w:tc>
        <w:tc>
          <w:tcPr>
            <w:tcW w:w="1063" w:type="dxa"/>
            <w:tcBorders>
              <w:top w:val="nil"/>
              <w:left w:val="nil"/>
              <w:bottom w:val="single" w:sz="4" w:space="0" w:color="auto"/>
              <w:right w:val="single" w:sz="4" w:space="0" w:color="auto"/>
            </w:tcBorders>
            <w:shd w:val="clear" w:color="000000" w:fill="D9E2F3"/>
            <w:noWrap/>
            <w:vAlign w:val="center"/>
            <w:hideMark/>
          </w:tcPr>
          <w:p w14:paraId="31AC5213"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2</w:t>
            </w:r>
          </w:p>
        </w:tc>
        <w:tc>
          <w:tcPr>
            <w:tcW w:w="1063" w:type="dxa"/>
            <w:tcBorders>
              <w:top w:val="nil"/>
              <w:left w:val="nil"/>
              <w:bottom w:val="single" w:sz="4" w:space="0" w:color="auto"/>
              <w:right w:val="single" w:sz="4" w:space="0" w:color="auto"/>
            </w:tcBorders>
            <w:shd w:val="clear" w:color="000000" w:fill="D9E2F3"/>
            <w:noWrap/>
            <w:vAlign w:val="center"/>
            <w:hideMark/>
          </w:tcPr>
          <w:p w14:paraId="3AD57CAB"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100%</w:t>
            </w:r>
          </w:p>
        </w:tc>
      </w:tr>
      <w:tr w:rsidR="00BA0D82" w:rsidRPr="0005691D" w14:paraId="5DA168DE" w14:textId="77777777" w:rsidTr="00BC793A">
        <w:trPr>
          <w:trHeight w:val="300"/>
        </w:trPr>
        <w:tc>
          <w:tcPr>
            <w:tcW w:w="2506" w:type="dxa"/>
            <w:tcBorders>
              <w:top w:val="nil"/>
              <w:left w:val="single" w:sz="4" w:space="0" w:color="auto"/>
              <w:bottom w:val="single" w:sz="4" w:space="0" w:color="auto"/>
              <w:right w:val="single" w:sz="4" w:space="0" w:color="auto"/>
            </w:tcBorders>
            <w:shd w:val="clear" w:color="000000" w:fill="B4C6E7"/>
            <w:noWrap/>
            <w:vAlign w:val="center"/>
            <w:hideMark/>
          </w:tcPr>
          <w:p w14:paraId="7E075A29" w14:textId="77777777" w:rsidR="00BA0D82" w:rsidRPr="0005691D" w:rsidRDefault="00BA0D82" w:rsidP="001A5653">
            <w:pPr>
              <w:spacing w:after="0" w:line="240" w:lineRule="auto"/>
              <w:jc w:val="right"/>
              <w:rPr>
                <w:rFonts w:ascii="Calibri" w:eastAsia="Times New Roman" w:hAnsi="Calibri" w:cs="Calibri"/>
                <w:b/>
                <w:bCs/>
                <w:color w:val="000000"/>
              </w:rPr>
            </w:pPr>
            <w:r w:rsidRPr="0005691D">
              <w:rPr>
                <w:rFonts w:ascii="Calibri" w:eastAsia="Times New Roman" w:hAnsi="Calibri" w:cs="Calibri"/>
                <w:b/>
                <w:bCs/>
                <w:color w:val="000000"/>
              </w:rPr>
              <w:t>Workforce Integration</w:t>
            </w:r>
          </w:p>
        </w:tc>
        <w:tc>
          <w:tcPr>
            <w:tcW w:w="1165" w:type="dxa"/>
            <w:tcBorders>
              <w:top w:val="nil"/>
              <w:left w:val="nil"/>
              <w:bottom w:val="single" w:sz="4" w:space="0" w:color="auto"/>
              <w:right w:val="single" w:sz="4" w:space="0" w:color="auto"/>
            </w:tcBorders>
            <w:shd w:val="clear" w:color="000000" w:fill="FFFFFF"/>
            <w:noWrap/>
            <w:vAlign w:val="center"/>
            <w:hideMark/>
          </w:tcPr>
          <w:p w14:paraId="7B1ACB1B"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w:t>
            </w:r>
          </w:p>
        </w:tc>
        <w:tc>
          <w:tcPr>
            <w:tcW w:w="1254" w:type="dxa"/>
            <w:tcBorders>
              <w:top w:val="nil"/>
              <w:left w:val="nil"/>
              <w:bottom w:val="single" w:sz="4" w:space="0" w:color="auto"/>
              <w:right w:val="single" w:sz="4" w:space="0" w:color="auto"/>
            </w:tcBorders>
            <w:shd w:val="clear" w:color="000000" w:fill="FFFFFF"/>
            <w:noWrap/>
            <w:vAlign w:val="center"/>
            <w:hideMark/>
          </w:tcPr>
          <w:p w14:paraId="4DEEC085"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90%</w:t>
            </w:r>
          </w:p>
        </w:tc>
        <w:tc>
          <w:tcPr>
            <w:tcW w:w="897" w:type="dxa"/>
            <w:tcBorders>
              <w:top w:val="nil"/>
              <w:left w:val="nil"/>
              <w:bottom w:val="single" w:sz="4" w:space="0" w:color="auto"/>
              <w:right w:val="single" w:sz="4" w:space="0" w:color="auto"/>
            </w:tcBorders>
            <w:shd w:val="clear" w:color="000000" w:fill="FFFFFF"/>
            <w:noWrap/>
            <w:vAlign w:val="center"/>
            <w:hideMark/>
          </w:tcPr>
          <w:p w14:paraId="5B5C95F1"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w:t>
            </w:r>
          </w:p>
        </w:tc>
        <w:tc>
          <w:tcPr>
            <w:tcW w:w="897" w:type="dxa"/>
            <w:tcBorders>
              <w:top w:val="nil"/>
              <w:left w:val="nil"/>
              <w:bottom w:val="single" w:sz="4" w:space="0" w:color="auto"/>
              <w:right w:val="single" w:sz="4" w:space="0" w:color="auto"/>
            </w:tcBorders>
            <w:shd w:val="clear" w:color="000000" w:fill="FFFFFF"/>
            <w:noWrap/>
            <w:vAlign w:val="center"/>
            <w:hideMark/>
          </w:tcPr>
          <w:p w14:paraId="09F12069"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0</w:t>
            </w:r>
          </w:p>
        </w:tc>
        <w:tc>
          <w:tcPr>
            <w:tcW w:w="892" w:type="dxa"/>
            <w:tcBorders>
              <w:top w:val="nil"/>
              <w:left w:val="nil"/>
              <w:bottom w:val="single" w:sz="4" w:space="0" w:color="auto"/>
              <w:right w:val="single" w:sz="4" w:space="0" w:color="auto"/>
            </w:tcBorders>
            <w:shd w:val="clear" w:color="000000" w:fill="FFFFFF"/>
            <w:noWrap/>
            <w:vAlign w:val="center"/>
            <w:hideMark/>
          </w:tcPr>
          <w:p w14:paraId="0275182B"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0%</w:t>
            </w:r>
          </w:p>
        </w:tc>
        <w:tc>
          <w:tcPr>
            <w:tcW w:w="1063" w:type="dxa"/>
            <w:tcBorders>
              <w:top w:val="nil"/>
              <w:left w:val="nil"/>
              <w:bottom w:val="single" w:sz="4" w:space="0" w:color="auto"/>
              <w:right w:val="single" w:sz="4" w:space="0" w:color="auto"/>
            </w:tcBorders>
            <w:shd w:val="clear" w:color="000000" w:fill="FFFFFF"/>
            <w:noWrap/>
            <w:vAlign w:val="center"/>
            <w:hideMark/>
          </w:tcPr>
          <w:p w14:paraId="612CC9B0"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0</w:t>
            </w:r>
          </w:p>
        </w:tc>
        <w:tc>
          <w:tcPr>
            <w:tcW w:w="1063" w:type="dxa"/>
            <w:tcBorders>
              <w:top w:val="nil"/>
              <w:left w:val="nil"/>
              <w:bottom w:val="single" w:sz="4" w:space="0" w:color="auto"/>
              <w:right w:val="single" w:sz="4" w:space="0" w:color="auto"/>
            </w:tcBorders>
            <w:shd w:val="clear" w:color="000000" w:fill="FFFFFF"/>
            <w:noWrap/>
            <w:vAlign w:val="center"/>
            <w:hideMark/>
          </w:tcPr>
          <w:p w14:paraId="0E425B41"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0</w:t>
            </w:r>
          </w:p>
        </w:tc>
        <w:tc>
          <w:tcPr>
            <w:tcW w:w="1063" w:type="dxa"/>
            <w:tcBorders>
              <w:top w:val="nil"/>
              <w:left w:val="nil"/>
              <w:bottom w:val="single" w:sz="4" w:space="0" w:color="auto"/>
              <w:right w:val="single" w:sz="4" w:space="0" w:color="auto"/>
            </w:tcBorders>
            <w:shd w:val="clear" w:color="000000" w:fill="FFFFFF"/>
            <w:noWrap/>
            <w:vAlign w:val="center"/>
            <w:hideMark/>
          </w:tcPr>
          <w:p w14:paraId="22B38FD3"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 </w:t>
            </w:r>
          </w:p>
        </w:tc>
      </w:tr>
      <w:tr w:rsidR="00BA0D82" w:rsidRPr="0005691D" w14:paraId="05ABE74F" w14:textId="77777777" w:rsidTr="00BC793A">
        <w:trPr>
          <w:trHeight w:val="300"/>
        </w:trPr>
        <w:tc>
          <w:tcPr>
            <w:tcW w:w="2506" w:type="dxa"/>
            <w:tcBorders>
              <w:top w:val="nil"/>
              <w:left w:val="single" w:sz="4" w:space="0" w:color="auto"/>
              <w:bottom w:val="single" w:sz="4" w:space="0" w:color="auto"/>
              <w:right w:val="single" w:sz="4" w:space="0" w:color="auto"/>
            </w:tcBorders>
            <w:shd w:val="clear" w:color="000000" w:fill="B4C6E7"/>
            <w:noWrap/>
            <w:vAlign w:val="center"/>
            <w:hideMark/>
          </w:tcPr>
          <w:p w14:paraId="1440F6FA" w14:textId="77777777" w:rsidR="00BA0D82" w:rsidRPr="0005691D" w:rsidRDefault="00BA0D82" w:rsidP="001A5653">
            <w:pPr>
              <w:spacing w:after="0" w:line="240" w:lineRule="auto"/>
              <w:jc w:val="right"/>
              <w:rPr>
                <w:rFonts w:ascii="Calibri" w:eastAsia="Times New Roman" w:hAnsi="Calibri" w:cs="Calibri"/>
                <w:b/>
                <w:bCs/>
                <w:color w:val="000000"/>
              </w:rPr>
            </w:pPr>
            <w:r w:rsidRPr="0005691D">
              <w:rPr>
                <w:rFonts w:ascii="Calibri" w:eastAsia="Times New Roman" w:hAnsi="Calibri" w:cs="Calibri"/>
                <w:b/>
                <w:bCs/>
                <w:color w:val="000000"/>
              </w:rPr>
              <w:t>Common Performance Measures</w:t>
            </w:r>
          </w:p>
        </w:tc>
        <w:tc>
          <w:tcPr>
            <w:tcW w:w="1165" w:type="dxa"/>
            <w:tcBorders>
              <w:top w:val="nil"/>
              <w:left w:val="nil"/>
              <w:bottom w:val="single" w:sz="4" w:space="0" w:color="auto"/>
              <w:right w:val="single" w:sz="4" w:space="0" w:color="auto"/>
            </w:tcBorders>
            <w:shd w:val="clear" w:color="000000" w:fill="D9E2F3"/>
            <w:noWrap/>
            <w:vAlign w:val="center"/>
            <w:hideMark/>
          </w:tcPr>
          <w:p w14:paraId="1B4F7EA2"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4</w:t>
            </w:r>
          </w:p>
        </w:tc>
        <w:tc>
          <w:tcPr>
            <w:tcW w:w="1254" w:type="dxa"/>
            <w:tcBorders>
              <w:top w:val="nil"/>
              <w:left w:val="nil"/>
              <w:bottom w:val="single" w:sz="4" w:space="0" w:color="auto"/>
              <w:right w:val="single" w:sz="4" w:space="0" w:color="auto"/>
            </w:tcBorders>
            <w:shd w:val="clear" w:color="000000" w:fill="D9E2F3"/>
            <w:noWrap/>
            <w:vAlign w:val="center"/>
            <w:hideMark/>
          </w:tcPr>
          <w:p w14:paraId="53B9CDF7"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56%</w:t>
            </w:r>
          </w:p>
        </w:tc>
        <w:tc>
          <w:tcPr>
            <w:tcW w:w="897" w:type="dxa"/>
            <w:tcBorders>
              <w:top w:val="nil"/>
              <w:left w:val="nil"/>
              <w:bottom w:val="single" w:sz="4" w:space="0" w:color="auto"/>
              <w:right w:val="single" w:sz="4" w:space="0" w:color="auto"/>
            </w:tcBorders>
            <w:shd w:val="clear" w:color="000000" w:fill="D9E2F3"/>
            <w:noWrap/>
            <w:vAlign w:val="center"/>
            <w:hideMark/>
          </w:tcPr>
          <w:p w14:paraId="1A1F50A7"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4</w:t>
            </w:r>
          </w:p>
        </w:tc>
        <w:tc>
          <w:tcPr>
            <w:tcW w:w="897" w:type="dxa"/>
            <w:tcBorders>
              <w:top w:val="nil"/>
              <w:left w:val="nil"/>
              <w:bottom w:val="single" w:sz="4" w:space="0" w:color="auto"/>
              <w:right w:val="single" w:sz="4" w:space="0" w:color="auto"/>
            </w:tcBorders>
            <w:shd w:val="clear" w:color="000000" w:fill="D9E2F3"/>
            <w:noWrap/>
            <w:vAlign w:val="center"/>
            <w:hideMark/>
          </w:tcPr>
          <w:p w14:paraId="3E65DAEE"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w:t>
            </w:r>
          </w:p>
        </w:tc>
        <w:tc>
          <w:tcPr>
            <w:tcW w:w="892" w:type="dxa"/>
            <w:tcBorders>
              <w:top w:val="nil"/>
              <w:left w:val="nil"/>
              <w:bottom w:val="single" w:sz="4" w:space="0" w:color="auto"/>
              <w:right w:val="single" w:sz="4" w:space="0" w:color="auto"/>
            </w:tcBorders>
            <w:shd w:val="clear" w:color="000000" w:fill="D9E2F3"/>
            <w:noWrap/>
            <w:vAlign w:val="center"/>
            <w:hideMark/>
          </w:tcPr>
          <w:p w14:paraId="648CA224"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25%</w:t>
            </w:r>
          </w:p>
        </w:tc>
        <w:tc>
          <w:tcPr>
            <w:tcW w:w="1063" w:type="dxa"/>
            <w:tcBorders>
              <w:top w:val="nil"/>
              <w:left w:val="nil"/>
              <w:bottom w:val="single" w:sz="4" w:space="0" w:color="auto"/>
              <w:right w:val="single" w:sz="4" w:space="0" w:color="auto"/>
            </w:tcBorders>
            <w:shd w:val="clear" w:color="000000" w:fill="D9E2F3"/>
            <w:noWrap/>
            <w:vAlign w:val="center"/>
            <w:hideMark/>
          </w:tcPr>
          <w:p w14:paraId="02353C70"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2</w:t>
            </w:r>
          </w:p>
        </w:tc>
        <w:tc>
          <w:tcPr>
            <w:tcW w:w="1063" w:type="dxa"/>
            <w:tcBorders>
              <w:top w:val="nil"/>
              <w:left w:val="nil"/>
              <w:bottom w:val="single" w:sz="4" w:space="0" w:color="auto"/>
              <w:right w:val="single" w:sz="4" w:space="0" w:color="auto"/>
            </w:tcBorders>
            <w:shd w:val="clear" w:color="000000" w:fill="D9E2F3"/>
            <w:noWrap/>
            <w:vAlign w:val="center"/>
            <w:hideMark/>
          </w:tcPr>
          <w:p w14:paraId="4F5C43BE"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2</w:t>
            </w:r>
          </w:p>
        </w:tc>
        <w:tc>
          <w:tcPr>
            <w:tcW w:w="1063" w:type="dxa"/>
            <w:tcBorders>
              <w:top w:val="nil"/>
              <w:left w:val="nil"/>
              <w:bottom w:val="single" w:sz="4" w:space="0" w:color="auto"/>
              <w:right w:val="single" w:sz="4" w:space="0" w:color="auto"/>
            </w:tcBorders>
            <w:shd w:val="clear" w:color="000000" w:fill="D9E2F3"/>
            <w:noWrap/>
            <w:vAlign w:val="center"/>
            <w:hideMark/>
          </w:tcPr>
          <w:p w14:paraId="219FAC90"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100%</w:t>
            </w:r>
          </w:p>
        </w:tc>
      </w:tr>
      <w:tr w:rsidR="00BA0D82" w:rsidRPr="0005691D" w14:paraId="75F22399" w14:textId="77777777" w:rsidTr="00BC793A">
        <w:trPr>
          <w:trHeight w:val="300"/>
        </w:trPr>
        <w:tc>
          <w:tcPr>
            <w:tcW w:w="2506" w:type="dxa"/>
            <w:tcBorders>
              <w:top w:val="nil"/>
              <w:left w:val="single" w:sz="4" w:space="0" w:color="auto"/>
              <w:bottom w:val="single" w:sz="4" w:space="0" w:color="auto"/>
              <w:right w:val="single" w:sz="4" w:space="0" w:color="auto"/>
            </w:tcBorders>
            <w:shd w:val="clear" w:color="000000" w:fill="B4C6E7"/>
            <w:noWrap/>
            <w:vAlign w:val="center"/>
            <w:hideMark/>
          </w:tcPr>
          <w:p w14:paraId="2ED570C1" w14:textId="77777777" w:rsidR="00BA0D82" w:rsidRPr="0005691D" w:rsidRDefault="00BA0D82" w:rsidP="001A5653">
            <w:pPr>
              <w:spacing w:after="0" w:line="240" w:lineRule="auto"/>
              <w:jc w:val="right"/>
              <w:rPr>
                <w:rFonts w:ascii="Calibri" w:eastAsia="Times New Roman" w:hAnsi="Calibri" w:cs="Calibri"/>
                <w:b/>
                <w:bCs/>
                <w:color w:val="000000"/>
              </w:rPr>
            </w:pPr>
            <w:r w:rsidRPr="0005691D">
              <w:rPr>
                <w:rFonts w:ascii="Calibri" w:eastAsia="Times New Roman" w:hAnsi="Calibri" w:cs="Calibri"/>
                <w:b/>
                <w:bCs/>
                <w:color w:val="000000"/>
              </w:rPr>
              <w:t>Supported Employment</w:t>
            </w:r>
          </w:p>
        </w:tc>
        <w:tc>
          <w:tcPr>
            <w:tcW w:w="1165" w:type="dxa"/>
            <w:tcBorders>
              <w:top w:val="nil"/>
              <w:left w:val="nil"/>
              <w:bottom w:val="single" w:sz="4" w:space="0" w:color="auto"/>
              <w:right w:val="single" w:sz="4" w:space="0" w:color="auto"/>
            </w:tcBorders>
            <w:shd w:val="clear" w:color="000000" w:fill="FFFFFF"/>
            <w:noWrap/>
            <w:vAlign w:val="center"/>
            <w:hideMark/>
          </w:tcPr>
          <w:p w14:paraId="4D5378A6"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w:t>
            </w:r>
          </w:p>
        </w:tc>
        <w:tc>
          <w:tcPr>
            <w:tcW w:w="1254" w:type="dxa"/>
            <w:tcBorders>
              <w:top w:val="nil"/>
              <w:left w:val="nil"/>
              <w:bottom w:val="single" w:sz="4" w:space="0" w:color="auto"/>
              <w:right w:val="single" w:sz="4" w:space="0" w:color="auto"/>
            </w:tcBorders>
            <w:shd w:val="clear" w:color="000000" w:fill="FFFFFF"/>
            <w:noWrap/>
            <w:vAlign w:val="center"/>
            <w:hideMark/>
          </w:tcPr>
          <w:p w14:paraId="16485EA9"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90%</w:t>
            </w:r>
          </w:p>
        </w:tc>
        <w:tc>
          <w:tcPr>
            <w:tcW w:w="897" w:type="dxa"/>
            <w:tcBorders>
              <w:top w:val="nil"/>
              <w:left w:val="nil"/>
              <w:bottom w:val="single" w:sz="4" w:space="0" w:color="auto"/>
              <w:right w:val="single" w:sz="4" w:space="0" w:color="auto"/>
            </w:tcBorders>
            <w:shd w:val="clear" w:color="000000" w:fill="FFFFFF"/>
            <w:noWrap/>
            <w:vAlign w:val="center"/>
            <w:hideMark/>
          </w:tcPr>
          <w:p w14:paraId="71643183"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w:t>
            </w:r>
          </w:p>
        </w:tc>
        <w:tc>
          <w:tcPr>
            <w:tcW w:w="897" w:type="dxa"/>
            <w:tcBorders>
              <w:top w:val="nil"/>
              <w:left w:val="nil"/>
              <w:bottom w:val="single" w:sz="4" w:space="0" w:color="auto"/>
              <w:right w:val="single" w:sz="4" w:space="0" w:color="auto"/>
            </w:tcBorders>
            <w:shd w:val="clear" w:color="000000" w:fill="FFFFFF"/>
            <w:noWrap/>
            <w:vAlign w:val="center"/>
            <w:hideMark/>
          </w:tcPr>
          <w:p w14:paraId="2BCC70AB"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0</w:t>
            </w:r>
          </w:p>
        </w:tc>
        <w:tc>
          <w:tcPr>
            <w:tcW w:w="892" w:type="dxa"/>
            <w:tcBorders>
              <w:top w:val="nil"/>
              <w:left w:val="nil"/>
              <w:bottom w:val="single" w:sz="4" w:space="0" w:color="auto"/>
              <w:right w:val="single" w:sz="4" w:space="0" w:color="auto"/>
            </w:tcBorders>
            <w:shd w:val="clear" w:color="000000" w:fill="FFFFFF"/>
            <w:noWrap/>
            <w:vAlign w:val="center"/>
            <w:hideMark/>
          </w:tcPr>
          <w:p w14:paraId="5D0B102F"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0%</w:t>
            </w:r>
          </w:p>
        </w:tc>
        <w:tc>
          <w:tcPr>
            <w:tcW w:w="1063" w:type="dxa"/>
            <w:tcBorders>
              <w:top w:val="nil"/>
              <w:left w:val="nil"/>
              <w:bottom w:val="single" w:sz="4" w:space="0" w:color="auto"/>
              <w:right w:val="single" w:sz="4" w:space="0" w:color="auto"/>
            </w:tcBorders>
            <w:shd w:val="clear" w:color="000000" w:fill="FFFFFF"/>
            <w:noWrap/>
            <w:vAlign w:val="center"/>
            <w:hideMark/>
          </w:tcPr>
          <w:p w14:paraId="0C78C088"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w:t>
            </w:r>
          </w:p>
        </w:tc>
        <w:tc>
          <w:tcPr>
            <w:tcW w:w="1063" w:type="dxa"/>
            <w:tcBorders>
              <w:top w:val="nil"/>
              <w:left w:val="nil"/>
              <w:bottom w:val="single" w:sz="4" w:space="0" w:color="auto"/>
              <w:right w:val="single" w:sz="4" w:space="0" w:color="auto"/>
            </w:tcBorders>
            <w:shd w:val="clear" w:color="000000" w:fill="FFFFFF"/>
            <w:noWrap/>
            <w:vAlign w:val="center"/>
            <w:hideMark/>
          </w:tcPr>
          <w:p w14:paraId="0F7ED2A3"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0</w:t>
            </w:r>
          </w:p>
        </w:tc>
        <w:tc>
          <w:tcPr>
            <w:tcW w:w="1063" w:type="dxa"/>
            <w:tcBorders>
              <w:top w:val="nil"/>
              <w:left w:val="nil"/>
              <w:bottom w:val="single" w:sz="4" w:space="0" w:color="auto"/>
              <w:right w:val="single" w:sz="4" w:space="0" w:color="auto"/>
            </w:tcBorders>
            <w:shd w:val="clear" w:color="000000" w:fill="FFFFFF"/>
            <w:noWrap/>
            <w:vAlign w:val="center"/>
            <w:hideMark/>
          </w:tcPr>
          <w:p w14:paraId="0F6377A8"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0%</w:t>
            </w:r>
          </w:p>
        </w:tc>
      </w:tr>
      <w:tr w:rsidR="00BA0D82" w:rsidRPr="0005691D" w14:paraId="530C5423" w14:textId="77777777" w:rsidTr="00BC793A">
        <w:trPr>
          <w:trHeight w:val="300"/>
        </w:trPr>
        <w:tc>
          <w:tcPr>
            <w:tcW w:w="2506" w:type="dxa"/>
            <w:tcBorders>
              <w:top w:val="nil"/>
              <w:left w:val="nil"/>
              <w:bottom w:val="nil"/>
              <w:right w:val="nil"/>
            </w:tcBorders>
            <w:shd w:val="clear" w:color="auto" w:fill="auto"/>
            <w:noWrap/>
            <w:vAlign w:val="bottom"/>
            <w:hideMark/>
          </w:tcPr>
          <w:p w14:paraId="654C8DEE" w14:textId="77777777" w:rsidR="00BA0D82" w:rsidRPr="0005691D" w:rsidRDefault="00BA0D82" w:rsidP="001A5653">
            <w:pPr>
              <w:spacing w:after="0" w:line="240" w:lineRule="auto"/>
              <w:jc w:val="center"/>
              <w:rPr>
                <w:rFonts w:ascii="Calibri" w:eastAsia="Times New Roman" w:hAnsi="Calibri" w:cs="Calibri"/>
                <w:color w:val="000000"/>
              </w:rPr>
            </w:pPr>
          </w:p>
        </w:tc>
        <w:tc>
          <w:tcPr>
            <w:tcW w:w="1165" w:type="dxa"/>
            <w:tcBorders>
              <w:top w:val="nil"/>
              <w:left w:val="nil"/>
              <w:bottom w:val="nil"/>
              <w:right w:val="nil"/>
            </w:tcBorders>
            <w:shd w:val="clear" w:color="auto" w:fill="auto"/>
            <w:noWrap/>
            <w:vAlign w:val="center"/>
            <w:hideMark/>
          </w:tcPr>
          <w:p w14:paraId="44EDCC49" w14:textId="77777777" w:rsidR="00BA0D82" w:rsidRPr="0005691D" w:rsidRDefault="00BA0D82" w:rsidP="001A5653">
            <w:pPr>
              <w:spacing w:after="0" w:line="240" w:lineRule="auto"/>
              <w:rPr>
                <w:rFonts w:ascii="Times New Roman" w:eastAsia="Times New Roman" w:hAnsi="Times New Roman" w:cs="Times New Roman"/>
                <w:sz w:val="20"/>
                <w:szCs w:val="20"/>
              </w:rPr>
            </w:pPr>
          </w:p>
        </w:tc>
        <w:tc>
          <w:tcPr>
            <w:tcW w:w="1254" w:type="dxa"/>
            <w:tcBorders>
              <w:top w:val="nil"/>
              <w:left w:val="nil"/>
              <w:bottom w:val="nil"/>
              <w:right w:val="nil"/>
            </w:tcBorders>
            <w:shd w:val="clear" w:color="auto" w:fill="auto"/>
            <w:noWrap/>
            <w:vAlign w:val="center"/>
            <w:hideMark/>
          </w:tcPr>
          <w:p w14:paraId="71C2EAC7"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c>
          <w:tcPr>
            <w:tcW w:w="897" w:type="dxa"/>
            <w:tcBorders>
              <w:top w:val="nil"/>
              <w:left w:val="nil"/>
              <w:bottom w:val="nil"/>
              <w:right w:val="nil"/>
            </w:tcBorders>
            <w:shd w:val="clear" w:color="auto" w:fill="auto"/>
            <w:noWrap/>
            <w:vAlign w:val="center"/>
            <w:hideMark/>
          </w:tcPr>
          <w:p w14:paraId="5DB5C176"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c>
          <w:tcPr>
            <w:tcW w:w="897" w:type="dxa"/>
            <w:tcBorders>
              <w:top w:val="nil"/>
              <w:left w:val="nil"/>
              <w:bottom w:val="nil"/>
              <w:right w:val="nil"/>
            </w:tcBorders>
            <w:shd w:val="clear" w:color="auto" w:fill="auto"/>
            <w:noWrap/>
            <w:vAlign w:val="center"/>
            <w:hideMark/>
          </w:tcPr>
          <w:p w14:paraId="20CBBEBC"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c>
          <w:tcPr>
            <w:tcW w:w="892" w:type="dxa"/>
            <w:tcBorders>
              <w:top w:val="nil"/>
              <w:left w:val="nil"/>
              <w:bottom w:val="nil"/>
              <w:right w:val="nil"/>
            </w:tcBorders>
            <w:shd w:val="clear" w:color="auto" w:fill="auto"/>
            <w:noWrap/>
            <w:vAlign w:val="center"/>
            <w:hideMark/>
          </w:tcPr>
          <w:p w14:paraId="4360F73B"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c>
          <w:tcPr>
            <w:tcW w:w="1063" w:type="dxa"/>
            <w:tcBorders>
              <w:top w:val="nil"/>
              <w:left w:val="nil"/>
              <w:bottom w:val="nil"/>
              <w:right w:val="nil"/>
            </w:tcBorders>
            <w:shd w:val="clear" w:color="auto" w:fill="auto"/>
            <w:noWrap/>
            <w:vAlign w:val="center"/>
            <w:hideMark/>
          </w:tcPr>
          <w:p w14:paraId="79F97077"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c>
          <w:tcPr>
            <w:tcW w:w="1063" w:type="dxa"/>
            <w:tcBorders>
              <w:top w:val="nil"/>
              <w:left w:val="nil"/>
              <w:bottom w:val="nil"/>
              <w:right w:val="nil"/>
            </w:tcBorders>
            <w:shd w:val="clear" w:color="auto" w:fill="auto"/>
            <w:noWrap/>
            <w:vAlign w:val="center"/>
            <w:hideMark/>
          </w:tcPr>
          <w:p w14:paraId="715C83DB"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c>
          <w:tcPr>
            <w:tcW w:w="1063" w:type="dxa"/>
            <w:tcBorders>
              <w:top w:val="nil"/>
              <w:left w:val="nil"/>
              <w:bottom w:val="nil"/>
              <w:right w:val="nil"/>
            </w:tcBorders>
            <w:shd w:val="clear" w:color="auto" w:fill="auto"/>
            <w:noWrap/>
            <w:vAlign w:val="center"/>
            <w:hideMark/>
          </w:tcPr>
          <w:p w14:paraId="053B67DE"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r>
      <w:tr w:rsidR="00BA0D82" w:rsidRPr="0005691D" w14:paraId="1D9A46DE" w14:textId="77777777" w:rsidTr="001A5653">
        <w:trPr>
          <w:trHeight w:val="465"/>
        </w:trPr>
        <w:tc>
          <w:tcPr>
            <w:tcW w:w="10800" w:type="dxa"/>
            <w:gridSpan w:val="9"/>
            <w:tcBorders>
              <w:top w:val="single" w:sz="4" w:space="0" w:color="auto"/>
              <w:left w:val="nil"/>
              <w:bottom w:val="single" w:sz="4" w:space="0" w:color="auto"/>
              <w:right w:val="nil"/>
            </w:tcBorders>
            <w:shd w:val="clear" w:color="auto" w:fill="auto"/>
            <w:noWrap/>
            <w:vAlign w:val="bottom"/>
            <w:hideMark/>
          </w:tcPr>
          <w:p w14:paraId="1B04AE2A" w14:textId="77777777" w:rsidR="00BA0D82" w:rsidRPr="0005691D" w:rsidRDefault="00BA0D82" w:rsidP="00BA0D82">
            <w:pPr>
              <w:pStyle w:val="Heading2"/>
              <w:numPr>
                <w:ilvl w:val="0"/>
                <w:numId w:val="0"/>
              </w:numPr>
              <w:rPr>
                <w:rFonts w:eastAsia="Times New Roman"/>
              </w:rPr>
            </w:pPr>
            <w:bookmarkStart w:id="213" w:name="_Toc27143196"/>
            <w:bookmarkStart w:id="214" w:name="_Toc28011495"/>
            <w:r w:rsidRPr="0005691D">
              <w:rPr>
                <w:rFonts w:eastAsia="Times New Roman"/>
              </w:rPr>
              <w:t>Idaho General</w:t>
            </w:r>
            <w:bookmarkEnd w:id="213"/>
            <w:bookmarkEnd w:id="214"/>
          </w:p>
        </w:tc>
      </w:tr>
      <w:tr w:rsidR="00BA0D82" w:rsidRPr="0005691D" w14:paraId="231B836F" w14:textId="77777777" w:rsidTr="00BC793A">
        <w:trPr>
          <w:trHeight w:val="1305"/>
        </w:trPr>
        <w:tc>
          <w:tcPr>
            <w:tcW w:w="2506" w:type="dxa"/>
            <w:tcBorders>
              <w:top w:val="nil"/>
              <w:left w:val="single" w:sz="4" w:space="0" w:color="auto"/>
              <w:bottom w:val="single" w:sz="4" w:space="0" w:color="auto"/>
              <w:right w:val="single" w:sz="4" w:space="0" w:color="auto"/>
            </w:tcBorders>
            <w:shd w:val="clear" w:color="000000" w:fill="B4C6E7"/>
            <w:vAlign w:val="bottom"/>
            <w:hideMark/>
          </w:tcPr>
          <w:p w14:paraId="429D82AC" w14:textId="77777777" w:rsidR="00BA0D82" w:rsidRPr="0005691D" w:rsidRDefault="00BA0D82" w:rsidP="001A5653">
            <w:pPr>
              <w:spacing w:after="0" w:line="240" w:lineRule="auto"/>
              <w:jc w:val="right"/>
              <w:rPr>
                <w:rFonts w:ascii="Calibri" w:eastAsia="Times New Roman" w:hAnsi="Calibri" w:cs="Calibri"/>
                <w:b/>
                <w:bCs/>
                <w:color w:val="000000"/>
                <w:szCs w:val="28"/>
              </w:rPr>
            </w:pPr>
            <w:r w:rsidRPr="0005691D">
              <w:rPr>
                <w:rFonts w:ascii="Calibri" w:eastAsia="Times New Roman" w:hAnsi="Calibri" w:cs="Calibri"/>
                <w:b/>
                <w:bCs/>
                <w:color w:val="000000"/>
                <w:szCs w:val="28"/>
              </w:rPr>
              <w:t>Area</w:t>
            </w:r>
          </w:p>
        </w:tc>
        <w:tc>
          <w:tcPr>
            <w:tcW w:w="1165" w:type="dxa"/>
            <w:tcBorders>
              <w:top w:val="nil"/>
              <w:left w:val="nil"/>
              <w:bottom w:val="single" w:sz="4" w:space="0" w:color="auto"/>
              <w:right w:val="single" w:sz="4" w:space="0" w:color="auto"/>
            </w:tcBorders>
            <w:shd w:val="clear" w:color="000000" w:fill="B4C6E7"/>
            <w:vAlign w:val="bottom"/>
            <w:hideMark/>
          </w:tcPr>
          <w:p w14:paraId="2FAADA06"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of Total Activities</w:t>
            </w:r>
          </w:p>
        </w:tc>
        <w:tc>
          <w:tcPr>
            <w:tcW w:w="1254" w:type="dxa"/>
            <w:tcBorders>
              <w:top w:val="nil"/>
              <w:left w:val="nil"/>
              <w:bottom w:val="single" w:sz="4" w:space="0" w:color="auto"/>
              <w:right w:val="single" w:sz="4" w:space="0" w:color="auto"/>
            </w:tcBorders>
            <w:shd w:val="clear" w:color="000000" w:fill="B4C6E7"/>
            <w:vAlign w:val="bottom"/>
            <w:hideMark/>
          </w:tcPr>
          <w:p w14:paraId="487AF457"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Average Progress on Activities (%)</w:t>
            </w:r>
          </w:p>
        </w:tc>
        <w:tc>
          <w:tcPr>
            <w:tcW w:w="897" w:type="dxa"/>
            <w:tcBorders>
              <w:top w:val="nil"/>
              <w:left w:val="nil"/>
              <w:bottom w:val="single" w:sz="4" w:space="0" w:color="auto"/>
              <w:right w:val="single" w:sz="4" w:space="0" w:color="auto"/>
            </w:tcBorders>
            <w:shd w:val="clear" w:color="000000" w:fill="B4C6E7"/>
            <w:vAlign w:val="bottom"/>
            <w:hideMark/>
          </w:tcPr>
          <w:p w14:paraId="2FFC977B"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Outputs</w:t>
            </w:r>
          </w:p>
        </w:tc>
        <w:tc>
          <w:tcPr>
            <w:tcW w:w="897" w:type="dxa"/>
            <w:tcBorders>
              <w:top w:val="nil"/>
              <w:left w:val="nil"/>
              <w:bottom w:val="single" w:sz="4" w:space="0" w:color="auto"/>
              <w:right w:val="single" w:sz="4" w:space="0" w:color="auto"/>
            </w:tcBorders>
            <w:shd w:val="clear" w:color="000000" w:fill="B4C6E7"/>
            <w:vAlign w:val="bottom"/>
            <w:hideMark/>
          </w:tcPr>
          <w:p w14:paraId="084C166A"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Outputs Met</w:t>
            </w:r>
          </w:p>
        </w:tc>
        <w:tc>
          <w:tcPr>
            <w:tcW w:w="892" w:type="dxa"/>
            <w:tcBorders>
              <w:top w:val="nil"/>
              <w:left w:val="nil"/>
              <w:bottom w:val="single" w:sz="4" w:space="0" w:color="auto"/>
              <w:right w:val="single" w:sz="4" w:space="0" w:color="auto"/>
            </w:tcBorders>
            <w:shd w:val="clear" w:color="000000" w:fill="B4C6E7"/>
            <w:vAlign w:val="bottom"/>
            <w:hideMark/>
          </w:tcPr>
          <w:p w14:paraId="6A0493FB"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Outputs Met</w:t>
            </w:r>
          </w:p>
        </w:tc>
        <w:tc>
          <w:tcPr>
            <w:tcW w:w="1063" w:type="dxa"/>
            <w:tcBorders>
              <w:top w:val="nil"/>
              <w:left w:val="nil"/>
              <w:bottom w:val="single" w:sz="4" w:space="0" w:color="auto"/>
              <w:right w:val="single" w:sz="4" w:space="0" w:color="auto"/>
            </w:tcBorders>
            <w:shd w:val="clear" w:color="000000" w:fill="B4C6E7"/>
            <w:vAlign w:val="bottom"/>
            <w:hideMark/>
          </w:tcPr>
          <w:p w14:paraId="4CADFC38"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Short-Term Outcomes</w:t>
            </w:r>
          </w:p>
        </w:tc>
        <w:tc>
          <w:tcPr>
            <w:tcW w:w="1063" w:type="dxa"/>
            <w:tcBorders>
              <w:top w:val="nil"/>
              <w:left w:val="nil"/>
              <w:bottom w:val="single" w:sz="4" w:space="0" w:color="auto"/>
              <w:right w:val="single" w:sz="4" w:space="0" w:color="auto"/>
            </w:tcBorders>
            <w:shd w:val="clear" w:color="000000" w:fill="B4C6E7"/>
            <w:vAlign w:val="bottom"/>
            <w:hideMark/>
          </w:tcPr>
          <w:p w14:paraId="49B1C9BC"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Short-Term Outcomes Met</w:t>
            </w:r>
          </w:p>
        </w:tc>
        <w:tc>
          <w:tcPr>
            <w:tcW w:w="1063" w:type="dxa"/>
            <w:tcBorders>
              <w:top w:val="nil"/>
              <w:left w:val="nil"/>
              <w:bottom w:val="single" w:sz="4" w:space="0" w:color="auto"/>
              <w:right w:val="single" w:sz="4" w:space="0" w:color="auto"/>
            </w:tcBorders>
            <w:shd w:val="clear" w:color="000000" w:fill="B4C6E7"/>
            <w:vAlign w:val="bottom"/>
            <w:hideMark/>
          </w:tcPr>
          <w:p w14:paraId="4494FF86"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%Short-Term Outcomes Achieved</w:t>
            </w:r>
          </w:p>
        </w:tc>
      </w:tr>
      <w:tr w:rsidR="00BA0D82" w:rsidRPr="0005691D" w14:paraId="647A494F" w14:textId="77777777" w:rsidTr="00BC793A">
        <w:trPr>
          <w:trHeight w:val="300"/>
        </w:trPr>
        <w:tc>
          <w:tcPr>
            <w:tcW w:w="2506" w:type="dxa"/>
            <w:tcBorders>
              <w:top w:val="nil"/>
              <w:left w:val="single" w:sz="4" w:space="0" w:color="auto"/>
              <w:bottom w:val="single" w:sz="4" w:space="0" w:color="auto"/>
              <w:right w:val="single" w:sz="4" w:space="0" w:color="auto"/>
            </w:tcBorders>
            <w:shd w:val="clear" w:color="000000" w:fill="B4C6E7"/>
            <w:noWrap/>
            <w:vAlign w:val="center"/>
            <w:hideMark/>
          </w:tcPr>
          <w:p w14:paraId="718E054C" w14:textId="77777777" w:rsidR="00BA0D82" w:rsidRPr="0005691D" w:rsidRDefault="00BA0D82" w:rsidP="001A5653">
            <w:pPr>
              <w:spacing w:after="0" w:line="240" w:lineRule="auto"/>
              <w:jc w:val="right"/>
              <w:rPr>
                <w:rFonts w:ascii="Calibri" w:eastAsia="Times New Roman" w:hAnsi="Calibri" w:cs="Calibri"/>
                <w:b/>
                <w:bCs/>
                <w:color w:val="000000"/>
              </w:rPr>
            </w:pPr>
            <w:r w:rsidRPr="0005691D">
              <w:rPr>
                <w:rFonts w:ascii="Calibri" w:eastAsia="Times New Roman" w:hAnsi="Calibri" w:cs="Calibri"/>
                <w:b/>
                <w:bCs/>
                <w:color w:val="000000"/>
              </w:rPr>
              <w:t>Section 511</w:t>
            </w:r>
          </w:p>
        </w:tc>
        <w:tc>
          <w:tcPr>
            <w:tcW w:w="1165" w:type="dxa"/>
            <w:tcBorders>
              <w:top w:val="nil"/>
              <w:left w:val="nil"/>
              <w:bottom w:val="single" w:sz="4" w:space="0" w:color="auto"/>
              <w:right w:val="single" w:sz="4" w:space="0" w:color="auto"/>
            </w:tcBorders>
            <w:shd w:val="clear" w:color="000000" w:fill="FFFFFF"/>
            <w:noWrap/>
            <w:vAlign w:val="center"/>
            <w:hideMark/>
          </w:tcPr>
          <w:p w14:paraId="706E3BDA"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4</w:t>
            </w:r>
          </w:p>
        </w:tc>
        <w:tc>
          <w:tcPr>
            <w:tcW w:w="1254" w:type="dxa"/>
            <w:tcBorders>
              <w:top w:val="nil"/>
              <w:left w:val="nil"/>
              <w:bottom w:val="single" w:sz="4" w:space="0" w:color="auto"/>
              <w:right w:val="single" w:sz="4" w:space="0" w:color="auto"/>
            </w:tcBorders>
            <w:shd w:val="clear" w:color="000000" w:fill="FFFFFF"/>
            <w:noWrap/>
            <w:vAlign w:val="center"/>
            <w:hideMark/>
          </w:tcPr>
          <w:p w14:paraId="4FFB1527"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100%</w:t>
            </w:r>
          </w:p>
        </w:tc>
        <w:tc>
          <w:tcPr>
            <w:tcW w:w="897" w:type="dxa"/>
            <w:tcBorders>
              <w:top w:val="nil"/>
              <w:left w:val="nil"/>
              <w:bottom w:val="single" w:sz="4" w:space="0" w:color="auto"/>
              <w:right w:val="single" w:sz="4" w:space="0" w:color="auto"/>
            </w:tcBorders>
            <w:shd w:val="clear" w:color="000000" w:fill="FFFFFF"/>
            <w:noWrap/>
            <w:vAlign w:val="center"/>
            <w:hideMark/>
          </w:tcPr>
          <w:p w14:paraId="6E6755DA"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4</w:t>
            </w:r>
          </w:p>
        </w:tc>
        <w:tc>
          <w:tcPr>
            <w:tcW w:w="897" w:type="dxa"/>
            <w:tcBorders>
              <w:top w:val="nil"/>
              <w:left w:val="nil"/>
              <w:bottom w:val="single" w:sz="4" w:space="0" w:color="auto"/>
              <w:right w:val="single" w:sz="4" w:space="0" w:color="auto"/>
            </w:tcBorders>
            <w:shd w:val="clear" w:color="000000" w:fill="FFFFFF"/>
            <w:noWrap/>
            <w:vAlign w:val="center"/>
            <w:hideMark/>
          </w:tcPr>
          <w:p w14:paraId="0D55807D"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4</w:t>
            </w:r>
          </w:p>
        </w:tc>
        <w:tc>
          <w:tcPr>
            <w:tcW w:w="892" w:type="dxa"/>
            <w:tcBorders>
              <w:top w:val="nil"/>
              <w:left w:val="nil"/>
              <w:bottom w:val="single" w:sz="4" w:space="0" w:color="auto"/>
              <w:right w:val="single" w:sz="4" w:space="0" w:color="auto"/>
            </w:tcBorders>
            <w:shd w:val="clear" w:color="000000" w:fill="FFFFFF"/>
            <w:noWrap/>
            <w:vAlign w:val="center"/>
            <w:hideMark/>
          </w:tcPr>
          <w:p w14:paraId="242EEB4B"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100%</w:t>
            </w:r>
          </w:p>
        </w:tc>
        <w:tc>
          <w:tcPr>
            <w:tcW w:w="1063" w:type="dxa"/>
            <w:tcBorders>
              <w:top w:val="nil"/>
              <w:left w:val="nil"/>
              <w:bottom w:val="single" w:sz="4" w:space="0" w:color="auto"/>
              <w:right w:val="single" w:sz="4" w:space="0" w:color="auto"/>
            </w:tcBorders>
            <w:shd w:val="clear" w:color="000000" w:fill="FFFFFF"/>
            <w:noWrap/>
            <w:vAlign w:val="center"/>
            <w:hideMark/>
          </w:tcPr>
          <w:p w14:paraId="37055258"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2</w:t>
            </w:r>
          </w:p>
        </w:tc>
        <w:tc>
          <w:tcPr>
            <w:tcW w:w="1063" w:type="dxa"/>
            <w:tcBorders>
              <w:top w:val="nil"/>
              <w:left w:val="nil"/>
              <w:bottom w:val="single" w:sz="4" w:space="0" w:color="auto"/>
              <w:right w:val="single" w:sz="4" w:space="0" w:color="auto"/>
            </w:tcBorders>
            <w:shd w:val="clear" w:color="000000" w:fill="FFFFFF"/>
            <w:noWrap/>
            <w:vAlign w:val="center"/>
            <w:hideMark/>
          </w:tcPr>
          <w:p w14:paraId="6234D95A"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2</w:t>
            </w:r>
          </w:p>
        </w:tc>
        <w:tc>
          <w:tcPr>
            <w:tcW w:w="1063" w:type="dxa"/>
            <w:tcBorders>
              <w:top w:val="nil"/>
              <w:left w:val="nil"/>
              <w:bottom w:val="single" w:sz="4" w:space="0" w:color="auto"/>
              <w:right w:val="single" w:sz="4" w:space="0" w:color="auto"/>
            </w:tcBorders>
            <w:shd w:val="clear" w:color="000000" w:fill="FFFFFF"/>
            <w:noWrap/>
            <w:vAlign w:val="center"/>
            <w:hideMark/>
          </w:tcPr>
          <w:p w14:paraId="2083344E"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100%</w:t>
            </w:r>
          </w:p>
        </w:tc>
      </w:tr>
      <w:tr w:rsidR="00BA0D82" w:rsidRPr="0005691D" w14:paraId="0F36EBC6" w14:textId="77777777" w:rsidTr="00BC793A">
        <w:trPr>
          <w:trHeight w:val="300"/>
        </w:trPr>
        <w:tc>
          <w:tcPr>
            <w:tcW w:w="2506" w:type="dxa"/>
            <w:tcBorders>
              <w:top w:val="nil"/>
              <w:left w:val="single" w:sz="4" w:space="0" w:color="auto"/>
              <w:bottom w:val="single" w:sz="4" w:space="0" w:color="auto"/>
              <w:right w:val="single" w:sz="4" w:space="0" w:color="auto"/>
            </w:tcBorders>
            <w:shd w:val="clear" w:color="000000" w:fill="B4C6E7"/>
            <w:noWrap/>
            <w:vAlign w:val="center"/>
            <w:hideMark/>
          </w:tcPr>
          <w:p w14:paraId="425B45A6" w14:textId="77777777" w:rsidR="00BA0D82" w:rsidRPr="0005691D" w:rsidRDefault="00BA0D82" w:rsidP="001A5653">
            <w:pPr>
              <w:spacing w:after="0" w:line="240" w:lineRule="auto"/>
              <w:jc w:val="right"/>
              <w:rPr>
                <w:rFonts w:ascii="Calibri" w:eastAsia="Times New Roman" w:hAnsi="Calibri" w:cs="Calibri"/>
                <w:b/>
                <w:bCs/>
                <w:color w:val="000000"/>
              </w:rPr>
            </w:pPr>
            <w:r w:rsidRPr="0005691D">
              <w:rPr>
                <w:rFonts w:ascii="Calibri" w:eastAsia="Times New Roman" w:hAnsi="Calibri" w:cs="Calibri"/>
                <w:b/>
                <w:bCs/>
                <w:color w:val="000000"/>
              </w:rPr>
              <w:t>Common Performance Measures</w:t>
            </w:r>
          </w:p>
        </w:tc>
        <w:tc>
          <w:tcPr>
            <w:tcW w:w="1165" w:type="dxa"/>
            <w:tcBorders>
              <w:top w:val="nil"/>
              <w:left w:val="nil"/>
              <w:bottom w:val="single" w:sz="4" w:space="0" w:color="auto"/>
              <w:right w:val="single" w:sz="4" w:space="0" w:color="auto"/>
            </w:tcBorders>
            <w:shd w:val="clear" w:color="000000" w:fill="D9E2F3"/>
            <w:noWrap/>
            <w:vAlign w:val="center"/>
            <w:hideMark/>
          </w:tcPr>
          <w:p w14:paraId="428BC500"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4</w:t>
            </w:r>
          </w:p>
        </w:tc>
        <w:tc>
          <w:tcPr>
            <w:tcW w:w="1254" w:type="dxa"/>
            <w:tcBorders>
              <w:top w:val="nil"/>
              <w:left w:val="nil"/>
              <w:bottom w:val="single" w:sz="4" w:space="0" w:color="auto"/>
              <w:right w:val="single" w:sz="4" w:space="0" w:color="auto"/>
            </w:tcBorders>
            <w:shd w:val="clear" w:color="000000" w:fill="D9E2F3"/>
            <w:noWrap/>
            <w:vAlign w:val="center"/>
            <w:hideMark/>
          </w:tcPr>
          <w:p w14:paraId="071166B9"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56%</w:t>
            </w:r>
          </w:p>
        </w:tc>
        <w:tc>
          <w:tcPr>
            <w:tcW w:w="897" w:type="dxa"/>
            <w:tcBorders>
              <w:top w:val="nil"/>
              <w:left w:val="nil"/>
              <w:bottom w:val="single" w:sz="4" w:space="0" w:color="auto"/>
              <w:right w:val="single" w:sz="4" w:space="0" w:color="auto"/>
            </w:tcBorders>
            <w:shd w:val="clear" w:color="000000" w:fill="D9E2F3"/>
            <w:noWrap/>
            <w:vAlign w:val="center"/>
            <w:hideMark/>
          </w:tcPr>
          <w:p w14:paraId="419E72E4"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4</w:t>
            </w:r>
          </w:p>
        </w:tc>
        <w:tc>
          <w:tcPr>
            <w:tcW w:w="897" w:type="dxa"/>
            <w:tcBorders>
              <w:top w:val="nil"/>
              <w:left w:val="nil"/>
              <w:bottom w:val="single" w:sz="4" w:space="0" w:color="auto"/>
              <w:right w:val="single" w:sz="4" w:space="0" w:color="auto"/>
            </w:tcBorders>
            <w:shd w:val="clear" w:color="000000" w:fill="D9E2F3"/>
            <w:noWrap/>
            <w:vAlign w:val="center"/>
            <w:hideMark/>
          </w:tcPr>
          <w:p w14:paraId="76AA6AB1"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w:t>
            </w:r>
          </w:p>
        </w:tc>
        <w:tc>
          <w:tcPr>
            <w:tcW w:w="892" w:type="dxa"/>
            <w:tcBorders>
              <w:top w:val="nil"/>
              <w:left w:val="nil"/>
              <w:bottom w:val="single" w:sz="4" w:space="0" w:color="auto"/>
              <w:right w:val="single" w:sz="4" w:space="0" w:color="auto"/>
            </w:tcBorders>
            <w:shd w:val="clear" w:color="000000" w:fill="D9E2F3"/>
            <w:noWrap/>
            <w:vAlign w:val="center"/>
            <w:hideMark/>
          </w:tcPr>
          <w:p w14:paraId="02CC0EA7"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25%</w:t>
            </w:r>
          </w:p>
        </w:tc>
        <w:tc>
          <w:tcPr>
            <w:tcW w:w="1063" w:type="dxa"/>
            <w:tcBorders>
              <w:top w:val="nil"/>
              <w:left w:val="nil"/>
              <w:bottom w:val="single" w:sz="4" w:space="0" w:color="auto"/>
              <w:right w:val="single" w:sz="4" w:space="0" w:color="auto"/>
            </w:tcBorders>
            <w:shd w:val="clear" w:color="000000" w:fill="D9E2F3"/>
            <w:noWrap/>
            <w:vAlign w:val="center"/>
            <w:hideMark/>
          </w:tcPr>
          <w:p w14:paraId="695AC401"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2</w:t>
            </w:r>
          </w:p>
        </w:tc>
        <w:tc>
          <w:tcPr>
            <w:tcW w:w="1063" w:type="dxa"/>
            <w:tcBorders>
              <w:top w:val="nil"/>
              <w:left w:val="nil"/>
              <w:bottom w:val="single" w:sz="4" w:space="0" w:color="auto"/>
              <w:right w:val="single" w:sz="4" w:space="0" w:color="auto"/>
            </w:tcBorders>
            <w:shd w:val="clear" w:color="000000" w:fill="D9E2F3"/>
            <w:noWrap/>
            <w:vAlign w:val="center"/>
            <w:hideMark/>
          </w:tcPr>
          <w:p w14:paraId="5A1E4211"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w:t>
            </w:r>
          </w:p>
        </w:tc>
        <w:tc>
          <w:tcPr>
            <w:tcW w:w="1063" w:type="dxa"/>
            <w:tcBorders>
              <w:top w:val="nil"/>
              <w:left w:val="nil"/>
              <w:bottom w:val="single" w:sz="4" w:space="0" w:color="auto"/>
              <w:right w:val="single" w:sz="4" w:space="0" w:color="auto"/>
            </w:tcBorders>
            <w:shd w:val="clear" w:color="000000" w:fill="D9E2F3"/>
            <w:noWrap/>
            <w:vAlign w:val="center"/>
            <w:hideMark/>
          </w:tcPr>
          <w:p w14:paraId="55D95FA4"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50%</w:t>
            </w:r>
          </w:p>
        </w:tc>
      </w:tr>
      <w:tr w:rsidR="00BA0D82" w:rsidRPr="0005691D" w14:paraId="46E02C40" w14:textId="77777777" w:rsidTr="00BC793A">
        <w:trPr>
          <w:trHeight w:val="300"/>
        </w:trPr>
        <w:tc>
          <w:tcPr>
            <w:tcW w:w="2506" w:type="dxa"/>
            <w:tcBorders>
              <w:top w:val="nil"/>
              <w:left w:val="single" w:sz="4" w:space="0" w:color="auto"/>
              <w:bottom w:val="single" w:sz="4" w:space="0" w:color="auto"/>
              <w:right w:val="single" w:sz="4" w:space="0" w:color="auto"/>
            </w:tcBorders>
            <w:shd w:val="clear" w:color="000000" w:fill="B4C6E7"/>
            <w:noWrap/>
            <w:vAlign w:val="center"/>
            <w:hideMark/>
          </w:tcPr>
          <w:p w14:paraId="48FFD290" w14:textId="77777777" w:rsidR="00BA0D82" w:rsidRPr="0005691D" w:rsidRDefault="00BA0D82" w:rsidP="001A5653">
            <w:pPr>
              <w:spacing w:after="0" w:line="240" w:lineRule="auto"/>
              <w:jc w:val="right"/>
              <w:rPr>
                <w:rFonts w:ascii="Calibri" w:eastAsia="Times New Roman" w:hAnsi="Calibri" w:cs="Calibri"/>
                <w:b/>
                <w:bCs/>
                <w:color w:val="000000"/>
              </w:rPr>
            </w:pPr>
            <w:r w:rsidRPr="0005691D">
              <w:rPr>
                <w:rFonts w:ascii="Calibri" w:eastAsia="Times New Roman" w:hAnsi="Calibri" w:cs="Calibri"/>
                <w:b/>
                <w:bCs/>
                <w:color w:val="000000"/>
              </w:rPr>
              <w:t>Customized Employment</w:t>
            </w:r>
          </w:p>
        </w:tc>
        <w:tc>
          <w:tcPr>
            <w:tcW w:w="1165" w:type="dxa"/>
            <w:tcBorders>
              <w:top w:val="nil"/>
              <w:left w:val="nil"/>
              <w:bottom w:val="single" w:sz="4" w:space="0" w:color="auto"/>
              <w:right w:val="single" w:sz="4" w:space="0" w:color="auto"/>
            </w:tcBorders>
            <w:shd w:val="clear" w:color="000000" w:fill="FFFFFF"/>
            <w:noWrap/>
            <w:vAlign w:val="center"/>
            <w:hideMark/>
          </w:tcPr>
          <w:p w14:paraId="193DAAAB"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8</w:t>
            </w:r>
          </w:p>
        </w:tc>
        <w:tc>
          <w:tcPr>
            <w:tcW w:w="1254" w:type="dxa"/>
            <w:tcBorders>
              <w:top w:val="nil"/>
              <w:left w:val="nil"/>
              <w:bottom w:val="single" w:sz="4" w:space="0" w:color="auto"/>
              <w:right w:val="single" w:sz="4" w:space="0" w:color="auto"/>
            </w:tcBorders>
            <w:shd w:val="clear" w:color="000000" w:fill="FFFFFF"/>
            <w:noWrap/>
            <w:vAlign w:val="center"/>
            <w:hideMark/>
          </w:tcPr>
          <w:p w14:paraId="6DC9191E"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84%</w:t>
            </w:r>
          </w:p>
        </w:tc>
        <w:tc>
          <w:tcPr>
            <w:tcW w:w="897" w:type="dxa"/>
            <w:tcBorders>
              <w:top w:val="nil"/>
              <w:left w:val="nil"/>
              <w:bottom w:val="single" w:sz="4" w:space="0" w:color="auto"/>
              <w:right w:val="single" w:sz="4" w:space="0" w:color="auto"/>
            </w:tcBorders>
            <w:shd w:val="clear" w:color="000000" w:fill="FFFFFF"/>
            <w:noWrap/>
            <w:vAlign w:val="center"/>
            <w:hideMark/>
          </w:tcPr>
          <w:p w14:paraId="56D57A2D"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8</w:t>
            </w:r>
          </w:p>
        </w:tc>
        <w:tc>
          <w:tcPr>
            <w:tcW w:w="897" w:type="dxa"/>
            <w:tcBorders>
              <w:top w:val="nil"/>
              <w:left w:val="nil"/>
              <w:bottom w:val="single" w:sz="4" w:space="0" w:color="auto"/>
              <w:right w:val="single" w:sz="4" w:space="0" w:color="auto"/>
            </w:tcBorders>
            <w:shd w:val="clear" w:color="000000" w:fill="FFFFFF"/>
            <w:noWrap/>
            <w:vAlign w:val="center"/>
            <w:hideMark/>
          </w:tcPr>
          <w:p w14:paraId="56BCE7F0"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6</w:t>
            </w:r>
          </w:p>
        </w:tc>
        <w:tc>
          <w:tcPr>
            <w:tcW w:w="892" w:type="dxa"/>
            <w:tcBorders>
              <w:top w:val="nil"/>
              <w:left w:val="nil"/>
              <w:bottom w:val="single" w:sz="4" w:space="0" w:color="auto"/>
              <w:right w:val="single" w:sz="4" w:space="0" w:color="auto"/>
            </w:tcBorders>
            <w:shd w:val="clear" w:color="000000" w:fill="FFFFFF"/>
            <w:noWrap/>
            <w:vAlign w:val="center"/>
            <w:hideMark/>
          </w:tcPr>
          <w:p w14:paraId="281AC8FE"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75%</w:t>
            </w:r>
          </w:p>
        </w:tc>
        <w:tc>
          <w:tcPr>
            <w:tcW w:w="1063" w:type="dxa"/>
            <w:tcBorders>
              <w:top w:val="nil"/>
              <w:left w:val="nil"/>
              <w:bottom w:val="single" w:sz="4" w:space="0" w:color="auto"/>
              <w:right w:val="single" w:sz="4" w:space="0" w:color="auto"/>
            </w:tcBorders>
            <w:shd w:val="clear" w:color="000000" w:fill="FFFFFF"/>
            <w:noWrap/>
            <w:vAlign w:val="center"/>
            <w:hideMark/>
          </w:tcPr>
          <w:p w14:paraId="269D73D8"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7</w:t>
            </w:r>
          </w:p>
        </w:tc>
        <w:tc>
          <w:tcPr>
            <w:tcW w:w="1063" w:type="dxa"/>
            <w:tcBorders>
              <w:top w:val="nil"/>
              <w:left w:val="nil"/>
              <w:bottom w:val="single" w:sz="4" w:space="0" w:color="auto"/>
              <w:right w:val="single" w:sz="4" w:space="0" w:color="auto"/>
            </w:tcBorders>
            <w:shd w:val="clear" w:color="000000" w:fill="FFFFFF"/>
            <w:noWrap/>
            <w:vAlign w:val="center"/>
            <w:hideMark/>
          </w:tcPr>
          <w:p w14:paraId="0171E875"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0</w:t>
            </w:r>
          </w:p>
        </w:tc>
        <w:tc>
          <w:tcPr>
            <w:tcW w:w="1063" w:type="dxa"/>
            <w:tcBorders>
              <w:top w:val="nil"/>
              <w:left w:val="nil"/>
              <w:bottom w:val="single" w:sz="4" w:space="0" w:color="auto"/>
              <w:right w:val="single" w:sz="4" w:space="0" w:color="auto"/>
            </w:tcBorders>
            <w:shd w:val="clear" w:color="000000" w:fill="FFFFFF"/>
            <w:noWrap/>
            <w:vAlign w:val="center"/>
            <w:hideMark/>
          </w:tcPr>
          <w:p w14:paraId="09EF92D2"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0%</w:t>
            </w:r>
          </w:p>
        </w:tc>
      </w:tr>
      <w:tr w:rsidR="00BA0D82" w:rsidRPr="0005691D" w14:paraId="2402CA53" w14:textId="77777777" w:rsidTr="00BC793A">
        <w:trPr>
          <w:trHeight w:val="300"/>
        </w:trPr>
        <w:tc>
          <w:tcPr>
            <w:tcW w:w="2506" w:type="dxa"/>
            <w:tcBorders>
              <w:top w:val="nil"/>
              <w:left w:val="nil"/>
              <w:bottom w:val="nil"/>
              <w:right w:val="nil"/>
            </w:tcBorders>
            <w:shd w:val="clear" w:color="auto" w:fill="auto"/>
            <w:noWrap/>
            <w:vAlign w:val="bottom"/>
            <w:hideMark/>
          </w:tcPr>
          <w:p w14:paraId="210E6DCE" w14:textId="77777777" w:rsidR="00BA0D82" w:rsidRPr="0005691D" w:rsidRDefault="00BA0D82" w:rsidP="001A5653">
            <w:pPr>
              <w:spacing w:after="0" w:line="240" w:lineRule="auto"/>
              <w:jc w:val="center"/>
              <w:rPr>
                <w:rFonts w:ascii="Calibri" w:eastAsia="Times New Roman" w:hAnsi="Calibri" w:cs="Calibri"/>
                <w:color w:val="000000"/>
              </w:rPr>
            </w:pPr>
          </w:p>
        </w:tc>
        <w:tc>
          <w:tcPr>
            <w:tcW w:w="1165" w:type="dxa"/>
            <w:tcBorders>
              <w:top w:val="nil"/>
              <w:left w:val="nil"/>
              <w:bottom w:val="nil"/>
              <w:right w:val="nil"/>
            </w:tcBorders>
            <w:shd w:val="clear" w:color="auto" w:fill="auto"/>
            <w:noWrap/>
            <w:vAlign w:val="center"/>
            <w:hideMark/>
          </w:tcPr>
          <w:p w14:paraId="41972BD6" w14:textId="77777777" w:rsidR="00BA0D82" w:rsidRPr="0005691D" w:rsidRDefault="00BA0D82" w:rsidP="001A5653">
            <w:pPr>
              <w:spacing w:after="0" w:line="240" w:lineRule="auto"/>
              <w:rPr>
                <w:rFonts w:ascii="Times New Roman" w:eastAsia="Times New Roman" w:hAnsi="Times New Roman" w:cs="Times New Roman"/>
                <w:sz w:val="20"/>
                <w:szCs w:val="20"/>
              </w:rPr>
            </w:pPr>
          </w:p>
        </w:tc>
        <w:tc>
          <w:tcPr>
            <w:tcW w:w="1254" w:type="dxa"/>
            <w:tcBorders>
              <w:top w:val="nil"/>
              <w:left w:val="nil"/>
              <w:bottom w:val="nil"/>
              <w:right w:val="nil"/>
            </w:tcBorders>
            <w:shd w:val="clear" w:color="auto" w:fill="auto"/>
            <w:noWrap/>
            <w:vAlign w:val="center"/>
            <w:hideMark/>
          </w:tcPr>
          <w:p w14:paraId="5F798CD4"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c>
          <w:tcPr>
            <w:tcW w:w="897" w:type="dxa"/>
            <w:tcBorders>
              <w:top w:val="nil"/>
              <w:left w:val="nil"/>
              <w:bottom w:val="nil"/>
              <w:right w:val="nil"/>
            </w:tcBorders>
            <w:shd w:val="clear" w:color="auto" w:fill="auto"/>
            <w:noWrap/>
            <w:vAlign w:val="center"/>
            <w:hideMark/>
          </w:tcPr>
          <w:p w14:paraId="551C83EC"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c>
          <w:tcPr>
            <w:tcW w:w="897" w:type="dxa"/>
            <w:tcBorders>
              <w:top w:val="nil"/>
              <w:left w:val="nil"/>
              <w:bottom w:val="nil"/>
              <w:right w:val="nil"/>
            </w:tcBorders>
            <w:shd w:val="clear" w:color="auto" w:fill="auto"/>
            <w:noWrap/>
            <w:vAlign w:val="center"/>
            <w:hideMark/>
          </w:tcPr>
          <w:p w14:paraId="41FDC595"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c>
          <w:tcPr>
            <w:tcW w:w="892" w:type="dxa"/>
            <w:tcBorders>
              <w:top w:val="nil"/>
              <w:left w:val="nil"/>
              <w:bottom w:val="nil"/>
              <w:right w:val="nil"/>
            </w:tcBorders>
            <w:shd w:val="clear" w:color="auto" w:fill="auto"/>
            <w:noWrap/>
            <w:vAlign w:val="center"/>
            <w:hideMark/>
          </w:tcPr>
          <w:p w14:paraId="3F91BE98"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c>
          <w:tcPr>
            <w:tcW w:w="1063" w:type="dxa"/>
            <w:tcBorders>
              <w:top w:val="nil"/>
              <w:left w:val="nil"/>
              <w:bottom w:val="nil"/>
              <w:right w:val="nil"/>
            </w:tcBorders>
            <w:shd w:val="clear" w:color="auto" w:fill="auto"/>
            <w:noWrap/>
            <w:vAlign w:val="center"/>
            <w:hideMark/>
          </w:tcPr>
          <w:p w14:paraId="5549A269"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c>
          <w:tcPr>
            <w:tcW w:w="1063" w:type="dxa"/>
            <w:tcBorders>
              <w:top w:val="nil"/>
              <w:left w:val="nil"/>
              <w:bottom w:val="nil"/>
              <w:right w:val="nil"/>
            </w:tcBorders>
            <w:shd w:val="clear" w:color="auto" w:fill="auto"/>
            <w:noWrap/>
            <w:vAlign w:val="center"/>
            <w:hideMark/>
          </w:tcPr>
          <w:p w14:paraId="04E88425"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c>
          <w:tcPr>
            <w:tcW w:w="1063" w:type="dxa"/>
            <w:tcBorders>
              <w:top w:val="nil"/>
              <w:left w:val="nil"/>
              <w:bottom w:val="nil"/>
              <w:right w:val="nil"/>
            </w:tcBorders>
            <w:shd w:val="clear" w:color="auto" w:fill="auto"/>
            <w:noWrap/>
            <w:vAlign w:val="center"/>
            <w:hideMark/>
          </w:tcPr>
          <w:p w14:paraId="6722256E"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r>
    </w:tbl>
    <w:p w14:paraId="5AE5C706" w14:textId="77777777" w:rsidR="00BC793A" w:rsidRDefault="00BC793A">
      <w:bookmarkStart w:id="215" w:name="_Toc27143197"/>
      <w:r>
        <w:rPr>
          <w:b/>
        </w:rPr>
        <w:br w:type="page"/>
      </w:r>
    </w:p>
    <w:tbl>
      <w:tblPr>
        <w:tblW w:w="10800" w:type="dxa"/>
        <w:tblLook w:val="04A0" w:firstRow="1" w:lastRow="0" w:firstColumn="1" w:lastColumn="0" w:noHBand="0" w:noVBand="1"/>
      </w:tblPr>
      <w:tblGrid>
        <w:gridCol w:w="2506"/>
        <w:gridCol w:w="1165"/>
        <w:gridCol w:w="1254"/>
        <w:gridCol w:w="897"/>
        <w:gridCol w:w="897"/>
        <w:gridCol w:w="892"/>
        <w:gridCol w:w="1063"/>
        <w:gridCol w:w="1063"/>
        <w:gridCol w:w="1063"/>
      </w:tblGrid>
      <w:tr w:rsidR="00BA0D82" w:rsidRPr="0005691D" w14:paraId="3BA86DB1" w14:textId="77777777" w:rsidTr="001A5653">
        <w:trPr>
          <w:trHeight w:val="465"/>
        </w:trPr>
        <w:tc>
          <w:tcPr>
            <w:tcW w:w="10800" w:type="dxa"/>
            <w:gridSpan w:val="9"/>
            <w:tcBorders>
              <w:top w:val="single" w:sz="4" w:space="0" w:color="auto"/>
              <w:left w:val="nil"/>
              <w:bottom w:val="single" w:sz="4" w:space="0" w:color="auto"/>
              <w:right w:val="nil"/>
            </w:tcBorders>
            <w:shd w:val="clear" w:color="auto" w:fill="auto"/>
            <w:noWrap/>
            <w:vAlign w:val="bottom"/>
            <w:hideMark/>
          </w:tcPr>
          <w:p w14:paraId="1A189212" w14:textId="1B139FCA" w:rsidR="00BA0D82" w:rsidRPr="0005691D" w:rsidRDefault="00BA0D82" w:rsidP="00BA0D82">
            <w:pPr>
              <w:pStyle w:val="Heading2"/>
              <w:numPr>
                <w:ilvl w:val="0"/>
                <w:numId w:val="0"/>
              </w:numPr>
              <w:rPr>
                <w:rFonts w:eastAsia="Times New Roman"/>
              </w:rPr>
            </w:pPr>
            <w:bookmarkStart w:id="216" w:name="_Toc28011496"/>
            <w:r w:rsidRPr="0005691D">
              <w:rPr>
                <w:rFonts w:eastAsia="Times New Roman"/>
              </w:rPr>
              <w:lastRenderedPageBreak/>
              <w:t>Illinois Combined</w:t>
            </w:r>
            <w:bookmarkEnd w:id="215"/>
            <w:bookmarkEnd w:id="216"/>
          </w:p>
        </w:tc>
      </w:tr>
      <w:tr w:rsidR="00BA0D82" w:rsidRPr="0005691D" w14:paraId="56354149" w14:textId="77777777" w:rsidTr="00BC793A">
        <w:trPr>
          <w:trHeight w:val="1305"/>
        </w:trPr>
        <w:tc>
          <w:tcPr>
            <w:tcW w:w="2506" w:type="dxa"/>
            <w:tcBorders>
              <w:top w:val="nil"/>
              <w:left w:val="single" w:sz="4" w:space="0" w:color="auto"/>
              <w:bottom w:val="single" w:sz="4" w:space="0" w:color="auto"/>
              <w:right w:val="single" w:sz="4" w:space="0" w:color="auto"/>
            </w:tcBorders>
            <w:shd w:val="clear" w:color="000000" w:fill="B4C6E7"/>
            <w:vAlign w:val="bottom"/>
            <w:hideMark/>
          </w:tcPr>
          <w:p w14:paraId="4784FF22" w14:textId="77777777" w:rsidR="00BA0D82" w:rsidRPr="0005691D" w:rsidRDefault="00BA0D82" w:rsidP="001A5653">
            <w:pPr>
              <w:spacing w:after="0" w:line="240" w:lineRule="auto"/>
              <w:jc w:val="right"/>
              <w:rPr>
                <w:rFonts w:ascii="Calibri" w:eastAsia="Times New Roman" w:hAnsi="Calibri" w:cs="Calibri"/>
                <w:b/>
                <w:bCs/>
                <w:color w:val="000000"/>
                <w:szCs w:val="28"/>
              </w:rPr>
            </w:pPr>
            <w:r w:rsidRPr="0005691D">
              <w:rPr>
                <w:rFonts w:ascii="Calibri" w:eastAsia="Times New Roman" w:hAnsi="Calibri" w:cs="Calibri"/>
                <w:b/>
                <w:bCs/>
                <w:color w:val="000000"/>
                <w:szCs w:val="28"/>
              </w:rPr>
              <w:t>Area</w:t>
            </w:r>
          </w:p>
        </w:tc>
        <w:tc>
          <w:tcPr>
            <w:tcW w:w="1165" w:type="dxa"/>
            <w:tcBorders>
              <w:top w:val="nil"/>
              <w:left w:val="nil"/>
              <w:bottom w:val="single" w:sz="4" w:space="0" w:color="auto"/>
              <w:right w:val="single" w:sz="4" w:space="0" w:color="auto"/>
            </w:tcBorders>
            <w:shd w:val="clear" w:color="000000" w:fill="B4C6E7"/>
            <w:vAlign w:val="bottom"/>
            <w:hideMark/>
          </w:tcPr>
          <w:p w14:paraId="543CA167"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of Total Activities</w:t>
            </w:r>
          </w:p>
        </w:tc>
        <w:tc>
          <w:tcPr>
            <w:tcW w:w="1254" w:type="dxa"/>
            <w:tcBorders>
              <w:top w:val="nil"/>
              <w:left w:val="nil"/>
              <w:bottom w:val="single" w:sz="4" w:space="0" w:color="auto"/>
              <w:right w:val="single" w:sz="4" w:space="0" w:color="auto"/>
            </w:tcBorders>
            <w:shd w:val="clear" w:color="000000" w:fill="B4C6E7"/>
            <w:vAlign w:val="bottom"/>
            <w:hideMark/>
          </w:tcPr>
          <w:p w14:paraId="3508D565"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Average Progress on Activities (%)</w:t>
            </w:r>
          </w:p>
        </w:tc>
        <w:tc>
          <w:tcPr>
            <w:tcW w:w="897" w:type="dxa"/>
            <w:tcBorders>
              <w:top w:val="nil"/>
              <w:left w:val="nil"/>
              <w:bottom w:val="single" w:sz="4" w:space="0" w:color="auto"/>
              <w:right w:val="single" w:sz="4" w:space="0" w:color="auto"/>
            </w:tcBorders>
            <w:shd w:val="clear" w:color="000000" w:fill="B4C6E7"/>
            <w:vAlign w:val="bottom"/>
            <w:hideMark/>
          </w:tcPr>
          <w:p w14:paraId="2EEF4987"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Outputs</w:t>
            </w:r>
          </w:p>
        </w:tc>
        <w:tc>
          <w:tcPr>
            <w:tcW w:w="897" w:type="dxa"/>
            <w:tcBorders>
              <w:top w:val="nil"/>
              <w:left w:val="nil"/>
              <w:bottom w:val="single" w:sz="4" w:space="0" w:color="auto"/>
              <w:right w:val="single" w:sz="4" w:space="0" w:color="auto"/>
            </w:tcBorders>
            <w:shd w:val="clear" w:color="000000" w:fill="B4C6E7"/>
            <w:vAlign w:val="bottom"/>
            <w:hideMark/>
          </w:tcPr>
          <w:p w14:paraId="2CE47E9C"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Outputs Met</w:t>
            </w:r>
          </w:p>
        </w:tc>
        <w:tc>
          <w:tcPr>
            <w:tcW w:w="892" w:type="dxa"/>
            <w:tcBorders>
              <w:top w:val="nil"/>
              <w:left w:val="nil"/>
              <w:bottom w:val="single" w:sz="4" w:space="0" w:color="auto"/>
              <w:right w:val="single" w:sz="4" w:space="0" w:color="auto"/>
            </w:tcBorders>
            <w:shd w:val="clear" w:color="000000" w:fill="B4C6E7"/>
            <w:vAlign w:val="bottom"/>
            <w:hideMark/>
          </w:tcPr>
          <w:p w14:paraId="54D9F3D9"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Outputs Met</w:t>
            </w:r>
          </w:p>
        </w:tc>
        <w:tc>
          <w:tcPr>
            <w:tcW w:w="1063" w:type="dxa"/>
            <w:tcBorders>
              <w:top w:val="nil"/>
              <w:left w:val="nil"/>
              <w:bottom w:val="single" w:sz="4" w:space="0" w:color="auto"/>
              <w:right w:val="single" w:sz="4" w:space="0" w:color="auto"/>
            </w:tcBorders>
            <w:shd w:val="clear" w:color="000000" w:fill="B4C6E7"/>
            <w:vAlign w:val="bottom"/>
            <w:hideMark/>
          </w:tcPr>
          <w:p w14:paraId="486CA91E"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Short-Term Outcomes</w:t>
            </w:r>
          </w:p>
        </w:tc>
        <w:tc>
          <w:tcPr>
            <w:tcW w:w="1063" w:type="dxa"/>
            <w:tcBorders>
              <w:top w:val="nil"/>
              <w:left w:val="nil"/>
              <w:bottom w:val="single" w:sz="4" w:space="0" w:color="auto"/>
              <w:right w:val="single" w:sz="4" w:space="0" w:color="auto"/>
            </w:tcBorders>
            <w:shd w:val="clear" w:color="000000" w:fill="B4C6E7"/>
            <w:vAlign w:val="bottom"/>
            <w:hideMark/>
          </w:tcPr>
          <w:p w14:paraId="0BA0C336"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Short-Term Outcomes Met</w:t>
            </w:r>
          </w:p>
        </w:tc>
        <w:tc>
          <w:tcPr>
            <w:tcW w:w="1063" w:type="dxa"/>
            <w:tcBorders>
              <w:top w:val="nil"/>
              <w:left w:val="nil"/>
              <w:bottom w:val="single" w:sz="4" w:space="0" w:color="auto"/>
              <w:right w:val="single" w:sz="4" w:space="0" w:color="auto"/>
            </w:tcBorders>
            <w:shd w:val="clear" w:color="000000" w:fill="B4C6E7"/>
            <w:vAlign w:val="bottom"/>
            <w:hideMark/>
          </w:tcPr>
          <w:p w14:paraId="316DA3E4"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%Short-Term Outcomes Achieved</w:t>
            </w:r>
          </w:p>
        </w:tc>
      </w:tr>
      <w:tr w:rsidR="00BA0D82" w:rsidRPr="0005691D" w14:paraId="651038CA" w14:textId="77777777" w:rsidTr="00BC793A">
        <w:trPr>
          <w:trHeight w:val="300"/>
        </w:trPr>
        <w:tc>
          <w:tcPr>
            <w:tcW w:w="2506" w:type="dxa"/>
            <w:tcBorders>
              <w:top w:val="nil"/>
              <w:left w:val="single" w:sz="4" w:space="0" w:color="auto"/>
              <w:bottom w:val="single" w:sz="4" w:space="0" w:color="auto"/>
              <w:right w:val="single" w:sz="4" w:space="0" w:color="auto"/>
            </w:tcBorders>
            <w:shd w:val="clear" w:color="000000" w:fill="B4C6E7"/>
            <w:noWrap/>
            <w:vAlign w:val="center"/>
            <w:hideMark/>
          </w:tcPr>
          <w:p w14:paraId="54167718" w14:textId="77777777" w:rsidR="00BA0D82" w:rsidRPr="0005691D" w:rsidRDefault="00BA0D82" w:rsidP="001A5653">
            <w:pPr>
              <w:spacing w:after="0" w:line="240" w:lineRule="auto"/>
              <w:jc w:val="right"/>
              <w:rPr>
                <w:rFonts w:ascii="Calibri" w:eastAsia="Times New Roman" w:hAnsi="Calibri" w:cs="Calibri"/>
                <w:b/>
                <w:bCs/>
                <w:color w:val="000000"/>
              </w:rPr>
            </w:pPr>
            <w:r w:rsidRPr="0005691D">
              <w:rPr>
                <w:rFonts w:ascii="Calibri" w:eastAsia="Times New Roman" w:hAnsi="Calibri" w:cs="Calibri"/>
                <w:b/>
                <w:bCs/>
                <w:color w:val="000000"/>
              </w:rPr>
              <w:t>Workforce Integration</w:t>
            </w:r>
          </w:p>
        </w:tc>
        <w:tc>
          <w:tcPr>
            <w:tcW w:w="1165" w:type="dxa"/>
            <w:tcBorders>
              <w:top w:val="nil"/>
              <w:left w:val="nil"/>
              <w:bottom w:val="single" w:sz="4" w:space="0" w:color="auto"/>
              <w:right w:val="single" w:sz="4" w:space="0" w:color="auto"/>
            </w:tcBorders>
            <w:shd w:val="clear" w:color="000000" w:fill="FFFFFF"/>
            <w:noWrap/>
            <w:vAlign w:val="center"/>
            <w:hideMark/>
          </w:tcPr>
          <w:p w14:paraId="7CE3AAEF"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2</w:t>
            </w:r>
          </w:p>
        </w:tc>
        <w:tc>
          <w:tcPr>
            <w:tcW w:w="1254" w:type="dxa"/>
            <w:tcBorders>
              <w:top w:val="nil"/>
              <w:left w:val="nil"/>
              <w:bottom w:val="single" w:sz="4" w:space="0" w:color="auto"/>
              <w:right w:val="single" w:sz="4" w:space="0" w:color="auto"/>
            </w:tcBorders>
            <w:shd w:val="clear" w:color="000000" w:fill="FFFFFF"/>
            <w:noWrap/>
            <w:vAlign w:val="center"/>
            <w:hideMark/>
          </w:tcPr>
          <w:p w14:paraId="45217D26"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50%</w:t>
            </w:r>
          </w:p>
        </w:tc>
        <w:tc>
          <w:tcPr>
            <w:tcW w:w="897" w:type="dxa"/>
            <w:tcBorders>
              <w:top w:val="nil"/>
              <w:left w:val="nil"/>
              <w:bottom w:val="single" w:sz="4" w:space="0" w:color="auto"/>
              <w:right w:val="single" w:sz="4" w:space="0" w:color="auto"/>
            </w:tcBorders>
            <w:shd w:val="clear" w:color="000000" w:fill="FFFFFF"/>
            <w:noWrap/>
            <w:vAlign w:val="center"/>
            <w:hideMark/>
          </w:tcPr>
          <w:p w14:paraId="30CAEB0E"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2</w:t>
            </w:r>
          </w:p>
        </w:tc>
        <w:tc>
          <w:tcPr>
            <w:tcW w:w="897" w:type="dxa"/>
            <w:tcBorders>
              <w:top w:val="nil"/>
              <w:left w:val="nil"/>
              <w:bottom w:val="single" w:sz="4" w:space="0" w:color="auto"/>
              <w:right w:val="single" w:sz="4" w:space="0" w:color="auto"/>
            </w:tcBorders>
            <w:shd w:val="clear" w:color="000000" w:fill="FFFFFF"/>
            <w:noWrap/>
            <w:vAlign w:val="center"/>
            <w:hideMark/>
          </w:tcPr>
          <w:p w14:paraId="73A8402A"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w:t>
            </w:r>
          </w:p>
        </w:tc>
        <w:tc>
          <w:tcPr>
            <w:tcW w:w="892" w:type="dxa"/>
            <w:tcBorders>
              <w:top w:val="nil"/>
              <w:left w:val="nil"/>
              <w:bottom w:val="single" w:sz="4" w:space="0" w:color="auto"/>
              <w:right w:val="single" w:sz="4" w:space="0" w:color="auto"/>
            </w:tcBorders>
            <w:shd w:val="clear" w:color="000000" w:fill="FFFFFF"/>
            <w:noWrap/>
            <w:vAlign w:val="center"/>
            <w:hideMark/>
          </w:tcPr>
          <w:p w14:paraId="18B2816C"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50%</w:t>
            </w:r>
          </w:p>
        </w:tc>
        <w:tc>
          <w:tcPr>
            <w:tcW w:w="1063" w:type="dxa"/>
            <w:tcBorders>
              <w:top w:val="nil"/>
              <w:left w:val="nil"/>
              <w:bottom w:val="single" w:sz="4" w:space="0" w:color="auto"/>
              <w:right w:val="single" w:sz="4" w:space="0" w:color="auto"/>
            </w:tcBorders>
            <w:shd w:val="clear" w:color="000000" w:fill="FFFFFF"/>
            <w:noWrap/>
            <w:vAlign w:val="center"/>
            <w:hideMark/>
          </w:tcPr>
          <w:p w14:paraId="131BD0F2"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2</w:t>
            </w:r>
          </w:p>
        </w:tc>
        <w:tc>
          <w:tcPr>
            <w:tcW w:w="1063" w:type="dxa"/>
            <w:tcBorders>
              <w:top w:val="nil"/>
              <w:left w:val="nil"/>
              <w:bottom w:val="single" w:sz="4" w:space="0" w:color="auto"/>
              <w:right w:val="single" w:sz="4" w:space="0" w:color="auto"/>
            </w:tcBorders>
            <w:shd w:val="clear" w:color="000000" w:fill="FFFFFF"/>
            <w:noWrap/>
            <w:vAlign w:val="center"/>
            <w:hideMark/>
          </w:tcPr>
          <w:p w14:paraId="2D2B9D0C"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0</w:t>
            </w:r>
          </w:p>
        </w:tc>
        <w:tc>
          <w:tcPr>
            <w:tcW w:w="1063" w:type="dxa"/>
            <w:tcBorders>
              <w:top w:val="nil"/>
              <w:left w:val="nil"/>
              <w:bottom w:val="single" w:sz="4" w:space="0" w:color="auto"/>
              <w:right w:val="single" w:sz="4" w:space="0" w:color="auto"/>
            </w:tcBorders>
            <w:shd w:val="clear" w:color="000000" w:fill="FFFFFF"/>
            <w:noWrap/>
            <w:vAlign w:val="center"/>
            <w:hideMark/>
          </w:tcPr>
          <w:p w14:paraId="7D34939F"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0%</w:t>
            </w:r>
          </w:p>
        </w:tc>
      </w:tr>
      <w:tr w:rsidR="00BA0D82" w:rsidRPr="0005691D" w14:paraId="2133835A" w14:textId="77777777" w:rsidTr="00BC793A">
        <w:trPr>
          <w:trHeight w:val="300"/>
        </w:trPr>
        <w:tc>
          <w:tcPr>
            <w:tcW w:w="2506" w:type="dxa"/>
            <w:tcBorders>
              <w:top w:val="nil"/>
              <w:left w:val="nil"/>
              <w:bottom w:val="nil"/>
              <w:right w:val="nil"/>
            </w:tcBorders>
            <w:shd w:val="clear" w:color="auto" w:fill="auto"/>
            <w:noWrap/>
            <w:vAlign w:val="bottom"/>
            <w:hideMark/>
          </w:tcPr>
          <w:p w14:paraId="3A5F8B4E" w14:textId="77777777" w:rsidR="00BA0D82" w:rsidRPr="0005691D" w:rsidRDefault="00BA0D82" w:rsidP="001A5653">
            <w:pPr>
              <w:spacing w:after="0" w:line="240" w:lineRule="auto"/>
              <w:jc w:val="center"/>
              <w:rPr>
                <w:rFonts w:ascii="Calibri" w:eastAsia="Times New Roman" w:hAnsi="Calibri" w:cs="Calibri"/>
                <w:color w:val="000000"/>
              </w:rPr>
            </w:pPr>
          </w:p>
        </w:tc>
        <w:tc>
          <w:tcPr>
            <w:tcW w:w="1165" w:type="dxa"/>
            <w:tcBorders>
              <w:top w:val="nil"/>
              <w:left w:val="nil"/>
              <w:bottom w:val="nil"/>
              <w:right w:val="nil"/>
            </w:tcBorders>
            <w:shd w:val="clear" w:color="auto" w:fill="auto"/>
            <w:noWrap/>
            <w:vAlign w:val="center"/>
            <w:hideMark/>
          </w:tcPr>
          <w:p w14:paraId="7E6FF4B7" w14:textId="77777777" w:rsidR="00BA0D82" w:rsidRPr="0005691D" w:rsidRDefault="00BA0D82" w:rsidP="001A5653">
            <w:pPr>
              <w:spacing w:after="0" w:line="240" w:lineRule="auto"/>
              <w:rPr>
                <w:rFonts w:ascii="Times New Roman" w:eastAsia="Times New Roman" w:hAnsi="Times New Roman" w:cs="Times New Roman"/>
                <w:sz w:val="20"/>
                <w:szCs w:val="20"/>
              </w:rPr>
            </w:pPr>
          </w:p>
        </w:tc>
        <w:tc>
          <w:tcPr>
            <w:tcW w:w="1254" w:type="dxa"/>
            <w:tcBorders>
              <w:top w:val="nil"/>
              <w:left w:val="nil"/>
              <w:bottom w:val="nil"/>
              <w:right w:val="nil"/>
            </w:tcBorders>
            <w:shd w:val="clear" w:color="auto" w:fill="auto"/>
            <w:noWrap/>
            <w:vAlign w:val="center"/>
            <w:hideMark/>
          </w:tcPr>
          <w:p w14:paraId="280C1854"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c>
          <w:tcPr>
            <w:tcW w:w="897" w:type="dxa"/>
            <w:tcBorders>
              <w:top w:val="nil"/>
              <w:left w:val="nil"/>
              <w:bottom w:val="nil"/>
              <w:right w:val="nil"/>
            </w:tcBorders>
            <w:shd w:val="clear" w:color="auto" w:fill="auto"/>
            <w:noWrap/>
            <w:vAlign w:val="center"/>
            <w:hideMark/>
          </w:tcPr>
          <w:p w14:paraId="730E0E21"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c>
          <w:tcPr>
            <w:tcW w:w="897" w:type="dxa"/>
            <w:tcBorders>
              <w:top w:val="nil"/>
              <w:left w:val="nil"/>
              <w:bottom w:val="nil"/>
              <w:right w:val="nil"/>
            </w:tcBorders>
            <w:shd w:val="clear" w:color="auto" w:fill="auto"/>
            <w:noWrap/>
            <w:vAlign w:val="center"/>
            <w:hideMark/>
          </w:tcPr>
          <w:p w14:paraId="7D40E9FE"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c>
          <w:tcPr>
            <w:tcW w:w="892" w:type="dxa"/>
            <w:tcBorders>
              <w:top w:val="nil"/>
              <w:left w:val="nil"/>
              <w:bottom w:val="nil"/>
              <w:right w:val="nil"/>
            </w:tcBorders>
            <w:shd w:val="clear" w:color="auto" w:fill="auto"/>
            <w:noWrap/>
            <w:vAlign w:val="center"/>
            <w:hideMark/>
          </w:tcPr>
          <w:p w14:paraId="3E5DA597"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c>
          <w:tcPr>
            <w:tcW w:w="1063" w:type="dxa"/>
            <w:tcBorders>
              <w:top w:val="nil"/>
              <w:left w:val="nil"/>
              <w:bottom w:val="nil"/>
              <w:right w:val="nil"/>
            </w:tcBorders>
            <w:shd w:val="clear" w:color="auto" w:fill="auto"/>
            <w:noWrap/>
            <w:vAlign w:val="center"/>
            <w:hideMark/>
          </w:tcPr>
          <w:p w14:paraId="29A6767C"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c>
          <w:tcPr>
            <w:tcW w:w="1063" w:type="dxa"/>
            <w:tcBorders>
              <w:top w:val="nil"/>
              <w:left w:val="nil"/>
              <w:bottom w:val="nil"/>
              <w:right w:val="nil"/>
            </w:tcBorders>
            <w:shd w:val="clear" w:color="auto" w:fill="auto"/>
            <w:noWrap/>
            <w:vAlign w:val="center"/>
            <w:hideMark/>
          </w:tcPr>
          <w:p w14:paraId="721C4AB6"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c>
          <w:tcPr>
            <w:tcW w:w="1063" w:type="dxa"/>
            <w:tcBorders>
              <w:top w:val="nil"/>
              <w:left w:val="nil"/>
              <w:bottom w:val="nil"/>
              <w:right w:val="nil"/>
            </w:tcBorders>
            <w:shd w:val="clear" w:color="auto" w:fill="auto"/>
            <w:noWrap/>
            <w:vAlign w:val="center"/>
            <w:hideMark/>
          </w:tcPr>
          <w:p w14:paraId="426B15E3"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r>
      <w:tr w:rsidR="00BA0D82" w:rsidRPr="0005691D" w14:paraId="7F069312" w14:textId="77777777" w:rsidTr="001A5653">
        <w:trPr>
          <w:trHeight w:val="465"/>
        </w:trPr>
        <w:tc>
          <w:tcPr>
            <w:tcW w:w="10800" w:type="dxa"/>
            <w:gridSpan w:val="9"/>
            <w:tcBorders>
              <w:top w:val="single" w:sz="4" w:space="0" w:color="auto"/>
              <w:left w:val="nil"/>
              <w:bottom w:val="single" w:sz="4" w:space="0" w:color="auto"/>
              <w:right w:val="nil"/>
            </w:tcBorders>
            <w:shd w:val="clear" w:color="auto" w:fill="auto"/>
            <w:noWrap/>
            <w:vAlign w:val="bottom"/>
            <w:hideMark/>
          </w:tcPr>
          <w:p w14:paraId="304C6D37" w14:textId="77777777" w:rsidR="00BA0D82" w:rsidRPr="0005691D" w:rsidRDefault="00BA0D82" w:rsidP="00BA0D82">
            <w:pPr>
              <w:pStyle w:val="Heading2"/>
              <w:numPr>
                <w:ilvl w:val="0"/>
                <w:numId w:val="0"/>
              </w:numPr>
              <w:rPr>
                <w:rFonts w:eastAsia="Times New Roman"/>
              </w:rPr>
            </w:pPr>
            <w:bookmarkStart w:id="217" w:name="_Toc27143198"/>
            <w:bookmarkStart w:id="218" w:name="_Toc28011497"/>
            <w:r w:rsidRPr="0005691D">
              <w:rPr>
                <w:rFonts w:eastAsia="Times New Roman"/>
              </w:rPr>
              <w:t>Indiana Combined</w:t>
            </w:r>
            <w:bookmarkEnd w:id="217"/>
            <w:bookmarkEnd w:id="218"/>
          </w:p>
        </w:tc>
      </w:tr>
      <w:tr w:rsidR="00BA0D82" w:rsidRPr="0005691D" w14:paraId="2B874B9D" w14:textId="77777777" w:rsidTr="001A5653">
        <w:trPr>
          <w:trHeight w:val="1305"/>
        </w:trPr>
        <w:tc>
          <w:tcPr>
            <w:tcW w:w="2506" w:type="dxa"/>
            <w:tcBorders>
              <w:top w:val="nil"/>
              <w:left w:val="single" w:sz="4" w:space="0" w:color="auto"/>
              <w:bottom w:val="single" w:sz="4" w:space="0" w:color="auto"/>
              <w:right w:val="single" w:sz="4" w:space="0" w:color="auto"/>
            </w:tcBorders>
            <w:shd w:val="clear" w:color="000000" w:fill="B4C6E7"/>
            <w:vAlign w:val="bottom"/>
            <w:hideMark/>
          </w:tcPr>
          <w:p w14:paraId="3A450D4E" w14:textId="77777777" w:rsidR="00BA0D82" w:rsidRPr="0005691D" w:rsidRDefault="00BA0D82" w:rsidP="001A5653">
            <w:pPr>
              <w:spacing w:after="0" w:line="240" w:lineRule="auto"/>
              <w:jc w:val="right"/>
              <w:rPr>
                <w:rFonts w:ascii="Calibri" w:eastAsia="Times New Roman" w:hAnsi="Calibri" w:cs="Calibri"/>
                <w:b/>
                <w:bCs/>
                <w:color w:val="000000"/>
                <w:szCs w:val="28"/>
              </w:rPr>
            </w:pPr>
            <w:r w:rsidRPr="0005691D">
              <w:rPr>
                <w:rFonts w:ascii="Calibri" w:eastAsia="Times New Roman" w:hAnsi="Calibri" w:cs="Calibri"/>
                <w:b/>
                <w:bCs/>
                <w:color w:val="000000"/>
                <w:szCs w:val="28"/>
              </w:rPr>
              <w:t>Area</w:t>
            </w:r>
          </w:p>
        </w:tc>
        <w:tc>
          <w:tcPr>
            <w:tcW w:w="1165" w:type="dxa"/>
            <w:tcBorders>
              <w:top w:val="nil"/>
              <w:left w:val="nil"/>
              <w:bottom w:val="single" w:sz="4" w:space="0" w:color="auto"/>
              <w:right w:val="single" w:sz="4" w:space="0" w:color="auto"/>
            </w:tcBorders>
            <w:shd w:val="clear" w:color="000000" w:fill="B4C6E7"/>
            <w:vAlign w:val="bottom"/>
            <w:hideMark/>
          </w:tcPr>
          <w:p w14:paraId="061C353E"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of Total Activities</w:t>
            </w:r>
          </w:p>
        </w:tc>
        <w:tc>
          <w:tcPr>
            <w:tcW w:w="1254" w:type="dxa"/>
            <w:tcBorders>
              <w:top w:val="nil"/>
              <w:left w:val="nil"/>
              <w:bottom w:val="single" w:sz="4" w:space="0" w:color="auto"/>
              <w:right w:val="single" w:sz="4" w:space="0" w:color="auto"/>
            </w:tcBorders>
            <w:shd w:val="clear" w:color="000000" w:fill="B4C6E7"/>
            <w:vAlign w:val="bottom"/>
            <w:hideMark/>
          </w:tcPr>
          <w:p w14:paraId="03333F14"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Average Progress on Activities (%)</w:t>
            </w:r>
          </w:p>
        </w:tc>
        <w:tc>
          <w:tcPr>
            <w:tcW w:w="897" w:type="dxa"/>
            <w:tcBorders>
              <w:top w:val="nil"/>
              <w:left w:val="nil"/>
              <w:bottom w:val="single" w:sz="4" w:space="0" w:color="auto"/>
              <w:right w:val="single" w:sz="4" w:space="0" w:color="auto"/>
            </w:tcBorders>
            <w:shd w:val="clear" w:color="000000" w:fill="B4C6E7"/>
            <w:vAlign w:val="bottom"/>
            <w:hideMark/>
          </w:tcPr>
          <w:p w14:paraId="6007948A"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Outputs</w:t>
            </w:r>
          </w:p>
        </w:tc>
        <w:tc>
          <w:tcPr>
            <w:tcW w:w="897" w:type="dxa"/>
            <w:tcBorders>
              <w:top w:val="nil"/>
              <w:left w:val="nil"/>
              <w:bottom w:val="single" w:sz="4" w:space="0" w:color="auto"/>
              <w:right w:val="single" w:sz="4" w:space="0" w:color="auto"/>
            </w:tcBorders>
            <w:shd w:val="clear" w:color="000000" w:fill="B4C6E7"/>
            <w:vAlign w:val="bottom"/>
            <w:hideMark/>
          </w:tcPr>
          <w:p w14:paraId="1DDA6DC5"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Outputs Met</w:t>
            </w:r>
          </w:p>
        </w:tc>
        <w:tc>
          <w:tcPr>
            <w:tcW w:w="892" w:type="dxa"/>
            <w:tcBorders>
              <w:top w:val="nil"/>
              <w:left w:val="nil"/>
              <w:bottom w:val="single" w:sz="4" w:space="0" w:color="auto"/>
              <w:right w:val="single" w:sz="4" w:space="0" w:color="auto"/>
            </w:tcBorders>
            <w:shd w:val="clear" w:color="000000" w:fill="B4C6E7"/>
            <w:vAlign w:val="bottom"/>
            <w:hideMark/>
          </w:tcPr>
          <w:p w14:paraId="5FB1DDCE"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Outputs Met</w:t>
            </w:r>
          </w:p>
        </w:tc>
        <w:tc>
          <w:tcPr>
            <w:tcW w:w="1063" w:type="dxa"/>
            <w:tcBorders>
              <w:top w:val="nil"/>
              <w:left w:val="nil"/>
              <w:bottom w:val="single" w:sz="4" w:space="0" w:color="auto"/>
              <w:right w:val="single" w:sz="4" w:space="0" w:color="auto"/>
            </w:tcBorders>
            <w:shd w:val="clear" w:color="000000" w:fill="B4C6E7"/>
            <w:vAlign w:val="bottom"/>
            <w:hideMark/>
          </w:tcPr>
          <w:p w14:paraId="45970D5D"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Short-Term Outcomes</w:t>
            </w:r>
          </w:p>
        </w:tc>
        <w:tc>
          <w:tcPr>
            <w:tcW w:w="1063" w:type="dxa"/>
            <w:tcBorders>
              <w:top w:val="nil"/>
              <w:left w:val="nil"/>
              <w:bottom w:val="single" w:sz="4" w:space="0" w:color="auto"/>
              <w:right w:val="single" w:sz="4" w:space="0" w:color="auto"/>
            </w:tcBorders>
            <w:shd w:val="clear" w:color="000000" w:fill="B4C6E7"/>
            <w:vAlign w:val="bottom"/>
            <w:hideMark/>
          </w:tcPr>
          <w:p w14:paraId="4EE88758"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Short-Term Outcomes Met</w:t>
            </w:r>
          </w:p>
        </w:tc>
        <w:tc>
          <w:tcPr>
            <w:tcW w:w="1063" w:type="dxa"/>
            <w:tcBorders>
              <w:top w:val="nil"/>
              <w:left w:val="nil"/>
              <w:bottom w:val="single" w:sz="4" w:space="0" w:color="auto"/>
              <w:right w:val="single" w:sz="4" w:space="0" w:color="auto"/>
            </w:tcBorders>
            <w:shd w:val="clear" w:color="000000" w:fill="B4C6E7"/>
            <w:vAlign w:val="bottom"/>
            <w:hideMark/>
          </w:tcPr>
          <w:p w14:paraId="499D1DA6"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%Short-Term Outcomes Achieved</w:t>
            </w:r>
          </w:p>
        </w:tc>
      </w:tr>
      <w:tr w:rsidR="00BA0D82" w:rsidRPr="0005691D" w14:paraId="3B75CF95" w14:textId="77777777" w:rsidTr="001A5653">
        <w:trPr>
          <w:trHeight w:val="300"/>
        </w:trPr>
        <w:tc>
          <w:tcPr>
            <w:tcW w:w="2506" w:type="dxa"/>
            <w:tcBorders>
              <w:top w:val="nil"/>
              <w:left w:val="single" w:sz="4" w:space="0" w:color="auto"/>
              <w:bottom w:val="single" w:sz="4" w:space="0" w:color="auto"/>
              <w:right w:val="single" w:sz="4" w:space="0" w:color="auto"/>
            </w:tcBorders>
            <w:shd w:val="clear" w:color="000000" w:fill="B4C6E7"/>
            <w:noWrap/>
            <w:vAlign w:val="center"/>
            <w:hideMark/>
          </w:tcPr>
          <w:p w14:paraId="006C8581" w14:textId="77777777" w:rsidR="00BA0D82" w:rsidRPr="0005691D" w:rsidRDefault="00BA0D82" w:rsidP="001A5653">
            <w:pPr>
              <w:spacing w:after="0" w:line="240" w:lineRule="auto"/>
              <w:jc w:val="right"/>
              <w:rPr>
                <w:rFonts w:ascii="Calibri" w:eastAsia="Times New Roman" w:hAnsi="Calibri" w:cs="Calibri"/>
                <w:b/>
                <w:bCs/>
                <w:color w:val="000000"/>
              </w:rPr>
            </w:pPr>
            <w:r w:rsidRPr="0005691D">
              <w:rPr>
                <w:rFonts w:ascii="Calibri" w:eastAsia="Times New Roman" w:hAnsi="Calibri" w:cs="Calibri"/>
                <w:b/>
                <w:bCs/>
                <w:color w:val="000000"/>
              </w:rPr>
              <w:t>Pre-ETS</w:t>
            </w:r>
          </w:p>
        </w:tc>
        <w:tc>
          <w:tcPr>
            <w:tcW w:w="1165" w:type="dxa"/>
            <w:tcBorders>
              <w:top w:val="nil"/>
              <w:left w:val="nil"/>
              <w:bottom w:val="single" w:sz="4" w:space="0" w:color="auto"/>
              <w:right w:val="single" w:sz="4" w:space="0" w:color="auto"/>
            </w:tcBorders>
            <w:shd w:val="clear" w:color="000000" w:fill="FFFFFF"/>
            <w:noWrap/>
            <w:vAlign w:val="center"/>
            <w:hideMark/>
          </w:tcPr>
          <w:p w14:paraId="5E4A5391"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6</w:t>
            </w:r>
          </w:p>
        </w:tc>
        <w:tc>
          <w:tcPr>
            <w:tcW w:w="1254" w:type="dxa"/>
            <w:tcBorders>
              <w:top w:val="nil"/>
              <w:left w:val="nil"/>
              <w:bottom w:val="single" w:sz="4" w:space="0" w:color="auto"/>
              <w:right w:val="single" w:sz="4" w:space="0" w:color="auto"/>
            </w:tcBorders>
            <w:shd w:val="clear" w:color="000000" w:fill="FFFFFF"/>
            <w:noWrap/>
            <w:vAlign w:val="center"/>
            <w:hideMark/>
          </w:tcPr>
          <w:p w14:paraId="6474DA3C"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100%</w:t>
            </w:r>
          </w:p>
        </w:tc>
        <w:tc>
          <w:tcPr>
            <w:tcW w:w="897" w:type="dxa"/>
            <w:tcBorders>
              <w:top w:val="nil"/>
              <w:left w:val="nil"/>
              <w:bottom w:val="single" w:sz="4" w:space="0" w:color="auto"/>
              <w:right w:val="single" w:sz="4" w:space="0" w:color="auto"/>
            </w:tcBorders>
            <w:shd w:val="clear" w:color="000000" w:fill="FFFFFF"/>
            <w:noWrap/>
            <w:vAlign w:val="center"/>
            <w:hideMark/>
          </w:tcPr>
          <w:p w14:paraId="71E51F10"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6</w:t>
            </w:r>
          </w:p>
        </w:tc>
        <w:tc>
          <w:tcPr>
            <w:tcW w:w="897" w:type="dxa"/>
            <w:tcBorders>
              <w:top w:val="nil"/>
              <w:left w:val="nil"/>
              <w:bottom w:val="single" w:sz="4" w:space="0" w:color="auto"/>
              <w:right w:val="single" w:sz="4" w:space="0" w:color="auto"/>
            </w:tcBorders>
            <w:shd w:val="clear" w:color="000000" w:fill="FFFFFF"/>
            <w:noWrap/>
            <w:vAlign w:val="center"/>
            <w:hideMark/>
          </w:tcPr>
          <w:p w14:paraId="7DE59EE5"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6</w:t>
            </w:r>
          </w:p>
        </w:tc>
        <w:tc>
          <w:tcPr>
            <w:tcW w:w="892" w:type="dxa"/>
            <w:tcBorders>
              <w:top w:val="nil"/>
              <w:left w:val="nil"/>
              <w:bottom w:val="single" w:sz="4" w:space="0" w:color="auto"/>
              <w:right w:val="single" w:sz="4" w:space="0" w:color="auto"/>
            </w:tcBorders>
            <w:shd w:val="clear" w:color="000000" w:fill="FFFFFF"/>
            <w:noWrap/>
            <w:vAlign w:val="center"/>
            <w:hideMark/>
          </w:tcPr>
          <w:p w14:paraId="6D0DC195"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100%</w:t>
            </w:r>
          </w:p>
        </w:tc>
        <w:tc>
          <w:tcPr>
            <w:tcW w:w="1063" w:type="dxa"/>
            <w:tcBorders>
              <w:top w:val="nil"/>
              <w:left w:val="nil"/>
              <w:bottom w:val="single" w:sz="4" w:space="0" w:color="auto"/>
              <w:right w:val="single" w:sz="4" w:space="0" w:color="auto"/>
            </w:tcBorders>
            <w:shd w:val="clear" w:color="000000" w:fill="FFFFFF"/>
            <w:noWrap/>
            <w:vAlign w:val="center"/>
            <w:hideMark/>
          </w:tcPr>
          <w:p w14:paraId="43C85DDA"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4</w:t>
            </w:r>
          </w:p>
        </w:tc>
        <w:tc>
          <w:tcPr>
            <w:tcW w:w="1063" w:type="dxa"/>
            <w:tcBorders>
              <w:top w:val="nil"/>
              <w:left w:val="nil"/>
              <w:bottom w:val="single" w:sz="4" w:space="0" w:color="auto"/>
              <w:right w:val="single" w:sz="4" w:space="0" w:color="auto"/>
            </w:tcBorders>
            <w:shd w:val="clear" w:color="000000" w:fill="FFFFFF"/>
            <w:noWrap/>
            <w:vAlign w:val="center"/>
            <w:hideMark/>
          </w:tcPr>
          <w:p w14:paraId="78C53D3F"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w:t>
            </w:r>
          </w:p>
        </w:tc>
        <w:tc>
          <w:tcPr>
            <w:tcW w:w="1063" w:type="dxa"/>
            <w:tcBorders>
              <w:top w:val="nil"/>
              <w:left w:val="nil"/>
              <w:bottom w:val="single" w:sz="4" w:space="0" w:color="auto"/>
              <w:right w:val="single" w:sz="4" w:space="0" w:color="auto"/>
            </w:tcBorders>
            <w:shd w:val="clear" w:color="000000" w:fill="FFFFFF"/>
            <w:noWrap/>
            <w:vAlign w:val="center"/>
            <w:hideMark/>
          </w:tcPr>
          <w:p w14:paraId="41CB9DE9"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25%</w:t>
            </w:r>
          </w:p>
        </w:tc>
      </w:tr>
      <w:tr w:rsidR="00BA0D82" w:rsidRPr="0005691D" w14:paraId="048B5313" w14:textId="77777777" w:rsidTr="001A5653">
        <w:trPr>
          <w:trHeight w:val="300"/>
        </w:trPr>
        <w:tc>
          <w:tcPr>
            <w:tcW w:w="2506" w:type="dxa"/>
            <w:tcBorders>
              <w:top w:val="nil"/>
              <w:left w:val="single" w:sz="4" w:space="0" w:color="auto"/>
              <w:bottom w:val="single" w:sz="4" w:space="0" w:color="auto"/>
              <w:right w:val="single" w:sz="4" w:space="0" w:color="auto"/>
            </w:tcBorders>
            <w:shd w:val="clear" w:color="000000" w:fill="B4C6E7"/>
            <w:noWrap/>
            <w:vAlign w:val="center"/>
            <w:hideMark/>
          </w:tcPr>
          <w:p w14:paraId="31A95C19" w14:textId="77777777" w:rsidR="00BA0D82" w:rsidRPr="0005691D" w:rsidRDefault="00BA0D82" w:rsidP="001A5653">
            <w:pPr>
              <w:spacing w:after="0" w:line="240" w:lineRule="auto"/>
              <w:jc w:val="right"/>
              <w:rPr>
                <w:rFonts w:ascii="Calibri" w:eastAsia="Times New Roman" w:hAnsi="Calibri" w:cs="Calibri"/>
                <w:b/>
                <w:bCs/>
                <w:color w:val="000000"/>
              </w:rPr>
            </w:pPr>
            <w:r w:rsidRPr="0005691D">
              <w:rPr>
                <w:rFonts w:ascii="Calibri" w:eastAsia="Times New Roman" w:hAnsi="Calibri" w:cs="Calibri"/>
                <w:b/>
                <w:bCs/>
                <w:color w:val="000000"/>
              </w:rPr>
              <w:t>Common Performance Measures</w:t>
            </w:r>
          </w:p>
        </w:tc>
        <w:tc>
          <w:tcPr>
            <w:tcW w:w="1165" w:type="dxa"/>
            <w:tcBorders>
              <w:top w:val="nil"/>
              <w:left w:val="nil"/>
              <w:bottom w:val="single" w:sz="4" w:space="0" w:color="auto"/>
              <w:right w:val="single" w:sz="4" w:space="0" w:color="auto"/>
            </w:tcBorders>
            <w:shd w:val="clear" w:color="000000" w:fill="D9E2F3"/>
            <w:noWrap/>
            <w:vAlign w:val="center"/>
            <w:hideMark/>
          </w:tcPr>
          <w:p w14:paraId="493F042C"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4</w:t>
            </w:r>
          </w:p>
        </w:tc>
        <w:tc>
          <w:tcPr>
            <w:tcW w:w="1254" w:type="dxa"/>
            <w:tcBorders>
              <w:top w:val="nil"/>
              <w:left w:val="nil"/>
              <w:bottom w:val="single" w:sz="4" w:space="0" w:color="auto"/>
              <w:right w:val="single" w:sz="4" w:space="0" w:color="auto"/>
            </w:tcBorders>
            <w:shd w:val="clear" w:color="000000" w:fill="D9E2F3"/>
            <w:noWrap/>
            <w:vAlign w:val="center"/>
            <w:hideMark/>
          </w:tcPr>
          <w:p w14:paraId="118FE4B4"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31%</w:t>
            </w:r>
          </w:p>
        </w:tc>
        <w:tc>
          <w:tcPr>
            <w:tcW w:w="897" w:type="dxa"/>
            <w:tcBorders>
              <w:top w:val="nil"/>
              <w:left w:val="nil"/>
              <w:bottom w:val="single" w:sz="4" w:space="0" w:color="auto"/>
              <w:right w:val="single" w:sz="4" w:space="0" w:color="auto"/>
            </w:tcBorders>
            <w:shd w:val="clear" w:color="000000" w:fill="D9E2F3"/>
            <w:noWrap/>
            <w:vAlign w:val="center"/>
            <w:hideMark/>
          </w:tcPr>
          <w:p w14:paraId="58458343"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4</w:t>
            </w:r>
          </w:p>
        </w:tc>
        <w:tc>
          <w:tcPr>
            <w:tcW w:w="897" w:type="dxa"/>
            <w:tcBorders>
              <w:top w:val="nil"/>
              <w:left w:val="nil"/>
              <w:bottom w:val="single" w:sz="4" w:space="0" w:color="auto"/>
              <w:right w:val="single" w:sz="4" w:space="0" w:color="auto"/>
            </w:tcBorders>
            <w:shd w:val="clear" w:color="000000" w:fill="D9E2F3"/>
            <w:noWrap/>
            <w:vAlign w:val="center"/>
            <w:hideMark/>
          </w:tcPr>
          <w:p w14:paraId="7DC9922E"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w:t>
            </w:r>
          </w:p>
        </w:tc>
        <w:tc>
          <w:tcPr>
            <w:tcW w:w="892" w:type="dxa"/>
            <w:tcBorders>
              <w:top w:val="nil"/>
              <w:left w:val="nil"/>
              <w:bottom w:val="single" w:sz="4" w:space="0" w:color="auto"/>
              <w:right w:val="single" w:sz="4" w:space="0" w:color="auto"/>
            </w:tcBorders>
            <w:shd w:val="clear" w:color="000000" w:fill="D9E2F3"/>
            <w:noWrap/>
            <w:vAlign w:val="center"/>
            <w:hideMark/>
          </w:tcPr>
          <w:p w14:paraId="38F9DDAE"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25%</w:t>
            </w:r>
          </w:p>
        </w:tc>
        <w:tc>
          <w:tcPr>
            <w:tcW w:w="1063" w:type="dxa"/>
            <w:tcBorders>
              <w:top w:val="nil"/>
              <w:left w:val="nil"/>
              <w:bottom w:val="single" w:sz="4" w:space="0" w:color="auto"/>
              <w:right w:val="single" w:sz="4" w:space="0" w:color="auto"/>
            </w:tcBorders>
            <w:shd w:val="clear" w:color="000000" w:fill="D9E2F3"/>
            <w:noWrap/>
            <w:vAlign w:val="center"/>
            <w:hideMark/>
          </w:tcPr>
          <w:p w14:paraId="64BA367F"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2</w:t>
            </w:r>
          </w:p>
        </w:tc>
        <w:tc>
          <w:tcPr>
            <w:tcW w:w="1063" w:type="dxa"/>
            <w:tcBorders>
              <w:top w:val="nil"/>
              <w:left w:val="nil"/>
              <w:bottom w:val="single" w:sz="4" w:space="0" w:color="auto"/>
              <w:right w:val="single" w:sz="4" w:space="0" w:color="auto"/>
            </w:tcBorders>
            <w:shd w:val="clear" w:color="000000" w:fill="D9E2F3"/>
            <w:noWrap/>
            <w:vAlign w:val="center"/>
            <w:hideMark/>
          </w:tcPr>
          <w:p w14:paraId="56C9A19E"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0</w:t>
            </w:r>
          </w:p>
        </w:tc>
        <w:tc>
          <w:tcPr>
            <w:tcW w:w="1063" w:type="dxa"/>
            <w:tcBorders>
              <w:top w:val="nil"/>
              <w:left w:val="nil"/>
              <w:bottom w:val="single" w:sz="4" w:space="0" w:color="auto"/>
              <w:right w:val="single" w:sz="4" w:space="0" w:color="auto"/>
            </w:tcBorders>
            <w:shd w:val="clear" w:color="000000" w:fill="D9E2F3"/>
            <w:noWrap/>
            <w:vAlign w:val="center"/>
            <w:hideMark/>
          </w:tcPr>
          <w:p w14:paraId="104A116E"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0%</w:t>
            </w:r>
          </w:p>
        </w:tc>
      </w:tr>
      <w:tr w:rsidR="00BA0D82" w:rsidRPr="0005691D" w14:paraId="5798E660" w14:textId="77777777" w:rsidTr="001A5653">
        <w:trPr>
          <w:trHeight w:val="300"/>
        </w:trPr>
        <w:tc>
          <w:tcPr>
            <w:tcW w:w="2506" w:type="dxa"/>
            <w:tcBorders>
              <w:top w:val="nil"/>
              <w:left w:val="nil"/>
              <w:bottom w:val="nil"/>
              <w:right w:val="nil"/>
            </w:tcBorders>
            <w:shd w:val="clear" w:color="auto" w:fill="auto"/>
            <w:noWrap/>
            <w:vAlign w:val="bottom"/>
            <w:hideMark/>
          </w:tcPr>
          <w:p w14:paraId="6FFEB686" w14:textId="77777777" w:rsidR="00BA0D82" w:rsidRPr="0005691D" w:rsidRDefault="00BA0D82" w:rsidP="001A5653">
            <w:pPr>
              <w:spacing w:after="0" w:line="240" w:lineRule="auto"/>
              <w:jc w:val="center"/>
              <w:rPr>
                <w:rFonts w:ascii="Calibri" w:eastAsia="Times New Roman" w:hAnsi="Calibri" w:cs="Calibri"/>
                <w:color w:val="000000"/>
              </w:rPr>
            </w:pPr>
          </w:p>
        </w:tc>
        <w:tc>
          <w:tcPr>
            <w:tcW w:w="1165" w:type="dxa"/>
            <w:tcBorders>
              <w:top w:val="nil"/>
              <w:left w:val="nil"/>
              <w:bottom w:val="nil"/>
              <w:right w:val="nil"/>
            </w:tcBorders>
            <w:shd w:val="clear" w:color="auto" w:fill="auto"/>
            <w:noWrap/>
            <w:vAlign w:val="center"/>
            <w:hideMark/>
          </w:tcPr>
          <w:p w14:paraId="19AD1C7B" w14:textId="77777777" w:rsidR="00BA0D82" w:rsidRPr="0005691D" w:rsidRDefault="00BA0D82" w:rsidP="001A5653">
            <w:pPr>
              <w:spacing w:after="0" w:line="240" w:lineRule="auto"/>
              <w:rPr>
                <w:rFonts w:ascii="Times New Roman" w:eastAsia="Times New Roman" w:hAnsi="Times New Roman" w:cs="Times New Roman"/>
                <w:sz w:val="20"/>
                <w:szCs w:val="20"/>
              </w:rPr>
            </w:pPr>
          </w:p>
        </w:tc>
        <w:tc>
          <w:tcPr>
            <w:tcW w:w="1254" w:type="dxa"/>
            <w:tcBorders>
              <w:top w:val="nil"/>
              <w:left w:val="nil"/>
              <w:bottom w:val="nil"/>
              <w:right w:val="nil"/>
            </w:tcBorders>
            <w:shd w:val="clear" w:color="auto" w:fill="auto"/>
            <w:noWrap/>
            <w:vAlign w:val="center"/>
            <w:hideMark/>
          </w:tcPr>
          <w:p w14:paraId="212A6072"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c>
          <w:tcPr>
            <w:tcW w:w="897" w:type="dxa"/>
            <w:tcBorders>
              <w:top w:val="nil"/>
              <w:left w:val="nil"/>
              <w:bottom w:val="nil"/>
              <w:right w:val="nil"/>
            </w:tcBorders>
            <w:shd w:val="clear" w:color="auto" w:fill="auto"/>
            <w:noWrap/>
            <w:vAlign w:val="center"/>
            <w:hideMark/>
          </w:tcPr>
          <w:p w14:paraId="71C2AD02"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c>
          <w:tcPr>
            <w:tcW w:w="897" w:type="dxa"/>
            <w:tcBorders>
              <w:top w:val="nil"/>
              <w:left w:val="nil"/>
              <w:bottom w:val="nil"/>
              <w:right w:val="nil"/>
            </w:tcBorders>
            <w:shd w:val="clear" w:color="auto" w:fill="auto"/>
            <w:noWrap/>
            <w:vAlign w:val="center"/>
            <w:hideMark/>
          </w:tcPr>
          <w:p w14:paraId="54741D63"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c>
          <w:tcPr>
            <w:tcW w:w="892" w:type="dxa"/>
            <w:tcBorders>
              <w:top w:val="nil"/>
              <w:left w:val="nil"/>
              <w:bottom w:val="nil"/>
              <w:right w:val="nil"/>
            </w:tcBorders>
            <w:shd w:val="clear" w:color="auto" w:fill="auto"/>
            <w:noWrap/>
            <w:vAlign w:val="center"/>
            <w:hideMark/>
          </w:tcPr>
          <w:p w14:paraId="05983BF4"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c>
          <w:tcPr>
            <w:tcW w:w="1063" w:type="dxa"/>
            <w:tcBorders>
              <w:top w:val="nil"/>
              <w:left w:val="nil"/>
              <w:bottom w:val="nil"/>
              <w:right w:val="nil"/>
            </w:tcBorders>
            <w:shd w:val="clear" w:color="auto" w:fill="auto"/>
            <w:noWrap/>
            <w:vAlign w:val="center"/>
            <w:hideMark/>
          </w:tcPr>
          <w:p w14:paraId="3C40C314"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c>
          <w:tcPr>
            <w:tcW w:w="1063" w:type="dxa"/>
            <w:tcBorders>
              <w:top w:val="nil"/>
              <w:left w:val="nil"/>
              <w:bottom w:val="nil"/>
              <w:right w:val="nil"/>
            </w:tcBorders>
            <w:shd w:val="clear" w:color="auto" w:fill="auto"/>
            <w:noWrap/>
            <w:vAlign w:val="center"/>
            <w:hideMark/>
          </w:tcPr>
          <w:p w14:paraId="1B889C07"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c>
          <w:tcPr>
            <w:tcW w:w="1063" w:type="dxa"/>
            <w:tcBorders>
              <w:top w:val="nil"/>
              <w:left w:val="nil"/>
              <w:bottom w:val="nil"/>
              <w:right w:val="nil"/>
            </w:tcBorders>
            <w:shd w:val="clear" w:color="auto" w:fill="auto"/>
            <w:noWrap/>
            <w:vAlign w:val="center"/>
            <w:hideMark/>
          </w:tcPr>
          <w:p w14:paraId="62D67023"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r>
      <w:tr w:rsidR="00BA0D82" w:rsidRPr="0005691D" w14:paraId="42457ADA" w14:textId="77777777" w:rsidTr="001A5653">
        <w:trPr>
          <w:trHeight w:val="465"/>
        </w:trPr>
        <w:tc>
          <w:tcPr>
            <w:tcW w:w="10800" w:type="dxa"/>
            <w:gridSpan w:val="9"/>
            <w:tcBorders>
              <w:top w:val="single" w:sz="4" w:space="0" w:color="auto"/>
              <w:left w:val="nil"/>
              <w:bottom w:val="single" w:sz="4" w:space="0" w:color="auto"/>
              <w:right w:val="nil"/>
            </w:tcBorders>
            <w:shd w:val="clear" w:color="auto" w:fill="auto"/>
            <w:noWrap/>
            <w:vAlign w:val="bottom"/>
            <w:hideMark/>
          </w:tcPr>
          <w:p w14:paraId="1FCACDCA" w14:textId="77777777" w:rsidR="00BA0D82" w:rsidRPr="0005691D" w:rsidRDefault="00BA0D82" w:rsidP="00BA0D82">
            <w:pPr>
              <w:pStyle w:val="Heading2"/>
              <w:numPr>
                <w:ilvl w:val="0"/>
                <w:numId w:val="0"/>
              </w:numPr>
              <w:rPr>
                <w:rFonts w:eastAsia="Times New Roman"/>
              </w:rPr>
            </w:pPr>
            <w:bookmarkStart w:id="219" w:name="_Toc27143199"/>
            <w:bookmarkStart w:id="220" w:name="_Toc28011498"/>
            <w:r w:rsidRPr="0005691D">
              <w:rPr>
                <w:rFonts w:eastAsia="Times New Roman"/>
              </w:rPr>
              <w:t>Iowa Blind</w:t>
            </w:r>
            <w:bookmarkEnd w:id="219"/>
            <w:bookmarkEnd w:id="220"/>
          </w:p>
        </w:tc>
      </w:tr>
      <w:tr w:rsidR="00BA0D82" w:rsidRPr="0005691D" w14:paraId="7FF437BA" w14:textId="77777777" w:rsidTr="001A5653">
        <w:trPr>
          <w:trHeight w:val="1305"/>
        </w:trPr>
        <w:tc>
          <w:tcPr>
            <w:tcW w:w="2506" w:type="dxa"/>
            <w:tcBorders>
              <w:top w:val="nil"/>
              <w:left w:val="single" w:sz="4" w:space="0" w:color="auto"/>
              <w:bottom w:val="single" w:sz="4" w:space="0" w:color="auto"/>
              <w:right w:val="single" w:sz="4" w:space="0" w:color="auto"/>
            </w:tcBorders>
            <w:shd w:val="clear" w:color="000000" w:fill="B4C6E7"/>
            <w:vAlign w:val="bottom"/>
            <w:hideMark/>
          </w:tcPr>
          <w:p w14:paraId="7E86C712" w14:textId="77777777" w:rsidR="00BA0D82" w:rsidRPr="0005691D" w:rsidRDefault="00BA0D82" w:rsidP="001A5653">
            <w:pPr>
              <w:spacing w:after="0" w:line="240" w:lineRule="auto"/>
              <w:jc w:val="right"/>
              <w:rPr>
                <w:rFonts w:ascii="Calibri" w:eastAsia="Times New Roman" w:hAnsi="Calibri" w:cs="Calibri"/>
                <w:b/>
                <w:bCs/>
                <w:color w:val="000000"/>
                <w:szCs w:val="28"/>
              </w:rPr>
            </w:pPr>
            <w:r w:rsidRPr="0005691D">
              <w:rPr>
                <w:rFonts w:ascii="Calibri" w:eastAsia="Times New Roman" w:hAnsi="Calibri" w:cs="Calibri"/>
                <w:b/>
                <w:bCs/>
                <w:color w:val="000000"/>
                <w:szCs w:val="28"/>
              </w:rPr>
              <w:t>Area</w:t>
            </w:r>
          </w:p>
        </w:tc>
        <w:tc>
          <w:tcPr>
            <w:tcW w:w="1165" w:type="dxa"/>
            <w:tcBorders>
              <w:top w:val="nil"/>
              <w:left w:val="nil"/>
              <w:bottom w:val="single" w:sz="4" w:space="0" w:color="auto"/>
              <w:right w:val="single" w:sz="4" w:space="0" w:color="auto"/>
            </w:tcBorders>
            <w:shd w:val="clear" w:color="000000" w:fill="B4C6E7"/>
            <w:vAlign w:val="bottom"/>
            <w:hideMark/>
          </w:tcPr>
          <w:p w14:paraId="1390017E"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of Total Activities</w:t>
            </w:r>
          </w:p>
        </w:tc>
        <w:tc>
          <w:tcPr>
            <w:tcW w:w="1254" w:type="dxa"/>
            <w:tcBorders>
              <w:top w:val="nil"/>
              <w:left w:val="nil"/>
              <w:bottom w:val="single" w:sz="4" w:space="0" w:color="auto"/>
              <w:right w:val="single" w:sz="4" w:space="0" w:color="auto"/>
            </w:tcBorders>
            <w:shd w:val="clear" w:color="000000" w:fill="B4C6E7"/>
            <w:vAlign w:val="bottom"/>
            <w:hideMark/>
          </w:tcPr>
          <w:p w14:paraId="1695ED4F"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Average Progress on Activities (%)</w:t>
            </w:r>
          </w:p>
        </w:tc>
        <w:tc>
          <w:tcPr>
            <w:tcW w:w="897" w:type="dxa"/>
            <w:tcBorders>
              <w:top w:val="nil"/>
              <w:left w:val="nil"/>
              <w:bottom w:val="single" w:sz="4" w:space="0" w:color="auto"/>
              <w:right w:val="single" w:sz="4" w:space="0" w:color="auto"/>
            </w:tcBorders>
            <w:shd w:val="clear" w:color="000000" w:fill="B4C6E7"/>
            <w:vAlign w:val="bottom"/>
            <w:hideMark/>
          </w:tcPr>
          <w:p w14:paraId="10BD9B76"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Outputs</w:t>
            </w:r>
          </w:p>
        </w:tc>
        <w:tc>
          <w:tcPr>
            <w:tcW w:w="897" w:type="dxa"/>
            <w:tcBorders>
              <w:top w:val="nil"/>
              <w:left w:val="nil"/>
              <w:bottom w:val="single" w:sz="4" w:space="0" w:color="auto"/>
              <w:right w:val="single" w:sz="4" w:space="0" w:color="auto"/>
            </w:tcBorders>
            <w:shd w:val="clear" w:color="000000" w:fill="B4C6E7"/>
            <w:vAlign w:val="bottom"/>
            <w:hideMark/>
          </w:tcPr>
          <w:p w14:paraId="5501B457"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Outputs Met</w:t>
            </w:r>
          </w:p>
        </w:tc>
        <w:tc>
          <w:tcPr>
            <w:tcW w:w="892" w:type="dxa"/>
            <w:tcBorders>
              <w:top w:val="nil"/>
              <w:left w:val="nil"/>
              <w:bottom w:val="single" w:sz="4" w:space="0" w:color="auto"/>
              <w:right w:val="single" w:sz="4" w:space="0" w:color="auto"/>
            </w:tcBorders>
            <w:shd w:val="clear" w:color="000000" w:fill="B4C6E7"/>
            <w:vAlign w:val="bottom"/>
            <w:hideMark/>
          </w:tcPr>
          <w:p w14:paraId="3D704978"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Outputs Met</w:t>
            </w:r>
          </w:p>
        </w:tc>
        <w:tc>
          <w:tcPr>
            <w:tcW w:w="1063" w:type="dxa"/>
            <w:tcBorders>
              <w:top w:val="nil"/>
              <w:left w:val="nil"/>
              <w:bottom w:val="single" w:sz="4" w:space="0" w:color="auto"/>
              <w:right w:val="single" w:sz="4" w:space="0" w:color="auto"/>
            </w:tcBorders>
            <w:shd w:val="clear" w:color="000000" w:fill="B4C6E7"/>
            <w:vAlign w:val="bottom"/>
            <w:hideMark/>
          </w:tcPr>
          <w:p w14:paraId="17BF4E99"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Short-Term Outcomes</w:t>
            </w:r>
          </w:p>
        </w:tc>
        <w:tc>
          <w:tcPr>
            <w:tcW w:w="1063" w:type="dxa"/>
            <w:tcBorders>
              <w:top w:val="nil"/>
              <w:left w:val="nil"/>
              <w:bottom w:val="single" w:sz="4" w:space="0" w:color="auto"/>
              <w:right w:val="single" w:sz="4" w:space="0" w:color="auto"/>
            </w:tcBorders>
            <w:shd w:val="clear" w:color="000000" w:fill="B4C6E7"/>
            <w:vAlign w:val="bottom"/>
            <w:hideMark/>
          </w:tcPr>
          <w:p w14:paraId="2136FA6F"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Short-Term Outcomes Met</w:t>
            </w:r>
          </w:p>
        </w:tc>
        <w:tc>
          <w:tcPr>
            <w:tcW w:w="1063" w:type="dxa"/>
            <w:tcBorders>
              <w:top w:val="nil"/>
              <w:left w:val="nil"/>
              <w:bottom w:val="single" w:sz="4" w:space="0" w:color="auto"/>
              <w:right w:val="single" w:sz="4" w:space="0" w:color="auto"/>
            </w:tcBorders>
            <w:shd w:val="clear" w:color="000000" w:fill="B4C6E7"/>
            <w:vAlign w:val="bottom"/>
            <w:hideMark/>
          </w:tcPr>
          <w:p w14:paraId="5532264D"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%Short-Term Outcomes Achieved</w:t>
            </w:r>
          </w:p>
        </w:tc>
      </w:tr>
      <w:tr w:rsidR="00BA0D82" w:rsidRPr="0005691D" w14:paraId="66D0A0B5" w14:textId="77777777" w:rsidTr="001A5653">
        <w:trPr>
          <w:trHeight w:val="300"/>
        </w:trPr>
        <w:tc>
          <w:tcPr>
            <w:tcW w:w="2506" w:type="dxa"/>
            <w:tcBorders>
              <w:top w:val="nil"/>
              <w:left w:val="single" w:sz="4" w:space="0" w:color="auto"/>
              <w:bottom w:val="single" w:sz="4" w:space="0" w:color="auto"/>
              <w:right w:val="single" w:sz="4" w:space="0" w:color="auto"/>
            </w:tcBorders>
            <w:shd w:val="clear" w:color="000000" w:fill="B4C6E7"/>
            <w:noWrap/>
            <w:vAlign w:val="center"/>
            <w:hideMark/>
          </w:tcPr>
          <w:p w14:paraId="570AE004" w14:textId="77777777" w:rsidR="00BA0D82" w:rsidRPr="0005691D" w:rsidRDefault="00BA0D82" w:rsidP="001A5653">
            <w:pPr>
              <w:spacing w:after="0" w:line="240" w:lineRule="auto"/>
              <w:jc w:val="right"/>
              <w:rPr>
                <w:rFonts w:ascii="Calibri" w:eastAsia="Times New Roman" w:hAnsi="Calibri" w:cs="Calibri"/>
                <w:b/>
                <w:bCs/>
                <w:color w:val="000000"/>
              </w:rPr>
            </w:pPr>
            <w:r w:rsidRPr="0005691D">
              <w:rPr>
                <w:rFonts w:ascii="Calibri" w:eastAsia="Times New Roman" w:hAnsi="Calibri" w:cs="Calibri"/>
                <w:b/>
                <w:bCs/>
                <w:color w:val="000000"/>
              </w:rPr>
              <w:t>Pre-ETS</w:t>
            </w:r>
          </w:p>
        </w:tc>
        <w:tc>
          <w:tcPr>
            <w:tcW w:w="1165" w:type="dxa"/>
            <w:tcBorders>
              <w:top w:val="nil"/>
              <w:left w:val="nil"/>
              <w:bottom w:val="single" w:sz="4" w:space="0" w:color="auto"/>
              <w:right w:val="single" w:sz="4" w:space="0" w:color="auto"/>
            </w:tcBorders>
            <w:shd w:val="clear" w:color="000000" w:fill="FFFFFF"/>
            <w:noWrap/>
            <w:vAlign w:val="center"/>
            <w:hideMark/>
          </w:tcPr>
          <w:p w14:paraId="5740E69F"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6</w:t>
            </w:r>
          </w:p>
        </w:tc>
        <w:tc>
          <w:tcPr>
            <w:tcW w:w="1254" w:type="dxa"/>
            <w:tcBorders>
              <w:top w:val="nil"/>
              <w:left w:val="nil"/>
              <w:bottom w:val="single" w:sz="4" w:space="0" w:color="auto"/>
              <w:right w:val="single" w:sz="4" w:space="0" w:color="auto"/>
            </w:tcBorders>
            <w:shd w:val="clear" w:color="000000" w:fill="FFFFFF"/>
            <w:noWrap/>
            <w:vAlign w:val="center"/>
            <w:hideMark/>
          </w:tcPr>
          <w:p w14:paraId="6FDC548D"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92%</w:t>
            </w:r>
          </w:p>
        </w:tc>
        <w:tc>
          <w:tcPr>
            <w:tcW w:w="897" w:type="dxa"/>
            <w:tcBorders>
              <w:top w:val="nil"/>
              <w:left w:val="nil"/>
              <w:bottom w:val="single" w:sz="4" w:space="0" w:color="auto"/>
              <w:right w:val="single" w:sz="4" w:space="0" w:color="auto"/>
            </w:tcBorders>
            <w:shd w:val="clear" w:color="000000" w:fill="FFFFFF"/>
            <w:noWrap/>
            <w:vAlign w:val="center"/>
            <w:hideMark/>
          </w:tcPr>
          <w:p w14:paraId="72A4898D"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6</w:t>
            </w:r>
          </w:p>
        </w:tc>
        <w:tc>
          <w:tcPr>
            <w:tcW w:w="897" w:type="dxa"/>
            <w:tcBorders>
              <w:top w:val="nil"/>
              <w:left w:val="nil"/>
              <w:bottom w:val="single" w:sz="4" w:space="0" w:color="auto"/>
              <w:right w:val="single" w:sz="4" w:space="0" w:color="auto"/>
            </w:tcBorders>
            <w:shd w:val="clear" w:color="000000" w:fill="FFFFFF"/>
            <w:noWrap/>
            <w:vAlign w:val="center"/>
            <w:hideMark/>
          </w:tcPr>
          <w:p w14:paraId="2D3DC875"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2</w:t>
            </w:r>
          </w:p>
        </w:tc>
        <w:tc>
          <w:tcPr>
            <w:tcW w:w="892" w:type="dxa"/>
            <w:tcBorders>
              <w:top w:val="nil"/>
              <w:left w:val="nil"/>
              <w:bottom w:val="single" w:sz="4" w:space="0" w:color="auto"/>
              <w:right w:val="single" w:sz="4" w:space="0" w:color="auto"/>
            </w:tcBorders>
            <w:shd w:val="clear" w:color="000000" w:fill="FFFFFF"/>
            <w:noWrap/>
            <w:vAlign w:val="center"/>
            <w:hideMark/>
          </w:tcPr>
          <w:p w14:paraId="363FE913"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33%</w:t>
            </w:r>
          </w:p>
        </w:tc>
        <w:tc>
          <w:tcPr>
            <w:tcW w:w="1063" w:type="dxa"/>
            <w:tcBorders>
              <w:top w:val="nil"/>
              <w:left w:val="nil"/>
              <w:bottom w:val="single" w:sz="4" w:space="0" w:color="auto"/>
              <w:right w:val="single" w:sz="4" w:space="0" w:color="auto"/>
            </w:tcBorders>
            <w:shd w:val="clear" w:color="000000" w:fill="FFFFFF"/>
            <w:noWrap/>
            <w:vAlign w:val="center"/>
            <w:hideMark/>
          </w:tcPr>
          <w:p w14:paraId="4CDD5D10"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3</w:t>
            </w:r>
          </w:p>
        </w:tc>
        <w:tc>
          <w:tcPr>
            <w:tcW w:w="1063" w:type="dxa"/>
            <w:tcBorders>
              <w:top w:val="nil"/>
              <w:left w:val="nil"/>
              <w:bottom w:val="single" w:sz="4" w:space="0" w:color="auto"/>
              <w:right w:val="single" w:sz="4" w:space="0" w:color="auto"/>
            </w:tcBorders>
            <w:shd w:val="clear" w:color="000000" w:fill="FFFFFF"/>
            <w:noWrap/>
            <w:vAlign w:val="center"/>
            <w:hideMark/>
          </w:tcPr>
          <w:p w14:paraId="6347FC83"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0</w:t>
            </w:r>
          </w:p>
        </w:tc>
        <w:tc>
          <w:tcPr>
            <w:tcW w:w="1063" w:type="dxa"/>
            <w:tcBorders>
              <w:top w:val="nil"/>
              <w:left w:val="nil"/>
              <w:bottom w:val="single" w:sz="4" w:space="0" w:color="auto"/>
              <w:right w:val="single" w:sz="4" w:space="0" w:color="auto"/>
            </w:tcBorders>
            <w:shd w:val="clear" w:color="000000" w:fill="FFFFFF"/>
            <w:noWrap/>
            <w:vAlign w:val="center"/>
            <w:hideMark/>
          </w:tcPr>
          <w:p w14:paraId="5BAF154A"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0%</w:t>
            </w:r>
          </w:p>
        </w:tc>
      </w:tr>
      <w:tr w:rsidR="00BA0D82" w:rsidRPr="0005691D" w14:paraId="20CD4AC3" w14:textId="77777777" w:rsidTr="001A5653">
        <w:trPr>
          <w:trHeight w:val="300"/>
        </w:trPr>
        <w:tc>
          <w:tcPr>
            <w:tcW w:w="2506" w:type="dxa"/>
            <w:tcBorders>
              <w:top w:val="nil"/>
              <w:left w:val="single" w:sz="4" w:space="0" w:color="auto"/>
              <w:bottom w:val="single" w:sz="4" w:space="0" w:color="auto"/>
              <w:right w:val="single" w:sz="4" w:space="0" w:color="auto"/>
            </w:tcBorders>
            <w:shd w:val="clear" w:color="000000" w:fill="B4C6E7"/>
            <w:noWrap/>
            <w:vAlign w:val="center"/>
            <w:hideMark/>
          </w:tcPr>
          <w:p w14:paraId="6CB21E03" w14:textId="77777777" w:rsidR="00BA0D82" w:rsidRPr="0005691D" w:rsidRDefault="00BA0D82" w:rsidP="001A5653">
            <w:pPr>
              <w:spacing w:after="0" w:line="240" w:lineRule="auto"/>
              <w:jc w:val="right"/>
              <w:rPr>
                <w:rFonts w:ascii="Calibri" w:eastAsia="Times New Roman" w:hAnsi="Calibri" w:cs="Calibri"/>
                <w:b/>
                <w:bCs/>
                <w:color w:val="000000"/>
              </w:rPr>
            </w:pPr>
            <w:r w:rsidRPr="0005691D">
              <w:rPr>
                <w:rFonts w:ascii="Calibri" w:eastAsia="Times New Roman" w:hAnsi="Calibri" w:cs="Calibri"/>
                <w:b/>
                <w:bCs/>
                <w:color w:val="000000"/>
              </w:rPr>
              <w:t>Workforce Integration</w:t>
            </w:r>
          </w:p>
        </w:tc>
        <w:tc>
          <w:tcPr>
            <w:tcW w:w="1165" w:type="dxa"/>
            <w:tcBorders>
              <w:top w:val="nil"/>
              <w:left w:val="nil"/>
              <w:bottom w:val="single" w:sz="4" w:space="0" w:color="auto"/>
              <w:right w:val="single" w:sz="4" w:space="0" w:color="auto"/>
            </w:tcBorders>
            <w:shd w:val="clear" w:color="000000" w:fill="D9E2F3"/>
            <w:noWrap/>
            <w:vAlign w:val="center"/>
            <w:hideMark/>
          </w:tcPr>
          <w:p w14:paraId="08364644"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5</w:t>
            </w:r>
          </w:p>
        </w:tc>
        <w:tc>
          <w:tcPr>
            <w:tcW w:w="1254" w:type="dxa"/>
            <w:tcBorders>
              <w:top w:val="nil"/>
              <w:left w:val="nil"/>
              <w:bottom w:val="single" w:sz="4" w:space="0" w:color="auto"/>
              <w:right w:val="single" w:sz="4" w:space="0" w:color="auto"/>
            </w:tcBorders>
            <w:shd w:val="clear" w:color="000000" w:fill="D9E2F3"/>
            <w:noWrap/>
            <w:vAlign w:val="center"/>
            <w:hideMark/>
          </w:tcPr>
          <w:p w14:paraId="253244D8"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90%</w:t>
            </w:r>
          </w:p>
        </w:tc>
        <w:tc>
          <w:tcPr>
            <w:tcW w:w="897" w:type="dxa"/>
            <w:tcBorders>
              <w:top w:val="nil"/>
              <w:left w:val="nil"/>
              <w:bottom w:val="single" w:sz="4" w:space="0" w:color="auto"/>
              <w:right w:val="single" w:sz="4" w:space="0" w:color="auto"/>
            </w:tcBorders>
            <w:shd w:val="clear" w:color="000000" w:fill="D9E2F3"/>
            <w:noWrap/>
            <w:vAlign w:val="center"/>
            <w:hideMark/>
          </w:tcPr>
          <w:p w14:paraId="1487D768"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5</w:t>
            </w:r>
          </w:p>
        </w:tc>
        <w:tc>
          <w:tcPr>
            <w:tcW w:w="897" w:type="dxa"/>
            <w:tcBorders>
              <w:top w:val="nil"/>
              <w:left w:val="nil"/>
              <w:bottom w:val="single" w:sz="4" w:space="0" w:color="auto"/>
              <w:right w:val="single" w:sz="4" w:space="0" w:color="auto"/>
            </w:tcBorders>
            <w:shd w:val="clear" w:color="000000" w:fill="D9E2F3"/>
            <w:noWrap/>
            <w:vAlign w:val="center"/>
            <w:hideMark/>
          </w:tcPr>
          <w:p w14:paraId="3A5F6874"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3</w:t>
            </w:r>
          </w:p>
        </w:tc>
        <w:tc>
          <w:tcPr>
            <w:tcW w:w="892" w:type="dxa"/>
            <w:tcBorders>
              <w:top w:val="nil"/>
              <w:left w:val="nil"/>
              <w:bottom w:val="single" w:sz="4" w:space="0" w:color="auto"/>
              <w:right w:val="single" w:sz="4" w:space="0" w:color="auto"/>
            </w:tcBorders>
            <w:shd w:val="clear" w:color="000000" w:fill="D9E2F3"/>
            <w:noWrap/>
            <w:vAlign w:val="center"/>
            <w:hideMark/>
          </w:tcPr>
          <w:p w14:paraId="79370267"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60%</w:t>
            </w:r>
          </w:p>
        </w:tc>
        <w:tc>
          <w:tcPr>
            <w:tcW w:w="1063" w:type="dxa"/>
            <w:tcBorders>
              <w:top w:val="nil"/>
              <w:left w:val="nil"/>
              <w:bottom w:val="single" w:sz="4" w:space="0" w:color="auto"/>
              <w:right w:val="single" w:sz="4" w:space="0" w:color="auto"/>
            </w:tcBorders>
            <w:shd w:val="clear" w:color="000000" w:fill="D9E2F3"/>
            <w:noWrap/>
            <w:vAlign w:val="center"/>
            <w:hideMark/>
          </w:tcPr>
          <w:p w14:paraId="4E642892"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2</w:t>
            </w:r>
          </w:p>
        </w:tc>
        <w:tc>
          <w:tcPr>
            <w:tcW w:w="1063" w:type="dxa"/>
            <w:tcBorders>
              <w:top w:val="nil"/>
              <w:left w:val="nil"/>
              <w:bottom w:val="single" w:sz="4" w:space="0" w:color="auto"/>
              <w:right w:val="single" w:sz="4" w:space="0" w:color="auto"/>
            </w:tcBorders>
            <w:shd w:val="clear" w:color="000000" w:fill="D9E2F3"/>
            <w:noWrap/>
            <w:vAlign w:val="center"/>
            <w:hideMark/>
          </w:tcPr>
          <w:p w14:paraId="73754C51"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0</w:t>
            </w:r>
          </w:p>
        </w:tc>
        <w:tc>
          <w:tcPr>
            <w:tcW w:w="1063" w:type="dxa"/>
            <w:tcBorders>
              <w:top w:val="nil"/>
              <w:left w:val="nil"/>
              <w:bottom w:val="single" w:sz="4" w:space="0" w:color="auto"/>
              <w:right w:val="single" w:sz="4" w:space="0" w:color="auto"/>
            </w:tcBorders>
            <w:shd w:val="clear" w:color="000000" w:fill="D9E2F3"/>
            <w:noWrap/>
            <w:vAlign w:val="center"/>
            <w:hideMark/>
          </w:tcPr>
          <w:p w14:paraId="75FDB31D"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0%</w:t>
            </w:r>
          </w:p>
        </w:tc>
      </w:tr>
      <w:tr w:rsidR="00BA0D82" w:rsidRPr="0005691D" w14:paraId="0FCF82B4" w14:textId="77777777" w:rsidTr="001A5653">
        <w:trPr>
          <w:trHeight w:val="300"/>
        </w:trPr>
        <w:tc>
          <w:tcPr>
            <w:tcW w:w="2506" w:type="dxa"/>
            <w:tcBorders>
              <w:top w:val="nil"/>
              <w:left w:val="single" w:sz="4" w:space="0" w:color="auto"/>
              <w:bottom w:val="single" w:sz="4" w:space="0" w:color="auto"/>
              <w:right w:val="single" w:sz="4" w:space="0" w:color="auto"/>
            </w:tcBorders>
            <w:shd w:val="clear" w:color="000000" w:fill="B4C6E7"/>
            <w:noWrap/>
            <w:vAlign w:val="center"/>
            <w:hideMark/>
          </w:tcPr>
          <w:p w14:paraId="7EB9CB9D" w14:textId="77777777" w:rsidR="00BA0D82" w:rsidRPr="0005691D" w:rsidRDefault="00BA0D82" w:rsidP="001A5653">
            <w:pPr>
              <w:spacing w:after="0" w:line="240" w:lineRule="auto"/>
              <w:jc w:val="right"/>
              <w:rPr>
                <w:rFonts w:ascii="Calibri" w:eastAsia="Times New Roman" w:hAnsi="Calibri" w:cs="Calibri"/>
                <w:b/>
                <w:bCs/>
                <w:color w:val="000000"/>
              </w:rPr>
            </w:pPr>
            <w:r w:rsidRPr="0005691D">
              <w:rPr>
                <w:rFonts w:ascii="Calibri" w:eastAsia="Times New Roman" w:hAnsi="Calibri" w:cs="Calibri"/>
                <w:b/>
                <w:bCs/>
                <w:color w:val="000000"/>
              </w:rPr>
              <w:t>Common Performance Measures</w:t>
            </w:r>
          </w:p>
        </w:tc>
        <w:tc>
          <w:tcPr>
            <w:tcW w:w="1165" w:type="dxa"/>
            <w:tcBorders>
              <w:top w:val="nil"/>
              <w:left w:val="nil"/>
              <w:bottom w:val="single" w:sz="4" w:space="0" w:color="auto"/>
              <w:right w:val="single" w:sz="4" w:space="0" w:color="auto"/>
            </w:tcBorders>
            <w:shd w:val="clear" w:color="000000" w:fill="FFFFFF"/>
            <w:noWrap/>
            <w:vAlign w:val="center"/>
            <w:hideMark/>
          </w:tcPr>
          <w:p w14:paraId="38C54FC1"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5</w:t>
            </w:r>
          </w:p>
        </w:tc>
        <w:tc>
          <w:tcPr>
            <w:tcW w:w="1254" w:type="dxa"/>
            <w:tcBorders>
              <w:top w:val="nil"/>
              <w:left w:val="nil"/>
              <w:bottom w:val="single" w:sz="4" w:space="0" w:color="auto"/>
              <w:right w:val="single" w:sz="4" w:space="0" w:color="auto"/>
            </w:tcBorders>
            <w:shd w:val="clear" w:color="000000" w:fill="FFFFFF"/>
            <w:noWrap/>
            <w:vAlign w:val="center"/>
            <w:hideMark/>
          </w:tcPr>
          <w:p w14:paraId="04917390"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50%</w:t>
            </w:r>
          </w:p>
        </w:tc>
        <w:tc>
          <w:tcPr>
            <w:tcW w:w="897" w:type="dxa"/>
            <w:tcBorders>
              <w:top w:val="nil"/>
              <w:left w:val="nil"/>
              <w:bottom w:val="single" w:sz="4" w:space="0" w:color="auto"/>
              <w:right w:val="single" w:sz="4" w:space="0" w:color="auto"/>
            </w:tcBorders>
            <w:shd w:val="clear" w:color="000000" w:fill="FFFFFF"/>
            <w:noWrap/>
            <w:vAlign w:val="center"/>
            <w:hideMark/>
          </w:tcPr>
          <w:p w14:paraId="5B0B039F"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5</w:t>
            </w:r>
          </w:p>
        </w:tc>
        <w:tc>
          <w:tcPr>
            <w:tcW w:w="897" w:type="dxa"/>
            <w:tcBorders>
              <w:top w:val="nil"/>
              <w:left w:val="nil"/>
              <w:bottom w:val="single" w:sz="4" w:space="0" w:color="auto"/>
              <w:right w:val="single" w:sz="4" w:space="0" w:color="auto"/>
            </w:tcBorders>
            <w:shd w:val="clear" w:color="000000" w:fill="FFFFFF"/>
            <w:noWrap/>
            <w:vAlign w:val="center"/>
            <w:hideMark/>
          </w:tcPr>
          <w:p w14:paraId="5096E053"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w:t>
            </w:r>
          </w:p>
        </w:tc>
        <w:tc>
          <w:tcPr>
            <w:tcW w:w="892" w:type="dxa"/>
            <w:tcBorders>
              <w:top w:val="nil"/>
              <w:left w:val="nil"/>
              <w:bottom w:val="single" w:sz="4" w:space="0" w:color="auto"/>
              <w:right w:val="single" w:sz="4" w:space="0" w:color="auto"/>
            </w:tcBorders>
            <w:shd w:val="clear" w:color="000000" w:fill="FFFFFF"/>
            <w:noWrap/>
            <w:vAlign w:val="center"/>
            <w:hideMark/>
          </w:tcPr>
          <w:p w14:paraId="4728A9C4"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20%</w:t>
            </w:r>
          </w:p>
        </w:tc>
        <w:tc>
          <w:tcPr>
            <w:tcW w:w="1063" w:type="dxa"/>
            <w:tcBorders>
              <w:top w:val="nil"/>
              <w:left w:val="nil"/>
              <w:bottom w:val="single" w:sz="4" w:space="0" w:color="auto"/>
              <w:right w:val="single" w:sz="4" w:space="0" w:color="auto"/>
            </w:tcBorders>
            <w:shd w:val="clear" w:color="000000" w:fill="FFFFFF"/>
            <w:noWrap/>
            <w:vAlign w:val="center"/>
            <w:hideMark/>
          </w:tcPr>
          <w:p w14:paraId="7E05A754"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2</w:t>
            </w:r>
          </w:p>
        </w:tc>
        <w:tc>
          <w:tcPr>
            <w:tcW w:w="1063" w:type="dxa"/>
            <w:tcBorders>
              <w:top w:val="nil"/>
              <w:left w:val="nil"/>
              <w:bottom w:val="single" w:sz="4" w:space="0" w:color="auto"/>
              <w:right w:val="single" w:sz="4" w:space="0" w:color="auto"/>
            </w:tcBorders>
            <w:shd w:val="clear" w:color="000000" w:fill="FFFFFF"/>
            <w:noWrap/>
            <w:vAlign w:val="center"/>
            <w:hideMark/>
          </w:tcPr>
          <w:p w14:paraId="39F14DA2"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2</w:t>
            </w:r>
          </w:p>
        </w:tc>
        <w:tc>
          <w:tcPr>
            <w:tcW w:w="1063" w:type="dxa"/>
            <w:tcBorders>
              <w:top w:val="nil"/>
              <w:left w:val="nil"/>
              <w:bottom w:val="single" w:sz="4" w:space="0" w:color="auto"/>
              <w:right w:val="single" w:sz="4" w:space="0" w:color="auto"/>
            </w:tcBorders>
            <w:shd w:val="clear" w:color="000000" w:fill="FFFFFF"/>
            <w:noWrap/>
            <w:vAlign w:val="center"/>
            <w:hideMark/>
          </w:tcPr>
          <w:p w14:paraId="793C0D19"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100%</w:t>
            </w:r>
          </w:p>
        </w:tc>
      </w:tr>
      <w:tr w:rsidR="00BA0D82" w:rsidRPr="0005691D" w14:paraId="3654DBB8" w14:textId="77777777" w:rsidTr="001A5653">
        <w:trPr>
          <w:trHeight w:val="300"/>
        </w:trPr>
        <w:tc>
          <w:tcPr>
            <w:tcW w:w="2506" w:type="dxa"/>
            <w:tcBorders>
              <w:top w:val="nil"/>
              <w:left w:val="single" w:sz="4" w:space="0" w:color="auto"/>
              <w:bottom w:val="single" w:sz="4" w:space="0" w:color="auto"/>
              <w:right w:val="single" w:sz="4" w:space="0" w:color="auto"/>
            </w:tcBorders>
            <w:shd w:val="clear" w:color="000000" w:fill="B4C6E7"/>
            <w:noWrap/>
            <w:vAlign w:val="center"/>
            <w:hideMark/>
          </w:tcPr>
          <w:p w14:paraId="26D5E85E" w14:textId="77777777" w:rsidR="00BA0D82" w:rsidRPr="0005691D" w:rsidRDefault="00BA0D82" w:rsidP="001A5653">
            <w:pPr>
              <w:spacing w:after="0" w:line="240" w:lineRule="auto"/>
              <w:jc w:val="right"/>
              <w:rPr>
                <w:rFonts w:ascii="Calibri" w:eastAsia="Times New Roman" w:hAnsi="Calibri" w:cs="Calibri"/>
                <w:b/>
                <w:bCs/>
                <w:color w:val="000000"/>
              </w:rPr>
            </w:pPr>
            <w:r w:rsidRPr="0005691D">
              <w:rPr>
                <w:rFonts w:ascii="Calibri" w:eastAsia="Times New Roman" w:hAnsi="Calibri" w:cs="Calibri"/>
                <w:b/>
                <w:bCs/>
                <w:color w:val="000000"/>
              </w:rPr>
              <w:t>Business Engagement</w:t>
            </w:r>
          </w:p>
        </w:tc>
        <w:tc>
          <w:tcPr>
            <w:tcW w:w="1165" w:type="dxa"/>
            <w:tcBorders>
              <w:top w:val="nil"/>
              <w:left w:val="nil"/>
              <w:bottom w:val="single" w:sz="4" w:space="0" w:color="auto"/>
              <w:right w:val="single" w:sz="4" w:space="0" w:color="auto"/>
            </w:tcBorders>
            <w:shd w:val="clear" w:color="000000" w:fill="D9E2F3"/>
            <w:noWrap/>
            <w:vAlign w:val="center"/>
            <w:hideMark/>
          </w:tcPr>
          <w:p w14:paraId="774021BB"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4</w:t>
            </w:r>
          </w:p>
        </w:tc>
        <w:tc>
          <w:tcPr>
            <w:tcW w:w="1254" w:type="dxa"/>
            <w:tcBorders>
              <w:top w:val="nil"/>
              <w:left w:val="nil"/>
              <w:bottom w:val="single" w:sz="4" w:space="0" w:color="auto"/>
              <w:right w:val="single" w:sz="4" w:space="0" w:color="auto"/>
            </w:tcBorders>
            <w:shd w:val="clear" w:color="000000" w:fill="D9E2F3"/>
            <w:noWrap/>
            <w:vAlign w:val="center"/>
            <w:hideMark/>
          </w:tcPr>
          <w:p w14:paraId="725AFCFD"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68%</w:t>
            </w:r>
          </w:p>
        </w:tc>
        <w:tc>
          <w:tcPr>
            <w:tcW w:w="897" w:type="dxa"/>
            <w:tcBorders>
              <w:top w:val="nil"/>
              <w:left w:val="nil"/>
              <w:bottom w:val="single" w:sz="4" w:space="0" w:color="auto"/>
              <w:right w:val="single" w:sz="4" w:space="0" w:color="auto"/>
            </w:tcBorders>
            <w:shd w:val="clear" w:color="000000" w:fill="D9E2F3"/>
            <w:noWrap/>
            <w:vAlign w:val="center"/>
            <w:hideMark/>
          </w:tcPr>
          <w:p w14:paraId="27A87211"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4</w:t>
            </w:r>
          </w:p>
        </w:tc>
        <w:tc>
          <w:tcPr>
            <w:tcW w:w="897" w:type="dxa"/>
            <w:tcBorders>
              <w:top w:val="nil"/>
              <w:left w:val="nil"/>
              <w:bottom w:val="single" w:sz="4" w:space="0" w:color="auto"/>
              <w:right w:val="single" w:sz="4" w:space="0" w:color="auto"/>
            </w:tcBorders>
            <w:shd w:val="clear" w:color="000000" w:fill="D9E2F3"/>
            <w:noWrap/>
            <w:vAlign w:val="center"/>
            <w:hideMark/>
          </w:tcPr>
          <w:p w14:paraId="042CCF45"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0</w:t>
            </w:r>
          </w:p>
        </w:tc>
        <w:tc>
          <w:tcPr>
            <w:tcW w:w="892" w:type="dxa"/>
            <w:tcBorders>
              <w:top w:val="nil"/>
              <w:left w:val="nil"/>
              <w:bottom w:val="single" w:sz="4" w:space="0" w:color="auto"/>
              <w:right w:val="single" w:sz="4" w:space="0" w:color="auto"/>
            </w:tcBorders>
            <w:shd w:val="clear" w:color="000000" w:fill="D9E2F3"/>
            <w:noWrap/>
            <w:vAlign w:val="center"/>
            <w:hideMark/>
          </w:tcPr>
          <w:p w14:paraId="46183C6B"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0%</w:t>
            </w:r>
          </w:p>
        </w:tc>
        <w:tc>
          <w:tcPr>
            <w:tcW w:w="1063" w:type="dxa"/>
            <w:tcBorders>
              <w:top w:val="nil"/>
              <w:left w:val="nil"/>
              <w:bottom w:val="single" w:sz="4" w:space="0" w:color="auto"/>
              <w:right w:val="single" w:sz="4" w:space="0" w:color="auto"/>
            </w:tcBorders>
            <w:shd w:val="clear" w:color="000000" w:fill="D9E2F3"/>
            <w:noWrap/>
            <w:vAlign w:val="center"/>
            <w:hideMark/>
          </w:tcPr>
          <w:p w14:paraId="2AD2B11C"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4</w:t>
            </w:r>
          </w:p>
        </w:tc>
        <w:tc>
          <w:tcPr>
            <w:tcW w:w="1063" w:type="dxa"/>
            <w:tcBorders>
              <w:top w:val="nil"/>
              <w:left w:val="nil"/>
              <w:bottom w:val="single" w:sz="4" w:space="0" w:color="auto"/>
              <w:right w:val="single" w:sz="4" w:space="0" w:color="auto"/>
            </w:tcBorders>
            <w:shd w:val="clear" w:color="000000" w:fill="D9E2F3"/>
            <w:noWrap/>
            <w:vAlign w:val="center"/>
            <w:hideMark/>
          </w:tcPr>
          <w:p w14:paraId="6FE149A6"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0</w:t>
            </w:r>
          </w:p>
        </w:tc>
        <w:tc>
          <w:tcPr>
            <w:tcW w:w="1063" w:type="dxa"/>
            <w:tcBorders>
              <w:top w:val="nil"/>
              <w:left w:val="nil"/>
              <w:bottom w:val="single" w:sz="4" w:space="0" w:color="auto"/>
              <w:right w:val="single" w:sz="4" w:space="0" w:color="auto"/>
            </w:tcBorders>
            <w:shd w:val="clear" w:color="000000" w:fill="D9E2F3"/>
            <w:noWrap/>
            <w:vAlign w:val="center"/>
            <w:hideMark/>
          </w:tcPr>
          <w:p w14:paraId="30D35446"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0%</w:t>
            </w:r>
          </w:p>
        </w:tc>
      </w:tr>
      <w:tr w:rsidR="00BA0D82" w:rsidRPr="0005691D" w14:paraId="6BD53BD6" w14:textId="77777777" w:rsidTr="001A5653">
        <w:trPr>
          <w:trHeight w:val="300"/>
        </w:trPr>
        <w:tc>
          <w:tcPr>
            <w:tcW w:w="2506" w:type="dxa"/>
            <w:tcBorders>
              <w:top w:val="nil"/>
              <w:left w:val="single" w:sz="4" w:space="0" w:color="auto"/>
              <w:bottom w:val="single" w:sz="4" w:space="0" w:color="auto"/>
              <w:right w:val="single" w:sz="4" w:space="0" w:color="auto"/>
            </w:tcBorders>
            <w:shd w:val="clear" w:color="000000" w:fill="B4C6E7"/>
            <w:noWrap/>
            <w:vAlign w:val="center"/>
            <w:hideMark/>
          </w:tcPr>
          <w:p w14:paraId="707DF6F6" w14:textId="77777777" w:rsidR="00BA0D82" w:rsidRPr="0005691D" w:rsidRDefault="00BA0D82" w:rsidP="001A5653">
            <w:pPr>
              <w:spacing w:after="0" w:line="240" w:lineRule="auto"/>
              <w:jc w:val="right"/>
              <w:rPr>
                <w:rFonts w:ascii="Calibri" w:eastAsia="Times New Roman" w:hAnsi="Calibri" w:cs="Calibri"/>
                <w:b/>
                <w:bCs/>
                <w:color w:val="000000"/>
              </w:rPr>
            </w:pPr>
            <w:r w:rsidRPr="0005691D">
              <w:rPr>
                <w:rFonts w:ascii="Calibri" w:eastAsia="Times New Roman" w:hAnsi="Calibri" w:cs="Calibri"/>
                <w:b/>
                <w:bCs/>
                <w:color w:val="000000"/>
              </w:rPr>
              <w:t>The Career Index Plus (TCI+) and LMI</w:t>
            </w:r>
          </w:p>
        </w:tc>
        <w:tc>
          <w:tcPr>
            <w:tcW w:w="1165" w:type="dxa"/>
            <w:tcBorders>
              <w:top w:val="nil"/>
              <w:left w:val="nil"/>
              <w:bottom w:val="single" w:sz="4" w:space="0" w:color="auto"/>
              <w:right w:val="single" w:sz="4" w:space="0" w:color="auto"/>
            </w:tcBorders>
            <w:shd w:val="clear" w:color="000000" w:fill="FFFFFF"/>
            <w:noWrap/>
            <w:vAlign w:val="center"/>
            <w:hideMark/>
          </w:tcPr>
          <w:p w14:paraId="2B782265"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4</w:t>
            </w:r>
          </w:p>
        </w:tc>
        <w:tc>
          <w:tcPr>
            <w:tcW w:w="1254" w:type="dxa"/>
            <w:tcBorders>
              <w:top w:val="nil"/>
              <w:left w:val="nil"/>
              <w:bottom w:val="single" w:sz="4" w:space="0" w:color="auto"/>
              <w:right w:val="single" w:sz="4" w:space="0" w:color="auto"/>
            </w:tcBorders>
            <w:shd w:val="clear" w:color="000000" w:fill="FFFFFF"/>
            <w:noWrap/>
            <w:vAlign w:val="center"/>
            <w:hideMark/>
          </w:tcPr>
          <w:p w14:paraId="3ACC4D3D"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100%</w:t>
            </w:r>
          </w:p>
        </w:tc>
        <w:tc>
          <w:tcPr>
            <w:tcW w:w="897" w:type="dxa"/>
            <w:tcBorders>
              <w:top w:val="nil"/>
              <w:left w:val="nil"/>
              <w:bottom w:val="single" w:sz="4" w:space="0" w:color="auto"/>
              <w:right w:val="single" w:sz="4" w:space="0" w:color="auto"/>
            </w:tcBorders>
            <w:shd w:val="clear" w:color="000000" w:fill="FFFFFF"/>
            <w:noWrap/>
            <w:vAlign w:val="center"/>
            <w:hideMark/>
          </w:tcPr>
          <w:p w14:paraId="4ABC011D"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4</w:t>
            </w:r>
          </w:p>
        </w:tc>
        <w:tc>
          <w:tcPr>
            <w:tcW w:w="897" w:type="dxa"/>
            <w:tcBorders>
              <w:top w:val="nil"/>
              <w:left w:val="nil"/>
              <w:bottom w:val="single" w:sz="4" w:space="0" w:color="auto"/>
              <w:right w:val="single" w:sz="4" w:space="0" w:color="auto"/>
            </w:tcBorders>
            <w:shd w:val="clear" w:color="000000" w:fill="FFFFFF"/>
            <w:noWrap/>
            <w:vAlign w:val="center"/>
            <w:hideMark/>
          </w:tcPr>
          <w:p w14:paraId="29839B37"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4</w:t>
            </w:r>
          </w:p>
        </w:tc>
        <w:tc>
          <w:tcPr>
            <w:tcW w:w="892" w:type="dxa"/>
            <w:tcBorders>
              <w:top w:val="nil"/>
              <w:left w:val="nil"/>
              <w:bottom w:val="single" w:sz="4" w:space="0" w:color="auto"/>
              <w:right w:val="single" w:sz="4" w:space="0" w:color="auto"/>
            </w:tcBorders>
            <w:shd w:val="clear" w:color="000000" w:fill="FFFFFF"/>
            <w:noWrap/>
            <w:vAlign w:val="center"/>
            <w:hideMark/>
          </w:tcPr>
          <w:p w14:paraId="38E6531D"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100%</w:t>
            </w:r>
          </w:p>
        </w:tc>
        <w:tc>
          <w:tcPr>
            <w:tcW w:w="1063" w:type="dxa"/>
            <w:tcBorders>
              <w:top w:val="nil"/>
              <w:left w:val="nil"/>
              <w:bottom w:val="single" w:sz="4" w:space="0" w:color="auto"/>
              <w:right w:val="single" w:sz="4" w:space="0" w:color="auto"/>
            </w:tcBorders>
            <w:shd w:val="clear" w:color="000000" w:fill="FFFFFF"/>
            <w:noWrap/>
            <w:vAlign w:val="center"/>
            <w:hideMark/>
          </w:tcPr>
          <w:p w14:paraId="770F59F8"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w:t>
            </w:r>
          </w:p>
        </w:tc>
        <w:tc>
          <w:tcPr>
            <w:tcW w:w="1063" w:type="dxa"/>
            <w:tcBorders>
              <w:top w:val="nil"/>
              <w:left w:val="nil"/>
              <w:bottom w:val="single" w:sz="4" w:space="0" w:color="auto"/>
              <w:right w:val="single" w:sz="4" w:space="0" w:color="auto"/>
            </w:tcBorders>
            <w:shd w:val="clear" w:color="000000" w:fill="FFFFFF"/>
            <w:noWrap/>
            <w:vAlign w:val="center"/>
            <w:hideMark/>
          </w:tcPr>
          <w:p w14:paraId="22FB8884"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w:t>
            </w:r>
          </w:p>
        </w:tc>
        <w:tc>
          <w:tcPr>
            <w:tcW w:w="1063" w:type="dxa"/>
            <w:tcBorders>
              <w:top w:val="nil"/>
              <w:left w:val="nil"/>
              <w:bottom w:val="single" w:sz="4" w:space="0" w:color="auto"/>
              <w:right w:val="single" w:sz="4" w:space="0" w:color="auto"/>
            </w:tcBorders>
            <w:shd w:val="clear" w:color="000000" w:fill="FFFFFF"/>
            <w:noWrap/>
            <w:vAlign w:val="center"/>
            <w:hideMark/>
          </w:tcPr>
          <w:p w14:paraId="26B0E887"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100%</w:t>
            </w:r>
          </w:p>
        </w:tc>
      </w:tr>
      <w:tr w:rsidR="00BA0D82" w:rsidRPr="0005691D" w14:paraId="1CBF9270" w14:textId="77777777" w:rsidTr="001A5653">
        <w:trPr>
          <w:trHeight w:val="300"/>
        </w:trPr>
        <w:tc>
          <w:tcPr>
            <w:tcW w:w="2506" w:type="dxa"/>
            <w:tcBorders>
              <w:top w:val="nil"/>
              <w:left w:val="single" w:sz="4" w:space="0" w:color="auto"/>
              <w:bottom w:val="single" w:sz="4" w:space="0" w:color="auto"/>
              <w:right w:val="single" w:sz="4" w:space="0" w:color="auto"/>
            </w:tcBorders>
            <w:shd w:val="clear" w:color="000000" w:fill="B4C6E7"/>
            <w:noWrap/>
            <w:vAlign w:val="center"/>
            <w:hideMark/>
          </w:tcPr>
          <w:p w14:paraId="6E6574CE" w14:textId="77777777" w:rsidR="00BA0D82" w:rsidRPr="0005691D" w:rsidRDefault="00BA0D82" w:rsidP="001A5653">
            <w:pPr>
              <w:spacing w:after="0" w:line="240" w:lineRule="auto"/>
              <w:jc w:val="right"/>
              <w:rPr>
                <w:rFonts w:ascii="Calibri" w:eastAsia="Times New Roman" w:hAnsi="Calibri" w:cs="Calibri"/>
                <w:b/>
                <w:bCs/>
                <w:color w:val="000000"/>
              </w:rPr>
            </w:pPr>
            <w:r w:rsidRPr="0005691D">
              <w:rPr>
                <w:rFonts w:ascii="Calibri" w:eastAsia="Times New Roman" w:hAnsi="Calibri" w:cs="Calibri"/>
                <w:b/>
                <w:bCs/>
                <w:color w:val="000000"/>
              </w:rPr>
              <w:t>Apprenticeships</w:t>
            </w:r>
          </w:p>
        </w:tc>
        <w:tc>
          <w:tcPr>
            <w:tcW w:w="1165" w:type="dxa"/>
            <w:tcBorders>
              <w:top w:val="nil"/>
              <w:left w:val="nil"/>
              <w:bottom w:val="single" w:sz="4" w:space="0" w:color="auto"/>
              <w:right w:val="single" w:sz="4" w:space="0" w:color="auto"/>
            </w:tcBorders>
            <w:shd w:val="clear" w:color="000000" w:fill="D9E2F3"/>
            <w:noWrap/>
            <w:vAlign w:val="center"/>
            <w:hideMark/>
          </w:tcPr>
          <w:p w14:paraId="453EEA9D"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2</w:t>
            </w:r>
          </w:p>
        </w:tc>
        <w:tc>
          <w:tcPr>
            <w:tcW w:w="1254" w:type="dxa"/>
            <w:tcBorders>
              <w:top w:val="nil"/>
              <w:left w:val="nil"/>
              <w:bottom w:val="single" w:sz="4" w:space="0" w:color="auto"/>
              <w:right w:val="single" w:sz="4" w:space="0" w:color="auto"/>
            </w:tcBorders>
            <w:shd w:val="clear" w:color="000000" w:fill="D9E2F3"/>
            <w:noWrap/>
            <w:vAlign w:val="center"/>
            <w:hideMark/>
          </w:tcPr>
          <w:p w14:paraId="19BB528B"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88%</w:t>
            </w:r>
          </w:p>
        </w:tc>
        <w:tc>
          <w:tcPr>
            <w:tcW w:w="897" w:type="dxa"/>
            <w:tcBorders>
              <w:top w:val="nil"/>
              <w:left w:val="nil"/>
              <w:bottom w:val="single" w:sz="4" w:space="0" w:color="auto"/>
              <w:right w:val="single" w:sz="4" w:space="0" w:color="auto"/>
            </w:tcBorders>
            <w:shd w:val="clear" w:color="000000" w:fill="D9E2F3"/>
            <w:noWrap/>
            <w:vAlign w:val="center"/>
            <w:hideMark/>
          </w:tcPr>
          <w:p w14:paraId="425A593D"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2</w:t>
            </w:r>
          </w:p>
        </w:tc>
        <w:tc>
          <w:tcPr>
            <w:tcW w:w="897" w:type="dxa"/>
            <w:tcBorders>
              <w:top w:val="nil"/>
              <w:left w:val="nil"/>
              <w:bottom w:val="single" w:sz="4" w:space="0" w:color="auto"/>
              <w:right w:val="single" w:sz="4" w:space="0" w:color="auto"/>
            </w:tcBorders>
            <w:shd w:val="clear" w:color="000000" w:fill="D9E2F3"/>
            <w:noWrap/>
            <w:vAlign w:val="center"/>
            <w:hideMark/>
          </w:tcPr>
          <w:p w14:paraId="1F1E6296"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w:t>
            </w:r>
          </w:p>
        </w:tc>
        <w:tc>
          <w:tcPr>
            <w:tcW w:w="892" w:type="dxa"/>
            <w:tcBorders>
              <w:top w:val="nil"/>
              <w:left w:val="nil"/>
              <w:bottom w:val="single" w:sz="4" w:space="0" w:color="auto"/>
              <w:right w:val="single" w:sz="4" w:space="0" w:color="auto"/>
            </w:tcBorders>
            <w:shd w:val="clear" w:color="000000" w:fill="D9E2F3"/>
            <w:noWrap/>
            <w:vAlign w:val="center"/>
            <w:hideMark/>
          </w:tcPr>
          <w:p w14:paraId="6BB8DDC5"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50%</w:t>
            </w:r>
          </w:p>
        </w:tc>
        <w:tc>
          <w:tcPr>
            <w:tcW w:w="1063" w:type="dxa"/>
            <w:tcBorders>
              <w:top w:val="nil"/>
              <w:left w:val="nil"/>
              <w:bottom w:val="single" w:sz="4" w:space="0" w:color="auto"/>
              <w:right w:val="single" w:sz="4" w:space="0" w:color="auto"/>
            </w:tcBorders>
            <w:shd w:val="clear" w:color="000000" w:fill="D9E2F3"/>
            <w:noWrap/>
            <w:vAlign w:val="center"/>
            <w:hideMark/>
          </w:tcPr>
          <w:p w14:paraId="2E20C122"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w:t>
            </w:r>
          </w:p>
        </w:tc>
        <w:tc>
          <w:tcPr>
            <w:tcW w:w="1063" w:type="dxa"/>
            <w:tcBorders>
              <w:top w:val="nil"/>
              <w:left w:val="nil"/>
              <w:bottom w:val="single" w:sz="4" w:space="0" w:color="auto"/>
              <w:right w:val="single" w:sz="4" w:space="0" w:color="auto"/>
            </w:tcBorders>
            <w:shd w:val="clear" w:color="000000" w:fill="D9E2F3"/>
            <w:noWrap/>
            <w:vAlign w:val="center"/>
            <w:hideMark/>
          </w:tcPr>
          <w:p w14:paraId="399E04DA"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0</w:t>
            </w:r>
          </w:p>
        </w:tc>
        <w:tc>
          <w:tcPr>
            <w:tcW w:w="1063" w:type="dxa"/>
            <w:tcBorders>
              <w:top w:val="nil"/>
              <w:left w:val="nil"/>
              <w:bottom w:val="single" w:sz="4" w:space="0" w:color="auto"/>
              <w:right w:val="single" w:sz="4" w:space="0" w:color="auto"/>
            </w:tcBorders>
            <w:shd w:val="clear" w:color="000000" w:fill="D9E2F3"/>
            <w:noWrap/>
            <w:vAlign w:val="center"/>
            <w:hideMark/>
          </w:tcPr>
          <w:p w14:paraId="7E2CEE51"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0%</w:t>
            </w:r>
          </w:p>
        </w:tc>
      </w:tr>
      <w:tr w:rsidR="00BA0D82" w:rsidRPr="0005691D" w14:paraId="5A71D64E" w14:textId="77777777" w:rsidTr="001A5653">
        <w:trPr>
          <w:trHeight w:val="300"/>
        </w:trPr>
        <w:tc>
          <w:tcPr>
            <w:tcW w:w="2506" w:type="dxa"/>
            <w:tcBorders>
              <w:top w:val="nil"/>
              <w:left w:val="nil"/>
              <w:bottom w:val="nil"/>
              <w:right w:val="nil"/>
            </w:tcBorders>
            <w:shd w:val="clear" w:color="auto" w:fill="auto"/>
            <w:noWrap/>
            <w:vAlign w:val="bottom"/>
            <w:hideMark/>
          </w:tcPr>
          <w:p w14:paraId="7C6193A6" w14:textId="77777777" w:rsidR="00BA0D82" w:rsidRPr="0005691D" w:rsidRDefault="00BA0D82" w:rsidP="001A5653">
            <w:pPr>
              <w:spacing w:after="0" w:line="240" w:lineRule="auto"/>
              <w:jc w:val="center"/>
              <w:rPr>
                <w:rFonts w:ascii="Calibri" w:eastAsia="Times New Roman" w:hAnsi="Calibri" w:cs="Calibri"/>
                <w:color w:val="000000"/>
              </w:rPr>
            </w:pPr>
          </w:p>
        </w:tc>
        <w:tc>
          <w:tcPr>
            <w:tcW w:w="1165" w:type="dxa"/>
            <w:tcBorders>
              <w:top w:val="nil"/>
              <w:left w:val="nil"/>
              <w:bottom w:val="nil"/>
              <w:right w:val="nil"/>
            </w:tcBorders>
            <w:shd w:val="clear" w:color="auto" w:fill="auto"/>
            <w:noWrap/>
            <w:vAlign w:val="center"/>
            <w:hideMark/>
          </w:tcPr>
          <w:p w14:paraId="466A33A7" w14:textId="77777777" w:rsidR="00BA0D82" w:rsidRPr="0005691D" w:rsidRDefault="00BA0D82" w:rsidP="001A5653">
            <w:pPr>
              <w:spacing w:after="0" w:line="240" w:lineRule="auto"/>
              <w:rPr>
                <w:rFonts w:ascii="Times New Roman" w:eastAsia="Times New Roman" w:hAnsi="Times New Roman" w:cs="Times New Roman"/>
                <w:sz w:val="20"/>
                <w:szCs w:val="20"/>
              </w:rPr>
            </w:pPr>
          </w:p>
        </w:tc>
        <w:tc>
          <w:tcPr>
            <w:tcW w:w="1254" w:type="dxa"/>
            <w:tcBorders>
              <w:top w:val="nil"/>
              <w:left w:val="nil"/>
              <w:bottom w:val="nil"/>
              <w:right w:val="nil"/>
            </w:tcBorders>
            <w:shd w:val="clear" w:color="auto" w:fill="auto"/>
            <w:noWrap/>
            <w:vAlign w:val="center"/>
            <w:hideMark/>
          </w:tcPr>
          <w:p w14:paraId="734C5A51"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c>
          <w:tcPr>
            <w:tcW w:w="897" w:type="dxa"/>
            <w:tcBorders>
              <w:top w:val="nil"/>
              <w:left w:val="nil"/>
              <w:bottom w:val="nil"/>
              <w:right w:val="nil"/>
            </w:tcBorders>
            <w:shd w:val="clear" w:color="auto" w:fill="auto"/>
            <w:noWrap/>
            <w:vAlign w:val="center"/>
            <w:hideMark/>
          </w:tcPr>
          <w:p w14:paraId="5331CEA9"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c>
          <w:tcPr>
            <w:tcW w:w="897" w:type="dxa"/>
            <w:tcBorders>
              <w:top w:val="nil"/>
              <w:left w:val="nil"/>
              <w:bottom w:val="nil"/>
              <w:right w:val="nil"/>
            </w:tcBorders>
            <w:shd w:val="clear" w:color="auto" w:fill="auto"/>
            <w:noWrap/>
            <w:vAlign w:val="center"/>
            <w:hideMark/>
          </w:tcPr>
          <w:p w14:paraId="38D1FF57"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c>
          <w:tcPr>
            <w:tcW w:w="892" w:type="dxa"/>
            <w:tcBorders>
              <w:top w:val="nil"/>
              <w:left w:val="nil"/>
              <w:bottom w:val="nil"/>
              <w:right w:val="nil"/>
            </w:tcBorders>
            <w:shd w:val="clear" w:color="auto" w:fill="auto"/>
            <w:noWrap/>
            <w:vAlign w:val="center"/>
            <w:hideMark/>
          </w:tcPr>
          <w:p w14:paraId="6B3D6D31"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c>
          <w:tcPr>
            <w:tcW w:w="1063" w:type="dxa"/>
            <w:tcBorders>
              <w:top w:val="nil"/>
              <w:left w:val="nil"/>
              <w:bottom w:val="nil"/>
              <w:right w:val="nil"/>
            </w:tcBorders>
            <w:shd w:val="clear" w:color="auto" w:fill="auto"/>
            <w:noWrap/>
            <w:vAlign w:val="center"/>
            <w:hideMark/>
          </w:tcPr>
          <w:p w14:paraId="2E92E0AC"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c>
          <w:tcPr>
            <w:tcW w:w="1063" w:type="dxa"/>
            <w:tcBorders>
              <w:top w:val="nil"/>
              <w:left w:val="nil"/>
              <w:bottom w:val="nil"/>
              <w:right w:val="nil"/>
            </w:tcBorders>
            <w:shd w:val="clear" w:color="auto" w:fill="auto"/>
            <w:noWrap/>
            <w:vAlign w:val="center"/>
            <w:hideMark/>
          </w:tcPr>
          <w:p w14:paraId="53C1E14D"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c>
          <w:tcPr>
            <w:tcW w:w="1063" w:type="dxa"/>
            <w:tcBorders>
              <w:top w:val="nil"/>
              <w:left w:val="nil"/>
              <w:bottom w:val="nil"/>
              <w:right w:val="nil"/>
            </w:tcBorders>
            <w:shd w:val="clear" w:color="auto" w:fill="auto"/>
            <w:noWrap/>
            <w:vAlign w:val="center"/>
            <w:hideMark/>
          </w:tcPr>
          <w:p w14:paraId="4FED375D"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r>
      <w:tr w:rsidR="00BA0D82" w:rsidRPr="0005691D" w14:paraId="539BACB2" w14:textId="77777777" w:rsidTr="001A5653">
        <w:trPr>
          <w:trHeight w:val="465"/>
        </w:trPr>
        <w:tc>
          <w:tcPr>
            <w:tcW w:w="10800" w:type="dxa"/>
            <w:gridSpan w:val="9"/>
            <w:tcBorders>
              <w:top w:val="single" w:sz="4" w:space="0" w:color="auto"/>
              <w:left w:val="nil"/>
              <w:bottom w:val="single" w:sz="4" w:space="0" w:color="auto"/>
              <w:right w:val="nil"/>
            </w:tcBorders>
            <w:shd w:val="clear" w:color="auto" w:fill="auto"/>
            <w:noWrap/>
            <w:vAlign w:val="bottom"/>
            <w:hideMark/>
          </w:tcPr>
          <w:p w14:paraId="5C376146" w14:textId="77777777" w:rsidR="00BA0D82" w:rsidRPr="0005691D" w:rsidRDefault="00BA0D82" w:rsidP="00BA0D82">
            <w:pPr>
              <w:pStyle w:val="Heading2"/>
              <w:numPr>
                <w:ilvl w:val="0"/>
                <w:numId w:val="0"/>
              </w:numPr>
              <w:rPr>
                <w:rFonts w:eastAsia="Times New Roman"/>
              </w:rPr>
            </w:pPr>
            <w:bookmarkStart w:id="221" w:name="_Toc27143200"/>
            <w:bookmarkStart w:id="222" w:name="_Toc28011499"/>
            <w:r w:rsidRPr="0005691D">
              <w:rPr>
                <w:rFonts w:eastAsia="Times New Roman"/>
              </w:rPr>
              <w:t>Iowa General</w:t>
            </w:r>
            <w:bookmarkEnd w:id="221"/>
            <w:bookmarkEnd w:id="222"/>
          </w:p>
        </w:tc>
      </w:tr>
      <w:tr w:rsidR="00BA0D82" w:rsidRPr="0005691D" w14:paraId="791BA5CA" w14:textId="77777777" w:rsidTr="001A5653">
        <w:trPr>
          <w:trHeight w:val="1305"/>
        </w:trPr>
        <w:tc>
          <w:tcPr>
            <w:tcW w:w="2506" w:type="dxa"/>
            <w:tcBorders>
              <w:top w:val="nil"/>
              <w:left w:val="single" w:sz="4" w:space="0" w:color="auto"/>
              <w:bottom w:val="single" w:sz="4" w:space="0" w:color="auto"/>
              <w:right w:val="single" w:sz="4" w:space="0" w:color="auto"/>
            </w:tcBorders>
            <w:shd w:val="clear" w:color="000000" w:fill="B4C6E7"/>
            <w:vAlign w:val="bottom"/>
            <w:hideMark/>
          </w:tcPr>
          <w:p w14:paraId="163D0295" w14:textId="77777777" w:rsidR="00BA0D82" w:rsidRPr="0005691D" w:rsidRDefault="00BA0D82" w:rsidP="001A5653">
            <w:pPr>
              <w:spacing w:after="0" w:line="240" w:lineRule="auto"/>
              <w:jc w:val="right"/>
              <w:rPr>
                <w:rFonts w:ascii="Calibri" w:eastAsia="Times New Roman" w:hAnsi="Calibri" w:cs="Calibri"/>
                <w:b/>
                <w:bCs/>
                <w:color w:val="000000"/>
                <w:szCs w:val="28"/>
              </w:rPr>
            </w:pPr>
            <w:r w:rsidRPr="0005691D">
              <w:rPr>
                <w:rFonts w:ascii="Calibri" w:eastAsia="Times New Roman" w:hAnsi="Calibri" w:cs="Calibri"/>
                <w:b/>
                <w:bCs/>
                <w:color w:val="000000"/>
                <w:szCs w:val="28"/>
              </w:rPr>
              <w:t>Area</w:t>
            </w:r>
          </w:p>
        </w:tc>
        <w:tc>
          <w:tcPr>
            <w:tcW w:w="1165" w:type="dxa"/>
            <w:tcBorders>
              <w:top w:val="nil"/>
              <w:left w:val="nil"/>
              <w:bottom w:val="single" w:sz="4" w:space="0" w:color="auto"/>
              <w:right w:val="single" w:sz="4" w:space="0" w:color="auto"/>
            </w:tcBorders>
            <w:shd w:val="clear" w:color="000000" w:fill="B4C6E7"/>
            <w:vAlign w:val="bottom"/>
            <w:hideMark/>
          </w:tcPr>
          <w:p w14:paraId="3D98C068"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of Total Activities</w:t>
            </w:r>
          </w:p>
        </w:tc>
        <w:tc>
          <w:tcPr>
            <w:tcW w:w="1254" w:type="dxa"/>
            <w:tcBorders>
              <w:top w:val="nil"/>
              <w:left w:val="nil"/>
              <w:bottom w:val="single" w:sz="4" w:space="0" w:color="auto"/>
              <w:right w:val="single" w:sz="4" w:space="0" w:color="auto"/>
            </w:tcBorders>
            <w:shd w:val="clear" w:color="000000" w:fill="B4C6E7"/>
            <w:vAlign w:val="bottom"/>
            <w:hideMark/>
          </w:tcPr>
          <w:p w14:paraId="281A2B0D"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Average Progress on Activities (%)</w:t>
            </w:r>
          </w:p>
        </w:tc>
        <w:tc>
          <w:tcPr>
            <w:tcW w:w="897" w:type="dxa"/>
            <w:tcBorders>
              <w:top w:val="nil"/>
              <w:left w:val="nil"/>
              <w:bottom w:val="single" w:sz="4" w:space="0" w:color="auto"/>
              <w:right w:val="single" w:sz="4" w:space="0" w:color="auto"/>
            </w:tcBorders>
            <w:shd w:val="clear" w:color="000000" w:fill="B4C6E7"/>
            <w:vAlign w:val="bottom"/>
            <w:hideMark/>
          </w:tcPr>
          <w:p w14:paraId="0EF26053"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Outputs</w:t>
            </w:r>
          </w:p>
        </w:tc>
        <w:tc>
          <w:tcPr>
            <w:tcW w:w="897" w:type="dxa"/>
            <w:tcBorders>
              <w:top w:val="nil"/>
              <w:left w:val="nil"/>
              <w:bottom w:val="single" w:sz="4" w:space="0" w:color="auto"/>
              <w:right w:val="single" w:sz="4" w:space="0" w:color="auto"/>
            </w:tcBorders>
            <w:shd w:val="clear" w:color="000000" w:fill="B4C6E7"/>
            <w:vAlign w:val="bottom"/>
            <w:hideMark/>
          </w:tcPr>
          <w:p w14:paraId="03661863"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Outputs Met</w:t>
            </w:r>
          </w:p>
        </w:tc>
        <w:tc>
          <w:tcPr>
            <w:tcW w:w="892" w:type="dxa"/>
            <w:tcBorders>
              <w:top w:val="nil"/>
              <w:left w:val="nil"/>
              <w:bottom w:val="single" w:sz="4" w:space="0" w:color="auto"/>
              <w:right w:val="single" w:sz="4" w:space="0" w:color="auto"/>
            </w:tcBorders>
            <w:shd w:val="clear" w:color="000000" w:fill="B4C6E7"/>
            <w:vAlign w:val="bottom"/>
            <w:hideMark/>
          </w:tcPr>
          <w:p w14:paraId="7EC24555"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Outputs Met</w:t>
            </w:r>
          </w:p>
        </w:tc>
        <w:tc>
          <w:tcPr>
            <w:tcW w:w="1063" w:type="dxa"/>
            <w:tcBorders>
              <w:top w:val="nil"/>
              <w:left w:val="nil"/>
              <w:bottom w:val="single" w:sz="4" w:space="0" w:color="auto"/>
              <w:right w:val="single" w:sz="4" w:space="0" w:color="auto"/>
            </w:tcBorders>
            <w:shd w:val="clear" w:color="000000" w:fill="B4C6E7"/>
            <w:vAlign w:val="bottom"/>
            <w:hideMark/>
          </w:tcPr>
          <w:p w14:paraId="7DEAD6FF"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Short-Term Outcomes</w:t>
            </w:r>
          </w:p>
        </w:tc>
        <w:tc>
          <w:tcPr>
            <w:tcW w:w="1063" w:type="dxa"/>
            <w:tcBorders>
              <w:top w:val="nil"/>
              <w:left w:val="nil"/>
              <w:bottom w:val="single" w:sz="4" w:space="0" w:color="auto"/>
              <w:right w:val="single" w:sz="4" w:space="0" w:color="auto"/>
            </w:tcBorders>
            <w:shd w:val="clear" w:color="000000" w:fill="B4C6E7"/>
            <w:vAlign w:val="bottom"/>
            <w:hideMark/>
          </w:tcPr>
          <w:p w14:paraId="3546DE10"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Short-Term Outcomes Met</w:t>
            </w:r>
          </w:p>
        </w:tc>
        <w:tc>
          <w:tcPr>
            <w:tcW w:w="1063" w:type="dxa"/>
            <w:tcBorders>
              <w:top w:val="nil"/>
              <w:left w:val="nil"/>
              <w:bottom w:val="single" w:sz="4" w:space="0" w:color="auto"/>
              <w:right w:val="single" w:sz="4" w:space="0" w:color="auto"/>
            </w:tcBorders>
            <w:shd w:val="clear" w:color="000000" w:fill="B4C6E7"/>
            <w:vAlign w:val="bottom"/>
            <w:hideMark/>
          </w:tcPr>
          <w:p w14:paraId="7AC1D52A"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%Short-Term Outcomes Achieved</w:t>
            </w:r>
          </w:p>
        </w:tc>
      </w:tr>
      <w:tr w:rsidR="00BA0D82" w:rsidRPr="0005691D" w14:paraId="432516BF" w14:textId="77777777" w:rsidTr="001A5653">
        <w:trPr>
          <w:trHeight w:val="300"/>
        </w:trPr>
        <w:tc>
          <w:tcPr>
            <w:tcW w:w="2506" w:type="dxa"/>
            <w:tcBorders>
              <w:top w:val="nil"/>
              <w:left w:val="single" w:sz="4" w:space="0" w:color="auto"/>
              <w:bottom w:val="single" w:sz="4" w:space="0" w:color="auto"/>
              <w:right w:val="single" w:sz="4" w:space="0" w:color="auto"/>
            </w:tcBorders>
            <w:shd w:val="clear" w:color="000000" w:fill="B4C6E7"/>
            <w:noWrap/>
            <w:vAlign w:val="center"/>
            <w:hideMark/>
          </w:tcPr>
          <w:p w14:paraId="34B42833" w14:textId="77777777" w:rsidR="00BA0D82" w:rsidRPr="0005691D" w:rsidRDefault="00BA0D82" w:rsidP="001A5653">
            <w:pPr>
              <w:spacing w:after="0" w:line="240" w:lineRule="auto"/>
              <w:jc w:val="right"/>
              <w:rPr>
                <w:rFonts w:ascii="Calibri" w:eastAsia="Times New Roman" w:hAnsi="Calibri" w:cs="Calibri"/>
                <w:b/>
                <w:bCs/>
                <w:color w:val="000000"/>
              </w:rPr>
            </w:pPr>
            <w:r w:rsidRPr="0005691D">
              <w:rPr>
                <w:rFonts w:ascii="Calibri" w:eastAsia="Times New Roman" w:hAnsi="Calibri" w:cs="Calibri"/>
                <w:b/>
                <w:bCs/>
                <w:color w:val="000000"/>
              </w:rPr>
              <w:t>The Career Index Plus (TCI+) and LMI</w:t>
            </w:r>
          </w:p>
        </w:tc>
        <w:tc>
          <w:tcPr>
            <w:tcW w:w="1165" w:type="dxa"/>
            <w:tcBorders>
              <w:top w:val="nil"/>
              <w:left w:val="nil"/>
              <w:bottom w:val="single" w:sz="4" w:space="0" w:color="auto"/>
              <w:right w:val="single" w:sz="4" w:space="0" w:color="auto"/>
            </w:tcBorders>
            <w:shd w:val="clear" w:color="000000" w:fill="FFFFFF"/>
            <w:noWrap/>
            <w:vAlign w:val="center"/>
            <w:hideMark/>
          </w:tcPr>
          <w:p w14:paraId="7E770311"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4</w:t>
            </w:r>
          </w:p>
        </w:tc>
        <w:tc>
          <w:tcPr>
            <w:tcW w:w="1254" w:type="dxa"/>
            <w:tcBorders>
              <w:top w:val="nil"/>
              <w:left w:val="nil"/>
              <w:bottom w:val="single" w:sz="4" w:space="0" w:color="auto"/>
              <w:right w:val="single" w:sz="4" w:space="0" w:color="auto"/>
            </w:tcBorders>
            <w:shd w:val="clear" w:color="000000" w:fill="FFFFFF"/>
            <w:noWrap/>
            <w:vAlign w:val="center"/>
            <w:hideMark/>
          </w:tcPr>
          <w:p w14:paraId="36BD9B83"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63%</w:t>
            </w:r>
          </w:p>
        </w:tc>
        <w:tc>
          <w:tcPr>
            <w:tcW w:w="897" w:type="dxa"/>
            <w:tcBorders>
              <w:top w:val="nil"/>
              <w:left w:val="nil"/>
              <w:bottom w:val="single" w:sz="4" w:space="0" w:color="auto"/>
              <w:right w:val="single" w:sz="4" w:space="0" w:color="auto"/>
            </w:tcBorders>
            <w:shd w:val="clear" w:color="000000" w:fill="FFFFFF"/>
            <w:noWrap/>
            <w:vAlign w:val="center"/>
            <w:hideMark/>
          </w:tcPr>
          <w:p w14:paraId="2303BFA4"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4</w:t>
            </w:r>
          </w:p>
        </w:tc>
        <w:tc>
          <w:tcPr>
            <w:tcW w:w="897" w:type="dxa"/>
            <w:tcBorders>
              <w:top w:val="nil"/>
              <w:left w:val="nil"/>
              <w:bottom w:val="single" w:sz="4" w:space="0" w:color="auto"/>
              <w:right w:val="single" w:sz="4" w:space="0" w:color="auto"/>
            </w:tcBorders>
            <w:shd w:val="clear" w:color="000000" w:fill="FFFFFF"/>
            <w:noWrap/>
            <w:vAlign w:val="center"/>
            <w:hideMark/>
          </w:tcPr>
          <w:p w14:paraId="61DBC241"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2</w:t>
            </w:r>
          </w:p>
        </w:tc>
        <w:tc>
          <w:tcPr>
            <w:tcW w:w="892" w:type="dxa"/>
            <w:tcBorders>
              <w:top w:val="nil"/>
              <w:left w:val="nil"/>
              <w:bottom w:val="single" w:sz="4" w:space="0" w:color="auto"/>
              <w:right w:val="single" w:sz="4" w:space="0" w:color="auto"/>
            </w:tcBorders>
            <w:shd w:val="clear" w:color="000000" w:fill="FFFFFF"/>
            <w:noWrap/>
            <w:vAlign w:val="center"/>
            <w:hideMark/>
          </w:tcPr>
          <w:p w14:paraId="46B822FC"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50%</w:t>
            </w:r>
          </w:p>
        </w:tc>
        <w:tc>
          <w:tcPr>
            <w:tcW w:w="1063" w:type="dxa"/>
            <w:tcBorders>
              <w:top w:val="nil"/>
              <w:left w:val="nil"/>
              <w:bottom w:val="single" w:sz="4" w:space="0" w:color="auto"/>
              <w:right w:val="single" w:sz="4" w:space="0" w:color="auto"/>
            </w:tcBorders>
            <w:shd w:val="clear" w:color="000000" w:fill="FFFFFF"/>
            <w:noWrap/>
            <w:vAlign w:val="center"/>
            <w:hideMark/>
          </w:tcPr>
          <w:p w14:paraId="2123028D"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3</w:t>
            </w:r>
          </w:p>
        </w:tc>
        <w:tc>
          <w:tcPr>
            <w:tcW w:w="1063" w:type="dxa"/>
            <w:tcBorders>
              <w:top w:val="nil"/>
              <w:left w:val="nil"/>
              <w:bottom w:val="single" w:sz="4" w:space="0" w:color="auto"/>
              <w:right w:val="single" w:sz="4" w:space="0" w:color="auto"/>
            </w:tcBorders>
            <w:shd w:val="clear" w:color="000000" w:fill="FFFFFF"/>
            <w:noWrap/>
            <w:vAlign w:val="center"/>
            <w:hideMark/>
          </w:tcPr>
          <w:p w14:paraId="5725AF5E"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0</w:t>
            </w:r>
          </w:p>
        </w:tc>
        <w:tc>
          <w:tcPr>
            <w:tcW w:w="1063" w:type="dxa"/>
            <w:tcBorders>
              <w:top w:val="nil"/>
              <w:left w:val="nil"/>
              <w:bottom w:val="single" w:sz="4" w:space="0" w:color="auto"/>
              <w:right w:val="single" w:sz="4" w:space="0" w:color="auto"/>
            </w:tcBorders>
            <w:shd w:val="clear" w:color="000000" w:fill="FFFFFF"/>
            <w:noWrap/>
            <w:vAlign w:val="center"/>
            <w:hideMark/>
          </w:tcPr>
          <w:p w14:paraId="5BC58250"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0%</w:t>
            </w:r>
          </w:p>
        </w:tc>
      </w:tr>
      <w:tr w:rsidR="00BA0D82" w:rsidRPr="0005691D" w14:paraId="26204681" w14:textId="77777777" w:rsidTr="001A5653">
        <w:trPr>
          <w:trHeight w:val="300"/>
        </w:trPr>
        <w:tc>
          <w:tcPr>
            <w:tcW w:w="2506" w:type="dxa"/>
            <w:tcBorders>
              <w:top w:val="nil"/>
              <w:left w:val="nil"/>
              <w:bottom w:val="nil"/>
              <w:right w:val="nil"/>
            </w:tcBorders>
            <w:shd w:val="clear" w:color="auto" w:fill="auto"/>
            <w:noWrap/>
            <w:vAlign w:val="bottom"/>
            <w:hideMark/>
          </w:tcPr>
          <w:p w14:paraId="00E67582" w14:textId="77777777" w:rsidR="00BA0D82" w:rsidRPr="0005691D" w:rsidRDefault="00BA0D82" w:rsidP="001A5653">
            <w:pPr>
              <w:spacing w:after="0" w:line="240" w:lineRule="auto"/>
              <w:jc w:val="center"/>
              <w:rPr>
                <w:rFonts w:ascii="Calibri" w:eastAsia="Times New Roman" w:hAnsi="Calibri" w:cs="Calibri"/>
                <w:color w:val="000000"/>
              </w:rPr>
            </w:pPr>
          </w:p>
        </w:tc>
        <w:tc>
          <w:tcPr>
            <w:tcW w:w="1165" w:type="dxa"/>
            <w:tcBorders>
              <w:top w:val="nil"/>
              <w:left w:val="nil"/>
              <w:bottom w:val="nil"/>
              <w:right w:val="nil"/>
            </w:tcBorders>
            <w:shd w:val="clear" w:color="auto" w:fill="auto"/>
            <w:noWrap/>
            <w:vAlign w:val="center"/>
            <w:hideMark/>
          </w:tcPr>
          <w:p w14:paraId="2436A0B8" w14:textId="77777777" w:rsidR="00BA0D82" w:rsidRPr="0005691D" w:rsidRDefault="00BA0D82" w:rsidP="001A5653">
            <w:pPr>
              <w:spacing w:after="0" w:line="240" w:lineRule="auto"/>
              <w:rPr>
                <w:rFonts w:ascii="Times New Roman" w:eastAsia="Times New Roman" w:hAnsi="Times New Roman" w:cs="Times New Roman"/>
                <w:sz w:val="20"/>
                <w:szCs w:val="20"/>
              </w:rPr>
            </w:pPr>
          </w:p>
        </w:tc>
        <w:tc>
          <w:tcPr>
            <w:tcW w:w="1254" w:type="dxa"/>
            <w:tcBorders>
              <w:top w:val="nil"/>
              <w:left w:val="nil"/>
              <w:bottom w:val="nil"/>
              <w:right w:val="nil"/>
            </w:tcBorders>
            <w:shd w:val="clear" w:color="auto" w:fill="auto"/>
            <w:noWrap/>
            <w:vAlign w:val="center"/>
            <w:hideMark/>
          </w:tcPr>
          <w:p w14:paraId="5EC077ED"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c>
          <w:tcPr>
            <w:tcW w:w="897" w:type="dxa"/>
            <w:tcBorders>
              <w:top w:val="nil"/>
              <w:left w:val="nil"/>
              <w:bottom w:val="nil"/>
              <w:right w:val="nil"/>
            </w:tcBorders>
            <w:shd w:val="clear" w:color="auto" w:fill="auto"/>
            <w:noWrap/>
            <w:vAlign w:val="center"/>
            <w:hideMark/>
          </w:tcPr>
          <w:p w14:paraId="18C5B693"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c>
          <w:tcPr>
            <w:tcW w:w="897" w:type="dxa"/>
            <w:tcBorders>
              <w:top w:val="nil"/>
              <w:left w:val="nil"/>
              <w:bottom w:val="nil"/>
              <w:right w:val="nil"/>
            </w:tcBorders>
            <w:shd w:val="clear" w:color="auto" w:fill="auto"/>
            <w:noWrap/>
            <w:vAlign w:val="center"/>
            <w:hideMark/>
          </w:tcPr>
          <w:p w14:paraId="73F9DDBF"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c>
          <w:tcPr>
            <w:tcW w:w="892" w:type="dxa"/>
            <w:tcBorders>
              <w:top w:val="nil"/>
              <w:left w:val="nil"/>
              <w:bottom w:val="nil"/>
              <w:right w:val="nil"/>
            </w:tcBorders>
            <w:shd w:val="clear" w:color="auto" w:fill="auto"/>
            <w:noWrap/>
            <w:vAlign w:val="center"/>
            <w:hideMark/>
          </w:tcPr>
          <w:p w14:paraId="53BCD901"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c>
          <w:tcPr>
            <w:tcW w:w="1063" w:type="dxa"/>
            <w:tcBorders>
              <w:top w:val="nil"/>
              <w:left w:val="nil"/>
              <w:bottom w:val="nil"/>
              <w:right w:val="nil"/>
            </w:tcBorders>
            <w:shd w:val="clear" w:color="auto" w:fill="auto"/>
            <w:noWrap/>
            <w:vAlign w:val="center"/>
            <w:hideMark/>
          </w:tcPr>
          <w:p w14:paraId="0EDDD581"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c>
          <w:tcPr>
            <w:tcW w:w="1063" w:type="dxa"/>
            <w:tcBorders>
              <w:top w:val="nil"/>
              <w:left w:val="nil"/>
              <w:bottom w:val="nil"/>
              <w:right w:val="nil"/>
            </w:tcBorders>
            <w:shd w:val="clear" w:color="auto" w:fill="auto"/>
            <w:noWrap/>
            <w:vAlign w:val="center"/>
            <w:hideMark/>
          </w:tcPr>
          <w:p w14:paraId="6F547D0B"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c>
          <w:tcPr>
            <w:tcW w:w="1063" w:type="dxa"/>
            <w:tcBorders>
              <w:top w:val="nil"/>
              <w:left w:val="nil"/>
              <w:bottom w:val="nil"/>
              <w:right w:val="nil"/>
            </w:tcBorders>
            <w:shd w:val="clear" w:color="auto" w:fill="auto"/>
            <w:noWrap/>
            <w:vAlign w:val="center"/>
            <w:hideMark/>
          </w:tcPr>
          <w:p w14:paraId="174DFE44"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r>
    </w:tbl>
    <w:p w14:paraId="292C751C" w14:textId="77777777" w:rsidR="00BC793A" w:rsidRDefault="00BC793A">
      <w:bookmarkStart w:id="223" w:name="_Toc27143201"/>
      <w:r>
        <w:rPr>
          <w:b/>
        </w:rPr>
        <w:br w:type="page"/>
      </w:r>
    </w:p>
    <w:tbl>
      <w:tblPr>
        <w:tblW w:w="10800" w:type="dxa"/>
        <w:tblLook w:val="04A0" w:firstRow="1" w:lastRow="0" w:firstColumn="1" w:lastColumn="0" w:noHBand="0" w:noVBand="1"/>
      </w:tblPr>
      <w:tblGrid>
        <w:gridCol w:w="2506"/>
        <w:gridCol w:w="1165"/>
        <w:gridCol w:w="1254"/>
        <w:gridCol w:w="897"/>
        <w:gridCol w:w="897"/>
        <w:gridCol w:w="892"/>
        <w:gridCol w:w="1063"/>
        <w:gridCol w:w="1063"/>
        <w:gridCol w:w="1063"/>
      </w:tblGrid>
      <w:tr w:rsidR="00BA0D82" w:rsidRPr="0005691D" w14:paraId="3683FBAA" w14:textId="77777777" w:rsidTr="001A5653">
        <w:trPr>
          <w:trHeight w:val="465"/>
        </w:trPr>
        <w:tc>
          <w:tcPr>
            <w:tcW w:w="10800" w:type="dxa"/>
            <w:gridSpan w:val="9"/>
            <w:tcBorders>
              <w:top w:val="single" w:sz="4" w:space="0" w:color="auto"/>
              <w:left w:val="nil"/>
              <w:bottom w:val="single" w:sz="4" w:space="0" w:color="auto"/>
              <w:right w:val="nil"/>
            </w:tcBorders>
            <w:shd w:val="clear" w:color="auto" w:fill="auto"/>
            <w:noWrap/>
            <w:vAlign w:val="bottom"/>
            <w:hideMark/>
          </w:tcPr>
          <w:p w14:paraId="3F3D877F" w14:textId="74061A50" w:rsidR="00BA0D82" w:rsidRPr="0005691D" w:rsidRDefault="00BA0D82" w:rsidP="00BA0D82">
            <w:pPr>
              <w:pStyle w:val="Heading2"/>
              <w:numPr>
                <w:ilvl w:val="0"/>
                <w:numId w:val="0"/>
              </w:numPr>
              <w:rPr>
                <w:rFonts w:eastAsia="Times New Roman"/>
              </w:rPr>
            </w:pPr>
            <w:bookmarkStart w:id="224" w:name="_Toc28011500"/>
            <w:r w:rsidRPr="0005691D">
              <w:rPr>
                <w:rFonts w:eastAsia="Times New Roman"/>
              </w:rPr>
              <w:lastRenderedPageBreak/>
              <w:t>Kentucky Combined</w:t>
            </w:r>
            <w:bookmarkEnd w:id="223"/>
            <w:bookmarkEnd w:id="224"/>
          </w:p>
        </w:tc>
      </w:tr>
      <w:tr w:rsidR="00BA0D82" w:rsidRPr="0005691D" w14:paraId="300119B3" w14:textId="77777777" w:rsidTr="001A5653">
        <w:trPr>
          <w:trHeight w:val="1305"/>
        </w:trPr>
        <w:tc>
          <w:tcPr>
            <w:tcW w:w="2506" w:type="dxa"/>
            <w:tcBorders>
              <w:top w:val="nil"/>
              <w:left w:val="single" w:sz="4" w:space="0" w:color="auto"/>
              <w:bottom w:val="single" w:sz="4" w:space="0" w:color="auto"/>
              <w:right w:val="single" w:sz="4" w:space="0" w:color="auto"/>
            </w:tcBorders>
            <w:shd w:val="clear" w:color="000000" w:fill="B4C6E7"/>
            <w:vAlign w:val="bottom"/>
            <w:hideMark/>
          </w:tcPr>
          <w:p w14:paraId="005A6B26" w14:textId="77777777" w:rsidR="00BA0D82" w:rsidRPr="0005691D" w:rsidRDefault="00BA0D82" w:rsidP="001A5653">
            <w:pPr>
              <w:spacing w:after="0" w:line="240" w:lineRule="auto"/>
              <w:jc w:val="right"/>
              <w:rPr>
                <w:rFonts w:ascii="Calibri" w:eastAsia="Times New Roman" w:hAnsi="Calibri" w:cs="Calibri"/>
                <w:b/>
                <w:bCs/>
                <w:color w:val="000000"/>
                <w:szCs w:val="28"/>
              </w:rPr>
            </w:pPr>
            <w:r w:rsidRPr="0005691D">
              <w:rPr>
                <w:rFonts w:ascii="Calibri" w:eastAsia="Times New Roman" w:hAnsi="Calibri" w:cs="Calibri"/>
                <w:b/>
                <w:bCs/>
                <w:color w:val="000000"/>
                <w:szCs w:val="28"/>
              </w:rPr>
              <w:t>Area</w:t>
            </w:r>
          </w:p>
        </w:tc>
        <w:tc>
          <w:tcPr>
            <w:tcW w:w="1165" w:type="dxa"/>
            <w:tcBorders>
              <w:top w:val="nil"/>
              <w:left w:val="nil"/>
              <w:bottom w:val="single" w:sz="4" w:space="0" w:color="auto"/>
              <w:right w:val="single" w:sz="4" w:space="0" w:color="auto"/>
            </w:tcBorders>
            <w:shd w:val="clear" w:color="000000" w:fill="B4C6E7"/>
            <w:vAlign w:val="bottom"/>
            <w:hideMark/>
          </w:tcPr>
          <w:p w14:paraId="27CD41BC"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of Total Activities</w:t>
            </w:r>
          </w:p>
        </w:tc>
        <w:tc>
          <w:tcPr>
            <w:tcW w:w="1254" w:type="dxa"/>
            <w:tcBorders>
              <w:top w:val="nil"/>
              <w:left w:val="nil"/>
              <w:bottom w:val="single" w:sz="4" w:space="0" w:color="auto"/>
              <w:right w:val="single" w:sz="4" w:space="0" w:color="auto"/>
            </w:tcBorders>
            <w:shd w:val="clear" w:color="000000" w:fill="B4C6E7"/>
            <w:vAlign w:val="bottom"/>
            <w:hideMark/>
          </w:tcPr>
          <w:p w14:paraId="085F943B"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Average Progress on Activities (%)</w:t>
            </w:r>
          </w:p>
        </w:tc>
        <w:tc>
          <w:tcPr>
            <w:tcW w:w="897" w:type="dxa"/>
            <w:tcBorders>
              <w:top w:val="nil"/>
              <w:left w:val="nil"/>
              <w:bottom w:val="single" w:sz="4" w:space="0" w:color="auto"/>
              <w:right w:val="single" w:sz="4" w:space="0" w:color="auto"/>
            </w:tcBorders>
            <w:shd w:val="clear" w:color="000000" w:fill="B4C6E7"/>
            <w:vAlign w:val="bottom"/>
            <w:hideMark/>
          </w:tcPr>
          <w:p w14:paraId="55C64F82"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Outputs</w:t>
            </w:r>
          </w:p>
        </w:tc>
        <w:tc>
          <w:tcPr>
            <w:tcW w:w="897" w:type="dxa"/>
            <w:tcBorders>
              <w:top w:val="nil"/>
              <w:left w:val="nil"/>
              <w:bottom w:val="single" w:sz="4" w:space="0" w:color="auto"/>
              <w:right w:val="single" w:sz="4" w:space="0" w:color="auto"/>
            </w:tcBorders>
            <w:shd w:val="clear" w:color="000000" w:fill="B4C6E7"/>
            <w:vAlign w:val="bottom"/>
            <w:hideMark/>
          </w:tcPr>
          <w:p w14:paraId="33E51148"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Outputs Met</w:t>
            </w:r>
          </w:p>
        </w:tc>
        <w:tc>
          <w:tcPr>
            <w:tcW w:w="892" w:type="dxa"/>
            <w:tcBorders>
              <w:top w:val="nil"/>
              <w:left w:val="nil"/>
              <w:bottom w:val="single" w:sz="4" w:space="0" w:color="auto"/>
              <w:right w:val="single" w:sz="4" w:space="0" w:color="auto"/>
            </w:tcBorders>
            <w:shd w:val="clear" w:color="000000" w:fill="B4C6E7"/>
            <w:vAlign w:val="bottom"/>
            <w:hideMark/>
          </w:tcPr>
          <w:p w14:paraId="75D4D5F0"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Outputs Met</w:t>
            </w:r>
          </w:p>
        </w:tc>
        <w:tc>
          <w:tcPr>
            <w:tcW w:w="1063" w:type="dxa"/>
            <w:tcBorders>
              <w:top w:val="nil"/>
              <w:left w:val="nil"/>
              <w:bottom w:val="single" w:sz="4" w:space="0" w:color="auto"/>
              <w:right w:val="single" w:sz="4" w:space="0" w:color="auto"/>
            </w:tcBorders>
            <w:shd w:val="clear" w:color="000000" w:fill="B4C6E7"/>
            <w:vAlign w:val="bottom"/>
            <w:hideMark/>
          </w:tcPr>
          <w:p w14:paraId="01204FC7"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Short-Term Outcomes</w:t>
            </w:r>
          </w:p>
        </w:tc>
        <w:tc>
          <w:tcPr>
            <w:tcW w:w="1063" w:type="dxa"/>
            <w:tcBorders>
              <w:top w:val="nil"/>
              <w:left w:val="nil"/>
              <w:bottom w:val="single" w:sz="4" w:space="0" w:color="auto"/>
              <w:right w:val="single" w:sz="4" w:space="0" w:color="auto"/>
            </w:tcBorders>
            <w:shd w:val="clear" w:color="000000" w:fill="B4C6E7"/>
            <w:vAlign w:val="bottom"/>
            <w:hideMark/>
          </w:tcPr>
          <w:p w14:paraId="4FA134DF"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Short-Term Outcomes Met</w:t>
            </w:r>
          </w:p>
        </w:tc>
        <w:tc>
          <w:tcPr>
            <w:tcW w:w="1063" w:type="dxa"/>
            <w:tcBorders>
              <w:top w:val="nil"/>
              <w:left w:val="nil"/>
              <w:bottom w:val="single" w:sz="4" w:space="0" w:color="auto"/>
              <w:right w:val="single" w:sz="4" w:space="0" w:color="auto"/>
            </w:tcBorders>
            <w:shd w:val="clear" w:color="000000" w:fill="B4C6E7"/>
            <w:vAlign w:val="bottom"/>
            <w:hideMark/>
          </w:tcPr>
          <w:p w14:paraId="767635F6"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%Short-Term Outcomes Achieved</w:t>
            </w:r>
          </w:p>
        </w:tc>
      </w:tr>
      <w:tr w:rsidR="00BA0D82" w:rsidRPr="0005691D" w14:paraId="757B6A45" w14:textId="77777777" w:rsidTr="001A5653">
        <w:trPr>
          <w:trHeight w:val="300"/>
        </w:trPr>
        <w:tc>
          <w:tcPr>
            <w:tcW w:w="2506" w:type="dxa"/>
            <w:tcBorders>
              <w:top w:val="nil"/>
              <w:left w:val="single" w:sz="4" w:space="0" w:color="auto"/>
              <w:bottom w:val="single" w:sz="4" w:space="0" w:color="auto"/>
              <w:right w:val="single" w:sz="4" w:space="0" w:color="auto"/>
            </w:tcBorders>
            <w:shd w:val="clear" w:color="000000" w:fill="B4C6E7"/>
            <w:noWrap/>
            <w:vAlign w:val="center"/>
            <w:hideMark/>
          </w:tcPr>
          <w:p w14:paraId="3543C145" w14:textId="77777777" w:rsidR="00BA0D82" w:rsidRPr="0005691D" w:rsidRDefault="00BA0D82" w:rsidP="001A5653">
            <w:pPr>
              <w:spacing w:after="0" w:line="240" w:lineRule="auto"/>
              <w:jc w:val="right"/>
              <w:rPr>
                <w:rFonts w:ascii="Calibri" w:eastAsia="Times New Roman" w:hAnsi="Calibri" w:cs="Calibri"/>
                <w:b/>
                <w:bCs/>
                <w:color w:val="000000"/>
              </w:rPr>
            </w:pPr>
            <w:r w:rsidRPr="0005691D">
              <w:rPr>
                <w:rFonts w:ascii="Calibri" w:eastAsia="Times New Roman" w:hAnsi="Calibri" w:cs="Calibri"/>
                <w:b/>
                <w:bCs/>
                <w:color w:val="000000"/>
              </w:rPr>
              <w:t>Pre-ETS</w:t>
            </w:r>
          </w:p>
        </w:tc>
        <w:tc>
          <w:tcPr>
            <w:tcW w:w="1165" w:type="dxa"/>
            <w:tcBorders>
              <w:top w:val="nil"/>
              <w:left w:val="nil"/>
              <w:bottom w:val="single" w:sz="4" w:space="0" w:color="auto"/>
              <w:right w:val="single" w:sz="4" w:space="0" w:color="auto"/>
            </w:tcBorders>
            <w:shd w:val="clear" w:color="000000" w:fill="FFFFFF"/>
            <w:noWrap/>
            <w:vAlign w:val="center"/>
            <w:hideMark/>
          </w:tcPr>
          <w:p w14:paraId="035A345C"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7</w:t>
            </w:r>
          </w:p>
        </w:tc>
        <w:tc>
          <w:tcPr>
            <w:tcW w:w="1254" w:type="dxa"/>
            <w:tcBorders>
              <w:top w:val="nil"/>
              <w:left w:val="nil"/>
              <w:bottom w:val="single" w:sz="4" w:space="0" w:color="auto"/>
              <w:right w:val="single" w:sz="4" w:space="0" w:color="auto"/>
            </w:tcBorders>
            <w:shd w:val="clear" w:color="000000" w:fill="FFFFFF"/>
            <w:noWrap/>
            <w:vAlign w:val="center"/>
            <w:hideMark/>
          </w:tcPr>
          <w:p w14:paraId="36975B0E"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71%</w:t>
            </w:r>
          </w:p>
        </w:tc>
        <w:tc>
          <w:tcPr>
            <w:tcW w:w="897" w:type="dxa"/>
            <w:tcBorders>
              <w:top w:val="nil"/>
              <w:left w:val="nil"/>
              <w:bottom w:val="single" w:sz="4" w:space="0" w:color="auto"/>
              <w:right w:val="single" w:sz="4" w:space="0" w:color="auto"/>
            </w:tcBorders>
            <w:shd w:val="clear" w:color="000000" w:fill="FFFFFF"/>
            <w:noWrap/>
            <w:vAlign w:val="center"/>
            <w:hideMark/>
          </w:tcPr>
          <w:p w14:paraId="678CF350"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7</w:t>
            </w:r>
          </w:p>
        </w:tc>
        <w:tc>
          <w:tcPr>
            <w:tcW w:w="897" w:type="dxa"/>
            <w:tcBorders>
              <w:top w:val="nil"/>
              <w:left w:val="nil"/>
              <w:bottom w:val="single" w:sz="4" w:space="0" w:color="auto"/>
              <w:right w:val="single" w:sz="4" w:space="0" w:color="auto"/>
            </w:tcBorders>
            <w:shd w:val="clear" w:color="000000" w:fill="FFFFFF"/>
            <w:noWrap/>
            <w:vAlign w:val="center"/>
            <w:hideMark/>
          </w:tcPr>
          <w:p w14:paraId="255F2BFD"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4</w:t>
            </w:r>
          </w:p>
        </w:tc>
        <w:tc>
          <w:tcPr>
            <w:tcW w:w="892" w:type="dxa"/>
            <w:tcBorders>
              <w:top w:val="nil"/>
              <w:left w:val="nil"/>
              <w:bottom w:val="single" w:sz="4" w:space="0" w:color="auto"/>
              <w:right w:val="single" w:sz="4" w:space="0" w:color="auto"/>
            </w:tcBorders>
            <w:shd w:val="clear" w:color="000000" w:fill="FFFFFF"/>
            <w:noWrap/>
            <w:vAlign w:val="center"/>
            <w:hideMark/>
          </w:tcPr>
          <w:p w14:paraId="4F276047"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57%</w:t>
            </w:r>
          </w:p>
        </w:tc>
        <w:tc>
          <w:tcPr>
            <w:tcW w:w="1063" w:type="dxa"/>
            <w:tcBorders>
              <w:top w:val="nil"/>
              <w:left w:val="nil"/>
              <w:bottom w:val="single" w:sz="4" w:space="0" w:color="auto"/>
              <w:right w:val="single" w:sz="4" w:space="0" w:color="auto"/>
            </w:tcBorders>
            <w:shd w:val="clear" w:color="000000" w:fill="FFFFFF"/>
            <w:noWrap/>
            <w:vAlign w:val="center"/>
            <w:hideMark/>
          </w:tcPr>
          <w:p w14:paraId="34A555B1"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4</w:t>
            </w:r>
          </w:p>
        </w:tc>
        <w:tc>
          <w:tcPr>
            <w:tcW w:w="1063" w:type="dxa"/>
            <w:tcBorders>
              <w:top w:val="nil"/>
              <w:left w:val="nil"/>
              <w:bottom w:val="single" w:sz="4" w:space="0" w:color="auto"/>
              <w:right w:val="single" w:sz="4" w:space="0" w:color="auto"/>
            </w:tcBorders>
            <w:shd w:val="clear" w:color="000000" w:fill="FFFFFF"/>
            <w:noWrap/>
            <w:vAlign w:val="center"/>
            <w:hideMark/>
          </w:tcPr>
          <w:p w14:paraId="45D52F3B"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0</w:t>
            </w:r>
          </w:p>
        </w:tc>
        <w:tc>
          <w:tcPr>
            <w:tcW w:w="1063" w:type="dxa"/>
            <w:tcBorders>
              <w:top w:val="nil"/>
              <w:left w:val="nil"/>
              <w:bottom w:val="single" w:sz="4" w:space="0" w:color="auto"/>
              <w:right w:val="single" w:sz="4" w:space="0" w:color="auto"/>
            </w:tcBorders>
            <w:shd w:val="clear" w:color="000000" w:fill="FFFFFF"/>
            <w:noWrap/>
            <w:vAlign w:val="center"/>
            <w:hideMark/>
          </w:tcPr>
          <w:p w14:paraId="1E81D2A9"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0%</w:t>
            </w:r>
          </w:p>
        </w:tc>
      </w:tr>
      <w:tr w:rsidR="00BA0D82" w:rsidRPr="0005691D" w14:paraId="51252916" w14:textId="77777777" w:rsidTr="001A5653">
        <w:trPr>
          <w:trHeight w:val="300"/>
        </w:trPr>
        <w:tc>
          <w:tcPr>
            <w:tcW w:w="2506" w:type="dxa"/>
            <w:tcBorders>
              <w:top w:val="nil"/>
              <w:left w:val="single" w:sz="4" w:space="0" w:color="auto"/>
              <w:bottom w:val="single" w:sz="4" w:space="0" w:color="auto"/>
              <w:right w:val="single" w:sz="4" w:space="0" w:color="auto"/>
            </w:tcBorders>
            <w:shd w:val="clear" w:color="000000" w:fill="B4C6E7"/>
            <w:noWrap/>
            <w:vAlign w:val="center"/>
            <w:hideMark/>
          </w:tcPr>
          <w:p w14:paraId="1AA8C0D8" w14:textId="77777777" w:rsidR="00BA0D82" w:rsidRPr="0005691D" w:rsidRDefault="00BA0D82" w:rsidP="001A5653">
            <w:pPr>
              <w:spacing w:after="0" w:line="240" w:lineRule="auto"/>
              <w:jc w:val="right"/>
              <w:rPr>
                <w:rFonts w:ascii="Calibri" w:eastAsia="Times New Roman" w:hAnsi="Calibri" w:cs="Calibri"/>
                <w:b/>
                <w:bCs/>
                <w:color w:val="000000"/>
              </w:rPr>
            </w:pPr>
            <w:r w:rsidRPr="0005691D">
              <w:rPr>
                <w:rFonts w:ascii="Calibri" w:eastAsia="Times New Roman" w:hAnsi="Calibri" w:cs="Calibri"/>
                <w:b/>
                <w:bCs/>
                <w:color w:val="000000"/>
              </w:rPr>
              <w:t>Common Performance Measures</w:t>
            </w:r>
          </w:p>
        </w:tc>
        <w:tc>
          <w:tcPr>
            <w:tcW w:w="1165" w:type="dxa"/>
            <w:tcBorders>
              <w:top w:val="nil"/>
              <w:left w:val="nil"/>
              <w:bottom w:val="single" w:sz="4" w:space="0" w:color="auto"/>
              <w:right w:val="single" w:sz="4" w:space="0" w:color="auto"/>
            </w:tcBorders>
            <w:shd w:val="clear" w:color="000000" w:fill="D9E2F3"/>
            <w:noWrap/>
            <w:vAlign w:val="center"/>
            <w:hideMark/>
          </w:tcPr>
          <w:p w14:paraId="56FAE7F9"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5</w:t>
            </w:r>
          </w:p>
        </w:tc>
        <w:tc>
          <w:tcPr>
            <w:tcW w:w="1254" w:type="dxa"/>
            <w:tcBorders>
              <w:top w:val="nil"/>
              <w:left w:val="nil"/>
              <w:bottom w:val="single" w:sz="4" w:space="0" w:color="auto"/>
              <w:right w:val="single" w:sz="4" w:space="0" w:color="auto"/>
            </w:tcBorders>
            <w:shd w:val="clear" w:color="000000" w:fill="D9E2F3"/>
            <w:noWrap/>
            <w:vAlign w:val="center"/>
            <w:hideMark/>
          </w:tcPr>
          <w:p w14:paraId="72A21C90"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5%</w:t>
            </w:r>
          </w:p>
        </w:tc>
        <w:tc>
          <w:tcPr>
            <w:tcW w:w="897" w:type="dxa"/>
            <w:tcBorders>
              <w:top w:val="nil"/>
              <w:left w:val="nil"/>
              <w:bottom w:val="single" w:sz="4" w:space="0" w:color="auto"/>
              <w:right w:val="single" w:sz="4" w:space="0" w:color="auto"/>
            </w:tcBorders>
            <w:shd w:val="clear" w:color="000000" w:fill="D9E2F3"/>
            <w:noWrap/>
            <w:vAlign w:val="center"/>
            <w:hideMark/>
          </w:tcPr>
          <w:p w14:paraId="502EA9BC"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5</w:t>
            </w:r>
          </w:p>
        </w:tc>
        <w:tc>
          <w:tcPr>
            <w:tcW w:w="897" w:type="dxa"/>
            <w:tcBorders>
              <w:top w:val="nil"/>
              <w:left w:val="nil"/>
              <w:bottom w:val="single" w:sz="4" w:space="0" w:color="auto"/>
              <w:right w:val="single" w:sz="4" w:space="0" w:color="auto"/>
            </w:tcBorders>
            <w:shd w:val="clear" w:color="000000" w:fill="D9E2F3"/>
            <w:noWrap/>
            <w:vAlign w:val="center"/>
            <w:hideMark/>
          </w:tcPr>
          <w:p w14:paraId="29328104"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0</w:t>
            </w:r>
          </w:p>
        </w:tc>
        <w:tc>
          <w:tcPr>
            <w:tcW w:w="892" w:type="dxa"/>
            <w:tcBorders>
              <w:top w:val="nil"/>
              <w:left w:val="nil"/>
              <w:bottom w:val="single" w:sz="4" w:space="0" w:color="auto"/>
              <w:right w:val="single" w:sz="4" w:space="0" w:color="auto"/>
            </w:tcBorders>
            <w:shd w:val="clear" w:color="000000" w:fill="D9E2F3"/>
            <w:noWrap/>
            <w:vAlign w:val="center"/>
            <w:hideMark/>
          </w:tcPr>
          <w:p w14:paraId="118C49A0"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0%</w:t>
            </w:r>
          </w:p>
        </w:tc>
        <w:tc>
          <w:tcPr>
            <w:tcW w:w="1063" w:type="dxa"/>
            <w:tcBorders>
              <w:top w:val="nil"/>
              <w:left w:val="nil"/>
              <w:bottom w:val="single" w:sz="4" w:space="0" w:color="auto"/>
              <w:right w:val="single" w:sz="4" w:space="0" w:color="auto"/>
            </w:tcBorders>
            <w:shd w:val="clear" w:color="000000" w:fill="D9E2F3"/>
            <w:noWrap/>
            <w:vAlign w:val="center"/>
            <w:hideMark/>
          </w:tcPr>
          <w:p w14:paraId="4DF14A6D"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3</w:t>
            </w:r>
          </w:p>
        </w:tc>
        <w:tc>
          <w:tcPr>
            <w:tcW w:w="1063" w:type="dxa"/>
            <w:tcBorders>
              <w:top w:val="nil"/>
              <w:left w:val="nil"/>
              <w:bottom w:val="single" w:sz="4" w:space="0" w:color="auto"/>
              <w:right w:val="single" w:sz="4" w:space="0" w:color="auto"/>
            </w:tcBorders>
            <w:shd w:val="clear" w:color="000000" w:fill="D9E2F3"/>
            <w:noWrap/>
            <w:vAlign w:val="center"/>
            <w:hideMark/>
          </w:tcPr>
          <w:p w14:paraId="3CC1267E"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0</w:t>
            </w:r>
          </w:p>
        </w:tc>
        <w:tc>
          <w:tcPr>
            <w:tcW w:w="1063" w:type="dxa"/>
            <w:tcBorders>
              <w:top w:val="nil"/>
              <w:left w:val="nil"/>
              <w:bottom w:val="single" w:sz="4" w:space="0" w:color="auto"/>
              <w:right w:val="single" w:sz="4" w:space="0" w:color="auto"/>
            </w:tcBorders>
            <w:shd w:val="clear" w:color="000000" w:fill="D9E2F3"/>
            <w:noWrap/>
            <w:vAlign w:val="center"/>
            <w:hideMark/>
          </w:tcPr>
          <w:p w14:paraId="58EE8304"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0%</w:t>
            </w:r>
          </w:p>
        </w:tc>
      </w:tr>
      <w:tr w:rsidR="00BA0D82" w:rsidRPr="0005691D" w14:paraId="76919A32" w14:textId="77777777" w:rsidTr="001A5653">
        <w:trPr>
          <w:trHeight w:val="300"/>
        </w:trPr>
        <w:tc>
          <w:tcPr>
            <w:tcW w:w="2506" w:type="dxa"/>
            <w:tcBorders>
              <w:top w:val="nil"/>
              <w:left w:val="single" w:sz="4" w:space="0" w:color="auto"/>
              <w:bottom w:val="single" w:sz="4" w:space="0" w:color="auto"/>
              <w:right w:val="single" w:sz="4" w:space="0" w:color="auto"/>
            </w:tcBorders>
            <w:shd w:val="clear" w:color="000000" w:fill="B4C6E7"/>
            <w:noWrap/>
            <w:vAlign w:val="center"/>
            <w:hideMark/>
          </w:tcPr>
          <w:p w14:paraId="19A61BC5" w14:textId="77777777" w:rsidR="00BA0D82" w:rsidRPr="0005691D" w:rsidRDefault="00BA0D82" w:rsidP="001A5653">
            <w:pPr>
              <w:spacing w:after="0" w:line="240" w:lineRule="auto"/>
              <w:jc w:val="right"/>
              <w:rPr>
                <w:rFonts w:ascii="Calibri" w:eastAsia="Times New Roman" w:hAnsi="Calibri" w:cs="Calibri"/>
                <w:b/>
                <w:bCs/>
                <w:color w:val="000000"/>
              </w:rPr>
            </w:pPr>
            <w:r w:rsidRPr="0005691D">
              <w:rPr>
                <w:rFonts w:ascii="Calibri" w:eastAsia="Times New Roman" w:hAnsi="Calibri" w:cs="Calibri"/>
                <w:b/>
                <w:bCs/>
                <w:color w:val="000000"/>
              </w:rPr>
              <w:t>SARA</w:t>
            </w:r>
          </w:p>
        </w:tc>
        <w:tc>
          <w:tcPr>
            <w:tcW w:w="1165" w:type="dxa"/>
            <w:tcBorders>
              <w:top w:val="nil"/>
              <w:left w:val="nil"/>
              <w:bottom w:val="single" w:sz="4" w:space="0" w:color="auto"/>
              <w:right w:val="single" w:sz="4" w:space="0" w:color="auto"/>
            </w:tcBorders>
            <w:shd w:val="clear" w:color="000000" w:fill="FFFFFF"/>
            <w:noWrap/>
            <w:vAlign w:val="center"/>
            <w:hideMark/>
          </w:tcPr>
          <w:p w14:paraId="148401D3"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7</w:t>
            </w:r>
          </w:p>
        </w:tc>
        <w:tc>
          <w:tcPr>
            <w:tcW w:w="1254" w:type="dxa"/>
            <w:tcBorders>
              <w:top w:val="nil"/>
              <w:left w:val="nil"/>
              <w:bottom w:val="single" w:sz="4" w:space="0" w:color="auto"/>
              <w:right w:val="single" w:sz="4" w:space="0" w:color="auto"/>
            </w:tcBorders>
            <w:shd w:val="clear" w:color="000000" w:fill="FFFFFF"/>
            <w:noWrap/>
            <w:vAlign w:val="center"/>
            <w:hideMark/>
          </w:tcPr>
          <w:p w14:paraId="2746CA67"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100%</w:t>
            </w:r>
          </w:p>
        </w:tc>
        <w:tc>
          <w:tcPr>
            <w:tcW w:w="897" w:type="dxa"/>
            <w:tcBorders>
              <w:top w:val="nil"/>
              <w:left w:val="nil"/>
              <w:bottom w:val="single" w:sz="4" w:space="0" w:color="auto"/>
              <w:right w:val="single" w:sz="4" w:space="0" w:color="auto"/>
            </w:tcBorders>
            <w:shd w:val="clear" w:color="000000" w:fill="FFFFFF"/>
            <w:noWrap/>
            <w:vAlign w:val="center"/>
            <w:hideMark/>
          </w:tcPr>
          <w:p w14:paraId="61CFA795"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7</w:t>
            </w:r>
          </w:p>
        </w:tc>
        <w:tc>
          <w:tcPr>
            <w:tcW w:w="897" w:type="dxa"/>
            <w:tcBorders>
              <w:top w:val="nil"/>
              <w:left w:val="nil"/>
              <w:bottom w:val="single" w:sz="4" w:space="0" w:color="auto"/>
              <w:right w:val="single" w:sz="4" w:space="0" w:color="auto"/>
            </w:tcBorders>
            <w:shd w:val="clear" w:color="000000" w:fill="FFFFFF"/>
            <w:noWrap/>
            <w:vAlign w:val="center"/>
            <w:hideMark/>
          </w:tcPr>
          <w:p w14:paraId="765CFAFB"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7</w:t>
            </w:r>
          </w:p>
        </w:tc>
        <w:tc>
          <w:tcPr>
            <w:tcW w:w="892" w:type="dxa"/>
            <w:tcBorders>
              <w:top w:val="nil"/>
              <w:left w:val="nil"/>
              <w:bottom w:val="single" w:sz="4" w:space="0" w:color="auto"/>
              <w:right w:val="single" w:sz="4" w:space="0" w:color="auto"/>
            </w:tcBorders>
            <w:shd w:val="clear" w:color="000000" w:fill="FFFFFF"/>
            <w:noWrap/>
            <w:vAlign w:val="center"/>
            <w:hideMark/>
          </w:tcPr>
          <w:p w14:paraId="6815790D"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100%</w:t>
            </w:r>
          </w:p>
        </w:tc>
        <w:tc>
          <w:tcPr>
            <w:tcW w:w="1063" w:type="dxa"/>
            <w:tcBorders>
              <w:top w:val="nil"/>
              <w:left w:val="nil"/>
              <w:bottom w:val="single" w:sz="4" w:space="0" w:color="auto"/>
              <w:right w:val="single" w:sz="4" w:space="0" w:color="auto"/>
            </w:tcBorders>
            <w:shd w:val="clear" w:color="000000" w:fill="FFFFFF"/>
            <w:noWrap/>
            <w:vAlign w:val="center"/>
            <w:hideMark/>
          </w:tcPr>
          <w:p w14:paraId="1AD1C9F5"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7</w:t>
            </w:r>
          </w:p>
        </w:tc>
        <w:tc>
          <w:tcPr>
            <w:tcW w:w="1063" w:type="dxa"/>
            <w:tcBorders>
              <w:top w:val="nil"/>
              <w:left w:val="nil"/>
              <w:bottom w:val="single" w:sz="4" w:space="0" w:color="auto"/>
              <w:right w:val="single" w:sz="4" w:space="0" w:color="auto"/>
            </w:tcBorders>
            <w:shd w:val="clear" w:color="000000" w:fill="FFFFFF"/>
            <w:noWrap/>
            <w:vAlign w:val="center"/>
            <w:hideMark/>
          </w:tcPr>
          <w:p w14:paraId="7D3D747F"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7</w:t>
            </w:r>
          </w:p>
        </w:tc>
        <w:tc>
          <w:tcPr>
            <w:tcW w:w="1063" w:type="dxa"/>
            <w:tcBorders>
              <w:top w:val="nil"/>
              <w:left w:val="nil"/>
              <w:bottom w:val="single" w:sz="4" w:space="0" w:color="auto"/>
              <w:right w:val="single" w:sz="4" w:space="0" w:color="auto"/>
            </w:tcBorders>
            <w:shd w:val="clear" w:color="000000" w:fill="FFFFFF"/>
            <w:noWrap/>
            <w:vAlign w:val="center"/>
            <w:hideMark/>
          </w:tcPr>
          <w:p w14:paraId="39AB2AB1"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100%</w:t>
            </w:r>
          </w:p>
        </w:tc>
      </w:tr>
      <w:tr w:rsidR="00BA0D82" w:rsidRPr="0005691D" w14:paraId="081B9C48" w14:textId="77777777" w:rsidTr="001A5653">
        <w:trPr>
          <w:trHeight w:val="300"/>
        </w:trPr>
        <w:tc>
          <w:tcPr>
            <w:tcW w:w="2506" w:type="dxa"/>
            <w:tcBorders>
              <w:top w:val="nil"/>
              <w:left w:val="nil"/>
              <w:bottom w:val="nil"/>
              <w:right w:val="nil"/>
            </w:tcBorders>
            <w:shd w:val="clear" w:color="auto" w:fill="auto"/>
            <w:noWrap/>
            <w:vAlign w:val="bottom"/>
            <w:hideMark/>
          </w:tcPr>
          <w:p w14:paraId="4AD55E75" w14:textId="77777777" w:rsidR="00BA0D82" w:rsidRPr="0005691D" w:rsidRDefault="00BA0D82" w:rsidP="001A5653">
            <w:pPr>
              <w:spacing w:after="0" w:line="240" w:lineRule="auto"/>
              <w:jc w:val="center"/>
              <w:rPr>
                <w:rFonts w:ascii="Calibri" w:eastAsia="Times New Roman" w:hAnsi="Calibri" w:cs="Calibri"/>
                <w:color w:val="000000"/>
              </w:rPr>
            </w:pPr>
          </w:p>
        </w:tc>
        <w:tc>
          <w:tcPr>
            <w:tcW w:w="1165" w:type="dxa"/>
            <w:tcBorders>
              <w:top w:val="nil"/>
              <w:left w:val="nil"/>
              <w:bottom w:val="nil"/>
              <w:right w:val="nil"/>
            </w:tcBorders>
            <w:shd w:val="clear" w:color="auto" w:fill="auto"/>
            <w:noWrap/>
            <w:vAlign w:val="center"/>
            <w:hideMark/>
          </w:tcPr>
          <w:p w14:paraId="769596BA" w14:textId="77777777" w:rsidR="00BA0D82" w:rsidRPr="0005691D" w:rsidRDefault="00BA0D82" w:rsidP="001A5653">
            <w:pPr>
              <w:spacing w:after="0" w:line="240" w:lineRule="auto"/>
              <w:rPr>
                <w:rFonts w:ascii="Times New Roman" w:eastAsia="Times New Roman" w:hAnsi="Times New Roman" w:cs="Times New Roman"/>
                <w:sz w:val="20"/>
                <w:szCs w:val="20"/>
              </w:rPr>
            </w:pPr>
          </w:p>
        </w:tc>
        <w:tc>
          <w:tcPr>
            <w:tcW w:w="1254" w:type="dxa"/>
            <w:tcBorders>
              <w:top w:val="nil"/>
              <w:left w:val="nil"/>
              <w:bottom w:val="nil"/>
              <w:right w:val="nil"/>
            </w:tcBorders>
            <w:shd w:val="clear" w:color="auto" w:fill="auto"/>
            <w:noWrap/>
            <w:vAlign w:val="center"/>
            <w:hideMark/>
          </w:tcPr>
          <w:p w14:paraId="63C450CF"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c>
          <w:tcPr>
            <w:tcW w:w="897" w:type="dxa"/>
            <w:tcBorders>
              <w:top w:val="nil"/>
              <w:left w:val="nil"/>
              <w:bottom w:val="nil"/>
              <w:right w:val="nil"/>
            </w:tcBorders>
            <w:shd w:val="clear" w:color="auto" w:fill="auto"/>
            <w:noWrap/>
            <w:vAlign w:val="center"/>
            <w:hideMark/>
          </w:tcPr>
          <w:p w14:paraId="7D5CFD1F"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c>
          <w:tcPr>
            <w:tcW w:w="897" w:type="dxa"/>
            <w:tcBorders>
              <w:top w:val="nil"/>
              <w:left w:val="nil"/>
              <w:bottom w:val="nil"/>
              <w:right w:val="nil"/>
            </w:tcBorders>
            <w:shd w:val="clear" w:color="auto" w:fill="auto"/>
            <w:noWrap/>
            <w:vAlign w:val="center"/>
            <w:hideMark/>
          </w:tcPr>
          <w:p w14:paraId="73678BFD"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c>
          <w:tcPr>
            <w:tcW w:w="892" w:type="dxa"/>
            <w:tcBorders>
              <w:top w:val="nil"/>
              <w:left w:val="nil"/>
              <w:bottom w:val="nil"/>
              <w:right w:val="nil"/>
            </w:tcBorders>
            <w:shd w:val="clear" w:color="auto" w:fill="auto"/>
            <w:noWrap/>
            <w:vAlign w:val="center"/>
            <w:hideMark/>
          </w:tcPr>
          <w:p w14:paraId="66726151"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c>
          <w:tcPr>
            <w:tcW w:w="1063" w:type="dxa"/>
            <w:tcBorders>
              <w:top w:val="nil"/>
              <w:left w:val="nil"/>
              <w:bottom w:val="nil"/>
              <w:right w:val="nil"/>
            </w:tcBorders>
            <w:shd w:val="clear" w:color="auto" w:fill="auto"/>
            <w:noWrap/>
            <w:vAlign w:val="center"/>
            <w:hideMark/>
          </w:tcPr>
          <w:p w14:paraId="4D0C5CBB"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c>
          <w:tcPr>
            <w:tcW w:w="1063" w:type="dxa"/>
            <w:tcBorders>
              <w:top w:val="nil"/>
              <w:left w:val="nil"/>
              <w:bottom w:val="nil"/>
              <w:right w:val="nil"/>
            </w:tcBorders>
            <w:shd w:val="clear" w:color="auto" w:fill="auto"/>
            <w:noWrap/>
            <w:vAlign w:val="center"/>
            <w:hideMark/>
          </w:tcPr>
          <w:p w14:paraId="6E4E58E2"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c>
          <w:tcPr>
            <w:tcW w:w="1063" w:type="dxa"/>
            <w:tcBorders>
              <w:top w:val="nil"/>
              <w:left w:val="nil"/>
              <w:bottom w:val="nil"/>
              <w:right w:val="nil"/>
            </w:tcBorders>
            <w:shd w:val="clear" w:color="auto" w:fill="auto"/>
            <w:noWrap/>
            <w:vAlign w:val="center"/>
            <w:hideMark/>
          </w:tcPr>
          <w:p w14:paraId="4EB4C5F8"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r>
      <w:tr w:rsidR="00BA0D82" w:rsidRPr="0005691D" w14:paraId="10B678D0" w14:textId="77777777" w:rsidTr="001A5653">
        <w:trPr>
          <w:trHeight w:val="465"/>
        </w:trPr>
        <w:tc>
          <w:tcPr>
            <w:tcW w:w="10800" w:type="dxa"/>
            <w:gridSpan w:val="9"/>
            <w:tcBorders>
              <w:top w:val="single" w:sz="4" w:space="0" w:color="auto"/>
              <w:left w:val="nil"/>
              <w:bottom w:val="single" w:sz="4" w:space="0" w:color="auto"/>
              <w:right w:val="nil"/>
            </w:tcBorders>
            <w:shd w:val="clear" w:color="auto" w:fill="auto"/>
            <w:noWrap/>
            <w:vAlign w:val="bottom"/>
            <w:hideMark/>
          </w:tcPr>
          <w:p w14:paraId="264719D3" w14:textId="77777777" w:rsidR="00BA0D82" w:rsidRPr="0005691D" w:rsidRDefault="00BA0D82" w:rsidP="00BA0D82">
            <w:pPr>
              <w:pStyle w:val="Heading2"/>
              <w:numPr>
                <w:ilvl w:val="0"/>
                <w:numId w:val="0"/>
              </w:numPr>
              <w:rPr>
                <w:rFonts w:eastAsia="Times New Roman"/>
              </w:rPr>
            </w:pPr>
            <w:bookmarkStart w:id="225" w:name="_Toc27143202"/>
            <w:bookmarkStart w:id="226" w:name="_Toc28011501"/>
            <w:r w:rsidRPr="0005691D">
              <w:rPr>
                <w:rFonts w:eastAsia="Times New Roman"/>
              </w:rPr>
              <w:t>Louisiana Combined</w:t>
            </w:r>
            <w:bookmarkEnd w:id="225"/>
            <w:bookmarkEnd w:id="226"/>
          </w:p>
        </w:tc>
      </w:tr>
      <w:tr w:rsidR="00BA0D82" w:rsidRPr="0005691D" w14:paraId="395B4118" w14:textId="77777777" w:rsidTr="001A5653">
        <w:trPr>
          <w:trHeight w:val="1305"/>
        </w:trPr>
        <w:tc>
          <w:tcPr>
            <w:tcW w:w="2506" w:type="dxa"/>
            <w:tcBorders>
              <w:top w:val="nil"/>
              <w:left w:val="single" w:sz="4" w:space="0" w:color="auto"/>
              <w:bottom w:val="single" w:sz="4" w:space="0" w:color="auto"/>
              <w:right w:val="single" w:sz="4" w:space="0" w:color="auto"/>
            </w:tcBorders>
            <w:shd w:val="clear" w:color="000000" w:fill="B4C6E7"/>
            <w:vAlign w:val="bottom"/>
            <w:hideMark/>
          </w:tcPr>
          <w:p w14:paraId="43459024" w14:textId="77777777" w:rsidR="00BA0D82" w:rsidRPr="0005691D" w:rsidRDefault="00BA0D82" w:rsidP="001A5653">
            <w:pPr>
              <w:spacing w:after="0" w:line="240" w:lineRule="auto"/>
              <w:jc w:val="right"/>
              <w:rPr>
                <w:rFonts w:ascii="Calibri" w:eastAsia="Times New Roman" w:hAnsi="Calibri" w:cs="Calibri"/>
                <w:b/>
                <w:bCs/>
                <w:color w:val="000000"/>
                <w:szCs w:val="28"/>
              </w:rPr>
            </w:pPr>
            <w:r w:rsidRPr="0005691D">
              <w:rPr>
                <w:rFonts w:ascii="Calibri" w:eastAsia="Times New Roman" w:hAnsi="Calibri" w:cs="Calibri"/>
                <w:b/>
                <w:bCs/>
                <w:color w:val="000000"/>
                <w:szCs w:val="28"/>
              </w:rPr>
              <w:t>Area</w:t>
            </w:r>
          </w:p>
        </w:tc>
        <w:tc>
          <w:tcPr>
            <w:tcW w:w="1165" w:type="dxa"/>
            <w:tcBorders>
              <w:top w:val="nil"/>
              <w:left w:val="nil"/>
              <w:bottom w:val="single" w:sz="4" w:space="0" w:color="auto"/>
              <w:right w:val="single" w:sz="4" w:space="0" w:color="auto"/>
            </w:tcBorders>
            <w:shd w:val="clear" w:color="000000" w:fill="B4C6E7"/>
            <w:vAlign w:val="bottom"/>
            <w:hideMark/>
          </w:tcPr>
          <w:p w14:paraId="5EB780FB"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of Total Activities</w:t>
            </w:r>
          </w:p>
        </w:tc>
        <w:tc>
          <w:tcPr>
            <w:tcW w:w="1254" w:type="dxa"/>
            <w:tcBorders>
              <w:top w:val="nil"/>
              <w:left w:val="nil"/>
              <w:bottom w:val="single" w:sz="4" w:space="0" w:color="auto"/>
              <w:right w:val="single" w:sz="4" w:space="0" w:color="auto"/>
            </w:tcBorders>
            <w:shd w:val="clear" w:color="000000" w:fill="B4C6E7"/>
            <w:vAlign w:val="bottom"/>
            <w:hideMark/>
          </w:tcPr>
          <w:p w14:paraId="40DBF719"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Average Progress on Activities (%)</w:t>
            </w:r>
          </w:p>
        </w:tc>
        <w:tc>
          <w:tcPr>
            <w:tcW w:w="897" w:type="dxa"/>
            <w:tcBorders>
              <w:top w:val="nil"/>
              <w:left w:val="nil"/>
              <w:bottom w:val="single" w:sz="4" w:space="0" w:color="auto"/>
              <w:right w:val="single" w:sz="4" w:space="0" w:color="auto"/>
            </w:tcBorders>
            <w:shd w:val="clear" w:color="000000" w:fill="B4C6E7"/>
            <w:vAlign w:val="bottom"/>
            <w:hideMark/>
          </w:tcPr>
          <w:p w14:paraId="51A352B9"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Outputs</w:t>
            </w:r>
          </w:p>
        </w:tc>
        <w:tc>
          <w:tcPr>
            <w:tcW w:w="897" w:type="dxa"/>
            <w:tcBorders>
              <w:top w:val="nil"/>
              <w:left w:val="nil"/>
              <w:bottom w:val="single" w:sz="4" w:space="0" w:color="auto"/>
              <w:right w:val="single" w:sz="4" w:space="0" w:color="auto"/>
            </w:tcBorders>
            <w:shd w:val="clear" w:color="000000" w:fill="B4C6E7"/>
            <w:vAlign w:val="bottom"/>
            <w:hideMark/>
          </w:tcPr>
          <w:p w14:paraId="01A9587B"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Outputs Met</w:t>
            </w:r>
          </w:p>
        </w:tc>
        <w:tc>
          <w:tcPr>
            <w:tcW w:w="892" w:type="dxa"/>
            <w:tcBorders>
              <w:top w:val="nil"/>
              <w:left w:val="nil"/>
              <w:bottom w:val="single" w:sz="4" w:space="0" w:color="auto"/>
              <w:right w:val="single" w:sz="4" w:space="0" w:color="auto"/>
            </w:tcBorders>
            <w:shd w:val="clear" w:color="000000" w:fill="B4C6E7"/>
            <w:vAlign w:val="bottom"/>
            <w:hideMark/>
          </w:tcPr>
          <w:p w14:paraId="58B40EEB"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Outputs Met</w:t>
            </w:r>
          </w:p>
        </w:tc>
        <w:tc>
          <w:tcPr>
            <w:tcW w:w="1063" w:type="dxa"/>
            <w:tcBorders>
              <w:top w:val="nil"/>
              <w:left w:val="nil"/>
              <w:bottom w:val="single" w:sz="4" w:space="0" w:color="auto"/>
              <w:right w:val="single" w:sz="4" w:space="0" w:color="auto"/>
            </w:tcBorders>
            <w:shd w:val="clear" w:color="000000" w:fill="B4C6E7"/>
            <w:vAlign w:val="bottom"/>
            <w:hideMark/>
          </w:tcPr>
          <w:p w14:paraId="0EAD3BF8"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Short-Term Outcomes</w:t>
            </w:r>
          </w:p>
        </w:tc>
        <w:tc>
          <w:tcPr>
            <w:tcW w:w="1063" w:type="dxa"/>
            <w:tcBorders>
              <w:top w:val="nil"/>
              <w:left w:val="nil"/>
              <w:bottom w:val="single" w:sz="4" w:space="0" w:color="auto"/>
              <w:right w:val="single" w:sz="4" w:space="0" w:color="auto"/>
            </w:tcBorders>
            <w:shd w:val="clear" w:color="000000" w:fill="B4C6E7"/>
            <w:vAlign w:val="bottom"/>
            <w:hideMark/>
          </w:tcPr>
          <w:p w14:paraId="26E25BEF"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Short-Term Outcomes Met</w:t>
            </w:r>
          </w:p>
        </w:tc>
        <w:tc>
          <w:tcPr>
            <w:tcW w:w="1063" w:type="dxa"/>
            <w:tcBorders>
              <w:top w:val="nil"/>
              <w:left w:val="nil"/>
              <w:bottom w:val="single" w:sz="4" w:space="0" w:color="auto"/>
              <w:right w:val="single" w:sz="4" w:space="0" w:color="auto"/>
            </w:tcBorders>
            <w:shd w:val="clear" w:color="000000" w:fill="B4C6E7"/>
            <w:vAlign w:val="bottom"/>
            <w:hideMark/>
          </w:tcPr>
          <w:p w14:paraId="54ED9433"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%Short-Term Outcomes Achieved</w:t>
            </w:r>
          </w:p>
        </w:tc>
      </w:tr>
      <w:tr w:rsidR="00BA0D82" w:rsidRPr="0005691D" w14:paraId="027D9408" w14:textId="77777777" w:rsidTr="001A5653">
        <w:trPr>
          <w:trHeight w:val="300"/>
        </w:trPr>
        <w:tc>
          <w:tcPr>
            <w:tcW w:w="2506" w:type="dxa"/>
            <w:tcBorders>
              <w:top w:val="nil"/>
              <w:left w:val="single" w:sz="4" w:space="0" w:color="auto"/>
              <w:bottom w:val="single" w:sz="4" w:space="0" w:color="auto"/>
              <w:right w:val="single" w:sz="4" w:space="0" w:color="auto"/>
            </w:tcBorders>
            <w:shd w:val="clear" w:color="000000" w:fill="B4C6E7"/>
            <w:noWrap/>
            <w:vAlign w:val="center"/>
            <w:hideMark/>
          </w:tcPr>
          <w:p w14:paraId="7CDD0404" w14:textId="77777777" w:rsidR="00BA0D82" w:rsidRPr="0005691D" w:rsidRDefault="00BA0D82" w:rsidP="001A5653">
            <w:pPr>
              <w:spacing w:after="0" w:line="240" w:lineRule="auto"/>
              <w:jc w:val="right"/>
              <w:rPr>
                <w:rFonts w:ascii="Calibri" w:eastAsia="Times New Roman" w:hAnsi="Calibri" w:cs="Calibri"/>
                <w:b/>
                <w:bCs/>
                <w:color w:val="000000"/>
              </w:rPr>
            </w:pPr>
            <w:r w:rsidRPr="0005691D">
              <w:rPr>
                <w:rFonts w:ascii="Calibri" w:eastAsia="Times New Roman" w:hAnsi="Calibri" w:cs="Calibri"/>
                <w:b/>
                <w:bCs/>
                <w:color w:val="000000"/>
              </w:rPr>
              <w:t>Pre-ETS</w:t>
            </w:r>
          </w:p>
        </w:tc>
        <w:tc>
          <w:tcPr>
            <w:tcW w:w="1165" w:type="dxa"/>
            <w:tcBorders>
              <w:top w:val="nil"/>
              <w:left w:val="nil"/>
              <w:bottom w:val="single" w:sz="4" w:space="0" w:color="auto"/>
              <w:right w:val="single" w:sz="4" w:space="0" w:color="auto"/>
            </w:tcBorders>
            <w:shd w:val="clear" w:color="000000" w:fill="FFFFFF"/>
            <w:noWrap/>
            <w:vAlign w:val="center"/>
            <w:hideMark/>
          </w:tcPr>
          <w:p w14:paraId="45F0068A"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6</w:t>
            </w:r>
          </w:p>
        </w:tc>
        <w:tc>
          <w:tcPr>
            <w:tcW w:w="1254" w:type="dxa"/>
            <w:tcBorders>
              <w:top w:val="nil"/>
              <w:left w:val="nil"/>
              <w:bottom w:val="single" w:sz="4" w:space="0" w:color="auto"/>
              <w:right w:val="single" w:sz="4" w:space="0" w:color="auto"/>
            </w:tcBorders>
            <w:shd w:val="clear" w:color="000000" w:fill="FFFFFF"/>
            <w:noWrap/>
            <w:vAlign w:val="center"/>
            <w:hideMark/>
          </w:tcPr>
          <w:p w14:paraId="2437A3FE"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100%</w:t>
            </w:r>
          </w:p>
        </w:tc>
        <w:tc>
          <w:tcPr>
            <w:tcW w:w="897" w:type="dxa"/>
            <w:tcBorders>
              <w:top w:val="nil"/>
              <w:left w:val="nil"/>
              <w:bottom w:val="single" w:sz="4" w:space="0" w:color="auto"/>
              <w:right w:val="single" w:sz="4" w:space="0" w:color="auto"/>
            </w:tcBorders>
            <w:shd w:val="clear" w:color="000000" w:fill="FFFFFF"/>
            <w:noWrap/>
            <w:vAlign w:val="center"/>
            <w:hideMark/>
          </w:tcPr>
          <w:p w14:paraId="059B022C"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6</w:t>
            </w:r>
          </w:p>
        </w:tc>
        <w:tc>
          <w:tcPr>
            <w:tcW w:w="897" w:type="dxa"/>
            <w:tcBorders>
              <w:top w:val="nil"/>
              <w:left w:val="nil"/>
              <w:bottom w:val="single" w:sz="4" w:space="0" w:color="auto"/>
              <w:right w:val="single" w:sz="4" w:space="0" w:color="auto"/>
            </w:tcBorders>
            <w:shd w:val="clear" w:color="000000" w:fill="FFFFFF"/>
            <w:noWrap/>
            <w:vAlign w:val="center"/>
            <w:hideMark/>
          </w:tcPr>
          <w:p w14:paraId="26AEFC9F"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6</w:t>
            </w:r>
          </w:p>
        </w:tc>
        <w:tc>
          <w:tcPr>
            <w:tcW w:w="892" w:type="dxa"/>
            <w:tcBorders>
              <w:top w:val="nil"/>
              <w:left w:val="nil"/>
              <w:bottom w:val="single" w:sz="4" w:space="0" w:color="auto"/>
              <w:right w:val="single" w:sz="4" w:space="0" w:color="auto"/>
            </w:tcBorders>
            <w:shd w:val="clear" w:color="000000" w:fill="FFFFFF"/>
            <w:noWrap/>
            <w:vAlign w:val="center"/>
            <w:hideMark/>
          </w:tcPr>
          <w:p w14:paraId="221E20CD"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100%</w:t>
            </w:r>
          </w:p>
        </w:tc>
        <w:tc>
          <w:tcPr>
            <w:tcW w:w="1063" w:type="dxa"/>
            <w:tcBorders>
              <w:top w:val="nil"/>
              <w:left w:val="nil"/>
              <w:bottom w:val="single" w:sz="4" w:space="0" w:color="auto"/>
              <w:right w:val="single" w:sz="4" w:space="0" w:color="auto"/>
            </w:tcBorders>
            <w:shd w:val="clear" w:color="000000" w:fill="FFFFFF"/>
            <w:noWrap/>
            <w:vAlign w:val="center"/>
            <w:hideMark/>
          </w:tcPr>
          <w:p w14:paraId="78DD256C"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4</w:t>
            </w:r>
          </w:p>
        </w:tc>
        <w:tc>
          <w:tcPr>
            <w:tcW w:w="1063" w:type="dxa"/>
            <w:tcBorders>
              <w:top w:val="nil"/>
              <w:left w:val="nil"/>
              <w:bottom w:val="single" w:sz="4" w:space="0" w:color="auto"/>
              <w:right w:val="single" w:sz="4" w:space="0" w:color="auto"/>
            </w:tcBorders>
            <w:shd w:val="clear" w:color="000000" w:fill="FFFFFF"/>
            <w:noWrap/>
            <w:vAlign w:val="center"/>
            <w:hideMark/>
          </w:tcPr>
          <w:p w14:paraId="56F18EFA"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3</w:t>
            </w:r>
          </w:p>
        </w:tc>
        <w:tc>
          <w:tcPr>
            <w:tcW w:w="1063" w:type="dxa"/>
            <w:tcBorders>
              <w:top w:val="nil"/>
              <w:left w:val="nil"/>
              <w:bottom w:val="single" w:sz="4" w:space="0" w:color="auto"/>
              <w:right w:val="single" w:sz="4" w:space="0" w:color="auto"/>
            </w:tcBorders>
            <w:shd w:val="clear" w:color="000000" w:fill="FFFFFF"/>
            <w:noWrap/>
            <w:vAlign w:val="center"/>
            <w:hideMark/>
          </w:tcPr>
          <w:p w14:paraId="0C06F8A5"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75%</w:t>
            </w:r>
          </w:p>
        </w:tc>
      </w:tr>
      <w:tr w:rsidR="00BA0D82" w:rsidRPr="0005691D" w14:paraId="649B0338" w14:textId="77777777" w:rsidTr="001A5653">
        <w:trPr>
          <w:trHeight w:val="300"/>
        </w:trPr>
        <w:tc>
          <w:tcPr>
            <w:tcW w:w="2506" w:type="dxa"/>
            <w:tcBorders>
              <w:top w:val="nil"/>
              <w:left w:val="single" w:sz="4" w:space="0" w:color="auto"/>
              <w:bottom w:val="single" w:sz="4" w:space="0" w:color="auto"/>
              <w:right w:val="single" w:sz="4" w:space="0" w:color="auto"/>
            </w:tcBorders>
            <w:shd w:val="clear" w:color="000000" w:fill="B4C6E7"/>
            <w:noWrap/>
            <w:vAlign w:val="center"/>
            <w:hideMark/>
          </w:tcPr>
          <w:p w14:paraId="26A4B254" w14:textId="77777777" w:rsidR="00BA0D82" w:rsidRPr="0005691D" w:rsidRDefault="00BA0D82" w:rsidP="001A5653">
            <w:pPr>
              <w:spacing w:after="0" w:line="240" w:lineRule="auto"/>
              <w:jc w:val="right"/>
              <w:rPr>
                <w:rFonts w:ascii="Calibri" w:eastAsia="Times New Roman" w:hAnsi="Calibri" w:cs="Calibri"/>
                <w:b/>
                <w:bCs/>
                <w:color w:val="000000"/>
              </w:rPr>
            </w:pPr>
            <w:r w:rsidRPr="0005691D">
              <w:rPr>
                <w:rFonts w:ascii="Calibri" w:eastAsia="Times New Roman" w:hAnsi="Calibri" w:cs="Calibri"/>
                <w:b/>
                <w:bCs/>
                <w:color w:val="000000"/>
              </w:rPr>
              <w:t>Section 511</w:t>
            </w:r>
          </w:p>
        </w:tc>
        <w:tc>
          <w:tcPr>
            <w:tcW w:w="1165" w:type="dxa"/>
            <w:tcBorders>
              <w:top w:val="nil"/>
              <w:left w:val="nil"/>
              <w:bottom w:val="single" w:sz="4" w:space="0" w:color="auto"/>
              <w:right w:val="single" w:sz="4" w:space="0" w:color="auto"/>
            </w:tcBorders>
            <w:shd w:val="clear" w:color="000000" w:fill="D9E2F3"/>
            <w:noWrap/>
            <w:vAlign w:val="center"/>
            <w:hideMark/>
          </w:tcPr>
          <w:p w14:paraId="1759F592"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3</w:t>
            </w:r>
          </w:p>
        </w:tc>
        <w:tc>
          <w:tcPr>
            <w:tcW w:w="1254" w:type="dxa"/>
            <w:tcBorders>
              <w:top w:val="nil"/>
              <w:left w:val="nil"/>
              <w:bottom w:val="single" w:sz="4" w:space="0" w:color="auto"/>
              <w:right w:val="single" w:sz="4" w:space="0" w:color="auto"/>
            </w:tcBorders>
            <w:shd w:val="clear" w:color="000000" w:fill="D9E2F3"/>
            <w:noWrap/>
            <w:vAlign w:val="center"/>
            <w:hideMark/>
          </w:tcPr>
          <w:p w14:paraId="712E9D3B"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100%</w:t>
            </w:r>
          </w:p>
        </w:tc>
        <w:tc>
          <w:tcPr>
            <w:tcW w:w="897" w:type="dxa"/>
            <w:tcBorders>
              <w:top w:val="nil"/>
              <w:left w:val="nil"/>
              <w:bottom w:val="single" w:sz="4" w:space="0" w:color="auto"/>
              <w:right w:val="single" w:sz="4" w:space="0" w:color="auto"/>
            </w:tcBorders>
            <w:shd w:val="clear" w:color="000000" w:fill="D9E2F3"/>
            <w:noWrap/>
            <w:vAlign w:val="center"/>
            <w:hideMark/>
          </w:tcPr>
          <w:p w14:paraId="2452CD4E"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3</w:t>
            </w:r>
          </w:p>
        </w:tc>
        <w:tc>
          <w:tcPr>
            <w:tcW w:w="897" w:type="dxa"/>
            <w:tcBorders>
              <w:top w:val="nil"/>
              <w:left w:val="nil"/>
              <w:bottom w:val="single" w:sz="4" w:space="0" w:color="auto"/>
              <w:right w:val="single" w:sz="4" w:space="0" w:color="auto"/>
            </w:tcBorders>
            <w:shd w:val="clear" w:color="000000" w:fill="D9E2F3"/>
            <w:noWrap/>
            <w:vAlign w:val="center"/>
            <w:hideMark/>
          </w:tcPr>
          <w:p w14:paraId="179B0055"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3</w:t>
            </w:r>
          </w:p>
        </w:tc>
        <w:tc>
          <w:tcPr>
            <w:tcW w:w="892" w:type="dxa"/>
            <w:tcBorders>
              <w:top w:val="nil"/>
              <w:left w:val="nil"/>
              <w:bottom w:val="single" w:sz="4" w:space="0" w:color="auto"/>
              <w:right w:val="single" w:sz="4" w:space="0" w:color="auto"/>
            </w:tcBorders>
            <w:shd w:val="clear" w:color="000000" w:fill="D9E2F3"/>
            <w:noWrap/>
            <w:vAlign w:val="center"/>
            <w:hideMark/>
          </w:tcPr>
          <w:p w14:paraId="30686BEF"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100%</w:t>
            </w:r>
          </w:p>
        </w:tc>
        <w:tc>
          <w:tcPr>
            <w:tcW w:w="1063" w:type="dxa"/>
            <w:tcBorders>
              <w:top w:val="nil"/>
              <w:left w:val="nil"/>
              <w:bottom w:val="single" w:sz="4" w:space="0" w:color="auto"/>
              <w:right w:val="single" w:sz="4" w:space="0" w:color="auto"/>
            </w:tcBorders>
            <w:shd w:val="clear" w:color="000000" w:fill="D9E2F3"/>
            <w:noWrap/>
            <w:vAlign w:val="center"/>
            <w:hideMark/>
          </w:tcPr>
          <w:p w14:paraId="31018C5D"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2</w:t>
            </w:r>
          </w:p>
        </w:tc>
        <w:tc>
          <w:tcPr>
            <w:tcW w:w="1063" w:type="dxa"/>
            <w:tcBorders>
              <w:top w:val="nil"/>
              <w:left w:val="nil"/>
              <w:bottom w:val="single" w:sz="4" w:space="0" w:color="auto"/>
              <w:right w:val="single" w:sz="4" w:space="0" w:color="auto"/>
            </w:tcBorders>
            <w:shd w:val="clear" w:color="000000" w:fill="D9E2F3"/>
            <w:noWrap/>
            <w:vAlign w:val="center"/>
            <w:hideMark/>
          </w:tcPr>
          <w:p w14:paraId="23728BC7"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2</w:t>
            </w:r>
          </w:p>
        </w:tc>
        <w:tc>
          <w:tcPr>
            <w:tcW w:w="1063" w:type="dxa"/>
            <w:tcBorders>
              <w:top w:val="nil"/>
              <w:left w:val="nil"/>
              <w:bottom w:val="single" w:sz="4" w:space="0" w:color="auto"/>
              <w:right w:val="single" w:sz="4" w:space="0" w:color="auto"/>
            </w:tcBorders>
            <w:shd w:val="clear" w:color="000000" w:fill="D9E2F3"/>
            <w:noWrap/>
            <w:vAlign w:val="center"/>
            <w:hideMark/>
          </w:tcPr>
          <w:p w14:paraId="7C690969"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100%</w:t>
            </w:r>
          </w:p>
        </w:tc>
      </w:tr>
      <w:tr w:rsidR="00BA0D82" w:rsidRPr="0005691D" w14:paraId="0908BAE5" w14:textId="77777777" w:rsidTr="001A5653">
        <w:trPr>
          <w:trHeight w:val="300"/>
        </w:trPr>
        <w:tc>
          <w:tcPr>
            <w:tcW w:w="2506" w:type="dxa"/>
            <w:tcBorders>
              <w:top w:val="nil"/>
              <w:left w:val="single" w:sz="4" w:space="0" w:color="auto"/>
              <w:bottom w:val="single" w:sz="4" w:space="0" w:color="auto"/>
              <w:right w:val="single" w:sz="4" w:space="0" w:color="auto"/>
            </w:tcBorders>
            <w:shd w:val="clear" w:color="000000" w:fill="B4C6E7"/>
            <w:noWrap/>
            <w:vAlign w:val="center"/>
            <w:hideMark/>
          </w:tcPr>
          <w:p w14:paraId="29D761C6" w14:textId="77777777" w:rsidR="00BA0D82" w:rsidRPr="0005691D" w:rsidRDefault="00BA0D82" w:rsidP="001A5653">
            <w:pPr>
              <w:spacing w:after="0" w:line="240" w:lineRule="auto"/>
              <w:jc w:val="right"/>
              <w:rPr>
                <w:rFonts w:ascii="Calibri" w:eastAsia="Times New Roman" w:hAnsi="Calibri" w:cs="Calibri"/>
                <w:b/>
                <w:bCs/>
                <w:color w:val="000000"/>
              </w:rPr>
            </w:pPr>
            <w:r w:rsidRPr="0005691D">
              <w:rPr>
                <w:rFonts w:ascii="Calibri" w:eastAsia="Times New Roman" w:hAnsi="Calibri" w:cs="Calibri"/>
                <w:b/>
                <w:bCs/>
                <w:color w:val="000000"/>
              </w:rPr>
              <w:t>Workforce Integration</w:t>
            </w:r>
          </w:p>
        </w:tc>
        <w:tc>
          <w:tcPr>
            <w:tcW w:w="1165" w:type="dxa"/>
            <w:tcBorders>
              <w:top w:val="nil"/>
              <w:left w:val="nil"/>
              <w:bottom w:val="single" w:sz="4" w:space="0" w:color="auto"/>
              <w:right w:val="single" w:sz="4" w:space="0" w:color="auto"/>
            </w:tcBorders>
            <w:shd w:val="clear" w:color="000000" w:fill="FFFFFF"/>
            <w:noWrap/>
            <w:vAlign w:val="center"/>
            <w:hideMark/>
          </w:tcPr>
          <w:p w14:paraId="46CEA805"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5</w:t>
            </w:r>
          </w:p>
        </w:tc>
        <w:tc>
          <w:tcPr>
            <w:tcW w:w="1254" w:type="dxa"/>
            <w:tcBorders>
              <w:top w:val="nil"/>
              <w:left w:val="nil"/>
              <w:bottom w:val="single" w:sz="4" w:space="0" w:color="auto"/>
              <w:right w:val="single" w:sz="4" w:space="0" w:color="auto"/>
            </w:tcBorders>
            <w:shd w:val="clear" w:color="000000" w:fill="FFFFFF"/>
            <w:noWrap/>
            <w:vAlign w:val="center"/>
            <w:hideMark/>
          </w:tcPr>
          <w:p w14:paraId="01109F69"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20%</w:t>
            </w:r>
          </w:p>
        </w:tc>
        <w:tc>
          <w:tcPr>
            <w:tcW w:w="897" w:type="dxa"/>
            <w:tcBorders>
              <w:top w:val="nil"/>
              <w:left w:val="nil"/>
              <w:bottom w:val="single" w:sz="4" w:space="0" w:color="auto"/>
              <w:right w:val="single" w:sz="4" w:space="0" w:color="auto"/>
            </w:tcBorders>
            <w:shd w:val="clear" w:color="000000" w:fill="FFFFFF"/>
            <w:noWrap/>
            <w:vAlign w:val="center"/>
            <w:hideMark/>
          </w:tcPr>
          <w:p w14:paraId="75C03F94"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5</w:t>
            </w:r>
          </w:p>
        </w:tc>
        <w:tc>
          <w:tcPr>
            <w:tcW w:w="897" w:type="dxa"/>
            <w:tcBorders>
              <w:top w:val="nil"/>
              <w:left w:val="nil"/>
              <w:bottom w:val="single" w:sz="4" w:space="0" w:color="auto"/>
              <w:right w:val="single" w:sz="4" w:space="0" w:color="auto"/>
            </w:tcBorders>
            <w:shd w:val="clear" w:color="000000" w:fill="FFFFFF"/>
            <w:noWrap/>
            <w:vAlign w:val="center"/>
            <w:hideMark/>
          </w:tcPr>
          <w:p w14:paraId="6B54190F"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w:t>
            </w:r>
          </w:p>
        </w:tc>
        <w:tc>
          <w:tcPr>
            <w:tcW w:w="892" w:type="dxa"/>
            <w:tcBorders>
              <w:top w:val="nil"/>
              <w:left w:val="nil"/>
              <w:bottom w:val="single" w:sz="4" w:space="0" w:color="auto"/>
              <w:right w:val="single" w:sz="4" w:space="0" w:color="auto"/>
            </w:tcBorders>
            <w:shd w:val="clear" w:color="000000" w:fill="FFFFFF"/>
            <w:noWrap/>
            <w:vAlign w:val="center"/>
            <w:hideMark/>
          </w:tcPr>
          <w:p w14:paraId="1452496A"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20%</w:t>
            </w:r>
          </w:p>
        </w:tc>
        <w:tc>
          <w:tcPr>
            <w:tcW w:w="1063" w:type="dxa"/>
            <w:tcBorders>
              <w:top w:val="nil"/>
              <w:left w:val="nil"/>
              <w:bottom w:val="single" w:sz="4" w:space="0" w:color="auto"/>
              <w:right w:val="single" w:sz="4" w:space="0" w:color="auto"/>
            </w:tcBorders>
            <w:shd w:val="clear" w:color="000000" w:fill="FFFFFF"/>
            <w:noWrap/>
            <w:vAlign w:val="center"/>
            <w:hideMark/>
          </w:tcPr>
          <w:p w14:paraId="33D72FD1"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3</w:t>
            </w:r>
          </w:p>
        </w:tc>
        <w:tc>
          <w:tcPr>
            <w:tcW w:w="1063" w:type="dxa"/>
            <w:tcBorders>
              <w:top w:val="nil"/>
              <w:left w:val="nil"/>
              <w:bottom w:val="single" w:sz="4" w:space="0" w:color="auto"/>
              <w:right w:val="single" w:sz="4" w:space="0" w:color="auto"/>
            </w:tcBorders>
            <w:shd w:val="clear" w:color="000000" w:fill="FFFFFF"/>
            <w:noWrap/>
            <w:vAlign w:val="center"/>
            <w:hideMark/>
          </w:tcPr>
          <w:p w14:paraId="61522344"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0</w:t>
            </w:r>
          </w:p>
        </w:tc>
        <w:tc>
          <w:tcPr>
            <w:tcW w:w="1063" w:type="dxa"/>
            <w:tcBorders>
              <w:top w:val="nil"/>
              <w:left w:val="nil"/>
              <w:bottom w:val="single" w:sz="4" w:space="0" w:color="auto"/>
              <w:right w:val="single" w:sz="4" w:space="0" w:color="auto"/>
            </w:tcBorders>
            <w:shd w:val="clear" w:color="000000" w:fill="FFFFFF"/>
            <w:noWrap/>
            <w:vAlign w:val="center"/>
            <w:hideMark/>
          </w:tcPr>
          <w:p w14:paraId="271FC657"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0%</w:t>
            </w:r>
          </w:p>
        </w:tc>
      </w:tr>
      <w:tr w:rsidR="00BA0D82" w:rsidRPr="0005691D" w14:paraId="432D478F" w14:textId="77777777" w:rsidTr="001A5653">
        <w:trPr>
          <w:trHeight w:val="300"/>
        </w:trPr>
        <w:tc>
          <w:tcPr>
            <w:tcW w:w="2506" w:type="dxa"/>
            <w:tcBorders>
              <w:top w:val="nil"/>
              <w:left w:val="single" w:sz="4" w:space="0" w:color="auto"/>
              <w:bottom w:val="single" w:sz="4" w:space="0" w:color="auto"/>
              <w:right w:val="single" w:sz="4" w:space="0" w:color="auto"/>
            </w:tcBorders>
            <w:shd w:val="clear" w:color="000000" w:fill="B4C6E7"/>
            <w:noWrap/>
            <w:vAlign w:val="center"/>
            <w:hideMark/>
          </w:tcPr>
          <w:p w14:paraId="2EF69B04" w14:textId="77777777" w:rsidR="00BA0D82" w:rsidRPr="0005691D" w:rsidRDefault="00BA0D82" w:rsidP="001A5653">
            <w:pPr>
              <w:spacing w:after="0" w:line="240" w:lineRule="auto"/>
              <w:jc w:val="right"/>
              <w:rPr>
                <w:rFonts w:ascii="Calibri" w:eastAsia="Times New Roman" w:hAnsi="Calibri" w:cs="Calibri"/>
                <w:b/>
                <w:bCs/>
                <w:color w:val="000000"/>
              </w:rPr>
            </w:pPr>
            <w:r w:rsidRPr="0005691D">
              <w:rPr>
                <w:rFonts w:ascii="Calibri" w:eastAsia="Times New Roman" w:hAnsi="Calibri" w:cs="Calibri"/>
                <w:b/>
                <w:bCs/>
                <w:color w:val="000000"/>
              </w:rPr>
              <w:t>Common Performance Measures</w:t>
            </w:r>
          </w:p>
        </w:tc>
        <w:tc>
          <w:tcPr>
            <w:tcW w:w="1165" w:type="dxa"/>
            <w:tcBorders>
              <w:top w:val="nil"/>
              <w:left w:val="nil"/>
              <w:bottom w:val="single" w:sz="4" w:space="0" w:color="auto"/>
              <w:right w:val="single" w:sz="4" w:space="0" w:color="auto"/>
            </w:tcBorders>
            <w:shd w:val="clear" w:color="000000" w:fill="D9E2F3"/>
            <w:noWrap/>
            <w:vAlign w:val="center"/>
            <w:hideMark/>
          </w:tcPr>
          <w:p w14:paraId="45A5A84B"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4</w:t>
            </w:r>
          </w:p>
        </w:tc>
        <w:tc>
          <w:tcPr>
            <w:tcW w:w="1254" w:type="dxa"/>
            <w:tcBorders>
              <w:top w:val="nil"/>
              <w:left w:val="nil"/>
              <w:bottom w:val="single" w:sz="4" w:space="0" w:color="auto"/>
              <w:right w:val="single" w:sz="4" w:space="0" w:color="auto"/>
            </w:tcBorders>
            <w:shd w:val="clear" w:color="000000" w:fill="D9E2F3"/>
            <w:noWrap/>
            <w:vAlign w:val="center"/>
            <w:hideMark/>
          </w:tcPr>
          <w:p w14:paraId="7F3615CA"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88%</w:t>
            </w:r>
          </w:p>
        </w:tc>
        <w:tc>
          <w:tcPr>
            <w:tcW w:w="897" w:type="dxa"/>
            <w:tcBorders>
              <w:top w:val="nil"/>
              <w:left w:val="nil"/>
              <w:bottom w:val="single" w:sz="4" w:space="0" w:color="auto"/>
              <w:right w:val="single" w:sz="4" w:space="0" w:color="auto"/>
            </w:tcBorders>
            <w:shd w:val="clear" w:color="000000" w:fill="D9E2F3"/>
            <w:noWrap/>
            <w:vAlign w:val="center"/>
            <w:hideMark/>
          </w:tcPr>
          <w:p w14:paraId="58EEF0B3"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4</w:t>
            </w:r>
          </w:p>
        </w:tc>
        <w:tc>
          <w:tcPr>
            <w:tcW w:w="897" w:type="dxa"/>
            <w:tcBorders>
              <w:top w:val="nil"/>
              <w:left w:val="nil"/>
              <w:bottom w:val="single" w:sz="4" w:space="0" w:color="auto"/>
              <w:right w:val="single" w:sz="4" w:space="0" w:color="auto"/>
            </w:tcBorders>
            <w:shd w:val="clear" w:color="000000" w:fill="D9E2F3"/>
            <w:noWrap/>
            <w:vAlign w:val="center"/>
            <w:hideMark/>
          </w:tcPr>
          <w:p w14:paraId="6194E8DA"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3</w:t>
            </w:r>
          </w:p>
        </w:tc>
        <w:tc>
          <w:tcPr>
            <w:tcW w:w="892" w:type="dxa"/>
            <w:tcBorders>
              <w:top w:val="nil"/>
              <w:left w:val="nil"/>
              <w:bottom w:val="single" w:sz="4" w:space="0" w:color="auto"/>
              <w:right w:val="single" w:sz="4" w:space="0" w:color="auto"/>
            </w:tcBorders>
            <w:shd w:val="clear" w:color="000000" w:fill="D9E2F3"/>
            <w:noWrap/>
            <w:vAlign w:val="center"/>
            <w:hideMark/>
          </w:tcPr>
          <w:p w14:paraId="28B5EDA1"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75%</w:t>
            </w:r>
          </w:p>
        </w:tc>
        <w:tc>
          <w:tcPr>
            <w:tcW w:w="1063" w:type="dxa"/>
            <w:tcBorders>
              <w:top w:val="nil"/>
              <w:left w:val="nil"/>
              <w:bottom w:val="single" w:sz="4" w:space="0" w:color="auto"/>
              <w:right w:val="single" w:sz="4" w:space="0" w:color="auto"/>
            </w:tcBorders>
            <w:shd w:val="clear" w:color="000000" w:fill="D9E2F3"/>
            <w:noWrap/>
            <w:vAlign w:val="center"/>
            <w:hideMark/>
          </w:tcPr>
          <w:p w14:paraId="666A0BAF"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3</w:t>
            </w:r>
          </w:p>
        </w:tc>
        <w:tc>
          <w:tcPr>
            <w:tcW w:w="1063" w:type="dxa"/>
            <w:tcBorders>
              <w:top w:val="nil"/>
              <w:left w:val="nil"/>
              <w:bottom w:val="single" w:sz="4" w:space="0" w:color="auto"/>
              <w:right w:val="single" w:sz="4" w:space="0" w:color="auto"/>
            </w:tcBorders>
            <w:shd w:val="clear" w:color="000000" w:fill="D9E2F3"/>
            <w:noWrap/>
            <w:vAlign w:val="center"/>
            <w:hideMark/>
          </w:tcPr>
          <w:p w14:paraId="0D4F1C62"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2</w:t>
            </w:r>
          </w:p>
        </w:tc>
        <w:tc>
          <w:tcPr>
            <w:tcW w:w="1063" w:type="dxa"/>
            <w:tcBorders>
              <w:top w:val="nil"/>
              <w:left w:val="nil"/>
              <w:bottom w:val="single" w:sz="4" w:space="0" w:color="auto"/>
              <w:right w:val="single" w:sz="4" w:space="0" w:color="auto"/>
            </w:tcBorders>
            <w:shd w:val="clear" w:color="000000" w:fill="D9E2F3"/>
            <w:noWrap/>
            <w:vAlign w:val="center"/>
            <w:hideMark/>
          </w:tcPr>
          <w:p w14:paraId="2F008CFB"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67%</w:t>
            </w:r>
          </w:p>
        </w:tc>
      </w:tr>
      <w:tr w:rsidR="00BA0D82" w:rsidRPr="0005691D" w14:paraId="17EE982D" w14:textId="77777777" w:rsidTr="001A5653">
        <w:trPr>
          <w:trHeight w:val="300"/>
        </w:trPr>
        <w:tc>
          <w:tcPr>
            <w:tcW w:w="2506" w:type="dxa"/>
            <w:tcBorders>
              <w:top w:val="nil"/>
              <w:left w:val="single" w:sz="4" w:space="0" w:color="auto"/>
              <w:bottom w:val="single" w:sz="4" w:space="0" w:color="auto"/>
              <w:right w:val="single" w:sz="4" w:space="0" w:color="auto"/>
            </w:tcBorders>
            <w:shd w:val="clear" w:color="000000" w:fill="B4C6E7"/>
            <w:noWrap/>
            <w:vAlign w:val="center"/>
            <w:hideMark/>
          </w:tcPr>
          <w:p w14:paraId="3B1F12A4" w14:textId="77777777" w:rsidR="00BA0D82" w:rsidRPr="0005691D" w:rsidRDefault="00BA0D82" w:rsidP="001A5653">
            <w:pPr>
              <w:spacing w:after="0" w:line="240" w:lineRule="auto"/>
              <w:jc w:val="right"/>
              <w:rPr>
                <w:rFonts w:ascii="Calibri" w:eastAsia="Times New Roman" w:hAnsi="Calibri" w:cs="Calibri"/>
                <w:b/>
                <w:bCs/>
                <w:color w:val="000000"/>
              </w:rPr>
            </w:pPr>
            <w:r w:rsidRPr="0005691D">
              <w:rPr>
                <w:rFonts w:ascii="Calibri" w:eastAsia="Times New Roman" w:hAnsi="Calibri" w:cs="Calibri"/>
                <w:b/>
                <w:bCs/>
                <w:color w:val="000000"/>
              </w:rPr>
              <w:t>Customized Employment</w:t>
            </w:r>
          </w:p>
        </w:tc>
        <w:tc>
          <w:tcPr>
            <w:tcW w:w="1165" w:type="dxa"/>
            <w:tcBorders>
              <w:top w:val="nil"/>
              <w:left w:val="nil"/>
              <w:bottom w:val="single" w:sz="4" w:space="0" w:color="auto"/>
              <w:right w:val="single" w:sz="4" w:space="0" w:color="auto"/>
            </w:tcBorders>
            <w:shd w:val="clear" w:color="000000" w:fill="FFFFFF"/>
            <w:noWrap/>
            <w:vAlign w:val="center"/>
            <w:hideMark/>
          </w:tcPr>
          <w:p w14:paraId="321AE151"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w:t>
            </w:r>
          </w:p>
        </w:tc>
        <w:tc>
          <w:tcPr>
            <w:tcW w:w="1254" w:type="dxa"/>
            <w:tcBorders>
              <w:top w:val="nil"/>
              <w:left w:val="nil"/>
              <w:bottom w:val="single" w:sz="4" w:space="0" w:color="auto"/>
              <w:right w:val="single" w:sz="4" w:space="0" w:color="auto"/>
            </w:tcBorders>
            <w:shd w:val="clear" w:color="000000" w:fill="FFFFFF"/>
            <w:noWrap/>
            <w:vAlign w:val="center"/>
            <w:hideMark/>
          </w:tcPr>
          <w:p w14:paraId="4C429BB2"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25%</w:t>
            </w:r>
          </w:p>
        </w:tc>
        <w:tc>
          <w:tcPr>
            <w:tcW w:w="897" w:type="dxa"/>
            <w:tcBorders>
              <w:top w:val="nil"/>
              <w:left w:val="nil"/>
              <w:bottom w:val="single" w:sz="4" w:space="0" w:color="auto"/>
              <w:right w:val="single" w:sz="4" w:space="0" w:color="auto"/>
            </w:tcBorders>
            <w:shd w:val="clear" w:color="000000" w:fill="FFFFFF"/>
            <w:noWrap/>
            <w:vAlign w:val="center"/>
            <w:hideMark/>
          </w:tcPr>
          <w:p w14:paraId="325BC924"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w:t>
            </w:r>
          </w:p>
        </w:tc>
        <w:tc>
          <w:tcPr>
            <w:tcW w:w="897" w:type="dxa"/>
            <w:tcBorders>
              <w:top w:val="nil"/>
              <w:left w:val="nil"/>
              <w:bottom w:val="single" w:sz="4" w:space="0" w:color="auto"/>
              <w:right w:val="single" w:sz="4" w:space="0" w:color="auto"/>
            </w:tcBorders>
            <w:shd w:val="clear" w:color="000000" w:fill="FFFFFF"/>
            <w:noWrap/>
            <w:vAlign w:val="center"/>
            <w:hideMark/>
          </w:tcPr>
          <w:p w14:paraId="06403CE1"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0</w:t>
            </w:r>
          </w:p>
        </w:tc>
        <w:tc>
          <w:tcPr>
            <w:tcW w:w="892" w:type="dxa"/>
            <w:tcBorders>
              <w:top w:val="nil"/>
              <w:left w:val="nil"/>
              <w:bottom w:val="single" w:sz="4" w:space="0" w:color="auto"/>
              <w:right w:val="single" w:sz="4" w:space="0" w:color="auto"/>
            </w:tcBorders>
            <w:shd w:val="clear" w:color="000000" w:fill="FFFFFF"/>
            <w:noWrap/>
            <w:vAlign w:val="center"/>
            <w:hideMark/>
          </w:tcPr>
          <w:p w14:paraId="696C2C33"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0%</w:t>
            </w:r>
          </w:p>
        </w:tc>
        <w:tc>
          <w:tcPr>
            <w:tcW w:w="1063" w:type="dxa"/>
            <w:tcBorders>
              <w:top w:val="nil"/>
              <w:left w:val="nil"/>
              <w:bottom w:val="single" w:sz="4" w:space="0" w:color="auto"/>
              <w:right w:val="single" w:sz="4" w:space="0" w:color="auto"/>
            </w:tcBorders>
            <w:shd w:val="clear" w:color="000000" w:fill="FFFFFF"/>
            <w:noWrap/>
            <w:vAlign w:val="center"/>
            <w:hideMark/>
          </w:tcPr>
          <w:p w14:paraId="75E87DA9"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0</w:t>
            </w:r>
          </w:p>
        </w:tc>
        <w:tc>
          <w:tcPr>
            <w:tcW w:w="1063" w:type="dxa"/>
            <w:tcBorders>
              <w:top w:val="nil"/>
              <w:left w:val="nil"/>
              <w:bottom w:val="single" w:sz="4" w:space="0" w:color="auto"/>
              <w:right w:val="single" w:sz="4" w:space="0" w:color="auto"/>
            </w:tcBorders>
            <w:shd w:val="clear" w:color="000000" w:fill="FFFFFF"/>
            <w:noWrap/>
            <w:vAlign w:val="center"/>
            <w:hideMark/>
          </w:tcPr>
          <w:p w14:paraId="7329B421"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0</w:t>
            </w:r>
          </w:p>
        </w:tc>
        <w:tc>
          <w:tcPr>
            <w:tcW w:w="1063" w:type="dxa"/>
            <w:tcBorders>
              <w:top w:val="nil"/>
              <w:left w:val="nil"/>
              <w:bottom w:val="single" w:sz="4" w:space="0" w:color="auto"/>
              <w:right w:val="single" w:sz="4" w:space="0" w:color="auto"/>
            </w:tcBorders>
            <w:shd w:val="clear" w:color="000000" w:fill="FFFFFF"/>
            <w:noWrap/>
            <w:vAlign w:val="center"/>
            <w:hideMark/>
          </w:tcPr>
          <w:p w14:paraId="21F03A05"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#DIV/0!</w:t>
            </w:r>
          </w:p>
        </w:tc>
      </w:tr>
      <w:tr w:rsidR="00BA0D82" w:rsidRPr="0005691D" w14:paraId="57E3279C" w14:textId="77777777" w:rsidTr="001A5653">
        <w:trPr>
          <w:trHeight w:val="300"/>
        </w:trPr>
        <w:tc>
          <w:tcPr>
            <w:tcW w:w="2506" w:type="dxa"/>
            <w:tcBorders>
              <w:top w:val="nil"/>
              <w:left w:val="nil"/>
              <w:bottom w:val="nil"/>
              <w:right w:val="nil"/>
            </w:tcBorders>
            <w:shd w:val="clear" w:color="auto" w:fill="auto"/>
            <w:noWrap/>
            <w:vAlign w:val="bottom"/>
            <w:hideMark/>
          </w:tcPr>
          <w:p w14:paraId="3750BF54" w14:textId="77777777" w:rsidR="00BA0D82" w:rsidRPr="0005691D" w:rsidRDefault="00BA0D82" w:rsidP="001A5653">
            <w:pPr>
              <w:spacing w:after="0" w:line="240" w:lineRule="auto"/>
              <w:jc w:val="center"/>
              <w:rPr>
                <w:rFonts w:ascii="Calibri" w:eastAsia="Times New Roman" w:hAnsi="Calibri" w:cs="Calibri"/>
                <w:color w:val="000000"/>
              </w:rPr>
            </w:pPr>
          </w:p>
        </w:tc>
        <w:tc>
          <w:tcPr>
            <w:tcW w:w="1165" w:type="dxa"/>
            <w:tcBorders>
              <w:top w:val="nil"/>
              <w:left w:val="nil"/>
              <w:bottom w:val="nil"/>
              <w:right w:val="nil"/>
            </w:tcBorders>
            <w:shd w:val="clear" w:color="auto" w:fill="auto"/>
            <w:noWrap/>
            <w:vAlign w:val="center"/>
            <w:hideMark/>
          </w:tcPr>
          <w:p w14:paraId="2FC8D035" w14:textId="77777777" w:rsidR="00BA0D82" w:rsidRPr="0005691D" w:rsidRDefault="00BA0D82" w:rsidP="001A5653">
            <w:pPr>
              <w:spacing w:after="0" w:line="240" w:lineRule="auto"/>
              <w:rPr>
                <w:rFonts w:ascii="Times New Roman" w:eastAsia="Times New Roman" w:hAnsi="Times New Roman" w:cs="Times New Roman"/>
                <w:sz w:val="20"/>
                <w:szCs w:val="20"/>
              </w:rPr>
            </w:pPr>
          </w:p>
        </w:tc>
        <w:tc>
          <w:tcPr>
            <w:tcW w:w="1254" w:type="dxa"/>
            <w:tcBorders>
              <w:top w:val="nil"/>
              <w:left w:val="nil"/>
              <w:bottom w:val="nil"/>
              <w:right w:val="nil"/>
            </w:tcBorders>
            <w:shd w:val="clear" w:color="auto" w:fill="auto"/>
            <w:noWrap/>
            <w:vAlign w:val="center"/>
            <w:hideMark/>
          </w:tcPr>
          <w:p w14:paraId="45E86129"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c>
          <w:tcPr>
            <w:tcW w:w="897" w:type="dxa"/>
            <w:tcBorders>
              <w:top w:val="nil"/>
              <w:left w:val="nil"/>
              <w:bottom w:val="nil"/>
              <w:right w:val="nil"/>
            </w:tcBorders>
            <w:shd w:val="clear" w:color="auto" w:fill="auto"/>
            <w:noWrap/>
            <w:vAlign w:val="center"/>
            <w:hideMark/>
          </w:tcPr>
          <w:p w14:paraId="7EE44EE9"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c>
          <w:tcPr>
            <w:tcW w:w="897" w:type="dxa"/>
            <w:tcBorders>
              <w:top w:val="nil"/>
              <w:left w:val="nil"/>
              <w:bottom w:val="nil"/>
              <w:right w:val="nil"/>
            </w:tcBorders>
            <w:shd w:val="clear" w:color="auto" w:fill="auto"/>
            <w:noWrap/>
            <w:vAlign w:val="center"/>
            <w:hideMark/>
          </w:tcPr>
          <w:p w14:paraId="17B44BDD"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c>
          <w:tcPr>
            <w:tcW w:w="892" w:type="dxa"/>
            <w:tcBorders>
              <w:top w:val="nil"/>
              <w:left w:val="nil"/>
              <w:bottom w:val="nil"/>
              <w:right w:val="nil"/>
            </w:tcBorders>
            <w:shd w:val="clear" w:color="auto" w:fill="auto"/>
            <w:noWrap/>
            <w:vAlign w:val="center"/>
            <w:hideMark/>
          </w:tcPr>
          <w:p w14:paraId="7ACF23A4"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c>
          <w:tcPr>
            <w:tcW w:w="1063" w:type="dxa"/>
            <w:tcBorders>
              <w:top w:val="nil"/>
              <w:left w:val="nil"/>
              <w:bottom w:val="nil"/>
              <w:right w:val="nil"/>
            </w:tcBorders>
            <w:shd w:val="clear" w:color="auto" w:fill="auto"/>
            <w:noWrap/>
            <w:vAlign w:val="center"/>
            <w:hideMark/>
          </w:tcPr>
          <w:p w14:paraId="779739EB"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c>
          <w:tcPr>
            <w:tcW w:w="1063" w:type="dxa"/>
            <w:tcBorders>
              <w:top w:val="nil"/>
              <w:left w:val="nil"/>
              <w:bottom w:val="nil"/>
              <w:right w:val="nil"/>
            </w:tcBorders>
            <w:shd w:val="clear" w:color="auto" w:fill="auto"/>
            <w:noWrap/>
            <w:vAlign w:val="center"/>
            <w:hideMark/>
          </w:tcPr>
          <w:p w14:paraId="7F95E993"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c>
          <w:tcPr>
            <w:tcW w:w="1063" w:type="dxa"/>
            <w:tcBorders>
              <w:top w:val="nil"/>
              <w:left w:val="nil"/>
              <w:bottom w:val="nil"/>
              <w:right w:val="nil"/>
            </w:tcBorders>
            <w:shd w:val="clear" w:color="auto" w:fill="auto"/>
            <w:noWrap/>
            <w:vAlign w:val="center"/>
            <w:hideMark/>
          </w:tcPr>
          <w:p w14:paraId="352E9A53"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r>
      <w:tr w:rsidR="00BA0D82" w:rsidRPr="0005691D" w14:paraId="283AAB0B" w14:textId="77777777" w:rsidTr="001A5653">
        <w:trPr>
          <w:trHeight w:val="465"/>
        </w:trPr>
        <w:tc>
          <w:tcPr>
            <w:tcW w:w="10800" w:type="dxa"/>
            <w:gridSpan w:val="9"/>
            <w:tcBorders>
              <w:top w:val="single" w:sz="4" w:space="0" w:color="auto"/>
              <w:left w:val="nil"/>
              <w:bottom w:val="single" w:sz="4" w:space="0" w:color="auto"/>
              <w:right w:val="nil"/>
            </w:tcBorders>
            <w:shd w:val="clear" w:color="auto" w:fill="auto"/>
            <w:noWrap/>
            <w:vAlign w:val="bottom"/>
            <w:hideMark/>
          </w:tcPr>
          <w:p w14:paraId="4073741F" w14:textId="77777777" w:rsidR="00BA0D82" w:rsidRPr="0005691D" w:rsidRDefault="00BA0D82" w:rsidP="00BA0D82">
            <w:pPr>
              <w:pStyle w:val="Heading2"/>
              <w:numPr>
                <w:ilvl w:val="0"/>
                <w:numId w:val="0"/>
              </w:numPr>
              <w:rPr>
                <w:rFonts w:eastAsia="Times New Roman"/>
              </w:rPr>
            </w:pPr>
            <w:bookmarkStart w:id="227" w:name="_Toc27143203"/>
            <w:bookmarkStart w:id="228" w:name="_Toc28011502"/>
            <w:r w:rsidRPr="0005691D">
              <w:rPr>
                <w:rFonts w:eastAsia="Times New Roman"/>
              </w:rPr>
              <w:t>Maine</w:t>
            </w:r>
            <w:bookmarkEnd w:id="227"/>
            <w:bookmarkEnd w:id="228"/>
          </w:p>
        </w:tc>
      </w:tr>
      <w:tr w:rsidR="00BA0D82" w:rsidRPr="0005691D" w14:paraId="0A10EBF7" w14:textId="77777777" w:rsidTr="001A5653">
        <w:trPr>
          <w:trHeight w:val="1305"/>
        </w:trPr>
        <w:tc>
          <w:tcPr>
            <w:tcW w:w="2506" w:type="dxa"/>
            <w:tcBorders>
              <w:top w:val="nil"/>
              <w:left w:val="single" w:sz="4" w:space="0" w:color="auto"/>
              <w:bottom w:val="single" w:sz="4" w:space="0" w:color="auto"/>
              <w:right w:val="single" w:sz="4" w:space="0" w:color="auto"/>
            </w:tcBorders>
            <w:shd w:val="clear" w:color="000000" w:fill="B4C6E7"/>
            <w:vAlign w:val="bottom"/>
            <w:hideMark/>
          </w:tcPr>
          <w:p w14:paraId="6DC0A068" w14:textId="77777777" w:rsidR="00BA0D82" w:rsidRPr="0005691D" w:rsidRDefault="00BA0D82" w:rsidP="001A5653">
            <w:pPr>
              <w:spacing w:after="0" w:line="240" w:lineRule="auto"/>
              <w:jc w:val="right"/>
              <w:rPr>
                <w:rFonts w:ascii="Calibri" w:eastAsia="Times New Roman" w:hAnsi="Calibri" w:cs="Calibri"/>
                <w:b/>
                <w:bCs/>
                <w:color w:val="000000"/>
                <w:szCs w:val="28"/>
              </w:rPr>
            </w:pPr>
            <w:r w:rsidRPr="0005691D">
              <w:rPr>
                <w:rFonts w:ascii="Calibri" w:eastAsia="Times New Roman" w:hAnsi="Calibri" w:cs="Calibri"/>
                <w:b/>
                <w:bCs/>
                <w:color w:val="000000"/>
                <w:szCs w:val="28"/>
              </w:rPr>
              <w:t>Area</w:t>
            </w:r>
          </w:p>
        </w:tc>
        <w:tc>
          <w:tcPr>
            <w:tcW w:w="1165" w:type="dxa"/>
            <w:tcBorders>
              <w:top w:val="nil"/>
              <w:left w:val="nil"/>
              <w:bottom w:val="single" w:sz="4" w:space="0" w:color="auto"/>
              <w:right w:val="single" w:sz="4" w:space="0" w:color="auto"/>
            </w:tcBorders>
            <w:shd w:val="clear" w:color="000000" w:fill="B4C6E7"/>
            <w:vAlign w:val="bottom"/>
            <w:hideMark/>
          </w:tcPr>
          <w:p w14:paraId="11D6A6B4"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of Total Activities</w:t>
            </w:r>
          </w:p>
        </w:tc>
        <w:tc>
          <w:tcPr>
            <w:tcW w:w="1254" w:type="dxa"/>
            <w:tcBorders>
              <w:top w:val="nil"/>
              <w:left w:val="nil"/>
              <w:bottom w:val="single" w:sz="4" w:space="0" w:color="auto"/>
              <w:right w:val="single" w:sz="4" w:space="0" w:color="auto"/>
            </w:tcBorders>
            <w:shd w:val="clear" w:color="000000" w:fill="B4C6E7"/>
            <w:vAlign w:val="bottom"/>
            <w:hideMark/>
          </w:tcPr>
          <w:p w14:paraId="72C5F0AC"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Average Progress on Activities (%)</w:t>
            </w:r>
          </w:p>
        </w:tc>
        <w:tc>
          <w:tcPr>
            <w:tcW w:w="897" w:type="dxa"/>
            <w:tcBorders>
              <w:top w:val="nil"/>
              <w:left w:val="nil"/>
              <w:bottom w:val="single" w:sz="4" w:space="0" w:color="auto"/>
              <w:right w:val="single" w:sz="4" w:space="0" w:color="auto"/>
            </w:tcBorders>
            <w:shd w:val="clear" w:color="000000" w:fill="B4C6E7"/>
            <w:vAlign w:val="bottom"/>
            <w:hideMark/>
          </w:tcPr>
          <w:p w14:paraId="2EAEF9E9"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Outputs</w:t>
            </w:r>
          </w:p>
        </w:tc>
        <w:tc>
          <w:tcPr>
            <w:tcW w:w="897" w:type="dxa"/>
            <w:tcBorders>
              <w:top w:val="nil"/>
              <w:left w:val="nil"/>
              <w:bottom w:val="single" w:sz="4" w:space="0" w:color="auto"/>
              <w:right w:val="single" w:sz="4" w:space="0" w:color="auto"/>
            </w:tcBorders>
            <w:shd w:val="clear" w:color="000000" w:fill="B4C6E7"/>
            <w:vAlign w:val="bottom"/>
            <w:hideMark/>
          </w:tcPr>
          <w:p w14:paraId="09B62A34"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Outputs Met</w:t>
            </w:r>
          </w:p>
        </w:tc>
        <w:tc>
          <w:tcPr>
            <w:tcW w:w="892" w:type="dxa"/>
            <w:tcBorders>
              <w:top w:val="nil"/>
              <w:left w:val="nil"/>
              <w:bottom w:val="single" w:sz="4" w:space="0" w:color="auto"/>
              <w:right w:val="single" w:sz="4" w:space="0" w:color="auto"/>
            </w:tcBorders>
            <w:shd w:val="clear" w:color="000000" w:fill="B4C6E7"/>
            <w:vAlign w:val="bottom"/>
            <w:hideMark/>
          </w:tcPr>
          <w:p w14:paraId="2C7DB61A"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Outputs Met</w:t>
            </w:r>
          </w:p>
        </w:tc>
        <w:tc>
          <w:tcPr>
            <w:tcW w:w="1063" w:type="dxa"/>
            <w:tcBorders>
              <w:top w:val="nil"/>
              <w:left w:val="nil"/>
              <w:bottom w:val="single" w:sz="4" w:space="0" w:color="auto"/>
              <w:right w:val="single" w:sz="4" w:space="0" w:color="auto"/>
            </w:tcBorders>
            <w:shd w:val="clear" w:color="000000" w:fill="B4C6E7"/>
            <w:vAlign w:val="bottom"/>
            <w:hideMark/>
          </w:tcPr>
          <w:p w14:paraId="6DBFD989"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Short-Term Outcomes</w:t>
            </w:r>
          </w:p>
        </w:tc>
        <w:tc>
          <w:tcPr>
            <w:tcW w:w="1063" w:type="dxa"/>
            <w:tcBorders>
              <w:top w:val="nil"/>
              <w:left w:val="nil"/>
              <w:bottom w:val="single" w:sz="4" w:space="0" w:color="auto"/>
              <w:right w:val="single" w:sz="4" w:space="0" w:color="auto"/>
            </w:tcBorders>
            <w:shd w:val="clear" w:color="000000" w:fill="B4C6E7"/>
            <w:vAlign w:val="bottom"/>
            <w:hideMark/>
          </w:tcPr>
          <w:p w14:paraId="740951A8"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Short-Term Outcomes Met</w:t>
            </w:r>
          </w:p>
        </w:tc>
        <w:tc>
          <w:tcPr>
            <w:tcW w:w="1063" w:type="dxa"/>
            <w:tcBorders>
              <w:top w:val="nil"/>
              <w:left w:val="nil"/>
              <w:bottom w:val="single" w:sz="4" w:space="0" w:color="auto"/>
              <w:right w:val="single" w:sz="4" w:space="0" w:color="auto"/>
            </w:tcBorders>
            <w:shd w:val="clear" w:color="000000" w:fill="B4C6E7"/>
            <w:vAlign w:val="bottom"/>
            <w:hideMark/>
          </w:tcPr>
          <w:p w14:paraId="248E81A9"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%Short-Term Outcomes Achieved</w:t>
            </w:r>
          </w:p>
        </w:tc>
      </w:tr>
      <w:tr w:rsidR="00BA0D82" w:rsidRPr="0005691D" w14:paraId="44EEFAF7" w14:textId="77777777" w:rsidTr="001A5653">
        <w:trPr>
          <w:trHeight w:val="300"/>
        </w:trPr>
        <w:tc>
          <w:tcPr>
            <w:tcW w:w="2506" w:type="dxa"/>
            <w:tcBorders>
              <w:top w:val="nil"/>
              <w:left w:val="single" w:sz="4" w:space="0" w:color="auto"/>
              <w:bottom w:val="single" w:sz="4" w:space="0" w:color="auto"/>
              <w:right w:val="single" w:sz="4" w:space="0" w:color="auto"/>
            </w:tcBorders>
            <w:shd w:val="clear" w:color="000000" w:fill="B4C6E7"/>
            <w:noWrap/>
            <w:vAlign w:val="center"/>
            <w:hideMark/>
          </w:tcPr>
          <w:p w14:paraId="463925B7" w14:textId="77777777" w:rsidR="00BA0D82" w:rsidRPr="0005691D" w:rsidRDefault="00BA0D82" w:rsidP="001A5653">
            <w:pPr>
              <w:spacing w:after="0" w:line="240" w:lineRule="auto"/>
              <w:jc w:val="right"/>
              <w:rPr>
                <w:rFonts w:ascii="Calibri" w:eastAsia="Times New Roman" w:hAnsi="Calibri" w:cs="Calibri"/>
                <w:b/>
                <w:bCs/>
                <w:color w:val="000000"/>
              </w:rPr>
            </w:pPr>
            <w:r w:rsidRPr="0005691D">
              <w:rPr>
                <w:rFonts w:ascii="Calibri" w:eastAsia="Times New Roman" w:hAnsi="Calibri" w:cs="Calibri"/>
                <w:b/>
                <w:bCs/>
                <w:color w:val="000000"/>
              </w:rPr>
              <w:t>Workforce Integration</w:t>
            </w:r>
          </w:p>
        </w:tc>
        <w:tc>
          <w:tcPr>
            <w:tcW w:w="1165" w:type="dxa"/>
            <w:tcBorders>
              <w:top w:val="nil"/>
              <w:left w:val="nil"/>
              <w:bottom w:val="single" w:sz="4" w:space="0" w:color="auto"/>
              <w:right w:val="single" w:sz="4" w:space="0" w:color="auto"/>
            </w:tcBorders>
            <w:shd w:val="clear" w:color="000000" w:fill="FFFFFF"/>
            <w:noWrap/>
            <w:vAlign w:val="center"/>
            <w:hideMark/>
          </w:tcPr>
          <w:p w14:paraId="1968C628"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2</w:t>
            </w:r>
          </w:p>
        </w:tc>
        <w:tc>
          <w:tcPr>
            <w:tcW w:w="1254" w:type="dxa"/>
            <w:tcBorders>
              <w:top w:val="nil"/>
              <w:left w:val="nil"/>
              <w:bottom w:val="single" w:sz="4" w:space="0" w:color="auto"/>
              <w:right w:val="single" w:sz="4" w:space="0" w:color="auto"/>
            </w:tcBorders>
            <w:shd w:val="clear" w:color="000000" w:fill="FFFFFF"/>
            <w:noWrap/>
            <w:vAlign w:val="center"/>
            <w:hideMark/>
          </w:tcPr>
          <w:p w14:paraId="6386BCDA"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100%</w:t>
            </w:r>
          </w:p>
        </w:tc>
        <w:tc>
          <w:tcPr>
            <w:tcW w:w="897" w:type="dxa"/>
            <w:tcBorders>
              <w:top w:val="nil"/>
              <w:left w:val="nil"/>
              <w:bottom w:val="single" w:sz="4" w:space="0" w:color="auto"/>
              <w:right w:val="single" w:sz="4" w:space="0" w:color="auto"/>
            </w:tcBorders>
            <w:shd w:val="clear" w:color="000000" w:fill="FFFFFF"/>
            <w:noWrap/>
            <w:vAlign w:val="center"/>
            <w:hideMark/>
          </w:tcPr>
          <w:p w14:paraId="4307EC9C"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2</w:t>
            </w:r>
          </w:p>
        </w:tc>
        <w:tc>
          <w:tcPr>
            <w:tcW w:w="897" w:type="dxa"/>
            <w:tcBorders>
              <w:top w:val="nil"/>
              <w:left w:val="nil"/>
              <w:bottom w:val="single" w:sz="4" w:space="0" w:color="auto"/>
              <w:right w:val="single" w:sz="4" w:space="0" w:color="auto"/>
            </w:tcBorders>
            <w:shd w:val="clear" w:color="000000" w:fill="FFFFFF"/>
            <w:noWrap/>
            <w:vAlign w:val="center"/>
            <w:hideMark/>
          </w:tcPr>
          <w:p w14:paraId="220CE85A"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2</w:t>
            </w:r>
          </w:p>
        </w:tc>
        <w:tc>
          <w:tcPr>
            <w:tcW w:w="892" w:type="dxa"/>
            <w:tcBorders>
              <w:top w:val="nil"/>
              <w:left w:val="nil"/>
              <w:bottom w:val="single" w:sz="4" w:space="0" w:color="auto"/>
              <w:right w:val="single" w:sz="4" w:space="0" w:color="auto"/>
            </w:tcBorders>
            <w:shd w:val="clear" w:color="000000" w:fill="FFFFFF"/>
            <w:noWrap/>
            <w:vAlign w:val="center"/>
            <w:hideMark/>
          </w:tcPr>
          <w:p w14:paraId="643A89B4"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100%</w:t>
            </w:r>
          </w:p>
        </w:tc>
        <w:tc>
          <w:tcPr>
            <w:tcW w:w="1063" w:type="dxa"/>
            <w:tcBorders>
              <w:top w:val="nil"/>
              <w:left w:val="nil"/>
              <w:bottom w:val="single" w:sz="4" w:space="0" w:color="auto"/>
              <w:right w:val="single" w:sz="4" w:space="0" w:color="auto"/>
            </w:tcBorders>
            <w:shd w:val="clear" w:color="000000" w:fill="FFFFFF"/>
            <w:noWrap/>
            <w:vAlign w:val="center"/>
            <w:hideMark/>
          </w:tcPr>
          <w:p w14:paraId="34C1A365"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0</w:t>
            </w:r>
          </w:p>
        </w:tc>
        <w:tc>
          <w:tcPr>
            <w:tcW w:w="1063" w:type="dxa"/>
            <w:tcBorders>
              <w:top w:val="nil"/>
              <w:left w:val="nil"/>
              <w:bottom w:val="single" w:sz="4" w:space="0" w:color="auto"/>
              <w:right w:val="single" w:sz="4" w:space="0" w:color="auto"/>
            </w:tcBorders>
            <w:shd w:val="clear" w:color="000000" w:fill="FFFFFF"/>
            <w:noWrap/>
            <w:vAlign w:val="center"/>
            <w:hideMark/>
          </w:tcPr>
          <w:p w14:paraId="03A62DD7"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0</w:t>
            </w:r>
          </w:p>
        </w:tc>
        <w:tc>
          <w:tcPr>
            <w:tcW w:w="1063" w:type="dxa"/>
            <w:tcBorders>
              <w:top w:val="nil"/>
              <w:left w:val="nil"/>
              <w:bottom w:val="single" w:sz="4" w:space="0" w:color="auto"/>
              <w:right w:val="single" w:sz="4" w:space="0" w:color="auto"/>
            </w:tcBorders>
            <w:shd w:val="clear" w:color="000000" w:fill="FFFFFF"/>
            <w:noWrap/>
            <w:vAlign w:val="center"/>
            <w:hideMark/>
          </w:tcPr>
          <w:p w14:paraId="193943E9"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#DIV/0!</w:t>
            </w:r>
          </w:p>
        </w:tc>
      </w:tr>
      <w:tr w:rsidR="00BA0D82" w:rsidRPr="0005691D" w14:paraId="1088E058" w14:textId="77777777" w:rsidTr="001A5653">
        <w:trPr>
          <w:trHeight w:val="300"/>
        </w:trPr>
        <w:tc>
          <w:tcPr>
            <w:tcW w:w="2506" w:type="dxa"/>
            <w:tcBorders>
              <w:top w:val="nil"/>
              <w:left w:val="single" w:sz="4" w:space="0" w:color="auto"/>
              <w:bottom w:val="single" w:sz="4" w:space="0" w:color="auto"/>
              <w:right w:val="single" w:sz="4" w:space="0" w:color="auto"/>
            </w:tcBorders>
            <w:shd w:val="clear" w:color="000000" w:fill="B4C6E7"/>
            <w:noWrap/>
            <w:vAlign w:val="center"/>
            <w:hideMark/>
          </w:tcPr>
          <w:p w14:paraId="1F1EADD9" w14:textId="77777777" w:rsidR="00BA0D82" w:rsidRPr="0005691D" w:rsidRDefault="00BA0D82" w:rsidP="001A5653">
            <w:pPr>
              <w:spacing w:after="0" w:line="240" w:lineRule="auto"/>
              <w:jc w:val="right"/>
              <w:rPr>
                <w:rFonts w:ascii="Calibri" w:eastAsia="Times New Roman" w:hAnsi="Calibri" w:cs="Calibri"/>
                <w:b/>
                <w:bCs/>
                <w:color w:val="000000"/>
              </w:rPr>
            </w:pPr>
            <w:r w:rsidRPr="0005691D">
              <w:rPr>
                <w:rFonts w:ascii="Calibri" w:eastAsia="Times New Roman" w:hAnsi="Calibri" w:cs="Calibri"/>
                <w:b/>
                <w:bCs/>
                <w:color w:val="000000"/>
              </w:rPr>
              <w:t>Common Performance Measures</w:t>
            </w:r>
          </w:p>
        </w:tc>
        <w:tc>
          <w:tcPr>
            <w:tcW w:w="1165" w:type="dxa"/>
            <w:tcBorders>
              <w:top w:val="nil"/>
              <w:left w:val="nil"/>
              <w:bottom w:val="single" w:sz="4" w:space="0" w:color="auto"/>
              <w:right w:val="single" w:sz="4" w:space="0" w:color="auto"/>
            </w:tcBorders>
            <w:shd w:val="clear" w:color="000000" w:fill="D9E2F3"/>
            <w:noWrap/>
            <w:vAlign w:val="center"/>
            <w:hideMark/>
          </w:tcPr>
          <w:p w14:paraId="770028AF"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3</w:t>
            </w:r>
          </w:p>
        </w:tc>
        <w:tc>
          <w:tcPr>
            <w:tcW w:w="1254" w:type="dxa"/>
            <w:tcBorders>
              <w:top w:val="nil"/>
              <w:left w:val="nil"/>
              <w:bottom w:val="single" w:sz="4" w:space="0" w:color="auto"/>
              <w:right w:val="single" w:sz="4" w:space="0" w:color="auto"/>
            </w:tcBorders>
            <w:shd w:val="clear" w:color="000000" w:fill="D9E2F3"/>
            <w:noWrap/>
            <w:vAlign w:val="center"/>
            <w:hideMark/>
          </w:tcPr>
          <w:p w14:paraId="5C25AD05"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50%</w:t>
            </w:r>
          </w:p>
        </w:tc>
        <w:tc>
          <w:tcPr>
            <w:tcW w:w="897" w:type="dxa"/>
            <w:tcBorders>
              <w:top w:val="nil"/>
              <w:left w:val="nil"/>
              <w:bottom w:val="single" w:sz="4" w:space="0" w:color="auto"/>
              <w:right w:val="single" w:sz="4" w:space="0" w:color="auto"/>
            </w:tcBorders>
            <w:shd w:val="clear" w:color="000000" w:fill="D9E2F3"/>
            <w:noWrap/>
            <w:vAlign w:val="center"/>
            <w:hideMark/>
          </w:tcPr>
          <w:p w14:paraId="2C6B84F0"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3</w:t>
            </w:r>
          </w:p>
        </w:tc>
        <w:tc>
          <w:tcPr>
            <w:tcW w:w="897" w:type="dxa"/>
            <w:tcBorders>
              <w:top w:val="nil"/>
              <w:left w:val="nil"/>
              <w:bottom w:val="single" w:sz="4" w:space="0" w:color="auto"/>
              <w:right w:val="single" w:sz="4" w:space="0" w:color="auto"/>
            </w:tcBorders>
            <w:shd w:val="clear" w:color="000000" w:fill="D9E2F3"/>
            <w:noWrap/>
            <w:vAlign w:val="center"/>
            <w:hideMark/>
          </w:tcPr>
          <w:p w14:paraId="33D7C926"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w:t>
            </w:r>
          </w:p>
        </w:tc>
        <w:tc>
          <w:tcPr>
            <w:tcW w:w="892" w:type="dxa"/>
            <w:tcBorders>
              <w:top w:val="nil"/>
              <w:left w:val="nil"/>
              <w:bottom w:val="single" w:sz="4" w:space="0" w:color="auto"/>
              <w:right w:val="single" w:sz="4" w:space="0" w:color="auto"/>
            </w:tcBorders>
            <w:shd w:val="clear" w:color="000000" w:fill="D9E2F3"/>
            <w:noWrap/>
            <w:vAlign w:val="center"/>
            <w:hideMark/>
          </w:tcPr>
          <w:p w14:paraId="784C8819"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33%</w:t>
            </w:r>
          </w:p>
        </w:tc>
        <w:tc>
          <w:tcPr>
            <w:tcW w:w="1063" w:type="dxa"/>
            <w:tcBorders>
              <w:top w:val="nil"/>
              <w:left w:val="nil"/>
              <w:bottom w:val="single" w:sz="4" w:space="0" w:color="auto"/>
              <w:right w:val="single" w:sz="4" w:space="0" w:color="auto"/>
            </w:tcBorders>
            <w:shd w:val="clear" w:color="000000" w:fill="D9E2F3"/>
            <w:noWrap/>
            <w:vAlign w:val="center"/>
            <w:hideMark/>
          </w:tcPr>
          <w:p w14:paraId="2B0E2A5C"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w:t>
            </w:r>
          </w:p>
        </w:tc>
        <w:tc>
          <w:tcPr>
            <w:tcW w:w="1063" w:type="dxa"/>
            <w:tcBorders>
              <w:top w:val="nil"/>
              <w:left w:val="nil"/>
              <w:bottom w:val="single" w:sz="4" w:space="0" w:color="auto"/>
              <w:right w:val="single" w:sz="4" w:space="0" w:color="auto"/>
            </w:tcBorders>
            <w:shd w:val="clear" w:color="000000" w:fill="D9E2F3"/>
            <w:noWrap/>
            <w:vAlign w:val="center"/>
            <w:hideMark/>
          </w:tcPr>
          <w:p w14:paraId="597BC7E3"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0</w:t>
            </w:r>
          </w:p>
        </w:tc>
        <w:tc>
          <w:tcPr>
            <w:tcW w:w="1063" w:type="dxa"/>
            <w:tcBorders>
              <w:top w:val="nil"/>
              <w:left w:val="nil"/>
              <w:bottom w:val="single" w:sz="4" w:space="0" w:color="auto"/>
              <w:right w:val="single" w:sz="4" w:space="0" w:color="auto"/>
            </w:tcBorders>
            <w:shd w:val="clear" w:color="000000" w:fill="D9E2F3"/>
            <w:noWrap/>
            <w:vAlign w:val="center"/>
            <w:hideMark/>
          </w:tcPr>
          <w:p w14:paraId="7CB03FB4"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0%</w:t>
            </w:r>
          </w:p>
        </w:tc>
      </w:tr>
      <w:tr w:rsidR="00BA0D82" w:rsidRPr="0005691D" w14:paraId="7761FC44" w14:textId="77777777" w:rsidTr="001A5653">
        <w:trPr>
          <w:trHeight w:val="300"/>
        </w:trPr>
        <w:tc>
          <w:tcPr>
            <w:tcW w:w="2506" w:type="dxa"/>
            <w:tcBorders>
              <w:top w:val="nil"/>
              <w:left w:val="single" w:sz="4" w:space="0" w:color="auto"/>
              <w:bottom w:val="single" w:sz="4" w:space="0" w:color="auto"/>
              <w:right w:val="single" w:sz="4" w:space="0" w:color="auto"/>
            </w:tcBorders>
            <w:shd w:val="clear" w:color="000000" w:fill="B4C6E7"/>
            <w:noWrap/>
            <w:vAlign w:val="center"/>
            <w:hideMark/>
          </w:tcPr>
          <w:p w14:paraId="6E133E7F" w14:textId="77777777" w:rsidR="00BA0D82" w:rsidRPr="0005691D" w:rsidRDefault="00BA0D82" w:rsidP="001A5653">
            <w:pPr>
              <w:spacing w:after="0" w:line="240" w:lineRule="auto"/>
              <w:jc w:val="right"/>
              <w:rPr>
                <w:rFonts w:ascii="Calibri" w:eastAsia="Times New Roman" w:hAnsi="Calibri" w:cs="Calibri"/>
                <w:b/>
                <w:bCs/>
                <w:color w:val="000000"/>
              </w:rPr>
            </w:pPr>
            <w:r w:rsidRPr="0005691D">
              <w:rPr>
                <w:rFonts w:ascii="Calibri" w:eastAsia="Times New Roman" w:hAnsi="Calibri" w:cs="Calibri"/>
                <w:b/>
                <w:bCs/>
                <w:color w:val="000000"/>
              </w:rPr>
              <w:t>Peer Mentoring</w:t>
            </w:r>
          </w:p>
        </w:tc>
        <w:tc>
          <w:tcPr>
            <w:tcW w:w="1165" w:type="dxa"/>
            <w:tcBorders>
              <w:top w:val="nil"/>
              <w:left w:val="nil"/>
              <w:bottom w:val="single" w:sz="4" w:space="0" w:color="auto"/>
              <w:right w:val="single" w:sz="4" w:space="0" w:color="auto"/>
            </w:tcBorders>
            <w:shd w:val="clear" w:color="000000" w:fill="FFFFFF"/>
            <w:noWrap/>
            <w:vAlign w:val="center"/>
            <w:hideMark/>
          </w:tcPr>
          <w:p w14:paraId="7351869E"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3</w:t>
            </w:r>
          </w:p>
        </w:tc>
        <w:tc>
          <w:tcPr>
            <w:tcW w:w="1254" w:type="dxa"/>
            <w:tcBorders>
              <w:top w:val="nil"/>
              <w:left w:val="nil"/>
              <w:bottom w:val="single" w:sz="4" w:space="0" w:color="auto"/>
              <w:right w:val="single" w:sz="4" w:space="0" w:color="auto"/>
            </w:tcBorders>
            <w:shd w:val="clear" w:color="000000" w:fill="FFFFFF"/>
            <w:noWrap/>
            <w:vAlign w:val="center"/>
            <w:hideMark/>
          </w:tcPr>
          <w:p w14:paraId="19A65E9A"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72%</w:t>
            </w:r>
          </w:p>
        </w:tc>
        <w:tc>
          <w:tcPr>
            <w:tcW w:w="897" w:type="dxa"/>
            <w:tcBorders>
              <w:top w:val="nil"/>
              <w:left w:val="nil"/>
              <w:bottom w:val="single" w:sz="4" w:space="0" w:color="auto"/>
              <w:right w:val="single" w:sz="4" w:space="0" w:color="auto"/>
            </w:tcBorders>
            <w:shd w:val="clear" w:color="000000" w:fill="FFFFFF"/>
            <w:noWrap/>
            <w:vAlign w:val="center"/>
            <w:hideMark/>
          </w:tcPr>
          <w:p w14:paraId="1E87EF85"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3</w:t>
            </w:r>
          </w:p>
        </w:tc>
        <w:tc>
          <w:tcPr>
            <w:tcW w:w="897" w:type="dxa"/>
            <w:tcBorders>
              <w:top w:val="nil"/>
              <w:left w:val="nil"/>
              <w:bottom w:val="single" w:sz="4" w:space="0" w:color="auto"/>
              <w:right w:val="single" w:sz="4" w:space="0" w:color="auto"/>
            </w:tcBorders>
            <w:shd w:val="clear" w:color="000000" w:fill="FFFFFF"/>
            <w:noWrap/>
            <w:vAlign w:val="center"/>
            <w:hideMark/>
          </w:tcPr>
          <w:p w14:paraId="5FFC9649"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w:t>
            </w:r>
          </w:p>
        </w:tc>
        <w:tc>
          <w:tcPr>
            <w:tcW w:w="892" w:type="dxa"/>
            <w:tcBorders>
              <w:top w:val="nil"/>
              <w:left w:val="nil"/>
              <w:bottom w:val="single" w:sz="4" w:space="0" w:color="auto"/>
              <w:right w:val="single" w:sz="4" w:space="0" w:color="auto"/>
            </w:tcBorders>
            <w:shd w:val="clear" w:color="000000" w:fill="FFFFFF"/>
            <w:noWrap/>
            <w:vAlign w:val="center"/>
            <w:hideMark/>
          </w:tcPr>
          <w:p w14:paraId="781E479B"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33%</w:t>
            </w:r>
          </w:p>
        </w:tc>
        <w:tc>
          <w:tcPr>
            <w:tcW w:w="1063" w:type="dxa"/>
            <w:tcBorders>
              <w:top w:val="nil"/>
              <w:left w:val="nil"/>
              <w:bottom w:val="single" w:sz="4" w:space="0" w:color="auto"/>
              <w:right w:val="single" w:sz="4" w:space="0" w:color="auto"/>
            </w:tcBorders>
            <w:shd w:val="clear" w:color="000000" w:fill="FFFFFF"/>
            <w:noWrap/>
            <w:vAlign w:val="center"/>
            <w:hideMark/>
          </w:tcPr>
          <w:p w14:paraId="3CAE0463"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2</w:t>
            </w:r>
          </w:p>
        </w:tc>
        <w:tc>
          <w:tcPr>
            <w:tcW w:w="1063" w:type="dxa"/>
            <w:tcBorders>
              <w:top w:val="nil"/>
              <w:left w:val="nil"/>
              <w:bottom w:val="single" w:sz="4" w:space="0" w:color="auto"/>
              <w:right w:val="single" w:sz="4" w:space="0" w:color="auto"/>
            </w:tcBorders>
            <w:shd w:val="clear" w:color="000000" w:fill="FFFFFF"/>
            <w:noWrap/>
            <w:vAlign w:val="center"/>
            <w:hideMark/>
          </w:tcPr>
          <w:p w14:paraId="7AEB2633"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0</w:t>
            </w:r>
          </w:p>
        </w:tc>
        <w:tc>
          <w:tcPr>
            <w:tcW w:w="1063" w:type="dxa"/>
            <w:tcBorders>
              <w:top w:val="nil"/>
              <w:left w:val="nil"/>
              <w:bottom w:val="single" w:sz="4" w:space="0" w:color="auto"/>
              <w:right w:val="single" w:sz="4" w:space="0" w:color="auto"/>
            </w:tcBorders>
            <w:shd w:val="clear" w:color="000000" w:fill="FFFFFF"/>
            <w:noWrap/>
            <w:vAlign w:val="center"/>
            <w:hideMark/>
          </w:tcPr>
          <w:p w14:paraId="2A25635F"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0%</w:t>
            </w:r>
          </w:p>
        </w:tc>
      </w:tr>
      <w:tr w:rsidR="00BA0D82" w:rsidRPr="0005691D" w14:paraId="671F3941" w14:textId="77777777" w:rsidTr="001A5653">
        <w:trPr>
          <w:trHeight w:val="300"/>
        </w:trPr>
        <w:tc>
          <w:tcPr>
            <w:tcW w:w="2506" w:type="dxa"/>
            <w:tcBorders>
              <w:top w:val="nil"/>
              <w:left w:val="single" w:sz="4" w:space="0" w:color="auto"/>
              <w:bottom w:val="single" w:sz="4" w:space="0" w:color="auto"/>
              <w:right w:val="single" w:sz="4" w:space="0" w:color="auto"/>
            </w:tcBorders>
            <w:shd w:val="clear" w:color="000000" w:fill="B4C6E7"/>
            <w:noWrap/>
            <w:vAlign w:val="center"/>
            <w:hideMark/>
          </w:tcPr>
          <w:p w14:paraId="0517A4DB" w14:textId="77777777" w:rsidR="00BA0D82" w:rsidRPr="0005691D" w:rsidRDefault="00BA0D82" w:rsidP="001A5653">
            <w:pPr>
              <w:spacing w:after="0" w:line="240" w:lineRule="auto"/>
              <w:jc w:val="right"/>
              <w:rPr>
                <w:rFonts w:ascii="Calibri" w:eastAsia="Times New Roman" w:hAnsi="Calibri" w:cs="Calibri"/>
                <w:b/>
                <w:bCs/>
                <w:color w:val="000000"/>
              </w:rPr>
            </w:pPr>
            <w:r w:rsidRPr="0005691D">
              <w:rPr>
                <w:rFonts w:ascii="Calibri" w:eastAsia="Times New Roman" w:hAnsi="Calibri" w:cs="Calibri"/>
                <w:b/>
                <w:bCs/>
                <w:color w:val="000000"/>
              </w:rPr>
              <w:t>Apprenticeships</w:t>
            </w:r>
          </w:p>
        </w:tc>
        <w:tc>
          <w:tcPr>
            <w:tcW w:w="1165" w:type="dxa"/>
            <w:tcBorders>
              <w:top w:val="nil"/>
              <w:left w:val="nil"/>
              <w:bottom w:val="single" w:sz="4" w:space="0" w:color="auto"/>
              <w:right w:val="single" w:sz="4" w:space="0" w:color="auto"/>
            </w:tcBorders>
            <w:shd w:val="clear" w:color="000000" w:fill="D9E2F3"/>
            <w:noWrap/>
            <w:vAlign w:val="center"/>
            <w:hideMark/>
          </w:tcPr>
          <w:p w14:paraId="771C2B9D"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2</w:t>
            </w:r>
          </w:p>
        </w:tc>
        <w:tc>
          <w:tcPr>
            <w:tcW w:w="1254" w:type="dxa"/>
            <w:tcBorders>
              <w:top w:val="nil"/>
              <w:left w:val="nil"/>
              <w:bottom w:val="single" w:sz="4" w:space="0" w:color="auto"/>
              <w:right w:val="single" w:sz="4" w:space="0" w:color="auto"/>
            </w:tcBorders>
            <w:shd w:val="clear" w:color="000000" w:fill="D9E2F3"/>
            <w:noWrap/>
            <w:vAlign w:val="center"/>
            <w:hideMark/>
          </w:tcPr>
          <w:p w14:paraId="0EC21FDF"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88%</w:t>
            </w:r>
          </w:p>
        </w:tc>
        <w:tc>
          <w:tcPr>
            <w:tcW w:w="897" w:type="dxa"/>
            <w:tcBorders>
              <w:top w:val="nil"/>
              <w:left w:val="nil"/>
              <w:bottom w:val="single" w:sz="4" w:space="0" w:color="auto"/>
              <w:right w:val="single" w:sz="4" w:space="0" w:color="auto"/>
            </w:tcBorders>
            <w:shd w:val="clear" w:color="000000" w:fill="D9E2F3"/>
            <w:noWrap/>
            <w:vAlign w:val="center"/>
            <w:hideMark/>
          </w:tcPr>
          <w:p w14:paraId="484D6EF9"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2</w:t>
            </w:r>
          </w:p>
        </w:tc>
        <w:tc>
          <w:tcPr>
            <w:tcW w:w="897" w:type="dxa"/>
            <w:tcBorders>
              <w:top w:val="nil"/>
              <w:left w:val="nil"/>
              <w:bottom w:val="single" w:sz="4" w:space="0" w:color="auto"/>
              <w:right w:val="single" w:sz="4" w:space="0" w:color="auto"/>
            </w:tcBorders>
            <w:shd w:val="clear" w:color="000000" w:fill="D9E2F3"/>
            <w:noWrap/>
            <w:vAlign w:val="center"/>
            <w:hideMark/>
          </w:tcPr>
          <w:p w14:paraId="5DA732CD"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w:t>
            </w:r>
          </w:p>
        </w:tc>
        <w:tc>
          <w:tcPr>
            <w:tcW w:w="892" w:type="dxa"/>
            <w:tcBorders>
              <w:top w:val="nil"/>
              <w:left w:val="nil"/>
              <w:bottom w:val="single" w:sz="4" w:space="0" w:color="auto"/>
              <w:right w:val="single" w:sz="4" w:space="0" w:color="auto"/>
            </w:tcBorders>
            <w:shd w:val="clear" w:color="000000" w:fill="D9E2F3"/>
            <w:noWrap/>
            <w:vAlign w:val="center"/>
            <w:hideMark/>
          </w:tcPr>
          <w:p w14:paraId="7254D556"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50%</w:t>
            </w:r>
          </w:p>
        </w:tc>
        <w:tc>
          <w:tcPr>
            <w:tcW w:w="1063" w:type="dxa"/>
            <w:tcBorders>
              <w:top w:val="nil"/>
              <w:left w:val="nil"/>
              <w:bottom w:val="single" w:sz="4" w:space="0" w:color="auto"/>
              <w:right w:val="single" w:sz="4" w:space="0" w:color="auto"/>
            </w:tcBorders>
            <w:shd w:val="clear" w:color="000000" w:fill="D9E2F3"/>
            <w:noWrap/>
            <w:vAlign w:val="center"/>
            <w:hideMark/>
          </w:tcPr>
          <w:p w14:paraId="3B892F8A"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w:t>
            </w:r>
          </w:p>
        </w:tc>
        <w:tc>
          <w:tcPr>
            <w:tcW w:w="1063" w:type="dxa"/>
            <w:tcBorders>
              <w:top w:val="nil"/>
              <w:left w:val="nil"/>
              <w:bottom w:val="single" w:sz="4" w:space="0" w:color="auto"/>
              <w:right w:val="single" w:sz="4" w:space="0" w:color="auto"/>
            </w:tcBorders>
            <w:shd w:val="clear" w:color="000000" w:fill="D9E2F3"/>
            <w:noWrap/>
            <w:vAlign w:val="center"/>
            <w:hideMark/>
          </w:tcPr>
          <w:p w14:paraId="18F19F2C"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0</w:t>
            </w:r>
          </w:p>
        </w:tc>
        <w:tc>
          <w:tcPr>
            <w:tcW w:w="1063" w:type="dxa"/>
            <w:tcBorders>
              <w:top w:val="nil"/>
              <w:left w:val="nil"/>
              <w:bottom w:val="single" w:sz="4" w:space="0" w:color="auto"/>
              <w:right w:val="single" w:sz="4" w:space="0" w:color="auto"/>
            </w:tcBorders>
            <w:shd w:val="clear" w:color="000000" w:fill="D9E2F3"/>
            <w:noWrap/>
            <w:vAlign w:val="center"/>
            <w:hideMark/>
          </w:tcPr>
          <w:p w14:paraId="08740CE4"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0%</w:t>
            </w:r>
          </w:p>
        </w:tc>
      </w:tr>
      <w:tr w:rsidR="00BA0D82" w:rsidRPr="0005691D" w14:paraId="084E409E" w14:textId="77777777" w:rsidTr="001A5653">
        <w:trPr>
          <w:trHeight w:val="300"/>
        </w:trPr>
        <w:tc>
          <w:tcPr>
            <w:tcW w:w="2506" w:type="dxa"/>
            <w:tcBorders>
              <w:top w:val="nil"/>
              <w:left w:val="nil"/>
              <w:bottom w:val="nil"/>
              <w:right w:val="nil"/>
            </w:tcBorders>
            <w:shd w:val="clear" w:color="auto" w:fill="auto"/>
            <w:noWrap/>
            <w:vAlign w:val="bottom"/>
            <w:hideMark/>
          </w:tcPr>
          <w:p w14:paraId="33E455D2" w14:textId="77777777" w:rsidR="00BA0D82" w:rsidRPr="0005691D" w:rsidRDefault="00BA0D82" w:rsidP="001A5653">
            <w:pPr>
              <w:spacing w:after="0" w:line="240" w:lineRule="auto"/>
              <w:jc w:val="center"/>
              <w:rPr>
                <w:rFonts w:ascii="Calibri" w:eastAsia="Times New Roman" w:hAnsi="Calibri" w:cs="Calibri"/>
                <w:color w:val="000000"/>
              </w:rPr>
            </w:pPr>
          </w:p>
        </w:tc>
        <w:tc>
          <w:tcPr>
            <w:tcW w:w="1165" w:type="dxa"/>
            <w:tcBorders>
              <w:top w:val="nil"/>
              <w:left w:val="nil"/>
              <w:bottom w:val="nil"/>
              <w:right w:val="nil"/>
            </w:tcBorders>
            <w:shd w:val="clear" w:color="auto" w:fill="auto"/>
            <w:noWrap/>
            <w:vAlign w:val="center"/>
            <w:hideMark/>
          </w:tcPr>
          <w:p w14:paraId="59BD1FA5" w14:textId="77777777" w:rsidR="00BA0D82" w:rsidRPr="0005691D" w:rsidRDefault="00BA0D82" w:rsidP="001A5653">
            <w:pPr>
              <w:spacing w:after="0" w:line="240" w:lineRule="auto"/>
              <w:rPr>
                <w:rFonts w:ascii="Times New Roman" w:eastAsia="Times New Roman" w:hAnsi="Times New Roman" w:cs="Times New Roman"/>
                <w:sz w:val="20"/>
                <w:szCs w:val="20"/>
              </w:rPr>
            </w:pPr>
          </w:p>
        </w:tc>
        <w:tc>
          <w:tcPr>
            <w:tcW w:w="1254" w:type="dxa"/>
            <w:tcBorders>
              <w:top w:val="nil"/>
              <w:left w:val="nil"/>
              <w:bottom w:val="nil"/>
              <w:right w:val="nil"/>
            </w:tcBorders>
            <w:shd w:val="clear" w:color="auto" w:fill="auto"/>
            <w:noWrap/>
            <w:vAlign w:val="center"/>
            <w:hideMark/>
          </w:tcPr>
          <w:p w14:paraId="4773EC49"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c>
          <w:tcPr>
            <w:tcW w:w="897" w:type="dxa"/>
            <w:tcBorders>
              <w:top w:val="nil"/>
              <w:left w:val="nil"/>
              <w:bottom w:val="nil"/>
              <w:right w:val="nil"/>
            </w:tcBorders>
            <w:shd w:val="clear" w:color="auto" w:fill="auto"/>
            <w:noWrap/>
            <w:vAlign w:val="center"/>
            <w:hideMark/>
          </w:tcPr>
          <w:p w14:paraId="453C8336"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c>
          <w:tcPr>
            <w:tcW w:w="897" w:type="dxa"/>
            <w:tcBorders>
              <w:top w:val="nil"/>
              <w:left w:val="nil"/>
              <w:bottom w:val="nil"/>
              <w:right w:val="nil"/>
            </w:tcBorders>
            <w:shd w:val="clear" w:color="auto" w:fill="auto"/>
            <w:noWrap/>
            <w:vAlign w:val="center"/>
            <w:hideMark/>
          </w:tcPr>
          <w:p w14:paraId="3D828E87"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c>
          <w:tcPr>
            <w:tcW w:w="892" w:type="dxa"/>
            <w:tcBorders>
              <w:top w:val="nil"/>
              <w:left w:val="nil"/>
              <w:bottom w:val="nil"/>
              <w:right w:val="nil"/>
            </w:tcBorders>
            <w:shd w:val="clear" w:color="auto" w:fill="auto"/>
            <w:noWrap/>
            <w:vAlign w:val="center"/>
            <w:hideMark/>
          </w:tcPr>
          <w:p w14:paraId="54A297B3"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c>
          <w:tcPr>
            <w:tcW w:w="1063" w:type="dxa"/>
            <w:tcBorders>
              <w:top w:val="nil"/>
              <w:left w:val="nil"/>
              <w:bottom w:val="nil"/>
              <w:right w:val="nil"/>
            </w:tcBorders>
            <w:shd w:val="clear" w:color="auto" w:fill="auto"/>
            <w:noWrap/>
            <w:vAlign w:val="center"/>
            <w:hideMark/>
          </w:tcPr>
          <w:p w14:paraId="7CA292E1"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c>
          <w:tcPr>
            <w:tcW w:w="1063" w:type="dxa"/>
            <w:tcBorders>
              <w:top w:val="nil"/>
              <w:left w:val="nil"/>
              <w:bottom w:val="nil"/>
              <w:right w:val="nil"/>
            </w:tcBorders>
            <w:shd w:val="clear" w:color="auto" w:fill="auto"/>
            <w:noWrap/>
            <w:vAlign w:val="center"/>
            <w:hideMark/>
          </w:tcPr>
          <w:p w14:paraId="03E9AE50"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c>
          <w:tcPr>
            <w:tcW w:w="1063" w:type="dxa"/>
            <w:tcBorders>
              <w:top w:val="nil"/>
              <w:left w:val="nil"/>
              <w:bottom w:val="nil"/>
              <w:right w:val="nil"/>
            </w:tcBorders>
            <w:shd w:val="clear" w:color="auto" w:fill="auto"/>
            <w:noWrap/>
            <w:vAlign w:val="center"/>
            <w:hideMark/>
          </w:tcPr>
          <w:p w14:paraId="36D0EE2F"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r>
      <w:tr w:rsidR="00BA0D82" w:rsidRPr="0005691D" w14:paraId="688380FA" w14:textId="77777777" w:rsidTr="001A5653">
        <w:trPr>
          <w:trHeight w:val="465"/>
        </w:trPr>
        <w:tc>
          <w:tcPr>
            <w:tcW w:w="10800" w:type="dxa"/>
            <w:gridSpan w:val="9"/>
            <w:tcBorders>
              <w:top w:val="single" w:sz="4" w:space="0" w:color="auto"/>
              <w:left w:val="nil"/>
              <w:bottom w:val="single" w:sz="4" w:space="0" w:color="auto"/>
              <w:right w:val="nil"/>
            </w:tcBorders>
            <w:shd w:val="clear" w:color="auto" w:fill="auto"/>
            <w:noWrap/>
            <w:vAlign w:val="bottom"/>
            <w:hideMark/>
          </w:tcPr>
          <w:p w14:paraId="3D11A213" w14:textId="77777777" w:rsidR="00BA0D82" w:rsidRPr="0005691D" w:rsidRDefault="00BA0D82" w:rsidP="00BA0D82">
            <w:pPr>
              <w:pStyle w:val="Heading2"/>
              <w:numPr>
                <w:ilvl w:val="0"/>
                <w:numId w:val="0"/>
              </w:numPr>
              <w:rPr>
                <w:rFonts w:eastAsia="Times New Roman"/>
              </w:rPr>
            </w:pPr>
            <w:bookmarkStart w:id="229" w:name="_Toc27143204"/>
            <w:bookmarkStart w:id="230" w:name="_Toc28011503"/>
            <w:r w:rsidRPr="0005691D">
              <w:rPr>
                <w:rFonts w:eastAsia="Times New Roman"/>
              </w:rPr>
              <w:t>Maryland Combined</w:t>
            </w:r>
            <w:bookmarkEnd w:id="229"/>
            <w:bookmarkEnd w:id="230"/>
          </w:p>
        </w:tc>
      </w:tr>
      <w:tr w:rsidR="00BA0D82" w:rsidRPr="0005691D" w14:paraId="7182C8CD" w14:textId="77777777" w:rsidTr="001A5653">
        <w:trPr>
          <w:trHeight w:val="1305"/>
        </w:trPr>
        <w:tc>
          <w:tcPr>
            <w:tcW w:w="2506" w:type="dxa"/>
            <w:tcBorders>
              <w:top w:val="nil"/>
              <w:left w:val="single" w:sz="4" w:space="0" w:color="auto"/>
              <w:bottom w:val="single" w:sz="4" w:space="0" w:color="auto"/>
              <w:right w:val="single" w:sz="4" w:space="0" w:color="auto"/>
            </w:tcBorders>
            <w:shd w:val="clear" w:color="000000" w:fill="B4C6E7"/>
            <w:vAlign w:val="bottom"/>
            <w:hideMark/>
          </w:tcPr>
          <w:p w14:paraId="17F7DB01" w14:textId="77777777" w:rsidR="00BA0D82" w:rsidRPr="0005691D" w:rsidRDefault="00BA0D82" w:rsidP="001A5653">
            <w:pPr>
              <w:spacing w:after="0" w:line="240" w:lineRule="auto"/>
              <w:jc w:val="right"/>
              <w:rPr>
                <w:rFonts w:ascii="Calibri" w:eastAsia="Times New Roman" w:hAnsi="Calibri" w:cs="Calibri"/>
                <w:b/>
                <w:bCs/>
                <w:color w:val="000000"/>
                <w:szCs w:val="28"/>
              </w:rPr>
            </w:pPr>
            <w:r w:rsidRPr="0005691D">
              <w:rPr>
                <w:rFonts w:ascii="Calibri" w:eastAsia="Times New Roman" w:hAnsi="Calibri" w:cs="Calibri"/>
                <w:b/>
                <w:bCs/>
                <w:color w:val="000000"/>
                <w:szCs w:val="28"/>
              </w:rPr>
              <w:t>Area</w:t>
            </w:r>
          </w:p>
        </w:tc>
        <w:tc>
          <w:tcPr>
            <w:tcW w:w="1165" w:type="dxa"/>
            <w:tcBorders>
              <w:top w:val="nil"/>
              <w:left w:val="nil"/>
              <w:bottom w:val="single" w:sz="4" w:space="0" w:color="auto"/>
              <w:right w:val="single" w:sz="4" w:space="0" w:color="auto"/>
            </w:tcBorders>
            <w:shd w:val="clear" w:color="000000" w:fill="B4C6E7"/>
            <w:vAlign w:val="bottom"/>
            <w:hideMark/>
          </w:tcPr>
          <w:p w14:paraId="1A996339"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of Total Activities</w:t>
            </w:r>
          </w:p>
        </w:tc>
        <w:tc>
          <w:tcPr>
            <w:tcW w:w="1254" w:type="dxa"/>
            <w:tcBorders>
              <w:top w:val="nil"/>
              <w:left w:val="nil"/>
              <w:bottom w:val="single" w:sz="4" w:space="0" w:color="auto"/>
              <w:right w:val="single" w:sz="4" w:space="0" w:color="auto"/>
            </w:tcBorders>
            <w:shd w:val="clear" w:color="000000" w:fill="B4C6E7"/>
            <w:vAlign w:val="bottom"/>
            <w:hideMark/>
          </w:tcPr>
          <w:p w14:paraId="09803B7B"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Average Progress on Activities (%)</w:t>
            </w:r>
          </w:p>
        </w:tc>
        <w:tc>
          <w:tcPr>
            <w:tcW w:w="897" w:type="dxa"/>
            <w:tcBorders>
              <w:top w:val="nil"/>
              <w:left w:val="nil"/>
              <w:bottom w:val="single" w:sz="4" w:space="0" w:color="auto"/>
              <w:right w:val="single" w:sz="4" w:space="0" w:color="auto"/>
            </w:tcBorders>
            <w:shd w:val="clear" w:color="000000" w:fill="B4C6E7"/>
            <w:vAlign w:val="bottom"/>
            <w:hideMark/>
          </w:tcPr>
          <w:p w14:paraId="177692E3"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Outputs</w:t>
            </w:r>
          </w:p>
        </w:tc>
        <w:tc>
          <w:tcPr>
            <w:tcW w:w="897" w:type="dxa"/>
            <w:tcBorders>
              <w:top w:val="nil"/>
              <w:left w:val="nil"/>
              <w:bottom w:val="single" w:sz="4" w:space="0" w:color="auto"/>
              <w:right w:val="single" w:sz="4" w:space="0" w:color="auto"/>
            </w:tcBorders>
            <w:shd w:val="clear" w:color="000000" w:fill="B4C6E7"/>
            <w:vAlign w:val="bottom"/>
            <w:hideMark/>
          </w:tcPr>
          <w:p w14:paraId="3AEDC098"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Outputs Met</w:t>
            </w:r>
          </w:p>
        </w:tc>
        <w:tc>
          <w:tcPr>
            <w:tcW w:w="892" w:type="dxa"/>
            <w:tcBorders>
              <w:top w:val="nil"/>
              <w:left w:val="nil"/>
              <w:bottom w:val="single" w:sz="4" w:space="0" w:color="auto"/>
              <w:right w:val="single" w:sz="4" w:space="0" w:color="auto"/>
            </w:tcBorders>
            <w:shd w:val="clear" w:color="000000" w:fill="B4C6E7"/>
            <w:vAlign w:val="bottom"/>
            <w:hideMark/>
          </w:tcPr>
          <w:p w14:paraId="4E024E8D"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Outputs Met</w:t>
            </w:r>
          </w:p>
        </w:tc>
        <w:tc>
          <w:tcPr>
            <w:tcW w:w="1063" w:type="dxa"/>
            <w:tcBorders>
              <w:top w:val="nil"/>
              <w:left w:val="nil"/>
              <w:bottom w:val="single" w:sz="4" w:space="0" w:color="auto"/>
              <w:right w:val="single" w:sz="4" w:space="0" w:color="auto"/>
            </w:tcBorders>
            <w:shd w:val="clear" w:color="000000" w:fill="B4C6E7"/>
            <w:vAlign w:val="bottom"/>
            <w:hideMark/>
          </w:tcPr>
          <w:p w14:paraId="498C4E10"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Short-Term Outcomes</w:t>
            </w:r>
          </w:p>
        </w:tc>
        <w:tc>
          <w:tcPr>
            <w:tcW w:w="1063" w:type="dxa"/>
            <w:tcBorders>
              <w:top w:val="nil"/>
              <w:left w:val="nil"/>
              <w:bottom w:val="single" w:sz="4" w:space="0" w:color="auto"/>
              <w:right w:val="single" w:sz="4" w:space="0" w:color="auto"/>
            </w:tcBorders>
            <w:shd w:val="clear" w:color="000000" w:fill="B4C6E7"/>
            <w:vAlign w:val="bottom"/>
            <w:hideMark/>
          </w:tcPr>
          <w:p w14:paraId="269BA9A9"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Short-Term Outcomes Met</w:t>
            </w:r>
          </w:p>
        </w:tc>
        <w:tc>
          <w:tcPr>
            <w:tcW w:w="1063" w:type="dxa"/>
            <w:tcBorders>
              <w:top w:val="nil"/>
              <w:left w:val="nil"/>
              <w:bottom w:val="single" w:sz="4" w:space="0" w:color="auto"/>
              <w:right w:val="single" w:sz="4" w:space="0" w:color="auto"/>
            </w:tcBorders>
            <w:shd w:val="clear" w:color="000000" w:fill="B4C6E7"/>
            <w:vAlign w:val="bottom"/>
            <w:hideMark/>
          </w:tcPr>
          <w:p w14:paraId="3CC876CF"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%Short-Term Outcomes Achieved</w:t>
            </w:r>
          </w:p>
        </w:tc>
      </w:tr>
      <w:tr w:rsidR="00BA0D82" w:rsidRPr="0005691D" w14:paraId="5A84E820" w14:textId="77777777" w:rsidTr="001A5653">
        <w:trPr>
          <w:trHeight w:val="300"/>
        </w:trPr>
        <w:tc>
          <w:tcPr>
            <w:tcW w:w="2506" w:type="dxa"/>
            <w:tcBorders>
              <w:top w:val="nil"/>
              <w:left w:val="single" w:sz="4" w:space="0" w:color="auto"/>
              <w:bottom w:val="single" w:sz="4" w:space="0" w:color="auto"/>
              <w:right w:val="single" w:sz="4" w:space="0" w:color="auto"/>
            </w:tcBorders>
            <w:shd w:val="clear" w:color="000000" w:fill="B4C6E7"/>
            <w:noWrap/>
            <w:vAlign w:val="center"/>
            <w:hideMark/>
          </w:tcPr>
          <w:p w14:paraId="415E4600" w14:textId="77777777" w:rsidR="00BA0D82" w:rsidRPr="0005691D" w:rsidRDefault="00BA0D82" w:rsidP="001A5653">
            <w:pPr>
              <w:spacing w:after="0" w:line="240" w:lineRule="auto"/>
              <w:jc w:val="right"/>
              <w:rPr>
                <w:rFonts w:ascii="Calibri" w:eastAsia="Times New Roman" w:hAnsi="Calibri" w:cs="Calibri"/>
                <w:b/>
                <w:bCs/>
                <w:color w:val="000000"/>
              </w:rPr>
            </w:pPr>
            <w:r w:rsidRPr="0005691D">
              <w:rPr>
                <w:rFonts w:ascii="Calibri" w:eastAsia="Times New Roman" w:hAnsi="Calibri" w:cs="Calibri"/>
                <w:b/>
                <w:bCs/>
                <w:color w:val="000000"/>
              </w:rPr>
              <w:t>Pre-ETS</w:t>
            </w:r>
          </w:p>
        </w:tc>
        <w:tc>
          <w:tcPr>
            <w:tcW w:w="1165" w:type="dxa"/>
            <w:tcBorders>
              <w:top w:val="nil"/>
              <w:left w:val="nil"/>
              <w:bottom w:val="single" w:sz="4" w:space="0" w:color="auto"/>
              <w:right w:val="single" w:sz="4" w:space="0" w:color="auto"/>
            </w:tcBorders>
            <w:shd w:val="clear" w:color="000000" w:fill="FFFFFF"/>
            <w:noWrap/>
            <w:vAlign w:val="center"/>
            <w:hideMark/>
          </w:tcPr>
          <w:p w14:paraId="58B04CA2"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7</w:t>
            </w:r>
          </w:p>
        </w:tc>
        <w:tc>
          <w:tcPr>
            <w:tcW w:w="1254" w:type="dxa"/>
            <w:tcBorders>
              <w:top w:val="nil"/>
              <w:left w:val="nil"/>
              <w:bottom w:val="single" w:sz="4" w:space="0" w:color="auto"/>
              <w:right w:val="single" w:sz="4" w:space="0" w:color="auto"/>
            </w:tcBorders>
            <w:shd w:val="clear" w:color="000000" w:fill="FFFFFF"/>
            <w:noWrap/>
            <w:vAlign w:val="center"/>
            <w:hideMark/>
          </w:tcPr>
          <w:p w14:paraId="7E78CC7F"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100%</w:t>
            </w:r>
          </w:p>
        </w:tc>
        <w:tc>
          <w:tcPr>
            <w:tcW w:w="897" w:type="dxa"/>
            <w:tcBorders>
              <w:top w:val="nil"/>
              <w:left w:val="nil"/>
              <w:bottom w:val="single" w:sz="4" w:space="0" w:color="auto"/>
              <w:right w:val="single" w:sz="4" w:space="0" w:color="auto"/>
            </w:tcBorders>
            <w:shd w:val="clear" w:color="000000" w:fill="FFFFFF"/>
            <w:noWrap/>
            <w:vAlign w:val="center"/>
            <w:hideMark/>
          </w:tcPr>
          <w:p w14:paraId="7B4A28AE"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7</w:t>
            </w:r>
          </w:p>
        </w:tc>
        <w:tc>
          <w:tcPr>
            <w:tcW w:w="897" w:type="dxa"/>
            <w:tcBorders>
              <w:top w:val="nil"/>
              <w:left w:val="nil"/>
              <w:bottom w:val="single" w:sz="4" w:space="0" w:color="auto"/>
              <w:right w:val="single" w:sz="4" w:space="0" w:color="auto"/>
            </w:tcBorders>
            <w:shd w:val="clear" w:color="000000" w:fill="FFFFFF"/>
            <w:noWrap/>
            <w:vAlign w:val="center"/>
            <w:hideMark/>
          </w:tcPr>
          <w:p w14:paraId="6707A7D9"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7</w:t>
            </w:r>
          </w:p>
        </w:tc>
        <w:tc>
          <w:tcPr>
            <w:tcW w:w="892" w:type="dxa"/>
            <w:tcBorders>
              <w:top w:val="nil"/>
              <w:left w:val="nil"/>
              <w:bottom w:val="single" w:sz="4" w:space="0" w:color="auto"/>
              <w:right w:val="single" w:sz="4" w:space="0" w:color="auto"/>
            </w:tcBorders>
            <w:shd w:val="clear" w:color="000000" w:fill="FFFFFF"/>
            <w:noWrap/>
            <w:vAlign w:val="center"/>
            <w:hideMark/>
          </w:tcPr>
          <w:p w14:paraId="2BBF2DCA"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100%</w:t>
            </w:r>
          </w:p>
        </w:tc>
        <w:tc>
          <w:tcPr>
            <w:tcW w:w="1063" w:type="dxa"/>
            <w:tcBorders>
              <w:top w:val="nil"/>
              <w:left w:val="nil"/>
              <w:bottom w:val="single" w:sz="4" w:space="0" w:color="auto"/>
              <w:right w:val="single" w:sz="4" w:space="0" w:color="auto"/>
            </w:tcBorders>
            <w:shd w:val="clear" w:color="000000" w:fill="FFFFFF"/>
            <w:noWrap/>
            <w:vAlign w:val="center"/>
            <w:hideMark/>
          </w:tcPr>
          <w:p w14:paraId="604C5ED2"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3</w:t>
            </w:r>
          </w:p>
        </w:tc>
        <w:tc>
          <w:tcPr>
            <w:tcW w:w="1063" w:type="dxa"/>
            <w:tcBorders>
              <w:top w:val="nil"/>
              <w:left w:val="nil"/>
              <w:bottom w:val="single" w:sz="4" w:space="0" w:color="auto"/>
              <w:right w:val="single" w:sz="4" w:space="0" w:color="auto"/>
            </w:tcBorders>
            <w:shd w:val="clear" w:color="000000" w:fill="FFFFFF"/>
            <w:noWrap/>
            <w:vAlign w:val="center"/>
            <w:hideMark/>
          </w:tcPr>
          <w:p w14:paraId="6CDE8038"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3</w:t>
            </w:r>
          </w:p>
        </w:tc>
        <w:tc>
          <w:tcPr>
            <w:tcW w:w="1063" w:type="dxa"/>
            <w:tcBorders>
              <w:top w:val="nil"/>
              <w:left w:val="nil"/>
              <w:bottom w:val="single" w:sz="4" w:space="0" w:color="auto"/>
              <w:right w:val="single" w:sz="4" w:space="0" w:color="auto"/>
            </w:tcBorders>
            <w:shd w:val="clear" w:color="000000" w:fill="FFFFFF"/>
            <w:noWrap/>
            <w:vAlign w:val="center"/>
            <w:hideMark/>
          </w:tcPr>
          <w:p w14:paraId="2EE9CDB2"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100%</w:t>
            </w:r>
          </w:p>
        </w:tc>
      </w:tr>
      <w:tr w:rsidR="00BA0D82" w:rsidRPr="0005691D" w14:paraId="60BB0FD4" w14:textId="77777777" w:rsidTr="001A5653">
        <w:trPr>
          <w:trHeight w:val="300"/>
        </w:trPr>
        <w:tc>
          <w:tcPr>
            <w:tcW w:w="2506" w:type="dxa"/>
            <w:tcBorders>
              <w:top w:val="nil"/>
              <w:left w:val="nil"/>
              <w:bottom w:val="nil"/>
              <w:right w:val="nil"/>
            </w:tcBorders>
            <w:shd w:val="clear" w:color="auto" w:fill="auto"/>
            <w:noWrap/>
            <w:vAlign w:val="bottom"/>
            <w:hideMark/>
          </w:tcPr>
          <w:p w14:paraId="37C9F1E3" w14:textId="77777777" w:rsidR="00BA0D82" w:rsidRPr="0005691D" w:rsidRDefault="00BA0D82" w:rsidP="001A5653">
            <w:pPr>
              <w:spacing w:after="0" w:line="240" w:lineRule="auto"/>
              <w:jc w:val="center"/>
              <w:rPr>
                <w:rFonts w:ascii="Calibri" w:eastAsia="Times New Roman" w:hAnsi="Calibri" w:cs="Calibri"/>
                <w:color w:val="000000"/>
              </w:rPr>
            </w:pPr>
          </w:p>
        </w:tc>
        <w:tc>
          <w:tcPr>
            <w:tcW w:w="1165" w:type="dxa"/>
            <w:tcBorders>
              <w:top w:val="nil"/>
              <w:left w:val="nil"/>
              <w:bottom w:val="nil"/>
              <w:right w:val="nil"/>
            </w:tcBorders>
            <w:shd w:val="clear" w:color="auto" w:fill="auto"/>
            <w:noWrap/>
            <w:vAlign w:val="center"/>
            <w:hideMark/>
          </w:tcPr>
          <w:p w14:paraId="59515845" w14:textId="77777777" w:rsidR="00BA0D82" w:rsidRPr="0005691D" w:rsidRDefault="00BA0D82" w:rsidP="001A5653">
            <w:pPr>
              <w:spacing w:after="0" w:line="240" w:lineRule="auto"/>
              <w:rPr>
                <w:rFonts w:ascii="Times New Roman" w:eastAsia="Times New Roman" w:hAnsi="Times New Roman" w:cs="Times New Roman"/>
                <w:sz w:val="20"/>
                <w:szCs w:val="20"/>
              </w:rPr>
            </w:pPr>
          </w:p>
        </w:tc>
        <w:tc>
          <w:tcPr>
            <w:tcW w:w="1254" w:type="dxa"/>
            <w:tcBorders>
              <w:top w:val="nil"/>
              <w:left w:val="nil"/>
              <w:bottom w:val="nil"/>
              <w:right w:val="nil"/>
            </w:tcBorders>
            <w:shd w:val="clear" w:color="auto" w:fill="auto"/>
            <w:noWrap/>
            <w:vAlign w:val="center"/>
            <w:hideMark/>
          </w:tcPr>
          <w:p w14:paraId="20B441DC"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c>
          <w:tcPr>
            <w:tcW w:w="897" w:type="dxa"/>
            <w:tcBorders>
              <w:top w:val="nil"/>
              <w:left w:val="nil"/>
              <w:bottom w:val="nil"/>
              <w:right w:val="nil"/>
            </w:tcBorders>
            <w:shd w:val="clear" w:color="auto" w:fill="auto"/>
            <w:noWrap/>
            <w:vAlign w:val="center"/>
            <w:hideMark/>
          </w:tcPr>
          <w:p w14:paraId="3E4F52E3"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c>
          <w:tcPr>
            <w:tcW w:w="897" w:type="dxa"/>
            <w:tcBorders>
              <w:top w:val="nil"/>
              <w:left w:val="nil"/>
              <w:bottom w:val="nil"/>
              <w:right w:val="nil"/>
            </w:tcBorders>
            <w:shd w:val="clear" w:color="auto" w:fill="auto"/>
            <w:noWrap/>
            <w:vAlign w:val="center"/>
            <w:hideMark/>
          </w:tcPr>
          <w:p w14:paraId="042BB0A0"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c>
          <w:tcPr>
            <w:tcW w:w="892" w:type="dxa"/>
            <w:tcBorders>
              <w:top w:val="nil"/>
              <w:left w:val="nil"/>
              <w:bottom w:val="nil"/>
              <w:right w:val="nil"/>
            </w:tcBorders>
            <w:shd w:val="clear" w:color="auto" w:fill="auto"/>
            <w:noWrap/>
            <w:vAlign w:val="center"/>
            <w:hideMark/>
          </w:tcPr>
          <w:p w14:paraId="1B239BA8"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c>
          <w:tcPr>
            <w:tcW w:w="1063" w:type="dxa"/>
            <w:tcBorders>
              <w:top w:val="nil"/>
              <w:left w:val="nil"/>
              <w:bottom w:val="nil"/>
              <w:right w:val="nil"/>
            </w:tcBorders>
            <w:shd w:val="clear" w:color="auto" w:fill="auto"/>
            <w:noWrap/>
            <w:vAlign w:val="center"/>
            <w:hideMark/>
          </w:tcPr>
          <w:p w14:paraId="401731FB"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c>
          <w:tcPr>
            <w:tcW w:w="1063" w:type="dxa"/>
            <w:tcBorders>
              <w:top w:val="nil"/>
              <w:left w:val="nil"/>
              <w:bottom w:val="nil"/>
              <w:right w:val="nil"/>
            </w:tcBorders>
            <w:shd w:val="clear" w:color="auto" w:fill="auto"/>
            <w:noWrap/>
            <w:vAlign w:val="center"/>
            <w:hideMark/>
          </w:tcPr>
          <w:p w14:paraId="54E53BA1"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c>
          <w:tcPr>
            <w:tcW w:w="1063" w:type="dxa"/>
            <w:tcBorders>
              <w:top w:val="nil"/>
              <w:left w:val="nil"/>
              <w:bottom w:val="nil"/>
              <w:right w:val="nil"/>
            </w:tcBorders>
            <w:shd w:val="clear" w:color="auto" w:fill="auto"/>
            <w:noWrap/>
            <w:vAlign w:val="center"/>
            <w:hideMark/>
          </w:tcPr>
          <w:p w14:paraId="792D7A55"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r>
      <w:tr w:rsidR="00BA0D82" w:rsidRPr="0005691D" w14:paraId="5B43E823" w14:textId="77777777" w:rsidTr="001A5653">
        <w:trPr>
          <w:trHeight w:val="465"/>
        </w:trPr>
        <w:tc>
          <w:tcPr>
            <w:tcW w:w="10800" w:type="dxa"/>
            <w:gridSpan w:val="9"/>
            <w:tcBorders>
              <w:top w:val="single" w:sz="4" w:space="0" w:color="auto"/>
              <w:left w:val="nil"/>
              <w:bottom w:val="single" w:sz="4" w:space="0" w:color="auto"/>
              <w:right w:val="nil"/>
            </w:tcBorders>
            <w:shd w:val="clear" w:color="auto" w:fill="auto"/>
            <w:noWrap/>
            <w:vAlign w:val="bottom"/>
            <w:hideMark/>
          </w:tcPr>
          <w:p w14:paraId="035B2916" w14:textId="77777777" w:rsidR="00BA0D82" w:rsidRPr="0005691D" w:rsidRDefault="00BA0D82" w:rsidP="00BA0D82">
            <w:pPr>
              <w:pStyle w:val="Heading2"/>
              <w:numPr>
                <w:ilvl w:val="0"/>
                <w:numId w:val="0"/>
              </w:numPr>
              <w:rPr>
                <w:rFonts w:eastAsia="Times New Roman"/>
              </w:rPr>
            </w:pPr>
            <w:bookmarkStart w:id="231" w:name="_Toc27143205"/>
            <w:bookmarkStart w:id="232" w:name="_Toc28011504"/>
            <w:r w:rsidRPr="0005691D">
              <w:rPr>
                <w:rFonts w:eastAsia="Times New Roman"/>
              </w:rPr>
              <w:lastRenderedPageBreak/>
              <w:t>Massachusetts General</w:t>
            </w:r>
            <w:bookmarkEnd w:id="231"/>
            <w:bookmarkEnd w:id="232"/>
          </w:p>
        </w:tc>
      </w:tr>
      <w:tr w:rsidR="00BA0D82" w:rsidRPr="0005691D" w14:paraId="2D6DF15C" w14:textId="77777777" w:rsidTr="001A5653">
        <w:trPr>
          <w:trHeight w:val="1305"/>
        </w:trPr>
        <w:tc>
          <w:tcPr>
            <w:tcW w:w="2506" w:type="dxa"/>
            <w:tcBorders>
              <w:top w:val="nil"/>
              <w:left w:val="single" w:sz="4" w:space="0" w:color="auto"/>
              <w:bottom w:val="single" w:sz="4" w:space="0" w:color="auto"/>
              <w:right w:val="single" w:sz="4" w:space="0" w:color="auto"/>
            </w:tcBorders>
            <w:shd w:val="clear" w:color="000000" w:fill="B4C6E7"/>
            <w:vAlign w:val="bottom"/>
            <w:hideMark/>
          </w:tcPr>
          <w:p w14:paraId="572D7AED" w14:textId="77777777" w:rsidR="00BA0D82" w:rsidRPr="0005691D" w:rsidRDefault="00BA0D82" w:rsidP="001A5653">
            <w:pPr>
              <w:spacing w:after="0" w:line="240" w:lineRule="auto"/>
              <w:jc w:val="right"/>
              <w:rPr>
                <w:rFonts w:ascii="Calibri" w:eastAsia="Times New Roman" w:hAnsi="Calibri" w:cs="Calibri"/>
                <w:b/>
                <w:bCs/>
                <w:color w:val="000000"/>
                <w:szCs w:val="28"/>
              </w:rPr>
            </w:pPr>
            <w:r w:rsidRPr="0005691D">
              <w:rPr>
                <w:rFonts w:ascii="Calibri" w:eastAsia="Times New Roman" w:hAnsi="Calibri" w:cs="Calibri"/>
                <w:b/>
                <w:bCs/>
                <w:color w:val="000000"/>
                <w:szCs w:val="28"/>
              </w:rPr>
              <w:t>Area</w:t>
            </w:r>
          </w:p>
        </w:tc>
        <w:tc>
          <w:tcPr>
            <w:tcW w:w="1165" w:type="dxa"/>
            <w:tcBorders>
              <w:top w:val="nil"/>
              <w:left w:val="nil"/>
              <w:bottom w:val="single" w:sz="4" w:space="0" w:color="auto"/>
              <w:right w:val="single" w:sz="4" w:space="0" w:color="auto"/>
            </w:tcBorders>
            <w:shd w:val="clear" w:color="000000" w:fill="B4C6E7"/>
            <w:vAlign w:val="bottom"/>
            <w:hideMark/>
          </w:tcPr>
          <w:p w14:paraId="06D1CBBD"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of Total Activities</w:t>
            </w:r>
          </w:p>
        </w:tc>
        <w:tc>
          <w:tcPr>
            <w:tcW w:w="1254" w:type="dxa"/>
            <w:tcBorders>
              <w:top w:val="nil"/>
              <w:left w:val="nil"/>
              <w:bottom w:val="single" w:sz="4" w:space="0" w:color="auto"/>
              <w:right w:val="single" w:sz="4" w:space="0" w:color="auto"/>
            </w:tcBorders>
            <w:shd w:val="clear" w:color="000000" w:fill="B4C6E7"/>
            <w:vAlign w:val="bottom"/>
            <w:hideMark/>
          </w:tcPr>
          <w:p w14:paraId="3981CBE1"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Average Progress on Activities (%)</w:t>
            </w:r>
          </w:p>
        </w:tc>
        <w:tc>
          <w:tcPr>
            <w:tcW w:w="897" w:type="dxa"/>
            <w:tcBorders>
              <w:top w:val="nil"/>
              <w:left w:val="nil"/>
              <w:bottom w:val="single" w:sz="4" w:space="0" w:color="auto"/>
              <w:right w:val="single" w:sz="4" w:space="0" w:color="auto"/>
            </w:tcBorders>
            <w:shd w:val="clear" w:color="000000" w:fill="B4C6E7"/>
            <w:vAlign w:val="bottom"/>
            <w:hideMark/>
          </w:tcPr>
          <w:p w14:paraId="437755BF"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Outputs</w:t>
            </w:r>
          </w:p>
        </w:tc>
        <w:tc>
          <w:tcPr>
            <w:tcW w:w="897" w:type="dxa"/>
            <w:tcBorders>
              <w:top w:val="nil"/>
              <w:left w:val="nil"/>
              <w:bottom w:val="single" w:sz="4" w:space="0" w:color="auto"/>
              <w:right w:val="single" w:sz="4" w:space="0" w:color="auto"/>
            </w:tcBorders>
            <w:shd w:val="clear" w:color="000000" w:fill="B4C6E7"/>
            <w:vAlign w:val="bottom"/>
            <w:hideMark/>
          </w:tcPr>
          <w:p w14:paraId="54216683"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Outputs Met</w:t>
            </w:r>
          </w:p>
        </w:tc>
        <w:tc>
          <w:tcPr>
            <w:tcW w:w="892" w:type="dxa"/>
            <w:tcBorders>
              <w:top w:val="nil"/>
              <w:left w:val="nil"/>
              <w:bottom w:val="single" w:sz="4" w:space="0" w:color="auto"/>
              <w:right w:val="single" w:sz="4" w:space="0" w:color="auto"/>
            </w:tcBorders>
            <w:shd w:val="clear" w:color="000000" w:fill="B4C6E7"/>
            <w:vAlign w:val="bottom"/>
            <w:hideMark/>
          </w:tcPr>
          <w:p w14:paraId="20669F89"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Outputs Met</w:t>
            </w:r>
          </w:p>
        </w:tc>
        <w:tc>
          <w:tcPr>
            <w:tcW w:w="1063" w:type="dxa"/>
            <w:tcBorders>
              <w:top w:val="nil"/>
              <w:left w:val="nil"/>
              <w:bottom w:val="single" w:sz="4" w:space="0" w:color="auto"/>
              <w:right w:val="single" w:sz="4" w:space="0" w:color="auto"/>
            </w:tcBorders>
            <w:shd w:val="clear" w:color="000000" w:fill="B4C6E7"/>
            <w:vAlign w:val="bottom"/>
            <w:hideMark/>
          </w:tcPr>
          <w:p w14:paraId="1C030C7C"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Short-Term Outcomes</w:t>
            </w:r>
          </w:p>
        </w:tc>
        <w:tc>
          <w:tcPr>
            <w:tcW w:w="1063" w:type="dxa"/>
            <w:tcBorders>
              <w:top w:val="nil"/>
              <w:left w:val="nil"/>
              <w:bottom w:val="single" w:sz="4" w:space="0" w:color="auto"/>
              <w:right w:val="single" w:sz="4" w:space="0" w:color="auto"/>
            </w:tcBorders>
            <w:shd w:val="clear" w:color="000000" w:fill="B4C6E7"/>
            <w:vAlign w:val="bottom"/>
            <w:hideMark/>
          </w:tcPr>
          <w:p w14:paraId="3C02AFFD"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Short-Term Outcomes Met</w:t>
            </w:r>
          </w:p>
        </w:tc>
        <w:tc>
          <w:tcPr>
            <w:tcW w:w="1063" w:type="dxa"/>
            <w:tcBorders>
              <w:top w:val="nil"/>
              <w:left w:val="nil"/>
              <w:bottom w:val="single" w:sz="4" w:space="0" w:color="auto"/>
              <w:right w:val="single" w:sz="4" w:space="0" w:color="auto"/>
            </w:tcBorders>
            <w:shd w:val="clear" w:color="000000" w:fill="B4C6E7"/>
            <w:vAlign w:val="bottom"/>
            <w:hideMark/>
          </w:tcPr>
          <w:p w14:paraId="4E264690"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%Short-Term Outcomes Achieved</w:t>
            </w:r>
          </w:p>
        </w:tc>
      </w:tr>
      <w:tr w:rsidR="00BA0D82" w:rsidRPr="0005691D" w14:paraId="4C045DC1" w14:textId="77777777" w:rsidTr="001A5653">
        <w:trPr>
          <w:trHeight w:val="300"/>
        </w:trPr>
        <w:tc>
          <w:tcPr>
            <w:tcW w:w="2506" w:type="dxa"/>
            <w:tcBorders>
              <w:top w:val="nil"/>
              <w:left w:val="single" w:sz="4" w:space="0" w:color="auto"/>
              <w:bottom w:val="single" w:sz="4" w:space="0" w:color="auto"/>
              <w:right w:val="single" w:sz="4" w:space="0" w:color="auto"/>
            </w:tcBorders>
            <w:shd w:val="clear" w:color="000000" w:fill="B4C6E7"/>
            <w:noWrap/>
            <w:vAlign w:val="center"/>
            <w:hideMark/>
          </w:tcPr>
          <w:p w14:paraId="6DD1113D" w14:textId="77777777" w:rsidR="00BA0D82" w:rsidRPr="0005691D" w:rsidRDefault="00BA0D82" w:rsidP="001A5653">
            <w:pPr>
              <w:spacing w:after="0" w:line="240" w:lineRule="auto"/>
              <w:jc w:val="right"/>
              <w:rPr>
                <w:rFonts w:ascii="Calibri" w:eastAsia="Times New Roman" w:hAnsi="Calibri" w:cs="Calibri"/>
                <w:b/>
                <w:bCs/>
                <w:color w:val="000000"/>
              </w:rPr>
            </w:pPr>
            <w:r w:rsidRPr="0005691D">
              <w:rPr>
                <w:rFonts w:ascii="Calibri" w:eastAsia="Times New Roman" w:hAnsi="Calibri" w:cs="Calibri"/>
                <w:b/>
                <w:bCs/>
                <w:color w:val="000000"/>
              </w:rPr>
              <w:t>Pre-ETS</w:t>
            </w:r>
          </w:p>
        </w:tc>
        <w:tc>
          <w:tcPr>
            <w:tcW w:w="1165" w:type="dxa"/>
            <w:tcBorders>
              <w:top w:val="nil"/>
              <w:left w:val="nil"/>
              <w:bottom w:val="single" w:sz="4" w:space="0" w:color="auto"/>
              <w:right w:val="single" w:sz="4" w:space="0" w:color="auto"/>
            </w:tcBorders>
            <w:shd w:val="clear" w:color="000000" w:fill="FFFFFF"/>
            <w:noWrap/>
            <w:vAlign w:val="center"/>
            <w:hideMark/>
          </w:tcPr>
          <w:p w14:paraId="088F418E"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6</w:t>
            </w:r>
          </w:p>
        </w:tc>
        <w:tc>
          <w:tcPr>
            <w:tcW w:w="1254" w:type="dxa"/>
            <w:tcBorders>
              <w:top w:val="nil"/>
              <w:left w:val="nil"/>
              <w:bottom w:val="single" w:sz="4" w:space="0" w:color="auto"/>
              <w:right w:val="single" w:sz="4" w:space="0" w:color="auto"/>
            </w:tcBorders>
            <w:shd w:val="clear" w:color="000000" w:fill="FFFFFF"/>
            <w:noWrap/>
            <w:vAlign w:val="center"/>
            <w:hideMark/>
          </w:tcPr>
          <w:p w14:paraId="7AD2A9BE"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98%</w:t>
            </w:r>
          </w:p>
        </w:tc>
        <w:tc>
          <w:tcPr>
            <w:tcW w:w="897" w:type="dxa"/>
            <w:tcBorders>
              <w:top w:val="nil"/>
              <w:left w:val="nil"/>
              <w:bottom w:val="single" w:sz="4" w:space="0" w:color="auto"/>
              <w:right w:val="single" w:sz="4" w:space="0" w:color="auto"/>
            </w:tcBorders>
            <w:shd w:val="clear" w:color="000000" w:fill="FFFFFF"/>
            <w:noWrap/>
            <w:vAlign w:val="center"/>
            <w:hideMark/>
          </w:tcPr>
          <w:p w14:paraId="7EC6D0F6"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6</w:t>
            </w:r>
          </w:p>
        </w:tc>
        <w:tc>
          <w:tcPr>
            <w:tcW w:w="897" w:type="dxa"/>
            <w:tcBorders>
              <w:top w:val="nil"/>
              <w:left w:val="nil"/>
              <w:bottom w:val="single" w:sz="4" w:space="0" w:color="auto"/>
              <w:right w:val="single" w:sz="4" w:space="0" w:color="auto"/>
            </w:tcBorders>
            <w:shd w:val="clear" w:color="000000" w:fill="FFFFFF"/>
            <w:noWrap/>
            <w:vAlign w:val="center"/>
            <w:hideMark/>
          </w:tcPr>
          <w:p w14:paraId="2C4B5FC9"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5</w:t>
            </w:r>
          </w:p>
        </w:tc>
        <w:tc>
          <w:tcPr>
            <w:tcW w:w="892" w:type="dxa"/>
            <w:tcBorders>
              <w:top w:val="nil"/>
              <w:left w:val="nil"/>
              <w:bottom w:val="single" w:sz="4" w:space="0" w:color="auto"/>
              <w:right w:val="single" w:sz="4" w:space="0" w:color="auto"/>
            </w:tcBorders>
            <w:shd w:val="clear" w:color="000000" w:fill="FFFFFF"/>
            <w:noWrap/>
            <w:vAlign w:val="center"/>
            <w:hideMark/>
          </w:tcPr>
          <w:p w14:paraId="62A66394"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83%</w:t>
            </w:r>
          </w:p>
        </w:tc>
        <w:tc>
          <w:tcPr>
            <w:tcW w:w="1063" w:type="dxa"/>
            <w:tcBorders>
              <w:top w:val="nil"/>
              <w:left w:val="nil"/>
              <w:bottom w:val="single" w:sz="4" w:space="0" w:color="auto"/>
              <w:right w:val="single" w:sz="4" w:space="0" w:color="auto"/>
            </w:tcBorders>
            <w:shd w:val="clear" w:color="000000" w:fill="FFFFFF"/>
            <w:noWrap/>
            <w:vAlign w:val="center"/>
            <w:hideMark/>
          </w:tcPr>
          <w:p w14:paraId="2447227F"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4</w:t>
            </w:r>
          </w:p>
        </w:tc>
        <w:tc>
          <w:tcPr>
            <w:tcW w:w="1063" w:type="dxa"/>
            <w:tcBorders>
              <w:top w:val="nil"/>
              <w:left w:val="nil"/>
              <w:bottom w:val="single" w:sz="4" w:space="0" w:color="auto"/>
              <w:right w:val="single" w:sz="4" w:space="0" w:color="auto"/>
            </w:tcBorders>
            <w:shd w:val="clear" w:color="000000" w:fill="FFFFFF"/>
            <w:noWrap/>
            <w:vAlign w:val="center"/>
            <w:hideMark/>
          </w:tcPr>
          <w:p w14:paraId="58033408"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2</w:t>
            </w:r>
          </w:p>
        </w:tc>
        <w:tc>
          <w:tcPr>
            <w:tcW w:w="1063" w:type="dxa"/>
            <w:tcBorders>
              <w:top w:val="nil"/>
              <w:left w:val="nil"/>
              <w:bottom w:val="single" w:sz="4" w:space="0" w:color="auto"/>
              <w:right w:val="single" w:sz="4" w:space="0" w:color="auto"/>
            </w:tcBorders>
            <w:shd w:val="clear" w:color="000000" w:fill="FFFFFF"/>
            <w:noWrap/>
            <w:vAlign w:val="center"/>
            <w:hideMark/>
          </w:tcPr>
          <w:p w14:paraId="0DF00534"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50%</w:t>
            </w:r>
          </w:p>
        </w:tc>
      </w:tr>
      <w:tr w:rsidR="00BA0D82" w:rsidRPr="0005691D" w14:paraId="2277167B" w14:textId="77777777" w:rsidTr="001A5653">
        <w:trPr>
          <w:trHeight w:val="300"/>
        </w:trPr>
        <w:tc>
          <w:tcPr>
            <w:tcW w:w="2506" w:type="dxa"/>
            <w:tcBorders>
              <w:top w:val="nil"/>
              <w:left w:val="single" w:sz="4" w:space="0" w:color="auto"/>
              <w:bottom w:val="single" w:sz="4" w:space="0" w:color="auto"/>
              <w:right w:val="single" w:sz="4" w:space="0" w:color="auto"/>
            </w:tcBorders>
            <w:shd w:val="clear" w:color="000000" w:fill="B4C6E7"/>
            <w:noWrap/>
            <w:vAlign w:val="center"/>
            <w:hideMark/>
          </w:tcPr>
          <w:p w14:paraId="5E8D81FD" w14:textId="77777777" w:rsidR="00BA0D82" w:rsidRPr="0005691D" w:rsidRDefault="00BA0D82" w:rsidP="001A5653">
            <w:pPr>
              <w:spacing w:after="0" w:line="240" w:lineRule="auto"/>
              <w:jc w:val="right"/>
              <w:rPr>
                <w:rFonts w:ascii="Calibri" w:eastAsia="Times New Roman" w:hAnsi="Calibri" w:cs="Calibri"/>
                <w:b/>
                <w:bCs/>
                <w:color w:val="000000"/>
              </w:rPr>
            </w:pPr>
            <w:r w:rsidRPr="0005691D">
              <w:rPr>
                <w:rFonts w:ascii="Calibri" w:eastAsia="Times New Roman" w:hAnsi="Calibri" w:cs="Calibri"/>
                <w:b/>
                <w:bCs/>
                <w:color w:val="000000"/>
              </w:rPr>
              <w:t>Workforce Integration</w:t>
            </w:r>
          </w:p>
        </w:tc>
        <w:tc>
          <w:tcPr>
            <w:tcW w:w="1165" w:type="dxa"/>
            <w:tcBorders>
              <w:top w:val="nil"/>
              <w:left w:val="nil"/>
              <w:bottom w:val="single" w:sz="4" w:space="0" w:color="auto"/>
              <w:right w:val="single" w:sz="4" w:space="0" w:color="auto"/>
            </w:tcBorders>
            <w:shd w:val="clear" w:color="000000" w:fill="D9E2F3"/>
            <w:noWrap/>
            <w:vAlign w:val="center"/>
            <w:hideMark/>
          </w:tcPr>
          <w:p w14:paraId="75C0AEAF"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3</w:t>
            </w:r>
          </w:p>
        </w:tc>
        <w:tc>
          <w:tcPr>
            <w:tcW w:w="1254" w:type="dxa"/>
            <w:tcBorders>
              <w:top w:val="nil"/>
              <w:left w:val="nil"/>
              <w:bottom w:val="single" w:sz="4" w:space="0" w:color="auto"/>
              <w:right w:val="single" w:sz="4" w:space="0" w:color="auto"/>
            </w:tcBorders>
            <w:shd w:val="clear" w:color="000000" w:fill="D9E2F3"/>
            <w:noWrap/>
            <w:vAlign w:val="center"/>
            <w:hideMark/>
          </w:tcPr>
          <w:p w14:paraId="7BFA5F5D"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67%</w:t>
            </w:r>
          </w:p>
        </w:tc>
        <w:tc>
          <w:tcPr>
            <w:tcW w:w="897" w:type="dxa"/>
            <w:tcBorders>
              <w:top w:val="nil"/>
              <w:left w:val="nil"/>
              <w:bottom w:val="single" w:sz="4" w:space="0" w:color="auto"/>
              <w:right w:val="single" w:sz="4" w:space="0" w:color="auto"/>
            </w:tcBorders>
            <w:shd w:val="clear" w:color="000000" w:fill="D9E2F3"/>
            <w:noWrap/>
            <w:vAlign w:val="center"/>
            <w:hideMark/>
          </w:tcPr>
          <w:p w14:paraId="4F297349"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3</w:t>
            </w:r>
          </w:p>
        </w:tc>
        <w:tc>
          <w:tcPr>
            <w:tcW w:w="897" w:type="dxa"/>
            <w:tcBorders>
              <w:top w:val="nil"/>
              <w:left w:val="nil"/>
              <w:bottom w:val="single" w:sz="4" w:space="0" w:color="auto"/>
              <w:right w:val="single" w:sz="4" w:space="0" w:color="auto"/>
            </w:tcBorders>
            <w:shd w:val="clear" w:color="000000" w:fill="D9E2F3"/>
            <w:noWrap/>
            <w:vAlign w:val="center"/>
            <w:hideMark/>
          </w:tcPr>
          <w:p w14:paraId="0438A525"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w:t>
            </w:r>
          </w:p>
        </w:tc>
        <w:tc>
          <w:tcPr>
            <w:tcW w:w="892" w:type="dxa"/>
            <w:tcBorders>
              <w:top w:val="nil"/>
              <w:left w:val="nil"/>
              <w:bottom w:val="single" w:sz="4" w:space="0" w:color="auto"/>
              <w:right w:val="single" w:sz="4" w:space="0" w:color="auto"/>
            </w:tcBorders>
            <w:shd w:val="clear" w:color="000000" w:fill="D9E2F3"/>
            <w:noWrap/>
            <w:vAlign w:val="center"/>
            <w:hideMark/>
          </w:tcPr>
          <w:p w14:paraId="0C2425F5"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33%</w:t>
            </w:r>
          </w:p>
        </w:tc>
        <w:tc>
          <w:tcPr>
            <w:tcW w:w="1063" w:type="dxa"/>
            <w:tcBorders>
              <w:top w:val="nil"/>
              <w:left w:val="nil"/>
              <w:bottom w:val="single" w:sz="4" w:space="0" w:color="auto"/>
              <w:right w:val="single" w:sz="4" w:space="0" w:color="auto"/>
            </w:tcBorders>
            <w:shd w:val="clear" w:color="000000" w:fill="D9E2F3"/>
            <w:noWrap/>
            <w:vAlign w:val="center"/>
            <w:hideMark/>
          </w:tcPr>
          <w:p w14:paraId="61D0CD3E"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2</w:t>
            </w:r>
          </w:p>
        </w:tc>
        <w:tc>
          <w:tcPr>
            <w:tcW w:w="1063" w:type="dxa"/>
            <w:tcBorders>
              <w:top w:val="nil"/>
              <w:left w:val="nil"/>
              <w:bottom w:val="single" w:sz="4" w:space="0" w:color="auto"/>
              <w:right w:val="single" w:sz="4" w:space="0" w:color="auto"/>
            </w:tcBorders>
            <w:shd w:val="clear" w:color="000000" w:fill="D9E2F3"/>
            <w:noWrap/>
            <w:vAlign w:val="center"/>
            <w:hideMark/>
          </w:tcPr>
          <w:p w14:paraId="225EA7EE"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0</w:t>
            </w:r>
          </w:p>
        </w:tc>
        <w:tc>
          <w:tcPr>
            <w:tcW w:w="1063" w:type="dxa"/>
            <w:tcBorders>
              <w:top w:val="nil"/>
              <w:left w:val="nil"/>
              <w:bottom w:val="single" w:sz="4" w:space="0" w:color="auto"/>
              <w:right w:val="single" w:sz="4" w:space="0" w:color="auto"/>
            </w:tcBorders>
            <w:shd w:val="clear" w:color="000000" w:fill="D9E2F3"/>
            <w:noWrap/>
            <w:vAlign w:val="center"/>
            <w:hideMark/>
          </w:tcPr>
          <w:p w14:paraId="245D1839"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0%</w:t>
            </w:r>
          </w:p>
        </w:tc>
      </w:tr>
      <w:tr w:rsidR="00BA0D82" w:rsidRPr="0005691D" w14:paraId="2A8C7AEB" w14:textId="77777777" w:rsidTr="001A5653">
        <w:trPr>
          <w:trHeight w:val="300"/>
        </w:trPr>
        <w:tc>
          <w:tcPr>
            <w:tcW w:w="2506" w:type="dxa"/>
            <w:tcBorders>
              <w:top w:val="nil"/>
              <w:left w:val="single" w:sz="4" w:space="0" w:color="auto"/>
              <w:bottom w:val="single" w:sz="4" w:space="0" w:color="auto"/>
              <w:right w:val="single" w:sz="4" w:space="0" w:color="auto"/>
            </w:tcBorders>
            <w:shd w:val="clear" w:color="000000" w:fill="B4C6E7"/>
            <w:noWrap/>
            <w:vAlign w:val="center"/>
            <w:hideMark/>
          </w:tcPr>
          <w:p w14:paraId="4DA62302" w14:textId="77777777" w:rsidR="00BA0D82" w:rsidRPr="0005691D" w:rsidRDefault="00BA0D82" w:rsidP="001A5653">
            <w:pPr>
              <w:spacing w:after="0" w:line="240" w:lineRule="auto"/>
              <w:jc w:val="right"/>
              <w:rPr>
                <w:rFonts w:ascii="Calibri" w:eastAsia="Times New Roman" w:hAnsi="Calibri" w:cs="Calibri"/>
                <w:b/>
                <w:bCs/>
                <w:color w:val="000000"/>
              </w:rPr>
            </w:pPr>
            <w:r w:rsidRPr="0005691D">
              <w:rPr>
                <w:rFonts w:ascii="Calibri" w:eastAsia="Times New Roman" w:hAnsi="Calibri" w:cs="Calibri"/>
                <w:b/>
                <w:bCs/>
                <w:color w:val="000000"/>
              </w:rPr>
              <w:t>Common Performance Measures</w:t>
            </w:r>
          </w:p>
        </w:tc>
        <w:tc>
          <w:tcPr>
            <w:tcW w:w="1165" w:type="dxa"/>
            <w:tcBorders>
              <w:top w:val="nil"/>
              <w:left w:val="nil"/>
              <w:bottom w:val="single" w:sz="4" w:space="0" w:color="auto"/>
              <w:right w:val="single" w:sz="4" w:space="0" w:color="auto"/>
            </w:tcBorders>
            <w:shd w:val="clear" w:color="000000" w:fill="FFFFFF"/>
            <w:noWrap/>
            <w:vAlign w:val="center"/>
            <w:hideMark/>
          </w:tcPr>
          <w:p w14:paraId="7999D1A6"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3</w:t>
            </w:r>
          </w:p>
        </w:tc>
        <w:tc>
          <w:tcPr>
            <w:tcW w:w="1254" w:type="dxa"/>
            <w:tcBorders>
              <w:top w:val="nil"/>
              <w:left w:val="nil"/>
              <w:bottom w:val="single" w:sz="4" w:space="0" w:color="auto"/>
              <w:right w:val="single" w:sz="4" w:space="0" w:color="auto"/>
            </w:tcBorders>
            <w:shd w:val="clear" w:color="000000" w:fill="FFFFFF"/>
            <w:noWrap/>
            <w:vAlign w:val="center"/>
            <w:hideMark/>
          </w:tcPr>
          <w:p w14:paraId="1D0CC9EA"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58%</w:t>
            </w:r>
          </w:p>
        </w:tc>
        <w:tc>
          <w:tcPr>
            <w:tcW w:w="897" w:type="dxa"/>
            <w:tcBorders>
              <w:top w:val="nil"/>
              <w:left w:val="nil"/>
              <w:bottom w:val="single" w:sz="4" w:space="0" w:color="auto"/>
              <w:right w:val="single" w:sz="4" w:space="0" w:color="auto"/>
            </w:tcBorders>
            <w:shd w:val="clear" w:color="000000" w:fill="FFFFFF"/>
            <w:noWrap/>
            <w:vAlign w:val="center"/>
            <w:hideMark/>
          </w:tcPr>
          <w:p w14:paraId="0EAACC2F"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3</w:t>
            </w:r>
          </w:p>
        </w:tc>
        <w:tc>
          <w:tcPr>
            <w:tcW w:w="897" w:type="dxa"/>
            <w:tcBorders>
              <w:top w:val="nil"/>
              <w:left w:val="nil"/>
              <w:bottom w:val="single" w:sz="4" w:space="0" w:color="auto"/>
              <w:right w:val="single" w:sz="4" w:space="0" w:color="auto"/>
            </w:tcBorders>
            <w:shd w:val="clear" w:color="000000" w:fill="FFFFFF"/>
            <w:noWrap/>
            <w:vAlign w:val="center"/>
            <w:hideMark/>
          </w:tcPr>
          <w:p w14:paraId="4967E710"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w:t>
            </w:r>
          </w:p>
        </w:tc>
        <w:tc>
          <w:tcPr>
            <w:tcW w:w="892" w:type="dxa"/>
            <w:tcBorders>
              <w:top w:val="nil"/>
              <w:left w:val="nil"/>
              <w:bottom w:val="single" w:sz="4" w:space="0" w:color="auto"/>
              <w:right w:val="single" w:sz="4" w:space="0" w:color="auto"/>
            </w:tcBorders>
            <w:shd w:val="clear" w:color="000000" w:fill="FFFFFF"/>
            <w:noWrap/>
            <w:vAlign w:val="center"/>
            <w:hideMark/>
          </w:tcPr>
          <w:p w14:paraId="32182F4C"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33%</w:t>
            </w:r>
          </w:p>
        </w:tc>
        <w:tc>
          <w:tcPr>
            <w:tcW w:w="1063" w:type="dxa"/>
            <w:tcBorders>
              <w:top w:val="nil"/>
              <w:left w:val="nil"/>
              <w:bottom w:val="single" w:sz="4" w:space="0" w:color="auto"/>
              <w:right w:val="single" w:sz="4" w:space="0" w:color="auto"/>
            </w:tcBorders>
            <w:shd w:val="clear" w:color="000000" w:fill="FFFFFF"/>
            <w:noWrap/>
            <w:vAlign w:val="center"/>
            <w:hideMark/>
          </w:tcPr>
          <w:p w14:paraId="64DB5252"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w:t>
            </w:r>
          </w:p>
        </w:tc>
        <w:tc>
          <w:tcPr>
            <w:tcW w:w="1063" w:type="dxa"/>
            <w:tcBorders>
              <w:top w:val="nil"/>
              <w:left w:val="nil"/>
              <w:bottom w:val="single" w:sz="4" w:space="0" w:color="auto"/>
              <w:right w:val="single" w:sz="4" w:space="0" w:color="auto"/>
            </w:tcBorders>
            <w:shd w:val="clear" w:color="000000" w:fill="FFFFFF"/>
            <w:noWrap/>
            <w:vAlign w:val="center"/>
            <w:hideMark/>
          </w:tcPr>
          <w:p w14:paraId="4CF1FA37"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0</w:t>
            </w:r>
          </w:p>
        </w:tc>
        <w:tc>
          <w:tcPr>
            <w:tcW w:w="1063" w:type="dxa"/>
            <w:tcBorders>
              <w:top w:val="nil"/>
              <w:left w:val="nil"/>
              <w:bottom w:val="single" w:sz="4" w:space="0" w:color="auto"/>
              <w:right w:val="single" w:sz="4" w:space="0" w:color="auto"/>
            </w:tcBorders>
            <w:shd w:val="clear" w:color="000000" w:fill="FFFFFF"/>
            <w:noWrap/>
            <w:vAlign w:val="center"/>
            <w:hideMark/>
          </w:tcPr>
          <w:p w14:paraId="7A18F56E"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0%</w:t>
            </w:r>
          </w:p>
        </w:tc>
      </w:tr>
      <w:tr w:rsidR="00BA0D82" w:rsidRPr="0005691D" w14:paraId="0DD8DD5C" w14:textId="77777777" w:rsidTr="001A5653">
        <w:trPr>
          <w:trHeight w:val="300"/>
        </w:trPr>
        <w:tc>
          <w:tcPr>
            <w:tcW w:w="2506" w:type="dxa"/>
            <w:tcBorders>
              <w:top w:val="nil"/>
              <w:left w:val="nil"/>
              <w:bottom w:val="nil"/>
              <w:right w:val="nil"/>
            </w:tcBorders>
            <w:shd w:val="clear" w:color="auto" w:fill="auto"/>
            <w:noWrap/>
            <w:vAlign w:val="bottom"/>
            <w:hideMark/>
          </w:tcPr>
          <w:p w14:paraId="6A5449E2" w14:textId="77777777" w:rsidR="00BA0D82" w:rsidRPr="0005691D" w:rsidRDefault="00BA0D82" w:rsidP="001A5653">
            <w:pPr>
              <w:spacing w:after="0" w:line="240" w:lineRule="auto"/>
              <w:jc w:val="center"/>
              <w:rPr>
                <w:rFonts w:ascii="Calibri" w:eastAsia="Times New Roman" w:hAnsi="Calibri" w:cs="Calibri"/>
                <w:color w:val="000000"/>
              </w:rPr>
            </w:pPr>
          </w:p>
        </w:tc>
        <w:tc>
          <w:tcPr>
            <w:tcW w:w="1165" w:type="dxa"/>
            <w:tcBorders>
              <w:top w:val="nil"/>
              <w:left w:val="nil"/>
              <w:bottom w:val="nil"/>
              <w:right w:val="nil"/>
            </w:tcBorders>
            <w:shd w:val="clear" w:color="auto" w:fill="auto"/>
            <w:noWrap/>
            <w:vAlign w:val="center"/>
            <w:hideMark/>
          </w:tcPr>
          <w:p w14:paraId="3EA34C00" w14:textId="77777777" w:rsidR="00BA0D82" w:rsidRPr="0005691D" w:rsidRDefault="00BA0D82" w:rsidP="001A5653">
            <w:pPr>
              <w:spacing w:after="0" w:line="240" w:lineRule="auto"/>
              <w:rPr>
                <w:rFonts w:ascii="Times New Roman" w:eastAsia="Times New Roman" w:hAnsi="Times New Roman" w:cs="Times New Roman"/>
                <w:sz w:val="20"/>
                <w:szCs w:val="20"/>
              </w:rPr>
            </w:pPr>
          </w:p>
        </w:tc>
        <w:tc>
          <w:tcPr>
            <w:tcW w:w="1254" w:type="dxa"/>
            <w:tcBorders>
              <w:top w:val="nil"/>
              <w:left w:val="nil"/>
              <w:bottom w:val="nil"/>
              <w:right w:val="nil"/>
            </w:tcBorders>
            <w:shd w:val="clear" w:color="auto" w:fill="auto"/>
            <w:noWrap/>
            <w:vAlign w:val="center"/>
            <w:hideMark/>
          </w:tcPr>
          <w:p w14:paraId="19A7813B"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c>
          <w:tcPr>
            <w:tcW w:w="897" w:type="dxa"/>
            <w:tcBorders>
              <w:top w:val="nil"/>
              <w:left w:val="nil"/>
              <w:bottom w:val="nil"/>
              <w:right w:val="nil"/>
            </w:tcBorders>
            <w:shd w:val="clear" w:color="auto" w:fill="auto"/>
            <w:noWrap/>
            <w:vAlign w:val="center"/>
            <w:hideMark/>
          </w:tcPr>
          <w:p w14:paraId="4A15771F"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c>
          <w:tcPr>
            <w:tcW w:w="897" w:type="dxa"/>
            <w:tcBorders>
              <w:top w:val="nil"/>
              <w:left w:val="nil"/>
              <w:bottom w:val="nil"/>
              <w:right w:val="nil"/>
            </w:tcBorders>
            <w:shd w:val="clear" w:color="auto" w:fill="auto"/>
            <w:noWrap/>
            <w:vAlign w:val="center"/>
            <w:hideMark/>
          </w:tcPr>
          <w:p w14:paraId="3487AD10"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c>
          <w:tcPr>
            <w:tcW w:w="892" w:type="dxa"/>
            <w:tcBorders>
              <w:top w:val="nil"/>
              <w:left w:val="nil"/>
              <w:bottom w:val="nil"/>
              <w:right w:val="nil"/>
            </w:tcBorders>
            <w:shd w:val="clear" w:color="auto" w:fill="auto"/>
            <w:noWrap/>
            <w:vAlign w:val="center"/>
            <w:hideMark/>
          </w:tcPr>
          <w:p w14:paraId="54071F9E"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c>
          <w:tcPr>
            <w:tcW w:w="1063" w:type="dxa"/>
            <w:tcBorders>
              <w:top w:val="nil"/>
              <w:left w:val="nil"/>
              <w:bottom w:val="nil"/>
              <w:right w:val="nil"/>
            </w:tcBorders>
            <w:shd w:val="clear" w:color="auto" w:fill="auto"/>
            <w:noWrap/>
            <w:vAlign w:val="center"/>
            <w:hideMark/>
          </w:tcPr>
          <w:p w14:paraId="3054E450"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c>
          <w:tcPr>
            <w:tcW w:w="1063" w:type="dxa"/>
            <w:tcBorders>
              <w:top w:val="nil"/>
              <w:left w:val="nil"/>
              <w:bottom w:val="nil"/>
              <w:right w:val="nil"/>
            </w:tcBorders>
            <w:shd w:val="clear" w:color="auto" w:fill="auto"/>
            <w:noWrap/>
            <w:vAlign w:val="center"/>
            <w:hideMark/>
          </w:tcPr>
          <w:p w14:paraId="43C7AAD4"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c>
          <w:tcPr>
            <w:tcW w:w="1063" w:type="dxa"/>
            <w:tcBorders>
              <w:top w:val="nil"/>
              <w:left w:val="nil"/>
              <w:bottom w:val="nil"/>
              <w:right w:val="nil"/>
            </w:tcBorders>
            <w:shd w:val="clear" w:color="auto" w:fill="auto"/>
            <w:noWrap/>
            <w:vAlign w:val="center"/>
            <w:hideMark/>
          </w:tcPr>
          <w:p w14:paraId="5DF151B8"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r>
      <w:tr w:rsidR="00BA0D82" w:rsidRPr="0005691D" w14:paraId="3DD8EEEB" w14:textId="77777777" w:rsidTr="001A5653">
        <w:trPr>
          <w:trHeight w:val="465"/>
        </w:trPr>
        <w:tc>
          <w:tcPr>
            <w:tcW w:w="10800" w:type="dxa"/>
            <w:gridSpan w:val="9"/>
            <w:tcBorders>
              <w:top w:val="single" w:sz="4" w:space="0" w:color="auto"/>
              <w:left w:val="nil"/>
              <w:bottom w:val="single" w:sz="4" w:space="0" w:color="auto"/>
              <w:right w:val="nil"/>
            </w:tcBorders>
            <w:shd w:val="clear" w:color="auto" w:fill="auto"/>
            <w:noWrap/>
            <w:vAlign w:val="bottom"/>
            <w:hideMark/>
          </w:tcPr>
          <w:p w14:paraId="53B0B9E9" w14:textId="77777777" w:rsidR="00BA0D82" w:rsidRPr="0005691D" w:rsidRDefault="00BA0D82" w:rsidP="00BA0D82">
            <w:pPr>
              <w:pStyle w:val="Heading2"/>
              <w:numPr>
                <w:ilvl w:val="0"/>
                <w:numId w:val="0"/>
              </w:numPr>
              <w:rPr>
                <w:rFonts w:eastAsia="Times New Roman"/>
              </w:rPr>
            </w:pPr>
            <w:bookmarkStart w:id="233" w:name="_Toc27143206"/>
            <w:bookmarkStart w:id="234" w:name="_Toc28011505"/>
            <w:r w:rsidRPr="0005691D">
              <w:rPr>
                <w:rFonts w:eastAsia="Times New Roman"/>
              </w:rPr>
              <w:t>Michigan Blind</w:t>
            </w:r>
            <w:bookmarkEnd w:id="233"/>
            <w:bookmarkEnd w:id="234"/>
          </w:p>
        </w:tc>
      </w:tr>
      <w:tr w:rsidR="00BA0D82" w:rsidRPr="0005691D" w14:paraId="5DCA4CD4" w14:textId="77777777" w:rsidTr="001A5653">
        <w:trPr>
          <w:trHeight w:val="1305"/>
        </w:trPr>
        <w:tc>
          <w:tcPr>
            <w:tcW w:w="2506" w:type="dxa"/>
            <w:tcBorders>
              <w:top w:val="nil"/>
              <w:left w:val="single" w:sz="4" w:space="0" w:color="auto"/>
              <w:bottom w:val="single" w:sz="4" w:space="0" w:color="auto"/>
              <w:right w:val="single" w:sz="4" w:space="0" w:color="auto"/>
            </w:tcBorders>
            <w:shd w:val="clear" w:color="000000" w:fill="B4C6E7"/>
            <w:vAlign w:val="bottom"/>
            <w:hideMark/>
          </w:tcPr>
          <w:p w14:paraId="46528DF4" w14:textId="77777777" w:rsidR="00BA0D82" w:rsidRPr="0005691D" w:rsidRDefault="00BA0D82" w:rsidP="001A5653">
            <w:pPr>
              <w:spacing w:after="0" w:line="240" w:lineRule="auto"/>
              <w:jc w:val="right"/>
              <w:rPr>
                <w:rFonts w:ascii="Calibri" w:eastAsia="Times New Roman" w:hAnsi="Calibri" w:cs="Calibri"/>
                <w:b/>
                <w:bCs/>
                <w:color w:val="000000"/>
                <w:szCs w:val="28"/>
              </w:rPr>
            </w:pPr>
            <w:r w:rsidRPr="0005691D">
              <w:rPr>
                <w:rFonts w:ascii="Calibri" w:eastAsia="Times New Roman" w:hAnsi="Calibri" w:cs="Calibri"/>
                <w:b/>
                <w:bCs/>
                <w:color w:val="000000"/>
                <w:szCs w:val="28"/>
              </w:rPr>
              <w:t>Area</w:t>
            </w:r>
          </w:p>
        </w:tc>
        <w:tc>
          <w:tcPr>
            <w:tcW w:w="1165" w:type="dxa"/>
            <w:tcBorders>
              <w:top w:val="nil"/>
              <w:left w:val="nil"/>
              <w:bottom w:val="single" w:sz="4" w:space="0" w:color="auto"/>
              <w:right w:val="single" w:sz="4" w:space="0" w:color="auto"/>
            </w:tcBorders>
            <w:shd w:val="clear" w:color="000000" w:fill="B4C6E7"/>
            <w:vAlign w:val="bottom"/>
            <w:hideMark/>
          </w:tcPr>
          <w:p w14:paraId="681CA8A6"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of Total Activities</w:t>
            </w:r>
          </w:p>
        </w:tc>
        <w:tc>
          <w:tcPr>
            <w:tcW w:w="1254" w:type="dxa"/>
            <w:tcBorders>
              <w:top w:val="nil"/>
              <w:left w:val="nil"/>
              <w:bottom w:val="single" w:sz="4" w:space="0" w:color="auto"/>
              <w:right w:val="single" w:sz="4" w:space="0" w:color="auto"/>
            </w:tcBorders>
            <w:shd w:val="clear" w:color="000000" w:fill="B4C6E7"/>
            <w:vAlign w:val="bottom"/>
            <w:hideMark/>
          </w:tcPr>
          <w:p w14:paraId="2E7ECE6F"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Average Progress on Activities (%)</w:t>
            </w:r>
          </w:p>
        </w:tc>
        <w:tc>
          <w:tcPr>
            <w:tcW w:w="897" w:type="dxa"/>
            <w:tcBorders>
              <w:top w:val="nil"/>
              <w:left w:val="nil"/>
              <w:bottom w:val="single" w:sz="4" w:space="0" w:color="auto"/>
              <w:right w:val="single" w:sz="4" w:space="0" w:color="auto"/>
            </w:tcBorders>
            <w:shd w:val="clear" w:color="000000" w:fill="B4C6E7"/>
            <w:vAlign w:val="bottom"/>
            <w:hideMark/>
          </w:tcPr>
          <w:p w14:paraId="51C241E7"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Outputs</w:t>
            </w:r>
          </w:p>
        </w:tc>
        <w:tc>
          <w:tcPr>
            <w:tcW w:w="897" w:type="dxa"/>
            <w:tcBorders>
              <w:top w:val="nil"/>
              <w:left w:val="nil"/>
              <w:bottom w:val="single" w:sz="4" w:space="0" w:color="auto"/>
              <w:right w:val="single" w:sz="4" w:space="0" w:color="auto"/>
            </w:tcBorders>
            <w:shd w:val="clear" w:color="000000" w:fill="B4C6E7"/>
            <w:vAlign w:val="bottom"/>
            <w:hideMark/>
          </w:tcPr>
          <w:p w14:paraId="246722FF"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Outputs Met</w:t>
            </w:r>
          </w:p>
        </w:tc>
        <w:tc>
          <w:tcPr>
            <w:tcW w:w="892" w:type="dxa"/>
            <w:tcBorders>
              <w:top w:val="nil"/>
              <w:left w:val="nil"/>
              <w:bottom w:val="single" w:sz="4" w:space="0" w:color="auto"/>
              <w:right w:val="single" w:sz="4" w:space="0" w:color="auto"/>
            </w:tcBorders>
            <w:shd w:val="clear" w:color="000000" w:fill="B4C6E7"/>
            <w:vAlign w:val="bottom"/>
            <w:hideMark/>
          </w:tcPr>
          <w:p w14:paraId="23B64F94"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Outputs Met</w:t>
            </w:r>
          </w:p>
        </w:tc>
        <w:tc>
          <w:tcPr>
            <w:tcW w:w="1063" w:type="dxa"/>
            <w:tcBorders>
              <w:top w:val="nil"/>
              <w:left w:val="nil"/>
              <w:bottom w:val="single" w:sz="4" w:space="0" w:color="auto"/>
              <w:right w:val="single" w:sz="4" w:space="0" w:color="auto"/>
            </w:tcBorders>
            <w:shd w:val="clear" w:color="000000" w:fill="B4C6E7"/>
            <w:vAlign w:val="bottom"/>
            <w:hideMark/>
          </w:tcPr>
          <w:p w14:paraId="2417AA6C"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Short-Term Outcomes</w:t>
            </w:r>
          </w:p>
        </w:tc>
        <w:tc>
          <w:tcPr>
            <w:tcW w:w="1063" w:type="dxa"/>
            <w:tcBorders>
              <w:top w:val="nil"/>
              <w:left w:val="nil"/>
              <w:bottom w:val="single" w:sz="4" w:space="0" w:color="auto"/>
              <w:right w:val="single" w:sz="4" w:space="0" w:color="auto"/>
            </w:tcBorders>
            <w:shd w:val="clear" w:color="000000" w:fill="B4C6E7"/>
            <w:vAlign w:val="bottom"/>
            <w:hideMark/>
          </w:tcPr>
          <w:p w14:paraId="3AF1B9EA"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Short-Term Outcomes Met</w:t>
            </w:r>
          </w:p>
        </w:tc>
        <w:tc>
          <w:tcPr>
            <w:tcW w:w="1063" w:type="dxa"/>
            <w:tcBorders>
              <w:top w:val="nil"/>
              <w:left w:val="nil"/>
              <w:bottom w:val="single" w:sz="4" w:space="0" w:color="auto"/>
              <w:right w:val="single" w:sz="4" w:space="0" w:color="auto"/>
            </w:tcBorders>
            <w:shd w:val="clear" w:color="000000" w:fill="B4C6E7"/>
            <w:vAlign w:val="bottom"/>
            <w:hideMark/>
          </w:tcPr>
          <w:p w14:paraId="66762730"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%Short-Term Outcomes Achieved</w:t>
            </w:r>
          </w:p>
        </w:tc>
      </w:tr>
      <w:tr w:rsidR="00BA0D82" w:rsidRPr="0005691D" w14:paraId="5F41712C" w14:textId="77777777" w:rsidTr="001A5653">
        <w:trPr>
          <w:trHeight w:val="300"/>
        </w:trPr>
        <w:tc>
          <w:tcPr>
            <w:tcW w:w="2506" w:type="dxa"/>
            <w:tcBorders>
              <w:top w:val="nil"/>
              <w:left w:val="single" w:sz="4" w:space="0" w:color="auto"/>
              <w:bottom w:val="single" w:sz="4" w:space="0" w:color="auto"/>
              <w:right w:val="single" w:sz="4" w:space="0" w:color="auto"/>
            </w:tcBorders>
            <w:shd w:val="clear" w:color="000000" w:fill="B4C6E7"/>
            <w:noWrap/>
            <w:vAlign w:val="center"/>
            <w:hideMark/>
          </w:tcPr>
          <w:p w14:paraId="34F24C8A" w14:textId="77777777" w:rsidR="00BA0D82" w:rsidRPr="0005691D" w:rsidRDefault="00BA0D82" w:rsidP="001A5653">
            <w:pPr>
              <w:spacing w:after="0" w:line="240" w:lineRule="auto"/>
              <w:jc w:val="right"/>
              <w:rPr>
                <w:rFonts w:ascii="Calibri" w:eastAsia="Times New Roman" w:hAnsi="Calibri" w:cs="Calibri"/>
                <w:b/>
                <w:bCs/>
                <w:color w:val="000000"/>
              </w:rPr>
            </w:pPr>
            <w:r w:rsidRPr="0005691D">
              <w:rPr>
                <w:rFonts w:ascii="Calibri" w:eastAsia="Times New Roman" w:hAnsi="Calibri" w:cs="Calibri"/>
                <w:b/>
                <w:bCs/>
                <w:color w:val="000000"/>
              </w:rPr>
              <w:t>Pre-ETS</w:t>
            </w:r>
          </w:p>
        </w:tc>
        <w:tc>
          <w:tcPr>
            <w:tcW w:w="1165" w:type="dxa"/>
            <w:tcBorders>
              <w:top w:val="nil"/>
              <w:left w:val="nil"/>
              <w:bottom w:val="single" w:sz="4" w:space="0" w:color="auto"/>
              <w:right w:val="single" w:sz="4" w:space="0" w:color="auto"/>
            </w:tcBorders>
            <w:shd w:val="clear" w:color="000000" w:fill="FFFFFF"/>
            <w:noWrap/>
            <w:vAlign w:val="center"/>
            <w:hideMark/>
          </w:tcPr>
          <w:p w14:paraId="4E6F16B5"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7</w:t>
            </w:r>
          </w:p>
        </w:tc>
        <w:tc>
          <w:tcPr>
            <w:tcW w:w="1254" w:type="dxa"/>
            <w:tcBorders>
              <w:top w:val="nil"/>
              <w:left w:val="nil"/>
              <w:bottom w:val="single" w:sz="4" w:space="0" w:color="auto"/>
              <w:right w:val="single" w:sz="4" w:space="0" w:color="auto"/>
            </w:tcBorders>
            <w:shd w:val="clear" w:color="000000" w:fill="FFFFFF"/>
            <w:noWrap/>
            <w:vAlign w:val="center"/>
            <w:hideMark/>
          </w:tcPr>
          <w:p w14:paraId="16C71006"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100%</w:t>
            </w:r>
          </w:p>
        </w:tc>
        <w:tc>
          <w:tcPr>
            <w:tcW w:w="897" w:type="dxa"/>
            <w:tcBorders>
              <w:top w:val="nil"/>
              <w:left w:val="nil"/>
              <w:bottom w:val="single" w:sz="4" w:space="0" w:color="auto"/>
              <w:right w:val="single" w:sz="4" w:space="0" w:color="auto"/>
            </w:tcBorders>
            <w:shd w:val="clear" w:color="000000" w:fill="FFFFFF"/>
            <w:noWrap/>
            <w:vAlign w:val="center"/>
            <w:hideMark/>
          </w:tcPr>
          <w:p w14:paraId="6DBE69BA"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7</w:t>
            </w:r>
          </w:p>
        </w:tc>
        <w:tc>
          <w:tcPr>
            <w:tcW w:w="897" w:type="dxa"/>
            <w:tcBorders>
              <w:top w:val="nil"/>
              <w:left w:val="nil"/>
              <w:bottom w:val="single" w:sz="4" w:space="0" w:color="auto"/>
              <w:right w:val="single" w:sz="4" w:space="0" w:color="auto"/>
            </w:tcBorders>
            <w:shd w:val="clear" w:color="000000" w:fill="FFFFFF"/>
            <w:noWrap/>
            <w:vAlign w:val="center"/>
            <w:hideMark/>
          </w:tcPr>
          <w:p w14:paraId="3CEB0393"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7</w:t>
            </w:r>
          </w:p>
        </w:tc>
        <w:tc>
          <w:tcPr>
            <w:tcW w:w="892" w:type="dxa"/>
            <w:tcBorders>
              <w:top w:val="nil"/>
              <w:left w:val="nil"/>
              <w:bottom w:val="single" w:sz="4" w:space="0" w:color="auto"/>
              <w:right w:val="single" w:sz="4" w:space="0" w:color="auto"/>
            </w:tcBorders>
            <w:shd w:val="clear" w:color="000000" w:fill="FFFFFF"/>
            <w:noWrap/>
            <w:vAlign w:val="center"/>
            <w:hideMark/>
          </w:tcPr>
          <w:p w14:paraId="1EF4F3BF"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100%</w:t>
            </w:r>
          </w:p>
        </w:tc>
        <w:tc>
          <w:tcPr>
            <w:tcW w:w="1063" w:type="dxa"/>
            <w:tcBorders>
              <w:top w:val="nil"/>
              <w:left w:val="nil"/>
              <w:bottom w:val="single" w:sz="4" w:space="0" w:color="auto"/>
              <w:right w:val="single" w:sz="4" w:space="0" w:color="auto"/>
            </w:tcBorders>
            <w:shd w:val="clear" w:color="000000" w:fill="FFFFFF"/>
            <w:noWrap/>
            <w:vAlign w:val="center"/>
            <w:hideMark/>
          </w:tcPr>
          <w:p w14:paraId="3637BBF5"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4</w:t>
            </w:r>
          </w:p>
        </w:tc>
        <w:tc>
          <w:tcPr>
            <w:tcW w:w="1063" w:type="dxa"/>
            <w:tcBorders>
              <w:top w:val="nil"/>
              <w:left w:val="nil"/>
              <w:bottom w:val="single" w:sz="4" w:space="0" w:color="auto"/>
              <w:right w:val="single" w:sz="4" w:space="0" w:color="auto"/>
            </w:tcBorders>
            <w:shd w:val="clear" w:color="000000" w:fill="FFFFFF"/>
            <w:noWrap/>
            <w:vAlign w:val="center"/>
            <w:hideMark/>
          </w:tcPr>
          <w:p w14:paraId="13326A1E"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2</w:t>
            </w:r>
          </w:p>
        </w:tc>
        <w:tc>
          <w:tcPr>
            <w:tcW w:w="1063" w:type="dxa"/>
            <w:tcBorders>
              <w:top w:val="nil"/>
              <w:left w:val="nil"/>
              <w:bottom w:val="single" w:sz="4" w:space="0" w:color="auto"/>
              <w:right w:val="single" w:sz="4" w:space="0" w:color="auto"/>
            </w:tcBorders>
            <w:shd w:val="clear" w:color="000000" w:fill="FFFFFF"/>
            <w:noWrap/>
            <w:vAlign w:val="center"/>
            <w:hideMark/>
          </w:tcPr>
          <w:p w14:paraId="101DB8A6"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50%</w:t>
            </w:r>
          </w:p>
        </w:tc>
      </w:tr>
      <w:tr w:rsidR="00BA0D82" w:rsidRPr="0005691D" w14:paraId="56A0ADA3" w14:textId="77777777" w:rsidTr="001A5653">
        <w:trPr>
          <w:trHeight w:val="300"/>
        </w:trPr>
        <w:tc>
          <w:tcPr>
            <w:tcW w:w="2506" w:type="dxa"/>
            <w:tcBorders>
              <w:top w:val="nil"/>
              <w:left w:val="single" w:sz="4" w:space="0" w:color="auto"/>
              <w:bottom w:val="single" w:sz="4" w:space="0" w:color="auto"/>
              <w:right w:val="single" w:sz="4" w:space="0" w:color="auto"/>
            </w:tcBorders>
            <w:shd w:val="clear" w:color="000000" w:fill="B4C6E7"/>
            <w:noWrap/>
            <w:vAlign w:val="center"/>
            <w:hideMark/>
          </w:tcPr>
          <w:p w14:paraId="6C9FA004" w14:textId="77777777" w:rsidR="00BA0D82" w:rsidRPr="0005691D" w:rsidRDefault="00BA0D82" w:rsidP="001A5653">
            <w:pPr>
              <w:spacing w:after="0" w:line="240" w:lineRule="auto"/>
              <w:jc w:val="right"/>
              <w:rPr>
                <w:rFonts w:ascii="Calibri" w:eastAsia="Times New Roman" w:hAnsi="Calibri" w:cs="Calibri"/>
                <w:b/>
                <w:bCs/>
                <w:color w:val="000000"/>
              </w:rPr>
            </w:pPr>
            <w:r w:rsidRPr="0005691D">
              <w:rPr>
                <w:rFonts w:ascii="Calibri" w:eastAsia="Times New Roman" w:hAnsi="Calibri" w:cs="Calibri"/>
                <w:b/>
                <w:bCs/>
                <w:color w:val="000000"/>
              </w:rPr>
              <w:t>Workforce Integration</w:t>
            </w:r>
          </w:p>
        </w:tc>
        <w:tc>
          <w:tcPr>
            <w:tcW w:w="1165" w:type="dxa"/>
            <w:tcBorders>
              <w:top w:val="nil"/>
              <w:left w:val="nil"/>
              <w:bottom w:val="single" w:sz="4" w:space="0" w:color="auto"/>
              <w:right w:val="single" w:sz="4" w:space="0" w:color="auto"/>
            </w:tcBorders>
            <w:shd w:val="clear" w:color="000000" w:fill="D9E2F3"/>
            <w:noWrap/>
            <w:vAlign w:val="center"/>
            <w:hideMark/>
          </w:tcPr>
          <w:p w14:paraId="42CA9D08"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2</w:t>
            </w:r>
          </w:p>
        </w:tc>
        <w:tc>
          <w:tcPr>
            <w:tcW w:w="1254" w:type="dxa"/>
            <w:tcBorders>
              <w:top w:val="nil"/>
              <w:left w:val="nil"/>
              <w:bottom w:val="single" w:sz="4" w:space="0" w:color="auto"/>
              <w:right w:val="single" w:sz="4" w:space="0" w:color="auto"/>
            </w:tcBorders>
            <w:shd w:val="clear" w:color="000000" w:fill="D9E2F3"/>
            <w:noWrap/>
            <w:vAlign w:val="center"/>
            <w:hideMark/>
          </w:tcPr>
          <w:p w14:paraId="71F7252E"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63%</w:t>
            </w:r>
          </w:p>
        </w:tc>
        <w:tc>
          <w:tcPr>
            <w:tcW w:w="897" w:type="dxa"/>
            <w:tcBorders>
              <w:top w:val="nil"/>
              <w:left w:val="nil"/>
              <w:bottom w:val="single" w:sz="4" w:space="0" w:color="auto"/>
              <w:right w:val="single" w:sz="4" w:space="0" w:color="auto"/>
            </w:tcBorders>
            <w:shd w:val="clear" w:color="000000" w:fill="D9E2F3"/>
            <w:noWrap/>
            <w:vAlign w:val="center"/>
            <w:hideMark/>
          </w:tcPr>
          <w:p w14:paraId="315A376B"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2</w:t>
            </w:r>
          </w:p>
        </w:tc>
        <w:tc>
          <w:tcPr>
            <w:tcW w:w="897" w:type="dxa"/>
            <w:tcBorders>
              <w:top w:val="nil"/>
              <w:left w:val="nil"/>
              <w:bottom w:val="single" w:sz="4" w:space="0" w:color="auto"/>
              <w:right w:val="single" w:sz="4" w:space="0" w:color="auto"/>
            </w:tcBorders>
            <w:shd w:val="clear" w:color="000000" w:fill="D9E2F3"/>
            <w:noWrap/>
            <w:vAlign w:val="center"/>
            <w:hideMark/>
          </w:tcPr>
          <w:p w14:paraId="6D0CD850"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w:t>
            </w:r>
          </w:p>
        </w:tc>
        <w:tc>
          <w:tcPr>
            <w:tcW w:w="892" w:type="dxa"/>
            <w:tcBorders>
              <w:top w:val="nil"/>
              <w:left w:val="nil"/>
              <w:bottom w:val="single" w:sz="4" w:space="0" w:color="auto"/>
              <w:right w:val="single" w:sz="4" w:space="0" w:color="auto"/>
            </w:tcBorders>
            <w:shd w:val="clear" w:color="000000" w:fill="D9E2F3"/>
            <w:noWrap/>
            <w:vAlign w:val="center"/>
            <w:hideMark/>
          </w:tcPr>
          <w:p w14:paraId="20D36A1A"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50%</w:t>
            </w:r>
          </w:p>
        </w:tc>
        <w:tc>
          <w:tcPr>
            <w:tcW w:w="1063" w:type="dxa"/>
            <w:tcBorders>
              <w:top w:val="nil"/>
              <w:left w:val="nil"/>
              <w:bottom w:val="single" w:sz="4" w:space="0" w:color="auto"/>
              <w:right w:val="single" w:sz="4" w:space="0" w:color="auto"/>
            </w:tcBorders>
            <w:shd w:val="clear" w:color="000000" w:fill="D9E2F3"/>
            <w:noWrap/>
            <w:vAlign w:val="center"/>
            <w:hideMark/>
          </w:tcPr>
          <w:p w14:paraId="699A36CB"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2</w:t>
            </w:r>
          </w:p>
        </w:tc>
        <w:tc>
          <w:tcPr>
            <w:tcW w:w="1063" w:type="dxa"/>
            <w:tcBorders>
              <w:top w:val="nil"/>
              <w:left w:val="nil"/>
              <w:bottom w:val="single" w:sz="4" w:space="0" w:color="auto"/>
              <w:right w:val="single" w:sz="4" w:space="0" w:color="auto"/>
            </w:tcBorders>
            <w:shd w:val="clear" w:color="000000" w:fill="D9E2F3"/>
            <w:noWrap/>
            <w:vAlign w:val="center"/>
            <w:hideMark/>
          </w:tcPr>
          <w:p w14:paraId="5C34F14C"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0</w:t>
            </w:r>
          </w:p>
        </w:tc>
        <w:tc>
          <w:tcPr>
            <w:tcW w:w="1063" w:type="dxa"/>
            <w:tcBorders>
              <w:top w:val="nil"/>
              <w:left w:val="nil"/>
              <w:bottom w:val="single" w:sz="4" w:space="0" w:color="auto"/>
              <w:right w:val="single" w:sz="4" w:space="0" w:color="auto"/>
            </w:tcBorders>
            <w:shd w:val="clear" w:color="000000" w:fill="D9E2F3"/>
            <w:noWrap/>
            <w:vAlign w:val="center"/>
            <w:hideMark/>
          </w:tcPr>
          <w:p w14:paraId="7619CB7F"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0%</w:t>
            </w:r>
          </w:p>
        </w:tc>
      </w:tr>
      <w:tr w:rsidR="00BA0D82" w:rsidRPr="0005691D" w14:paraId="1EC7BB43" w14:textId="77777777" w:rsidTr="001A5653">
        <w:trPr>
          <w:trHeight w:val="300"/>
        </w:trPr>
        <w:tc>
          <w:tcPr>
            <w:tcW w:w="2506" w:type="dxa"/>
            <w:tcBorders>
              <w:top w:val="nil"/>
              <w:left w:val="single" w:sz="4" w:space="0" w:color="auto"/>
              <w:bottom w:val="single" w:sz="4" w:space="0" w:color="auto"/>
              <w:right w:val="single" w:sz="4" w:space="0" w:color="auto"/>
            </w:tcBorders>
            <w:shd w:val="clear" w:color="000000" w:fill="B4C6E7"/>
            <w:noWrap/>
            <w:vAlign w:val="center"/>
            <w:hideMark/>
          </w:tcPr>
          <w:p w14:paraId="6D3232A2" w14:textId="77777777" w:rsidR="00BA0D82" w:rsidRPr="0005691D" w:rsidRDefault="00BA0D82" w:rsidP="001A5653">
            <w:pPr>
              <w:spacing w:after="0" w:line="240" w:lineRule="auto"/>
              <w:jc w:val="right"/>
              <w:rPr>
                <w:rFonts w:ascii="Calibri" w:eastAsia="Times New Roman" w:hAnsi="Calibri" w:cs="Calibri"/>
                <w:b/>
                <w:bCs/>
                <w:color w:val="000000"/>
              </w:rPr>
            </w:pPr>
            <w:r w:rsidRPr="0005691D">
              <w:rPr>
                <w:rFonts w:ascii="Calibri" w:eastAsia="Times New Roman" w:hAnsi="Calibri" w:cs="Calibri"/>
                <w:b/>
                <w:bCs/>
                <w:color w:val="000000"/>
              </w:rPr>
              <w:t>Common Performance Measures</w:t>
            </w:r>
          </w:p>
        </w:tc>
        <w:tc>
          <w:tcPr>
            <w:tcW w:w="1165" w:type="dxa"/>
            <w:tcBorders>
              <w:top w:val="nil"/>
              <w:left w:val="nil"/>
              <w:bottom w:val="single" w:sz="4" w:space="0" w:color="auto"/>
              <w:right w:val="single" w:sz="4" w:space="0" w:color="auto"/>
            </w:tcBorders>
            <w:shd w:val="clear" w:color="000000" w:fill="FFFFFF"/>
            <w:noWrap/>
            <w:vAlign w:val="center"/>
            <w:hideMark/>
          </w:tcPr>
          <w:p w14:paraId="39CD6AB0"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5</w:t>
            </w:r>
          </w:p>
        </w:tc>
        <w:tc>
          <w:tcPr>
            <w:tcW w:w="1254" w:type="dxa"/>
            <w:tcBorders>
              <w:top w:val="nil"/>
              <w:left w:val="nil"/>
              <w:bottom w:val="single" w:sz="4" w:space="0" w:color="auto"/>
              <w:right w:val="single" w:sz="4" w:space="0" w:color="auto"/>
            </w:tcBorders>
            <w:shd w:val="clear" w:color="000000" w:fill="FFFFFF"/>
            <w:noWrap/>
            <w:vAlign w:val="center"/>
            <w:hideMark/>
          </w:tcPr>
          <w:p w14:paraId="1882A2E7"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50%</w:t>
            </w:r>
          </w:p>
        </w:tc>
        <w:tc>
          <w:tcPr>
            <w:tcW w:w="897" w:type="dxa"/>
            <w:tcBorders>
              <w:top w:val="nil"/>
              <w:left w:val="nil"/>
              <w:bottom w:val="single" w:sz="4" w:space="0" w:color="auto"/>
              <w:right w:val="single" w:sz="4" w:space="0" w:color="auto"/>
            </w:tcBorders>
            <w:shd w:val="clear" w:color="000000" w:fill="FFFFFF"/>
            <w:noWrap/>
            <w:vAlign w:val="center"/>
            <w:hideMark/>
          </w:tcPr>
          <w:p w14:paraId="66B03DE6"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5</w:t>
            </w:r>
          </w:p>
        </w:tc>
        <w:tc>
          <w:tcPr>
            <w:tcW w:w="897" w:type="dxa"/>
            <w:tcBorders>
              <w:top w:val="nil"/>
              <w:left w:val="nil"/>
              <w:bottom w:val="single" w:sz="4" w:space="0" w:color="auto"/>
              <w:right w:val="single" w:sz="4" w:space="0" w:color="auto"/>
            </w:tcBorders>
            <w:shd w:val="clear" w:color="000000" w:fill="FFFFFF"/>
            <w:noWrap/>
            <w:vAlign w:val="center"/>
            <w:hideMark/>
          </w:tcPr>
          <w:p w14:paraId="1243936C"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w:t>
            </w:r>
          </w:p>
        </w:tc>
        <w:tc>
          <w:tcPr>
            <w:tcW w:w="892" w:type="dxa"/>
            <w:tcBorders>
              <w:top w:val="nil"/>
              <w:left w:val="nil"/>
              <w:bottom w:val="single" w:sz="4" w:space="0" w:color="auto"/>
              <w:right w:val="single" w:sz="4" w:space="0" w:color="auto"/>
            </w:tcBorders>
            <w:shd w:val="clear" w:color="000000" w:fill="FFFFFF"/>
            <w:noWrap/>
            <w:vAlign w:val="center"/>
            <w:hideMark/>
          </w:tcPr>
          <w:p w14:paraId="457B5B2B"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20%</w:t>
            </w:r>
          </w:p>
        </w:tc>
        <w:tc>
          <w:tcPr>
            <w:tcW w:w="1063" w:type="dxa"/>
            <w:tcBorders>
              <w:top w:val="nil"/>
              <w:left w:val="nil"/>
              <w:bottom w:val="single" w:sz="4" w:space="0" w:color="auto"/>
              <w:right w:val="single" w:sz="4" w:space="0" w:color="auto"/>
            </w:tcBorders>
            <w:shd w:val="clear" w:color="000000" w:fill="FFFFFF"/>
            <w:noWrap/>
            <w:vAlign w:val="center"/>
            <w:hideMark/>
          </w:tcPr>
          <w:p w14:paraId="28655EA8"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w:t>
            </w:r>
          </w:p>
        </w:tc>
        <w:tc>
          <w:tcPr>
            <w:tcW w:w="1063" w:type="dxa"/>
            <w:tcBorders>
              <w:top w:val="nil"/>
              <w:left w:val="nil"/>
              <w:bottom w:val="single" w:sz="4" w:space="0" w:color="auto"/>
              <w:right w:val="single" w:sz="4" w:space="0" w:color="auto"/>
            </w:tcBorders>
            <w:shd w:val="clear" w:color="000000" w:fill="FFFFFF"/>
            <w:noWrap/>
            <w:vAlign w:val="center"/>
            <w:hideMark/>
          </w:tcPr>
          <w:p w14:paraId="53ED2B4C"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w:t>
            </w:r>
          </w:p>
        </w:tc>
        <w:tc>
          <w:tcPr>
            <w:tcW w:w="1063" w:type="dxa"/>
            <w:tcBorders>
              <w:top w:val="nil"/>
              <w:left w:val="nil"/>
              <w:bottom w:val="single" w:sz="4" w:space="0" w:color="auto"/>
              <w:right w:val="single" w:sz="4" w:space="0" w:color="auto"/>
            </w:tcBorders>
            <w:shd w:val="clear" w:color="000000" w:fill="FFFFFF"/>
            <w:noWrap/>
            <w:vAlign w:val="center"/>
            <w:hideMark/>
          </w:tcPr>
          <w:p w14:paraId="4CA2DB66"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100%</w:t>
            </w:r>
          </w:p>
        </w:tc>
      </w:tr>
      <w:tr w:rsidR="00BA0D82" w:rsidRPr="0005691D" w14:paraId="61AD4ACE" w14:textId="77777777" w:rsidTr="001A5653">
        <w:trPr>
          <w:trHeight w:val="300"/>
        </w:trPr>
        <w:tc>
          <w:tcPr>
            <w:tcW w:w="2506" w:type="dxa"/>
            <w:tcBorders>
              <w:top w:val="nil"/>
              <w:left w:val="single" w:sz="4" w:space="0" w:color="auto"/>
              <w:bottom w:val="single" w:sz="4" w:space="0" w:color="auto"/>
              <w:right w:val="single" w:sz="4" w:space="0" w:color="auto"/>
            </w:tcBorders>
            <w:shd w:val="clear" w:color="000000" w:fill="B4C6E7"/>
            <w:noWrap/>
            <w:vAlign w:val="center"/>
            <w:hideMark/>
          </w:tcPr>
          <w:p w14:paraId="6F67BFB2" w14:textId="77777777" w:rsidR="00BA0D82" w:rsidRPr="0005691D" w:rsidRDefault="00BA0D82" w:rsidP="001A5653">
            <w:pPr>
              <w:spacing w:after="0" w:line="240" w:lineRule="auto"/>
              <w:jc w:val="right"/>
              <w:rPr>
                <w:rFonts w:ascii="Calibri" w:eastAsia="Times New Roman" w:hAnsi="Calibri" w:cs="Calibri"/>
                <w:b/>
                <w:bCs/>
                <w:color w:val="000000"/>
              </w:rPr>
            </w:pPr>
            <w:r w:rsidRPr="0005691D">
              <w:rPr>
                <w:rFonts w:ascii="Calibri" w:eastAsia="Times New Roman" w:hAnsi="Calibri" w:cs="Calibri"/>
                <w:b/>
                <w:bCs/>
                <w:color w:val="000000"/>
              </w:rPr>
              <w:t>The Career Index Plus (TCI+) and LMI</w:t>
            </w:r>
          </w:p>
        </w:tc>
        <w:tc>
          <w:tcPr>
            <w:tcW w:w="1165" w:type="dxa"/>
            <w:tcBorders>
              <w:top w:val="nil"/>
              <w:left w:val="nil"/>
              <w:bottom w:val="single" w:sz="4" w:space="0" w:color="auto"/>
              <w:right w:val="single" w:sz="4" w:space="0" w:color="auto"/>
            </w:tcBorders>
            <w:shd w:val="clear" w:color="000000" w:fill="D9E2F3"/>
            <w:noWrap/>
            <w:vAlign w:val="center"/>
            <w:hideMark/>
          </w:tcPr>
          <w:p w14:paraId="7A31FF01"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w:t>
            </w:r>
          </w:p>
        </w:tc>
        <w:tc>
          <w:tcPr>
            <w:tcW w:w="1254" w:type="dxa"/>
            <w:tcBorders>
              <w:top w:val="nil"/>
              <w:left w:val="nil"/>
              <w:bottom w:val="single" w:sz="4" w:space="0" w:color="auto"/>
              <w:right w:val="single" w:sz="4" w:space="0" w:color="auto"/>
            </w:tcBorders>
            <w:shd w:val="clear" w:color="000000" w:fill="D9E2F3"/>
            <w:noWrap/>
            <w:vAlign w:val="center"/>
            <w:hideMark/>
          </w:tcPr>
          <w:p w14:paraId="6B10C691"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100%</w:t>
            </w:r>
          </w:p>
        </w:tc>
        <w:tc>
          <w:tcPr>
            <w:tcW w:w="897" w:type="dxa"/>
            <w:tcBorders>
              <w:top w:val="nil"/>
              <w:left w:val="nil"/>
              <w:bottom w:val="single" w:sz="4" w:space="0" w:color="auto"/>
              <w:right w:val="single" w:sz="4" w:space="0" w:color="auto"/>
            </w:tcBorders>
            <w:shd w:val="clear" w:color="000000" w:fill="D9E2F3"/>
            <w:noWrap/>
            <w:vAlign w:val="center"/>
            <w:hideMark/>
          </w:tcPr>
          <w:p w14:paraId="7D9E9698"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w:t>
            </w:r>
          </w:p>
        </w:tc>
        <w:tc>
          <w:tcPr>
            <w:tcW w:w="897" w:type="dxa"/>
            <w:tcBorders>
              <w:top w:val="nil"/>
              <w:left w:val="nil"/>
              <w:bottom w:val="single" w:sz="4" w:space="0" w:color="auto"/>
              <w:right w:val="single" w:sz="4" w:space="0" w:color="auto"/>
            </w:tcBorders>
            <w:shd w:val="clear" w:color="000000" w:fill="D9E2F3"/>
            <w:noWrap/>
            <w:vAlign w:val="center"/>
            <w:hideMark/>
          </w:tcPr>
          <w:p w14:paraId="4804310A"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w:t>
            </w:r>
          </w:p>
        </w:tc>
        <w:tc>
          <w:tcPr>
            <w:tcW w:w="892" w:type="dxa"/>
            <w:tcBorders>
              <w:top w:val="nil"/>
              <w:left w:val="nil"/>
              <w:bottom w:val="single" w:sz="4" w:space="0" w:color="auto"/>
              <w:right w:val="single" w:sz="4" w:space="0" w:color="auto"/>
            </w:tcBorders>
            <w:shd w:val="clear" w:color="000000" w:fill="D9E2F3"/>
            <w:noWrap/>
            <w:vAlign w:val="center"/>
            <w:hideMark/>
          </w:tcPr>
          <w:p w14:paraId="63DA3528"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100%</w:t>
            </w:r>
          </w:p>
        </w:tc>
        <w:tc>
          <w:tcPr>
            <w:tcW w:w="1063" w:type="dxa"/>
            <w:tcBorders>
              <w:top w:val="nil"/>
              <w:left w:val="nil"/>
              <w:bottom w:val="single" w:sz="4" w:space="0" w:color="auto"/>
              <w:right w:val="single" w:sz="4" w:space="0" w:color="auto"/>
            </w:tcBorders>
            <w:shd w:val="clear" w:color="000000" w:fill="D9E2F3"/>
            <w:noWrap/>
            <w:vAlign w:val="center"/>
            <w:hideMark/>
          </w:tcPr>
          <w:p w14:paraId="45362848"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w:t>
            </w:r>
          </w:p>
        </w:tc>
        <w:tc>
          <w:tcPr>
            <w:tcW w:w="1063" w:type="dxa"/>
            <w:tcBorders>
              <w:top w:val="nil"/>
              <w:left w:val="nil"/>
              <w:bottom w:val="single" w:sz="4" w:space="0" w:color="auto"/>
              <w:right w:val="single" w:sz="4" w:space="0" w:color="auto"/>
            </w:tcBorders>
            <w:shd w:val="clear" w:color="000000" w:fill="D9E2F3"/>
            <w:noWrap/>
            <w:vAlign w:val="center"/>
            <w:hideMark/>
          </w:tcPr>
          <w:p w14:paraId="49B42973"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w:t>
            </w:r>
          </w:p>
        </w:tc>
        <w:tc>
          <w:tcPr>
            <w:tcW w:w="1063" w:type="dxa"/>
            <w:tcBorders>
              <w:top w:val="nil"/>
              <w:left w:val="nil"/>
              <w:bottom w:val="single" w:sz="4" w:space="0" w:color="auto"/>
              <w:right w:val="single" w:sz="4" w:space="0" w:color="auto"/>
            </w:tcBorders>
            <w:shd w:val="clear" w:color="000000" w:fill="D9E2F3"/>
            <w:noWrap/>
            <w:vAlign w:val="center"/>
            <w:hideMark/>
          </w:tcPr>
          <w:p w14:paraId="1FA6EBB5"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100%</w:t>
            </w:r>
          </w:p>
        </w:tc>
      </w:tr>
      <w:tr w:rsidR="00BA0D82" w:rsidRPr="0005691D" w14:paraId="5C36EA32" w14:textId="77777777" w:rsidTr="001A5653">
        <w:trPr>
          <w:trHeight w:val="300"/>
        </w:trPr>
        <w:tc>
          <w:tcPr>
            <w:tcW w:w="2506" w:type="dxa"/>
            <w:tcBorders>
              <w:top w:val="nil"/>
              <w:left w:val="single" w:sz="4" w:space="0" w:color="auto"/>
              <w:bottom w:val="single" w:sz="4" w:space="0" w:color="auto"/>
              <w:right w:val="single" w:sz="4" w:space="0" w:color="auto"/>
            </w:tcBorders>
            <w:shd w:val="clear" w:color="000000" w:fill="B4C6E7"/>
            <w:noWrap/>
            <w:vAlign w:val="center"/>
            <w:hideMark/>
          </w:tcPr>
          <w:p w14:paraId="501BA8B0" w14:textId="77777777" w:rsidR="00BA0D82" w:rsidRPr="0005691D" w:rsidRDefault="00BA0D82" w:rsidP="001A5653">
            <w:pPr>
              <w:spacing w:after="0" w:line="240" w:lineRule="auto"/>
              <w:jc w:val="right"/>
              <w:rPr>
                <w:rFonts w:ascii="Calibri" w:eastAsia="Times New Roman" w:hAnsi="Calibri" w:cs="Calibri"/>
                <w:b/>
                <w:bCs/>
                <w:color w:val="000000"/>
              </w:rPr>
            </w:pPr>
            <w:r w:rsidRPr="0005691D">
              <w:rPr>
                <w:rFonts w:ascii="Calibri" w:eastAsia="Times New Roman" w:hAnsi="Calibri" w:cs="Calibri"/>
                <w:b/>
                <w:bCs/>
                <w:color w:val="000000"/>
              </w:rPr>
              <w:t>Customized Employment</w:t>
            </w:r>
          </w:p>
        </w:tc>
        <w:tc>
          <w:tcPr>
            <w:tcW w:w="1165" w:type="dxa"/>
            <w:tcBorders>
              <w:top w:val="nil"/>
              <w:left w:val="nil"/>
              <w:bottom w:val="single" w:sz="4" w:space="0" w:color="auto"/>
              <w:right w:val="single" w:sz="4" w:space="0" w:color="auto"/>
            </w:tcBorders>
            <w:shd w:val="clear" w:color="000000" w:fill="FFFFFF"/>
            <w:noWrap/>
            <w:vAlign w:val="center"/>
            <w:hideMark/>
          </w:tcPr>
          <w:p w14:paraId="50233856"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8</w:t>
            </w:r>
          </w:p>
        </w:tc>
        <w:tc>
          <w:tcPr>
            <w:tcW w:w="1254" w:type="dxa"/>
            <w:tcBorders>
              <w:top w:val="nil"/>
              <w:left w:val="nil"/>
              <w:bottom w:val="single" w:sz="4" w:space="0" w:color="auto"/>
              <w:right w:val="single" w:sz="4" w:space="0" w:color="auto"/>
            </w:tcBorders>
            <w:shd w:val="clear" w:color="000000" w:fill="FFFFFF"/>
            <w:noWrap/>
            <w:vAlign w:val="center"/>
            <w:hideMark/>
          </w:tcPr>
          <w:p w14:paraId="72351142"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56%</w:t>
            </w:r>
          </w:p>
        </w:tc>
        <w:tc>
          <w:tcPr>
            <w:tcW w:w="897" w:type="dxa"/>
            <w:tcBorders>
              <w:top w:val="nil"/>
              <w:left w:val="nil"/>
              <w:bottom w:val="single" w:sz="4" w:space="0" w:color="auto"/>
              <w:right w:val="single" w:sz="4" w:space="0" w:color="auto"/>
            </w:tcBorders>
            <w:shd w:val="clear" w:color="000000" w:fill="FFFFFF"/>
            <w:noWrap/>
            <w:vAlign w:val="center"/>
            <w:hideMark/>
          </w:tcPr>
          <w:p w14:paraId="78E3FEE5"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8</w:t>
            </w:r>
          </w:p>
        </w:tc>
        <w:tc>
          <w:tcPr>
            <w:tcW w:w="897" w:type="dxa"/>
            <w:tcBorders>
              <w:top w:val="nil"/>
              <w:left w:val="nil"/>
              <w:bottom w:val="single" w:sz="4" w:space="0" w:color="auto"/>
              <w:right w:val="single" w:sz="4" w:space="0" w:color="auto"/>
            </w:tcBorders>
            <w:shd w:val="clear" w:color="000000" w:fill="FFFFFF"/>
            <w:noWrap/>
            <w:vAlign w:val="center"/>
            <w:hideMark/>
          </w:tcPr>
          <w:p w14:paraId="5DB68303"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3</w:t>
            </w:r>
          </w:p>
        </w:tc>
        <w:tc>
          <w:tcPr>
            <w:tcW w:w="892" w:type="dxa"/>
            <w:tcBorders>
              <w:top w:val="nil"/>
              <w:left w:val="nil"/>
              <w:bottom w:val="single" w:sz="4" w:space="0" w:color="auto"/>
              <w:right w:val="single" w:sz="4" w:space="0" w:color="auto"/>
            </w:tcBorders>
            <w:shd w:val="clear" w:color="000000" w:fill="FFFFFF"/>
            <w:noWrap/>
            <w:vAlign w:val="center"/>
            <w:hideMark/>
          </w:tcPr>
          <w:p w14:paraId="3DCCF29E"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38%</w:t>
            </w:r>
          </w:p>
        </w:tc>
        <w:tc>
          <w:tcPr>
            <w:tcW w:w="1063" w:type="dxa"/>
            <w:tcBorders>
              <w:top w:val="nil"/>
              <w:left w:val="nil"/>
              <w:bottom w:val="single" w:sz="4" w:space="0" w:color="auto"/>
              <w:right w:val="single" w:sz="4" w:space="0" w:color="auto"/>
            </w:tcBorders>
            <w:shd w:val="clear" w:color="000000" w:fill="FFFFFF"/>
            <w:noWrap/>
            <w:vAlign w:val="center"/>
            <w:hideMark/>
          </w:tcPr>
          <w:p w14:paraId="7A8459C8"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7</w:t>
            </w:r>
          </w:p>
        </w:tc>
        <w:tc>
          <w:tcPr>
            <w:tcW w:w="1063" w:type="dxa"/>
            <w:tcBorders>
              <w:top w:val="nil"/>
              <w:left w:val="nil"/>
              <w:bottom w:val="single" w:sz="4" w:space="0" w:color="auto"/>
              <w:right w:val="single" w:sz="4" w:space="0" w:color="auto"/>
            </w:tcBorders>
            <w:shd w:val="clear" w:color="000000" w:fill="FFFFFF"/>
            <w:noWrap/>
            <w:vAlign w:val="center"/>
            <w:hideMark/>
          </w:tcPr>
          <w:p w14:paraId="42754B50"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w:t>
            </w:r>
          </w:p>
        </w:tc>
        <w:tc>
          <w:tcPr>
            <w:tcW w:w="1063" w:type="dxa"/>
            <w:tcBorders>
              <w:top w:val="nil"/>
              <w:left w:val="nil"/>
              <w:bottom w:val="single" w:sz="4" w:space="0" w:color="auto"/>
              <w:right w:val="single" w:sz="4" w:space="0" w:color="auto"/>
            </w:tcBorders>
            <w:shd w:val="clear" w:color="000000" w:fill="FFFFFF"/>
            <w:noWrap/>
            <w:vAlign w:val="center"/>
            <w:hideMark/>
          </w:tcPr>
          <w:p w14:paraId="28D70711"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14%</w:t>
            </w:r>
          </w:p>
        </w:tc>
      </w:tr>
      <w:tr w:rsidR="00BA0D82" w:rsidRPr="0005691D" w14:paraId="58270E12" w14:textId="77777777" w:rsidTr="001A5653">
        <w:trPr>
          <w:trHeight w:val="300"/>
        </w:trPr>
        <w:tc>
          <w:tcPr>
            <w:tcW w:w="2506" w:type="dxa"/>
            <w:tcBorders>
              <w:top w:val="nil"/>
              <w:left w:val="nil"/>
              <w:bottom w:val="nil"/>
              <w:right w:val="nil"/>
            </w:tcBorders>
            <w:shd w:val="clear" w:color="auto" w:fill="auto"/>
            <w:noWrap/>
            <w:vAlign w:val="bottom"/>
            <w:hideMark/>
          </w:tcPr>
          <w:p w14:paraId="41C363E5" w14:textId="77777777" w:rsidR="00BA0D82" w:rsidRPr="0005691D" w:rsidRDefault="00BA0D82" w:rsidP="001A5653">
            <w:pPr>
              <w:spacing w:after="0" w:line="240" w:lineRule="auto"/>
              <w:jc w:val="center"/>
              <w:rPr>
                <w:rFonts w:ascii="Calibri" w:eastAsia="Times New Roman" w:hAnsi="Calibri" w:cs="Calibri"/>
                <w:color w:val="000000"/>
              </w:rPr>
            </w:pPr>
          </w:p>
        </w:tc>
        <w:tc>
          <w:tcPr>
            <w:tcW w:w="1165" w:type="dxa"/>
            <w:tcBorders>
              <w:top w:val="nil"/>
              <w:left w:val="nil"/>
              <w:bottom w:val="nil"/>
              <w:right w:val="nil"/>
            </w:tcBorders>
            <w:shd w:val="clear" w:color="auto" w:fill="auto"/>
            <w:noWrap/>
            <w:vAlign w:val="center"/>
            <w:hideMark/>
          </w:tcPr>
          <w:p w14:paraId="7FDC18F6" w14:textId="77777777" w:rsidR="00BA0D82" w:rsidRPr="0005691D" w:rsidRDefault="00BA0D82" w:rsidP="001A5653">
            <w:pPr>
              <w:spacing w:after="0" w:line="240" w:lineRule="auto"/>
              <w:rPr>
                <w:rFonts w:ascii="Times New Roman" w:eastAsia="Times New Roman" w:hAnsi="Times New Roman" w:cs="Times New Roman"/>
                <w:sz w:val="20"/>
                <w:szCs w:val="20"/>
              </w:rPr>
            </w:pPr>
          </w:p>
        </w:tc>
        <w:tc>
          <w:tcPr>
            <w:tcW w:w="1254" w:type="dxa"/>
            <w:tcBorders>
              <w:top w:val="nil"/>
              <w:left w:val="nil"/>
              <w:bottom w:val="nil"/>
              <w:right w:val="nil"/>
            </w:tcBorders>
            <w:shd w:val="clear" w:color="auto" w:fill="auto"/>
            <w:noWrap/>
            <w:vAlign w:val="center"/>
            <w:hideMark/>
          </w:tcPr>
          <w:p w14:paraId="39B68E3A"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c>
          <w:tcPr>
            <w:tcW w:w="897" w:type="dxa"/>
            <w:tcBorders>
              <w:top w:val="nil"/>
              <w:left w:val="nil"/>
              <w:bottom w:val="nil"/>
              <w:right w:val="nil"/>
            </w:tcBorders>
            <w:shd w:val="clear" w:color="auto" w:fill="auto"/>
            <w:noWrap/>
            <w:vAlign w:val="center"/>
            <w:hideMark/>
          </w:tcPr>
          <w:p w14:paraId="2B7B2076"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c>
          <w:tcPr>
            <w:tcW w:w="897" w:type="dxa"/>
            <w:tcBorders>
              <w:top w:val="nil"/>
              <w:left w:val="nil"/>
              <w:bottom w:val="nil"/>
              <w:right w:val="nil"/>
            </w:tcBorders>
            <w:shd w:val="clear" w:color="auto" w:fill="auto"/>
            <w:noWrap/>
            <w:vAlign w:val="center"/>
            <w:hideMark/>
          </w:tcPr>
          <w:p w14:paraId="2D991D18"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c>
          <w:tcPr>
            <w:tcW w:w="892" w:type="dxa"/>
            <w:tcBorders>
              <w:top w:val="nil"/>
              <w:left w:val="nil"/>
              <w:bottom w:val="nil"/>
              <w:right w:val="nil"/>
            </w:tcBorders>
            <w:shd w:val="clear" w:color="auto" w:fill="auto"/>
            <w:noWrap/>
            <w:vAlign w:val="center"/>
            <w:hideMark/>
          </w:tcPr>
          <w:p w14:paraId="65FDED78"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c>
          <w:tcPr>
            <w:tcW w:w="1063" w:type="dxa"/>
            <w:tcBorders>
              <w:top w:val="nil"/>
              <w:left w:val="nil"/>
              <w:bottom w:val="nil"/>
              <w:right w:val="nil"/>
            </w:tcBorders>
            <w:shd w:val="clear" w:color="auto" w:fill="auto"/>
            <w:noWrap/>
            <w:vAlign w:val="center"/>
            <w:hideMark/>
          </w:tcPr>
          <w:p w14:paraId="598C06EF"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c>
          <w:tcPr>
            <w:tcW w:w="1063" w:type="dxa"/>
            <w:tcBorders>
              <w:top w:val="nil"/>
              <w:left w:val="nil"/>
              <w:bottom w:val="nil"/>
              <w:right w:val="nil"/>
            </w:tcBorders>
            <w:shd w:val="clear" w:color="auto" w:fill="auto"/>
            <w:noWrap/>
            <w:vAlign w:val="center"/>
            <w:hideMark/>
          </w:tcPr>
          <w:p w14:paraId="6BF2DFB4"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c>
          <w:tcPr>
            <w:tcW w:w="1063" w:type="dxa"/>
            <w:tcBorders>
              <w:top w:val="nil"/>
              <w:left w:val="nil"/>
              <w:bottom w:val="nil"/>
              <w:right w:val="nil"/>
            </w:tcBorders>
            <w:shd w:val="clear" w:color="auto" w:fill="auto"/>
            <w:noWrap/>
            <w:vAlign w:val="center"/>
            <w:hideMark/>
          </w:tcPr>
          <w:p w14:paraId="5F7CF745"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r>
      <w:tr w:rsidR="00BA0D82" w:rsidRPr="0005691D" w14:paraId="4012AC2C" w14:textId="77777777" w:rsidTr="001A5653">
        <w:trPr>
          <w:trHeight w:val="465"/>
        </w:trPr>
        <w:tc>
          <w:tcPr>
            <w:tcW w:w="10800" w:type="dxa"/>
            <w:gridSpan w:val="9"/>
            <w:tcBorders>
              <w:top w:val="single" w:sz="4" w:space="0" w:color="auto"/>
              <w:left w:val="nil"/>
              <w:bottom w:val="single" w:sz="4" w:space="0" w:color="auto"/>
              <w:right w:val="nil"/>
            </w:tcBorders>
            <w:shd w:val="clear" w:color="auto" w:fill="auto"/>
            <w:noWrap/>
            <w:vAlign w:val="bottom"/>
            <w:hideMark/>
          </w:tcPr>
          <w:p w14:paraId="6D53B9FA" w14:textId="77777777" w:rsidR="00BA0D82" w:rsidRPr="0005691D" w:rsidRDefault="00BA0D82" w:rsidP="00BA0D82">
            <w:pPr>
              <w:pStyle w:val="Heading2"/>
              <w:numPr>
                <w:ilvl w:val="0"/>
                <w:numId w:val="0"/>
              </w:numPr>
              <w:rPr>
                <w:rFonts w:eastAsia="Times New Roman"/>
              </w:rPr>
            </w:pPr>
            <w:bookmarkStart w:id="235" w:name="_Toc27143207"/>
            <w:bookmarkStart w:id="236" w:name="_Toc28011506"/>
            <w:r w:rsidRPr="0005691D">
              <w:rPr>
                <w:rFonts w:eastAsia="Times New Roman"/>
              </w:rPr>
              <w:t>Michigan General</w:t>
            </w:r>
            <w:bookmarkEnd w:id="235"/>
            <w:bookmarkEnd w:id="236"/>
          </w:p>
        </w:tc>
      </w:tr>
      <w:tr w:rsidR="00BA0D82" w:rsidRPr="0005691D" w14:paraId="2BAE73D4" w14:textId="77777777" w:rsidTr="001A5653">
        <w:trPr>
          <w:trHeight w:val="1305"/>
        </w:trPr>
        <w:tc>
          <w:tcPr>
            <w:tcW w:w="2506" w:type="dxa"/>
            <w:tcBorders>
              <w:top w:val="nil"/>
              <w:left w:val="single" w:sz="4" w:space="0" w:color="auto"/>
              <w:bottom w:val="single" w:sz="4" w:space="0" w:color="auto"/>
              <w:right w:val="single" w:sz="4" w:space="0" w:color="auto"/>
            </w:tcBorders>
            <w:shd w:val="clear" w:color="000000" w:fill="B4C6E7"/>
            <w:vAlign w:val="bottom"/>
            <w:hideMark/>
          </w:tcPr>
          <w:p w14:paraId="2763F3AB" w14:textId="77777777" w:rsidR="00BA0D82" w:rsidRPr="0005691D" w:rsidRDefault="00BA0D82" w:rsidP="001A5653">
            <w:pPr>
              <w:spacing w:after="0" w:line="240" w:lineRule="auto"/>
              <w:jc w:val="right"/>
              <w:rPr>
                <w:rFonts w:ascii="Calibri" w:eastAsia="Times New Roman" w:hAnsi="Calibri" w:cs="Calibri"/>
                <w:b/>
                <w:bCs/>
                <w:color w:val="000000"/>
                <w:szCs w:val="28"/>
              </w:rPr>
            </w:pPr>
            <w:r w:rsidRPr="0005691D">
              <w:rPr>
                <w:rFonts w:ascii="Calibri" w:eastAsia="Times New Roman" w:hAnsi="Calibri" w:cs="Calibri"/>
                <w:b/>
                <w:bCs/>
                <w:color w:val="000000"/>
                <w:szCs w:val="28"/>
              </w:rPr>
              <w:t>Area</w:t>
            </w:r>
          </w:p>
        </w:tc>
        <w:tc>
          <w:tcPr>
            <w:tcW w:w="1165" w:type="dxa"/>
            <w:tcBorders>
              <w:top w:val="nil"/>
              <w:left w:val="nil"/>
              <w:bottom w:val="single" w:sz="4" w:space="0" w:color="auto"/>
              <w:right w:val="single" w:sz="4" w:space="0" w:color="auto"/>
            </w:tcBorders>
            <w:shd w:val="clear" w:color="000000" w:fill="B4C6E7"/>
            <w:vAlign w:val="bottom"/>
            <w:hideMark/>
          </w:tcPr>
          <w:p w14:paraId="4087BF3D"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of Total Activities</w:t>
            </w:r>
          </w:p>
        </w:tc>
        <w:tc>
          <w:tcPr>
            <w:tcW w:w="1254" w:type="dxa"/>
            <w:tcBorders>
              <w:top w:val="nil"/>
              <w:left w:val="nil"/>
              <w:bottom w:val="single" w:sz="4" w:space="0" w:color="auto"/>
              <w:right w:val="single" w:sz="4" w:space="0" w:color="auto"/>
            </w:tcBorders>
            <w:shd w:val="clear" w:color="000000" w:fill="B4C6E7"/>
            <w:vAlign w:val="bottom"/>
            <w:hideMark/>
          </w:tcPr>
          <w:p w14:paraId="32C05204"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Average Progress on Activities (%)</w:t>
            </w:r>
          </w:p>
        </w:tc>
        <w:tc>
          <w:tcPr>
            <w:tcW w:w="897" w:type="dxa"/>
            <w:tcBorders>
              <w:top w:val="nil"/>
              <w:left w:val="nil"/>
              <w:bottom w:val="single" w:sz="4" w:space="0" w:color="auto"/>
              <w:right w:val="single" w:sz="4" w:space="0" w:color="auto"/>
            </w:tcBorders>
            <w:shd w:val="clear" w:color="000000" w:fill="B4C6E7"/>
            <w:vAlign w:val="bottom"/>
            <w:hideMark/>
          </w:tcPr>
          <w:p w14:paraId="1717288A"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Outputs</w:t>
            </w:r>
          </w:p>
        </w:tc>
        <w:tc>
          <w:tcPr>
            <w:tcW w:w="897" w:type="dxa"/>
            <w:tcBorders>
              <w:top w:val="nil"/>
              <w:left w:val="nil"/>
              <w:bottom w:val="single" w:sz="4" w:space="0" w:color="auto"/>
              <w:right w:val="single" w:sz="4" w:space="0" w:color="auto"/>
            </w:tcBorders>
            <w:shd w:val="clear" w:color="000000" w:fill="B4C6E7"/>
            <w:vAlign w:val="bottom"/>
            <w:hideMark/>
          </w:tcPr>
          <w:p w14:paraId="6E7AFBBD"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Outputs Met</w:t>
            </w:r>
          </w:p>
        </w:tc>
        <w:tc>
          <w:tcPr>
            <w:tcW w:w="892" w:type="dxa"/>
            <w:tcBorders>
              <w:top w:val="nil"/>
              <w:left w:val="nil"/>
              <w:bottom w:val="single" w:sz="4" w:space="0" w:color="auto"/>
              <w:right w:val="single" w:sz="4" w:space="0" w:color="auto"/>
            </w:tcBorders>
            <w:shd w:val="clear" w:color="000000" w:fill="B4C6E7"/>
            <w:vAlign w:val="bottom"/>
            <w:hideMark/>
          </w:tcPr>
          <w:p w14:paraId="7F18780B"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Outputs Met</w:t>
            </w:r>
          </w:p>
        </w:tc>
        <w:tc>
          <w:tcPr>
            <w:tcW w:w="1063" w:type="dxa"/>
            <w:tcBorders>
              <w:top w:val="nil"/>
              <w:left w:val="nil"/>
              <w:bottom w:val="single" w:sz="4" w:space="0" w:color="auto"/>
              <w:right w:val="single" w:sz="4" w:space="0" w:color="auto"/>
            </w:tcBorders>
            <w:shd w:val="clear" w:color="000000" w:fill="B4C6E7"/>
            <w:vAlign w:val="bottom"/>
            <w:hideMark/>
          </w:tcPr>
          <w:p w14:paraId="68C23DE6"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Short-Term Outcomes</w:t>
            </w:r>
          </w:p>
        </w:tc>
        <w:tc>
          <w:tcPr>
            <w:tcW w:w="1063" w:type="dxa"/>
            <w:tcBorders>
              <w:top w:val="nil"/>
              <w:left w:val="nil"/>
              <w:bottom w:val="single" w:sz="4" w:space="0" w:color="auto"/>
              <w:right w:val="single" w:sz="4" w:space="0" w:color="auto"/>
            </w:tcBorders>
            <w:shd w:val="clear" w:color="000000" w:fill="B4C6E7"/>
            <w:vAlign w:val="bottom"/>
            <w:hideMark/>
          </w:tcPr>
          <w:p w14:paraId="7ECD7CCA"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Short-Term Outcomes Met</w:t>
            </w:r>
          </w:p>
        </w:tc>
        <w:tc>
          <w:tcPr>
            <w:tcW w:w="1063" w:type="dxa"/>
            <w:tcBorders>
              <w:top w:val="nil"/>
              <w:left w:val="nil"/>
              <w:bottom w:val="single" w:sz="4" w:space="0" w:color="auto"/>
              <w:right w:val="single" w:sz="4" w:space="0" w:color="auto"/>
            </w:tcBorders>
            <w:shd w:val="clear" w:color="000000" w:fill="B4C6E7"/>
            <w:vAlign w:val="bottom"/>
            <w:hideMark/>
          </w:tcPr>
          <w:p w14:paraId="2C39423A"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%Short-Term Outcomes Achieved</w:t>
            </w:r>
          </w:p>
        </w:tc>
      </w:tr>
      <w:tr w:rsidR="00BA0D82" w:rsidRPr="0005691D" w14:paraId="024A0436" w14:textId="77777777" w:rsidTr="001A5653">
        <w:trPr>
          <w:trHeight w:val="300"/>
        </w:trPr>
        <w:tc>
          <w:tcPr>
            <w:tcW w:w="2506" w:type="dxa"/>
            <w:tcBorders>
              <w:top w:val="nil"/>
              <w:left w:val="single" w:sz="4" w:space="0" w:color="auto"/>
              <w:bottom w:val="single" w:sz="4" w:space="0" w:color="auto"/>
              <w:right w:val="single" w:sz="4" w:space="0" w:color="auto"/>
            </w:tcBorders>
            <w:shd w:val="clear" w:color="000000" w:fill="B4C6E7"/>
            <w:noWrap/>
            <w:vAlign w:val="center"/>
            <w:hideMark/>
          </w:tcPr>
          <w:p w14:paraId="5E9E4DCD" w14:textId="77777777" w:rsidR="00BA0D82" w:rsidRPr="0005691D" w:rsidRDefault="00BA0D82" w:rsidP="001A5653">
            <w:pPr>
              <w:spacing w:after="0" w:line="240" w:lineRule="auto"/>
              <w:jc w:val="right"/>
              <w:rPr>
                <w:rFonts w:ascii="Calibri" w:eastAsia="Times New Roman" w:hAnsi="Calibri" w:cs="Calibri"/>
                <w:b/>
                <w:bCs/>
                <w:color w:val="000000"/>
              </w:rPr>
            </w:pPr>
            <w:r w:rsidRPr="0005691D">
              <w:rPr>
                <w:rFonts w:ascii="Calibri" w:eastAsia="Times New Roman" w:hAnsi="Calibri" w:cs="Calibri"/>
                <w:b/>
                <w:bCs/>
                <w:color w:val="000000"/>
              </w:rPr>
              <w:t>Pre-ETS</w:t>
            </w:r>
          </w:p>
        </w:tc>
        <w:tc>
          <w:tcPr>
            <w:tcW w:w="1165" w:type="dxa"/>
            <w:tcBorders>
              <w:top w:val="nil"/>
              <w:left w:val="nil"/>
              <w:bottom w:val="single" w:sz="4" w:space="0" w:color="auto"/>
              <w:right w:val="single" w:sz="4" w:space="0" w:color="auto"/>
            </w:tcBorders>
            <w:shd w:val="clear" w:color="000000" w:fill="FFFFFF"/>
            <w:noWrap/>
            <w:vAlign w:val="center"/>
            <w:hideMark/>
          </w:tcPr>
          <w:p w14:paraId="7A1B9DBE"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9</w:t>
            </w:r>
          </w:p>
        </w:tc>
        <w:tc>
          <w:tcPr>
            <w:tcW w:w="1254" w:type="dxa"/>
            <w:tcBorders>
              <w:top w:val="nil"/>
              <w:left w:val="nil"/>
              <w:bottom w:val="single" w:sz="4" w:space="0" w:color="auto"/>
              <w:right w:val="single" w:sz="4" w:space="0" w:color="auto"/>
            </w:tcBorders>
            <w:shd w:val="clear" w:color="000000" w:fill="FFFFFF"/>
            <w:noWrap/>
            <w:vAlign w:val="center"/>
            <w:hideMark/>
          </w:tcPr>
          <w:p w14:paraId="107F6DEC"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88%</w:t>
            </w:r>
          </w:p>
        </w:tc>
        <w:tc>
          <w:tcPr>
            <w:tcW w:w="897" w:type="dxa"/>
            <w:tcBorders>
              <w:top w:val="nil"/>
              <w:left w:val="nil"/>
              <w:bottom w:val="single" w:sz="4" w:space="0" w:color="auto"/>
              <w:right w:val="single" w:sz="4" w:space="0" w:color="auto"/>
            </w:tcBorders>
            <w:shd w:val="clear" w:color="000000" w:fill="FFFFFF"/>
            <w:noWrap/>
            <w:vAlign w:val="center"/>
            <w:hideMark/>
          </w:tcPr>
          <w:p w14:paraId="03A8BFCB"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9</w:t>
            </w:r>
          </w:p>
        </w:tc>
        <w:tc>
          <w:tcPr>
            <w:tcW w:w="897" w:type="dxa"/>
            <w:tcBorders>
              <w:top w:val="nil"/>
              <w:left w:val="nil"/>
              <w:bottom w:val="single" w:sz="4" w:space="0" w:color="auto"/>
              <w:right w:val="single" w:sz="4" w:space="0" w:color="auto"/>
            </w:tcBorders>
            <w:shd w:val="clear" w:color="000000" w:fill="FFFFFF"/>
            <w:noWrap/>
            <w:vAlign w:val="center"/>
            <w:hideMark/>
          </w:tcPr>
          <w:p w14:paraId="7BD2860A"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7</w:t>
            </w:r>
          </w:p>
        </w:tc>
        <w:tc>
          <w:tcPr>
            <w:tcW w:w="892" w:type="dxa"/>
            <w:tcBorders>
              <w:top w:val="nil"/>
              <w:left w:val="nil"/>
              <w:bottom w:val="single" w:sz="4" w:space="0" w:color="auto"/>
              <w:right w:val="single" w:sz="4" w:space="0" w:color="auto"/>
            </w:tcBorders>
            <w:shd w:val="clear" w:color="000000" w:fill="FFFFFF"/>
            <w:noWrap/>
            <w:vAlign w:val="center"/>
            <w:hideMark/>
          </w:tcPr>
          <w:p w14:paraId="566D2FC8"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78%</w:t>
            </w:r>
          </w:p>
        </w:tc>
        <w:tc>
          <w:tcPr>
            <w:tcW w:w="1063" w:type="dxa"/>
            <w:tcBorders>
              <w:top w:val="nil"/>
              <w:left w:val="nil"/>
              <w:bottom w:val="single" w:sz="4" w:space="0" w:color="auto"/>
              <w:right w:val="single" w:sz="4" w:space="0" w:color="auto"/>
            </w:tcBorders>
            <w:shd w:val="clear" w:color="000000" w:fill="FFFFFF"/>
            <w:noWrap/>
            <w:vAlign w:val="center"/>
            <w:hideMark/>
          </w:tcPr>
          <w:p w14:paraId="35CEF921"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4</w:t>
            </w:r>
          </w:p>
        </w:tc>
        <w:tc>
          <w:tcPr>
            <w:tcW w:w="1063" w:type="dxa"/>
            <w:tcBorders>
              <w:top w:val="nil"/>
              <w:left w:val="nil"/>
              <w:bottom w:val="single" w:sz="4" w:space="0" w:color="auto"/>
              <w:right w:val="single" w:sz="4" w:space="0" w:color="auto"/>
            </w:tcBorders>
            <w:shd w:val="clear" w:color="000000" w:fill="FFFFFF"/>
            <w:noWrap/>
            <w:vAlign w:val="center"/>
            <w:hideMark/>
          </w:tcPr>
          <w:p w14:paraId="603828EC"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2</w:t>
            </w:r>
          </w:p>
        </w:tc>
        <w:tc>
          <w:tcPr>
            <w:tcW w:w="1063" w:type="dxa"/>
            <w:tcBorders>
              <w:top w:val="nil"/>
              <w:left w:val="nil"/>
              <w:bottom w:val="single" w:sz="4" w:space="0" w:color="auto"/>
              <w:right w:val="single" w:sz="4" w:space="0" w:color="auto"/>
            </w:tcBorders>
            <w:shd w:val="clear" w:color="000000" w:fill="FFFFFF"/>
            <w:noWrap/>
            <w:vAlign w:val="center"/>
            <w:hideMark/>
          </w:tcPr>
          <w:p w14:paraId="6586DFF1"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50%</w:t>
            </w:r>
          </w:p>
        </w:tc>
      </w:tr>
      <w:tr w:rsidR="00BA0D82" w:rsidRPr="0005691D" w14:paraId="4EA58508" w14:textId="77777777" w:rsidTr="001A5653">
        <w:trPr>
          <w:trHeight w:val="300"/>
        </w:trPr>
        <w:tc>
          <w:tcPr>
            <w:tcW w:w="2506" w:type="dxa"/>
            <w:tcBorders>
              <w:top w:val="nil"/>
              <w:left w:val="single" w:sz="4" w:space="0" w:color="auto"/>
              <w:bottom w:val="single" w:sz="4" w:space="0" w:color="auto"/>
              <w:right w:val="single" w:sz="4" w:space="0" w:color="auto"/>
            </w:tcBorders>
            <w:shd w:val="clear" w:color="000000" w:fill="B4C6E7"/>
            <w:noWrap/>
            <w:vAlign w:val="center"/>
            <w:hideMark/>
          </w:tcPr>
          <w:p w14:paraId="6C902F0E" w14:textId="77777777" w:rsidR="00BA0D82" w:rsidRPr="0005691D" w:rsidRDefault="00BA0D82" w:rsidP="001A5653">
            <w:pPr>
              <w:spacing w:after="0" w:line="240" w:lineRule="auto"/>
              <w:jc w:val="right"/>
              <w:rPr>
                <w:rFonts w:ascii="Calibri" w:eastAsia="Times New Roman" w:hAnsi="Calibri" w:cs="Calibri"/>
                <w:b/>
                <w:bCs/>
                <w:color w:val="000000"/>
              </w:rPr>
            </w:pPr>
            <w:r w:rsidRPr="0005691D">
              <w:rPr>
                <w:rFonts w:ascii="Calibri" w:eastAsia="Times New Roman" w:hAnsi="Calibri" w:cs="Calibri"/>
                <w:b/>
                <w:bCs/>
                <w:color w:val="000000"/>
              </w:rPr>
              <w:t>Workforce Integration</w:t>
            </w:r>
          </w:p>
        </w:tc>
        <w:tc>
          <w:tcPr>
            <w:tcW w:w="1165" w:type="dxa"/>
            <w:tcBorders>
              <w:top w:val="nil"/>
              <w:left w:val="nil"/>
              <w:bottom w:val="single" w:sz="4" w:space="0" w:color="auto"/>
              <w:right w:val="single" w:sz="4" w:space="0" w:color="auto"/>
            </w:tcBorders>
            <w:shd w:val="clear" w:color="000000" w:fill="D9E2F3"/>
            <w:noWrap/>
            <w:vAlign w:val="center"/>
            <w:hideMark/>
          </w:tcPr>
          <w:p w14:paraId="726A2911"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2</w:t>
            </w:r>
          </w:p>
        </w:tc>
        <w:tc>
          <w:tcPr>
            <w:tcW w:w="1254" w:type="dxa"/>
            <w:tcBorders>
              <w:top w:val="nil"/>
              <w:left w:val="nil"/>
              <w:bottom w:val="single" w:sz="4" w:space="0" w:color="auto"/>
              <w:right w:val="single" w:sz="4" w:space="0" w:color="auto"/>
            </w:tcBorders>
            <w:shd w:val="clear" w:color="000000" w:fill="D9E2F3"/>
            <w:noWrap/>
            <w:vAlign w:val="center"/>
            <w:hideMark/>
          </w:tcPr>
          <w:p w14:paraId="6DB66131"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13%</w:t>
            </w:r>
          </w:p>
        </w:tc>
        <w:tc>
          <w:tcPr>
            <w:tcW w:w="897" w:type="dxa"/>
            <w:tcBorders>
              <w:top w:val="nil"/>
              <w:left w:val="nil"/>
              <w:bottom w:val="single" w:sz="4" w:space="0" w:color="auto"/>
              <w:right w:val="single" w:sz="4" w:space="0" w:color="auto"/>
            </w:tcBorders>
            <w:shd w:val="clear" w:color="000000" w:fill="D9E2F3"/>
            <w:noWrap/>
            <w:vAlign w:val="center"/>
            <w:hideMark/>
          </w:tcPr>
          <w:p w14:paraId="08BB83EC"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2</w:t>
            </w:r>
          </w:p>
        </w:tc>
        <w:tc>
          <w:tcPr>
            <w:tcW w:w="897" w:type="dxa"/>
            <w:tcBorders>
              <w:top w:val="nil"/>
              <w:left w:val="nil"/>
              <w:bottom w:val="single" w:sz="4" w:space="0" w:color="auto"/>
              <w:right w:val="single" w:sz="4" w:space="0" w:color="auto"/>
            </w:tcBorders>
            <w:shd w:val="clear" w:color="000000" w:fill="D9E2F3"/>
            <w:noWrap/>
            <w:vAlign w:val="center"/>
            <w:hideMark/>
          </w:tcPr>
          <w:p w14:paraId="1CC0B699"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0</w:t>
            </w:r>
          </w:p>
        </w:tc>
        <w:tc>
          <w:tcPr>
            <w:tcW w:w="892" w:type="dxa"/>
            <w:tcBorders>
              <w:top w:val="nil"/>
              <w:left w:val="nil"/>
              <w:bottom w:val="single" w:sz="4" w:space="0" w:color="auto"/>
              <w:right w:val="single" w:sz="4" w:space="0" w:color="auto"/>
            </w:tcBorders>
            <w:shd w:val="clear" w:color="000000" w:fill="D9E2F3"/>
            <w:noWrap/>
            <w:vAlign w:val="center"/>
            <w:hideMark/>
          </w:tcPr>
          <w:p w14:paraId="2829D876"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0%</w:t>
            </w:r>
          </w:p>
        </w:tc>
        <w:tc>
          <w:tcPr>
            <w:tcW w:w="1063" w:type="dxa"/>
            <w:tcBorders>
              <w:top w:val="nil"/>
              <w:left w:val="nil"/>
              <w:bottom w:val="single" w:sz="4" w:space="0" w:color="auto"/>
              <w:right w:val="single" w:sz="4" w:space="0" w:color="auto"/>
            </w:tcBorders>
            <w:shd w:val="clear" w:color="000000" w:fill="D9E2F3"/>
            <w:noWrap/>
            <w:vAlign w:val="center"/>
            <w:hideMark/>
          </w:tcPr>
          <w:p w14:paraId="6861E847"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2</w:t>
            </w:r>
          </w:p>
        </w:tc>
        <w:tc>
          <w:tcPr>
            <w:tcW w:w="1063" w:type="dxa"/>
            <w:tcBorders>
              <w:top w:val="nil"/>
              <w:left w:val="nil"/>
              <w:bottom w:val="single" w:sz="4" w:space="0" w:color="auto"/>
              <w:right w:val="single" w:sz="4" w:space="0" w:color="auto"/>
            </w:tcBorders>
            <w:shd w:val="clear" w:color="000000" w:fill="D9E2F3"/>
            <w:noWrap/>
            <w:vAlign w:val="center"/>
            <w:hideMark/>
          </w:tcPr>
          <w:p w14:paraId="0F18DB97"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0</w:t>
            </w:r>
          </w:p>
        </w:tc>
        <w:tc>
          <w:tcPr>
            <w:tcW w:w="1063" w:type="dxa"/>
            <w:tcBorders>
              <w:top w:val="nil"/>
              <w:left w:val="nil"/>
              <w:bottom w:val="single" w:sz="4" w:space="0" w:color="auto"/>
              <w:right w:val="single" w:sz="4" w:space="0" w:color="auto"/>
            </w:tcBorders>
            <w:shd w:val="clear" w:color="000000" w:fill="D9E2F3"/>
            <w:noWrap/>
            <w:vAlign w:val="center"/>
            <w:hideMark/>
          </w:tcPr>
          <w:p w14:paraId="47ACE3A1"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0%</w:t>
            </w:r>
          </w:p>
        </w:tc>
      </w:tr>
      <w:tr w:rsidR="00BA0D82" w:rsidRPr="0005691D" w14:paraId="44B1F2E8" w14:textId="77777777" w:rsidTr="001A5653">
        <w:trPr>
          <w:trHeight w:val="300"/>
        </w:trPr>
        <w:tc>
          <w:tcPr>
            <w:tcW w:w="2506" w:type="dxa"/>
            <w:tcBorders>
              <w:top w:val="nil"/>
              <w:left w:val="single" w:sz="4" w:space="0" w:color="auto"/>
              <w:bottom w:val="single" w:sz="4" w:space="0" w:color="auto"/>
              <w:right w:val="single" w:sz="4" w:space="0" w:color="auto"/>
            </w:tcBorders>
            <w:shd w:val="clear" w:color="000000" w:fill="B4C6E7"/>
            <w:noWrap/>
            <w:vAlign w:val="center"/>
            <w:hideMark/>
          </w:tcPr>
          <w:p w14:paraId="3EED732D" w14:textId="77777777" w:rsidR="00BA0D82" w:rsidRPr="0005691D" w:rsidRDefault="00BA0D82" w:rsidP="001A5653">
            <w:pPr>
              <w:spacing w:after="0" w:line="240" w:lineRule="auto"/>
              <w:jc w:val="right"/>
              <w:rPr>
                <w:rFonts w:ascii="Calibri" w:eastAsia="Times New Roman" w:hAnsi="Calibri" w:cs="Calibri"/>
                <w:b/>
                <w:bCs/>
                <w:color w:val="000000"/>
              </w:rPr>
            </w:pPr>
            <w:r w:rsidRPr="0005691D">
              <w:rPr>
                <w:rFonts w:ascii="Calibri" w:eastAsia="Times New Roman" w:hAnsi="Calibri" w:cs="Calibri"/>
                <w:b/>
                <w:bCs/>
                <w:color w:val="000000"/>
              </w:rPr>
              <w:t>Common Performance Measures</w:t>
            </w:r>
          </w:p>
        </w:tc>
        <w:tc>
          <w:tcPr>
            <w:tcW w:w="1165" w:type="dxa"/>
            <w:tcBorders>
              <w:top w:val="nil"/>
              <w:left w:val="nil"/>
              <w:bottom w:val="single" w:sz="4" w:space="0" w:color="auto"/>
              <w:right w:val="single" w:sz="4" w:space="0" w:color="auto"/>
            </w:tcBorders>
            <w:shd w:val="clear" w:color="000000" w:fill="FFFFFF"/>
            <w:noWrap/>
            <w:vAlign w:val="center"/>
            <w:hideMark/>
          </w:tcPr>
          <w:p w14:paraId="36685513"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5</w:t>
            </w:r>
          </w:p>
        </w:tc>
        <w:tc>
          <w:tcPr>
            <w:tcW w:w="1254" w:type="dxa"/>
            <w:tcBorders>
              <w:top w:val="nil"/>
              <w:left w:val="nil"/>
              <w:bottom w:val="single" w:sz="4" w:space="0" w:color="auto"/>
              <w:right w:val="single" w:sz="4" w:space="0" w:color="auto"/>
            </w:tcBorders>
            <w:shd w:val="clear" w:color="000000" w:fill="FFFFFF"/>
            <w:noWrap/>
            <w:vAlign w:val="center"/>
            <w:hideMark/>
          </w:tcPr>
          <w:p w14:paraId="5B947791"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60%</w:t>
            </w:r>
          </w:p>
        </w:tc>
        <w:tc>
          <w:tcPr>
            <w:tcW w:w="897" w:type="dxa"/>
            <w:tcBorders>
              <w:top w:val="nil"/>
              <w:left w:val="nil"/>
              <w:bottom w:val="single" w:sz="4" w:space="0" w:color="auto"/>
              <w:right w:val="single" w:sz="4" w:space="0" w:color="auto"/>
            </w:tcBorders>
            <w:shd w:val="clear" w:color="000000" w:fill="FFFFFF"/>
            <w:noWrap/>
            <w:vAlign w:val="center"/>
            <w:hideMark/>
          </w:tcPr>
          <w:p w14:paraId="69BBE252"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5</w:t>
            </w:r>
          </w:p>
        </w:tc>
        <w:tc>
          <w:tcPr>
            <w:tcW w:w="897" w:type="dxa"/>
            <w:tcBorders>
              <w:top w:val="nil"/>
              <w:left w:val="nil"/>
              <w:bottom w:val="single" w:sz="4" w:space="0" w:color="auto"/>
              <w:right w:val="single" w:sz="4" w:space="0" w:color="auto"/>
            </w:tcBorders>
            <w:shd w:val="clear" w:color="000000" w:fill="FFFFFF"/>
            <w:noWrap/>
            <w:vAlign w:val="center"/>
            <w:hideMark/>
          </w:tcPr>
          <w:p w14:paraId="67E64C29"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w:t>
            </w:r>
          </w:p>
        </w:tc>
        <w:tc>
          <w:tcPr>
            <w:tcW w:w="892" w:type="dxa"/>
            <w:tcBorders>
              <w:top w:val="nil"/>
              <w:left w:val="nil"/>
              <w:bottom w:val="single" w:sz="4" w:space="0" w:color="auto"/>
              <w:right w:val="single" w:sz="4" w:space="0" w:color="auto"/>
            </w:tcBorders>
            <w:shd w:val="clear" w:color="000000" w:fill="FFFFFF"/>
            <w:noWrap/>
            <w:vAlign w:val="center"/>
            <w:hideMark/>
          </w:tcPr>
          <w:p w14:paraId="0904C213"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20%</w:t>
            </w:r>
          </w:p>
        </w:tc>
        <w:tc>
          <w:tcPr>
            <w:tcW w:w="1063" w:type="dxa"/>
            <w:tcBorders>
              <w:top w:val="nil"/>
              <w:left w:val="nil"/>
              <w:bottom w:val="single" w:sz="4" w:space="0" w:color="auto"/>
              <w:right w:val="single" w:sz="4" w:space="0" w:color="auto"/>
            </w:tcBorders>
            <w:shd w:val="clear" w:color="000000" w:fill="FFFFFF"/>
            <w:noWrap/>
            <w:vAlign w:val="center"/>
            <w:hideMark/>
          </w:tcPr>
          <w:p w14:paraId="16960C13"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w:t>
            </w:r>
          </w:p>
        </w:tc>
        <w:tc>
          <w:tcPr>
            <w:tcW w:w="1063" w:type="dxa"/>
            <w:tcBorders>
              <w:top w:val="nil"/>
              <w:left w:val="nil"/>
              <w:bottom w:val="single" w:sz="4" w:space="0" w:color="auto"/>
              <w:right w:val="single" w:sz="4" w:space="0" w:color="auto"/>
            </w:tcBorders>
            <w:shd w:val="clear" w:color="000000" w:fill="FFFFFF"/>
            <w:noWrap/>
            <w:vAlign w:val="center"/>
            <w:hideMark/>
          </w:tcPr>
          <w:p w14:paraId="1559FF16"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w:t>
            </w:r>
          </w:p>
        </w:tc>
        <w:tc>
          <w:tcPr>
            <w:tcW w:w="1063" w:type="dxa"/>
            <w:tcBorders>
              <w:top w:val="nil"/>
              <w:left w:val="nil"/>
              <w:bottom w:val="single" w:sz="4" w:space="0" w:color="auto"/>
              <w:right w:val="single" w:sz="4" w:space="0" w:color="auto"/>
            </w:tcBorders>
            <w:shd w:val="clear" w:color="000000" w:fill="FFFFFF"/>
            <w:noWrap/>
            <w:vAlign w:val="center"/>
            <w:hideMark/>
          </w:tcPr>
          <w:p w14:paraId="389B9BBA"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100%</w:t>
            </w:r>
          </w:p>
        </w:tc>
      </w:tr>
      <w:tr w:rsidR="00BA0D82" w:rsidRPr="0005691D" w14:paraId="3DDBAE0D" w14:textId="77777777" w:rsidTr="001A5653">
        <w:trPr>
          <w:trHeight w:val="300"/>
        </w:trPr>
        <w:tc>
          <w:tcPr>
            <w:tcW w:w="2506" w:type="dxa"/>
            <w:tcBorders>
              <w:top w:val="nil"/>
              <w:left w:val="single" w:sz="4" w:space="0" w:color="auto"/>
              <w:bottom w:val="single" w:sz="4" w:space="0" w:color="auto"/>
              <w:right w:val="single" w:sz="4" w:space="0" w:color="auto"/>
            </w:tcBorders>
            <w:shd w:val="clear" w:color="000000" w:fill="B4C6E7"/>
            <w:noWrap/>
            <w:vAlign w:val="center"/>
            <w:hideMark/>
          </w:tcPr>
          <w:p w14:paraId="79C07AEE" w14:textId="77777777" w:rsidR="00BA0D82" w:rsidRPr="0005691D" w:rsidRDefault="00BA0D82" w:rsidP="001A5653">
            <w:pPr>
              <w:spacing w:after="0" w:line="240" w:lineRule="auto"/>
              <w:jc w:val="right"/>
              <w:rPr>
                <w:rFonts w:ascii="Calibri" w:eastAsia="Times New Roman" w:hAnsi="Calibri" w:cs="Calibri"/>
                <w:b/>
                <w:bCs/>
                <w:color w:val="000000"/>
              </w:rPr>
            </w:pPr>
            <w:r w:rsidRPr="0005691D">
              <w:rPr>
                <w:rFonts w:ascii="Calibri" w:eastAsia="Times New Roman" w:hAnsi="Calibri" w:cs="Calibri"/>
                <w:b/>
                <w:bCs/>
                <w:color w:val="000000"/>
              </w:rPr>
              <w:t>The Career Index Plus (TCI+) and LMI</w:t>
            </w:r>
          </w:p>
        </w:tc>
        <w:tc>
          <w:tcPr>
            <w:tcW w:w="1165" w:type="dxa"/>
            <w:tcBorders>
              <w:top w:val="nil"/>
              <w:left w:val="nil"/>
              <w:bottom w:val="single" w:sz="4" w:space="0" w:color="auto"/>
              <w:right w:val="single" w:sz="4" w:space="0" w:color="auto"/>
            </w:tcBorders>
            <w:shd w:val="clear" w:color="000000" w:fill="D9E2F3"/>
            <w:noWrap/>
            <w:vAlign w:val="center"/>
            <w:hideMark/>
          </w:tcPr>
          <w:p w14:paraId="6838F5B1"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w:t>
            </w:r>
          </w:p>
        </w:tc>
        <w:tc>
          <w:tcPr>
            <w:tcW w:w="1254" w:type="dxa"/>
            <w:tcBorders>
              <w:top w:val="nil"/>
              <w:left w:val="nil"/>
              <w:bottom w:val="single" w:sz="4" w:space="0" w:color="auto"/>
              <w:right w:val="single" w:sz="4" w:space="0" w:color="auto"/>
            </w:tcBorders>
            <w:shd w:val="clear" w:color="000000" w:fill="D9E2F3"/>
            <w:noWrap/>
            <w:vAlign w:val="center"/>
            <w:hideMark/>
          </w:tcPr>
          <w:p w14:paraId="6C36839B"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25%</w:t>
            </w:r>
          </w:p>
        </w:tc>
        <w:tc>
          <w:tcPr>
            <w:tcW w:w="897" w:type="dxa"/>
            <w:tcBorders>
              <w:top w:val="nil"/>
              <w:left w:val="nil"/>
              <w:bottom w:val="single" w:sz="4" w:space="0" w:color="auto"/>
              <w:right w:val="single" w:sz="4" w:space="0" w:color="auto"/>
            </w:tcBorders>
            <w:shd w:val="clear" w:color="000000" w:fill="D9E2F3"/>
            <w:noWrap/>
            <w:vAlign w:val="center"/>
            <w:hideMark/>
          </w:tcPr>
          <w:p w14:paraId="0263B844"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w:t>
            </w:r>
          </w:p>
        </w:tc>
        <w:tc>
          <w:tcPr>
            <w:tcW w:w="897" w:type="dxa"/>
            <w:tcBorders>
              <w:top w:val="nil"/>
              <w:left w:val="nil"/>
              <w:bottom w:val="single" w:sz="4" w:space="0" w:color="auto"/>
              <w:right w:val="single" w:sz="4" w:space="0" w:color="auto"/>
            </w:tcBorders>
            <w:shd w:val="clear" w:color="000000" w:fill="D9E2F3"/>
            <w:noWrap/>
            <w:vAlign w:val="center"/>
            <w:hideMark/>
          </w:tcPr>
          <w:p w14:paraId="46A0ABFF"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0</w:t>
            </w:r>
          </w:p>
        </w:tc>
        <w:tc>
          <w:tcPr>
            <w:tcW w:w="892" w:type="dxa"/>
            <w:tcBorders>
              <w:top w:val="nil"/>
              <w:left w:val="nil"/>
              <w:bottom w:val="single" w:sz="4" w:space="0" w:color="auto"/>
              <w:right w:val="single" w:sz="4" w:space="0" w:color="auto"/>
            </w:tcBorders>
            <w:shd w:val="clear" w:color="000000" w:fill="D9E2F3"/>
            <w:noWrap/>
            <w:vAlign w:val="center"/>
            <w:hideMark/>
          </w:tcPr>
          <w:p w14:paraId="1CF31E52"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0%</w:t>
            </w:r>
          </w:p>
        </w:tc>
        <w:tc>
          <w:tcPr>
            <w:tcW w:w="1063" w:type="dxa"/>
            <w:tcBorders>
              <w:top w:val="nil"/>
              <w:left w:val="nil"/>
              <w:bottom w:val="single" w:sz="4" w:space="0" w:color="auto"/>
              <w:right w:val="single" w:sz="4" w:space="0" w:color="auto"/>
            </w:tcBorders>
            <w:shd w:val="clear" w:color="000000" w:fill="D9E2F3"/>
            <w:noWrap/>
            <w:vAlign w:val="center"/>
            <w:hideMark/>
          </w:tcPr>
          <w:p w14:paraId="35DF019D"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w:t>
            </w:r>
          </w:p>
        </w:tc>
        <w:tc>
          <w:tcPr>
            <w:tcW w:w="1063" w:type="dxa"/>
            <w:tcBorders>
              <w:top w:val="nil"/>
              <w:left w:val="nil"/>
              <w:bottom w:val="single" w:sz="4" w:space="0" w:color="auto"/>
              <w:right w:val="single" w:sz="4" w:space="0" w:color="auto"/>
            </w:tcBorders>
            <w:shd w:val="clear" w:color="000000" w:fill="D9E2F3"/>
            <w:noWrap/>
            <w:vAlign w:val="center"/>
            <w:hideMark/>
          </w:tcPr>
          <w:p w14:paraId="474DA4FF"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0</w:t>
            </w:r>
          </w:p>
        </w:tc>
        <w:tc>
          <w:tcPr>
            <w:tcW w:w="1063" w:type="dxa"/>
            <w:tcBorders>
              <w:top w:val="nil"/>
              <w:left w:val="nil"/>
              <w:bottom w:val="single" w:sz="4" w:space="0" w:color="auto"/>
              <w:right w:val="single" w:sz="4" w:space="0" w:color="auto"/>
            </w:tcBorders>
            <w:shd w:val="clear" w:color="000000" w:fill="D9E2F3"/>
            <w:noWrap/>
            <w:vAlign w:val="center"/>
            <w:hideMark/>
          </w:tcPr>
          <w:p w14:paraId="08BFB6FD"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0%</w:t>
            </w:r>
          </w:p>
        </w:tc>
      </w:tr>
      <w:tr w:rsidR="00BA0D82" w:rsidRPr="0005691D" w14:paraId="0AD6F3CF" w14:textId="77777777" w:rsidTr="001A5653">
        <w:trPr>
          <w:trHeight w:val="300"/>
        </w:trPr>
        <w:tc>
          <w:tcPr>
            <w:tcW w:w="2506" w:type="dxa"/>
            <w:tcBorders>
              <w:top w:val="nil"/>
              <w:left w:val="single" w:sz="4" w:space="0" w:color="auto"/>
              <w:bottom w:val="single" w:sz="4" w:space="0" w:color="auto"/>
              <w:right w:val="single" w:sz="4" w:space="0" w:color="auto"/>
            </w:tcBorders>
            <w:shd w:val="clear" w:color="000000" w:fill="B4C6E7"/>
            <w:noWrap/>
            <w:vAlign w:val="center"/>
            <w:hideMark/>
          </w:tcPr>
          <w:p w14:paraId="2FB0EDA8" w14:textId="77777777" w:rsidR="00BA0D82" w:rsidRPr="0005691D" w:rsidRDefault="00BA0D82" w:rsidP="001A5653">
            <w:pPr>
              <w:spacing w:after="0" w:line="240" w:lineRule="auto"/>
              <w:jc w:val="right"/>
              <w:rPr>
                <w:rFonts w:ascii="Calibri" w:eastAsia="Times New Roman" w:hAnsi="Calibri" w:cs="Calibri"/>
                <w:b/>
                <w:bCs/>
                <w:color w:val="000000"/>
              </w:rPr>
            </w:pPr>
            <w:r w:rsidRPr="0005691D">
              <w:rPr>
                <w:rFonts w:ascii="Calibri" w:eastAsia="Times New Roman" w:hAnsi="Calibri" w:cs="Calibri"/>
                <w:b/>
                <w:bCs/>
                <w:color w:val="000000"/>
              </w:rPr>
              <w:t>Customized Employment</w:t>
            </w:r>
          </w:p>
        </w:tc>
        <w:tc>
          <w:tcPr>
            <w:tcW w:w="1165" w:type="dxa"/>
            <w:tcBorders>
              <w:top w:val="nil"/>
              <w:left w:val="nil"/>
              <w:bottom w:val="single" w:sz="4" w:space="0" w:color="auto"/>
              <w:right w:val="single" w:sz="4" w:space="0" w:color="auto"/>
            </w:tcBorders>
            <w:shd w:val="clear" w:color="000000" w:fill="FFFFFF"/>
            <w:noWrap/>
            <w:vAlign w:val="center"/>
            <w:hideMark/>
          </w:tcPr>
          <w:p w14:paraId="319A2411"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8</w:t>
            </w:r>
          </w:p>
        </w:tc>
        <w:tc>
          <w:tcPr>
            <w:tcW w:w="1254" w:type="dxa"/>
            <w:tcBorders>
              <w:top w:val="nil"/>
              <w:left w:val="nil"/>
              <w:bottom w:val="single" w:sz="4" w:space="0" w:color="auto"/>
              <w:right w:val="single" w:sz="4" w:space="0" w:color="auto"/>
            </w:tcBorders>
            <w:shd w:val="clear" w:color="000000" w:fill="FFFFFF"/>
            <w:noWrap/>
            <w:vAlign w:val="center"/>
            <w:hideMark/>
          </w:tcPr>
          <w:p w14:paraId="01667872"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56%</w:t>
            </w:r>
          </w:p>
        </w:tc>
        <w:tc>
          <w:tcPr>
            <w:tcW w:w="897" w:type="dxa"/>
            <w:tcBorders>
              <w:top w:val="nil"/>
              <w:left w:val="nil"/>
              <w:bottom w:val="single" w:sz="4" w:space="0" w:color="auto"/>
              <w:right w:val="single" w:sz="4" w:space="0" w:color="auto"/>
            </w:tcBorders>
            <w:shd w:val="clear" w:color="000000" w:fill="FFFFFF"/>
            <w:noWrap/>
            <w:vAlign w:val="center"/>
            <w:hideMark/>
          </w:tcPr>
          <w:p w14:paraId="53275FD7"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8</w:t>
            </w:r>
          </w:p>
        </w:tc>
        <w:tc>
          <w:tcPr>
            <w:tcW w:w="897" w:type="dxa"/>
            <w:tcBorders>
              <w:top w:val="nil"/>
              <w:left w:val="nil"/>
              <w:bottom w:val="single" w:sz="4" w:space="0" w:color="auto"/>
              <w:right w:val="single" w:sz="4" w:space="0" w:color="auto"/>
            </w:tcBorders>
            <w:shd w:val="clear" w:color="000000" w:fill="FFFFFF"/>
            <w:noWrap/>
            <w:vAlign w:val="center"/>
            <w:hideMark/>
          </w:tcPr>
          <w:p w14:paraId="28949E50"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3</w:t>
            </w:r>
          </w:p>
        </w:tc>
        <w:tc>
          <w:tcPr>
            <w:tcW w:w="892" w:type="dxa"/>
            <w:tcBorders>
              <w:top w:val="nil"/>
              <w:left w:val="nil"/>
              <w:bottom w:val="single" w:sz="4" w:space="0" w:color="auto"/>
              <w:right w:val="single" w:sz="4" w:space="0" w:color="auto"/>
            </w:tcBorders>
            <w:shd w:val="clear" w:color="000000" w:fill="FFFFFF"/>
            <w:noWrap/>
            <w:vAlign w:val="center"/>
            <w:hideMark/>
          </w:tcPr>
          <w:p w14:paraId="688A34E2"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38%</w:t>
            </w:r>
          </w:p>
        </w:tc>
        <w:tc>
          <w:tcPr>
            <w:tcW w:w="1063" w:type="dxa"/>
            <w:tcBorders>
              <w:top w:val="nil"/>
              <w:left w:val="nil"/>
              <w:bottom w:val="single" w:sz="4" w:space="0" w:color="auto"/>
              <w:right w:val="single" w:sz="4" w:space="0" w:color="auto"/>
            </w:tcBorders>
            <w:shd w:val="clear" w:color="000000" w:fill="FFFFFF"/>
            <w:noWrap/>
            <w:vAlign w:val="center"/>
            <w:hideMark/>
          </w:tcPr>
          <w:p w14:paraId="191BA96E"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5</w:t>
            </w:r>
          </w:p>
        </w:tc>
        <w:tc>
          <w:tcPr>
            <w:tcW w:w="1063" w:type="dxa"/>
            <w:tcBorders>
              <w:top w:val="nil"/>
              <w:left w:val="nil"/>
              <w:bottom w:val="single" w:sz="4" w:space="0" w:color="auto"/>
              <w:right w:val="single" w:sz="4" w:space="0" w:color="auto"/>
            </w:tcBorders>
            <w:shd w:val="clear" w:color="000000" w:fill="FFFFFF"/>
            <w:noWrap/>
            <w:vAlign w:val="center"/>
            <w:hideMark/>
          </w:tcPr>
          <w:p w14:paraId="553FA6F1"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w:t>
            </w:r>
          </w:p>
        </w:tc>
        <w:tc>
          <w:tcPr>
            <w:tcW w:w="1063" w:type="dxa"/>
            <w:tcBorders>
              <w:top w:val="nil"/>
              <w:left w:val="nil"/>
              <w:bottom w:val="single" w:sz="4" w:space="0" w:color="auto"/>
              <w:right w:val="single" w:sz="4" w:space="0" w:color="auto"/>
            </w:tcBorders>
            <w:shd w:val="clear" w:color="000000" w:fill="FFFFFF"/>
            <w:noWrap/>
            <w:vAlign w:val="center"/>
            <w:hideMark/>
          </w:tcPr>
          <w:p w14:paraId="05F45E6B"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20%</w:t>
            </w:r>
          </w:p>
        </w:tc>
      </w:tr>
      <w:tr w:rsidR="00BA0D82" w:rsidRPr="0005691D" w14:paraId="0A68B8C7" w14:textId="77777777" w:rsidTr="001A5653">
        <w:trPr>
          <w:trHeight w:val="300"/>
        </w:trPr>
        <w:tc>
          <w:tcPr>
            <w:tcW w:w="2506" w:type="dxa"/>
            <w:tcBorders>
              <w:top w:val="nil"/>
              <w:left w:val="nil"/>
              <w:bottom w:val="nil"/>
              <w:right w:val="nil"/>
            </w:tcBorders>
            <w:shd w:val="clear" w:color="auto" w:fill="auto"/>
            <w:noWrap/>
            <w:vAlign w:val="bottom"/>
            <w:hideMark/>
          </w:tcPr>
          <w:p w14:paraId="735403DE" w14:textId="77777777" w:rsidR="00BA0D82" w:rsidRPr="0005691D" w:rsidRDefault="00BA0D82" w:rsidP="001A5653">
            <w:pPr>
              <w:spacing w:after="0" w:line="240" w:lineRule="auto"/>
              <w:jc w:val="center"/>
              <w:rPr>
                <w:rFonts w:ascii="Calibri" w:eastAsia="Times New Roman" w:hAnsi="Calibri" w:cs="Calibri"/>
                <w:color w:val="000000"/>
              </w:rPr>
            </w:pPr>
          </w:p>
        </w:tc>
        <w:tc>
          <w:tcPr>
            <w:tcW w:w="1165" w:type="dxa"/>
            <w:tcBorders>
              <w:top w:val="nil"/>
              <w:left w:val="nil"/>
              <w:bottom w:val="nil"/>
              <w:right w:val="nil"/>
            </w:tcBorders>
            <w:shd w:val="clear" w:color="auto" w:fill="auto"/>
            <w:noWrap/>
            <w:vAlign w:val="center"/>
            <w:hideMark/>
          </w:tcPr>
          <w:p w14:paraId="79255A46" w14:textId="77777777" w:rsidR="00BA0D82" w:rsidRPr="0005691D" w:rsidRDefault="00BA0D82" w:rsidP="001A5653">
            <w:pPr>
              <w:spacing w:after="0" w:line="240" w:lineRule="auto"/>
              <w:rPr>
                <w:rFonts w:ascii="Times New Roman" w:eastAsia="Times New Roman" w:hAnsi="Times New Roman" w:cs="Times New Roman"/>
                <w:sz w:val="20"/>
                <w:szCs w:val="20"/>
              </w:rPr>
            </w:pPr>
          </w:p>
        </w:tc>
        <w:tc>
          <w:tcPr>
            <w:tcW w:w="1254" w:type="dxa"/>
            <w:tcBorders>
              <w:top w:val="nil"/>
              <w:left w:val="nil"/>
              <w:bottom w:val="nil"/>
              <w:right w:val="nil"/>
            </w:tcBorders>
            <w:shd w:val="clear" w:color="auto" w:fill="auto"/>
            <w:noWrap/>
            <w:vAlign w:val="center"/>
            <w:hideMark/>
          </w:tcPr>
          <w:p w14:paraId="29052EBC"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c>
          <w:tcPr>
            <w:tcW w:w="897" w:type="dxa"/>
            <w:tcBorders>
              <w:top w:val="nil"/>
              <w:left w:val="nil"/>
              <w:bottom w:val="nil"/>
              <w:right w:val="nil"/>
            </w:tcBorders>
            <w:shd w:val="clear" w:color="auto" w:fill="auto"/>
            <w:noWrap/>
            <w:vAlign w:val="center"/>
            <w:hideMark/>
          </w:tcPr>
          <w:p w14:paraId="46DEAD26"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c>
          <w:tcPr>
            <w:tcW w:w="897" w:type="dxa"/>
            <w:tcBorders>
              <w:top w:val="nil"/>
              <w:left w:val="nil"/>
              <w:bottom w:val="nil"/>
              <w:right w:val="nil"/>
            </w:tcBorders>
            <w:shd w:val="clear" w:color="auto" w:fill="auto"/>
            <w:noWrap/>
            <w:vAlign w:val="center"/>
            <w:hideMark/>
          </w:tcPr>
          <w:p w14:paraId="67A57640"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c>
          <w:tcPr>
            <w:tcW w:w="892" w:type="dxa"/>
            <w:tcBorders>
              <w:top w:val="nil"/>
              <w:left w:val="nil"/>
              <w:bottom w:val="nil"/>
              <w:right w:val="nil"/>
            </w:tcBorders>
            <w:shd w:val="clear" w:color="auto" w:fill="auto"/>
            <w:noWrap/>
            <w:vAlign w:val="center"/>
            <w:hideMark/>
          </w:tcPr>
          <w:p w14:paraId="51B66139"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c>
          <w:tcPr>
            <w:tcW w:w="1063" w:type="dxa"/>
            <w:tcBorders>
              <w:top w:val="nil"/>
              <w:left w:val="nil"/>
              <w:bottom w:val="nil"/>
              <w:right w:val="nil"/>
            </w:tcBorders>
            <w:shd w:val="clear" w:color="auto" w:fill="auto"/>
            <w:noWrap/>
            <w:vAlign w:val="center"/>
            <w:hideMark/>
          </w:tcPr>
          <w:p w14:paraId="5CBC97BB"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c>
          <w:tcPr>
            <w:tcW w:w="1063" w:type="dxa"/>
            <w:tcBorders>
              <w:top w:val="nil"/>
              <w:left w:val="nil"/>
              <w:bottom w:val="nil"/>
              <w:right w:val="nil"/>
            </w:tcBorders>
            <w:shd w:val="clear" w:color="auto" w:fill="auto"/>
            <w:noWrap/>
            <w:vAlign w:val="center"/>
            <w:hideMark/>
          </w:tcPr>
          <w:p w14:paraId="4A15BA79"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c>
          <w:tcPr>
            <w:tcW w:w="1063" w:type="dxa"/>
            <w:tcBorders>
              <w:top w:val="nil"/>
              <w:left w:val="nil"/>
              <w:bottom w:val="nil"/>
              <w:right w:val="nil"/>
            </w:tcBorders>
            <w:shd w:val="clear" w:color="auto" w:fill="auto"/>
            <w:noWrap/>
            <w:vAlign w:val="center"/>
            <w:hideMark/>
          </w:tcPr>
          <w:p w14:paraId="3E9F901F"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r>
    </w:tbl>
    <w:p w14:paraId="6910409B" w14:textId="77777777" w:rsidR="00BC793A" w:rsidRDefault="00BC793A">
      <w:bookmarkStart w:id="237" w:name="_Toc27143208"/>
      <w:r>
        <w:rPr>
          <w:b/>
        </w:rPr>
        <w:br w:type="page"/>
      </w:r>
    </w:p>
    <w:tbl>
      <w:tblPr>
        <w:tblW w:w="10800" w:type="dxa"/>
        <w:tblLook w:val="04A0" w:firstRow="1" w:lastRow="0" w:firstColumn="1" w:lastColumn="0" w:noHBand="0" w:noVBand="1"/>
      </w:tblPr>
      <w:tblGrid>
        <w:gridCol w:w="2506"/>
        <w:gridCol w:w="1165"/>
        <w:gridCol w:w="1254"/>
        <w:gridCol w:w="897"/>
        <w:gridCol w:w="897"/>
        <w:gridCol w:w="892"/>
        <w:gridCol w:w="1063"/>
        <w:gridCol w:w="1063"/>
        <w:gridCol w:w="1063"/>
      </w:tblGrid>
      <w:tr w:rsidR="00BA0D82" w:rsidRPr="0005691D" w14:paraId="0B7416E0" w14:textId="77777777" w:rsidTr="001A5653">
        <w:trPr>
          <w:trHeight w:val="465"/>
        </w:trPr>
        <w:tc>
          <w:tcPr>
            <w:tcW w:w="10800" w:type="dxa"/>
            <w:gridSpan w:val="9"/>
            <w:tcBorders>
              <w:top w:val="single" w:sz="4" w:space="0" w:color="auto"/>
              <w:left w:val="nil"/>
              <w:bottom w:val="single" w:sz="4" w:space="0" w:color="auto"/>
              <w:right w:val="nil"/>
            </w:tcBorders>
            <w:shd w:val="clear" w:color="auto" w:fill="auto"/>
            <w:noWrap/>
            <w:vAlign w:val="bottom"/>
            <w:hideMark/>
          </w:tcPr>
          <w:p w14:paraId="6E8550A7" w14:textId="29958B5D" w:rsidR="00BA0D82" w:rsidRPr="0005691D" w:rsidRDefault="00BA0D82" w:rsidP="00BA0D82">
            <w:pPr>
              <w:pStyle w:val="Heading2"/>
              <w:numPr>
                <w:ilvl w:val="0"/>
                <w:numId w:val="0"/>
              </w:numPr>
              <w:rPr>
                <w:rFonts w:eastAsia="Times New Roman"/>
              </w:rPr>
            </w:pPr>
            <w:bookmarkStart w:id="238" w:name="_Toc28011507"/>
            <w:r w:rsidRPr="0005691D">
              <w:rPr>
                <w:rFonts w:eastAsia="Times New Roman"/>
              </w:rPr>
              <w:lastRenderedPageBreak/>
              <w:t>Minnesota Blind</w:t>
            </w:r>
            <w:bookmarkEnd w:id="237"/>
            <w:bookmarkEnd w:id="238"/>
          </w:p>
        </w:tc>
      </w:tr>
      <w:tr w:rsidR="00BA0D82" w:rsidRPr="0005691D" w14:paraId="2A1AEC94" w14:textId="77777777" w:rsidTr="001A5653">
        <w:trPr>
          <w:trHeight w:val="1305"/>
        </w:trPr>
        <w:tc>
          <w:tcPr>
            <w:tcW w:w="2506" w:type="dxa"/>
            <w:tcBorders>
              <w:top w:val="nil"/>
              <w:left w:val="single" w:sz="4" w:space="0" w:color="auto"/>
              <w:bottom w:val="single" w:sz="4" w:space="0" w:color="auto"/>
              <w:right w:val="single" w:sz="4" w:space="0" w:color="auto"/>
            </w:tcBorders>
            <w:shd w:val="clear" w:color="000000" w:fill="B4C6E7"/>
            <w:vAlign w:val="bottom"/>
            <w:hideMark/>
          </w:tcPr>
          <w:p w14:paraId="7F9E3AC1" w14:textId="77777777" w:rsidR="00BA0D82" w:rsidRPr="0005691D" w:rsidRDefault="00BA0D82" w:rsidP="001A5653">
            <w:pPr>
              <w:spacing w:after="0" w:line="240" w:lineRule="auto"/>
              <w:jc w:val="right"/>
              <w:rPr>
                <w:rFonts w:ascii="Calibri" w:eastAsia="Times New Roman" w:hAnsi="Calibri" w:cs="Calibri"/>
                <w:b/>
                <w:bCs/>
                <w:color w:val="000000"/>
                <w:szCs w:val="28"/>
              </w:rPr>
            </w:pPr>
            <w:r w:rsidRPr="0005691D">
              <w:rPr>
                <w:rFonts w:ascii="Calibri" w:eastAsia="Times New Roman" w:hAnsi="Calibri" w:cs="Calibri"/>
                <w:b/>
                <w:bCs/>
                <w:color w:val="000000"/>
                <w:szCs w:val="28"/>
              </w:rPr>
              <w:t>Area</w:t>
            </w:r>
          </w:p>
        </w:tc>
        <w:tc>
          <w:tcPr>
            <w:tcW w:w="1165" w:type="dxa"/>
            <w:tcBorders>
              <w:top w:val="nil"/>
              <w:left w:val="nil"/>
              <w:bottom w:val="single" w:sz="4" w:space="0" w:color="auto"/>
              <w:right w:val="single" w:sz="4" w:space="0" w:color="auto"/>
            </w:tcBorders>
            <w:shd w:val="clear" w:color="000000" w:fill="B4C6E7"/>
            <w:vAlign w:val="bottom"/>
            <w:hideMark/>
          </w:tcPr>
          <w:p w14:paraId="744104D5"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of Total Activities</w:t>
            </w:r>
          </w:p>
        </w:tc>
        <w:tc>
          <w:tcPr>
            <w:tcW w:w="1254" w:type="dxa"/>
            <w:tcBorders>
              <w:top w:val="nil"/>
              <w:left w:val="nil"/>
              <w:bottom w:val="single" w:sz="4" w:space="0" w:color="auto"/>
              <w:right w:val="single" w:sz="4" w:space="0" w:color="auto"/>
            </w:tcBorders>
            <w:shd w:val="clear" w:color="000000" w:fill="B4C6E7"/>
            <w:vAlign w:val="bottom"/>
            <w:hideMark/>
          </w:tcPr>
          <w:p w14:paraId="7D634FFE"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Average Progress on Activities (%)</w:t>
            </w:r>
          </w:p>
        </w:tc>
        <w:tc>
          <w:tcPr>
            <w:tcW w:w="897" w:type="dxa"/>
            <w:tcBorders>
              <w:top w:val="nil"/>
              <w:left w:val="nil"/>
              <w:bottom w:val="single" w:sz="4" w:space="0" w:color="auto"/>
              <w:right w:val="single" w:sz="4" w:space="0" w:color="auto"/>
            </w:tcBorders>
            <w:shd w:val="clear" w:color="000000" w:fill="B4C6E7"/>
            <w:vAlign w:val="bottom"/>
            <w:hideMark/>
          </w:tcPr>
          <w:p w14:paraId="6600C3C6"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Outputs</w:t>
            </w:r>
          </w:p>
        </w:tc>
        <w:tc>
          <w:tcPr>
            <w:tcW w:w="897" w:type="dxa"/>
            <w:tcBorders>
              <w:top w:val="nil"/>
              <w:left w:val="nil"/>
              <w:bottom w:val="single" w:sz="4" w:space="0" w:color="auto"/>
              <w:right w:val="single" w:sz="4" w:space="0" w:color="auto"/>
            </w:tcBorders>
            <w:shd w:val="clear" w:color="000000" w:fill="B4C6E7"/>
            <w:vAlign w:val="bottom"/>
            <w:hideMark/>
          </w:tcPr>
          <w:p w14:paraId="4663708D"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Outputs Met</w:t>
            </w:r>
          </w:p>
        </w:tc>
        <w:tc>
          <w:tcPr>
            <w:tcW w:w="892" w:type="dxa"/>
            <w:tcBorders>
              <w:top w:val="nil"/>
              <w:left w:val="nil"/>
              <w:bottom w:val="single" w:sz="4" w:space="0" w:color="auto"/>
              <w:right w:val="single" w:sz="4" w:space="0" w:color="auto"/>
            </w:tcBorders>
            <w:shd w:val="clear" w:color="000000" w:fill="B4C6E7"/>
            <w:vAlign w:val="bottom"/>
            <w:hideMark/>
          </w:tcPr>
          <w:p w14:paraId="6FE1A118"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Outputs Met</w:t>
            </w:r>
          </w:p>
        </w:tc>
        <w:tc>
          <w:tcPr>
            <w:tcW w:w="1063" w:type="dxa"/>
            <w:tcBorders>
              <w:top w:val="nil"/>
              <w:left w:val="nil"/>
              <w:bottom w:val="single" w:sz="4" w:space="0" w:color="auto"/>
              <w:right w:val="single" w:sz="4" w:space="0" w:color="auto"/>
            </w:tcBorders>
            <w:shd w:val="clear" w:color="000000" w:fill="B4C6E7"/>
            <w:vAlign w:val="bottom"/>
            <w:hideMark/>
          </w:tcPr>
          <w:p w14:paraId="3DEE07AF"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Short-Term Outcomes</w:t>
            </w:r>
          </w:p>
        </w:tc>
        <w:tc>
          <w:tcPr>
            <w:tcW w:w="1063" w:type="dxa"/>
            <w:tcBorders>
              <w:top w:val="nil"/>
              <w:left w:val="nil"/>
              <w:bottom w:val="single" w:sz="4" w:space="0" w:color="auto"/>
              <w:right w:val="single" w:sz="4" w:space="0" w:color="auto"/>
            </w:tcBorders>
            <w:shd w:val="clear" w:color="000000" w:fill="B4C6E7"/>
            <w:vAlign w:val="bottom"/>
            <w:hideMark/>
          </w:tcPr>
          <w:p w14:paraId="6FA9A90D"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Short-Term Outcomes Met</w:t>
            </w:r>
          </w:p>
        </w:tc>
        <w:tc>
          <w:tcPr>
            <w:tcW w:w="1063" w:type="dxa"/>
            <w:tcBorders>
              <w:top w:val="nil"/>
              <w:left w:val="nil"/>
              <w:bottom w:val="single" w:sz="4" w:space="0" w:color="auto"/>
              <w:right w:val="single" w:sz="4" w:space="0" w:color="auto"/>
            </w:tcBorders>
            <w:shd w:val="clear" w:color="000000" w:fill="B4C6E7"/>
            <w:vAlign w:val="bottom"/>
            <w:hideMark/>
          </w:tcPr>
          <w:p w14:paraId="5AC747D0"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%Short-Term Outcomes Achieved</w:t>
            </w:r>
          </w:p>
        </w:tc>
      </w:tr>
      <w:tr w:rsidR="00BA0D82" w:rsidRPr="0005691D" w14:paraId="1448F322" w14:textId="77777777" w:rsidTr="001A5653">
        <w:trPr>
          <w:trHeight w:val="300"/>
        </w:trPr>
        <w:tc>
          <w:tcPr>
            <w:tcW w:w="2506" w:type="dxa"/>
            <w:tcBorders>
              <w:top w:val="nil"/>
              <w:left w:val="single" w:sz="4" w:space="0" w:color="auto"/>
              <w:bottom w:val="single" w:sz="4" w:space="0" w:color="auto"/>
              <w:right w:val="single" w:sz="4" w:space="0" w:color="auto"/>
            </w:tcBorders>
            <w:shd w:val="clear" w:color="000000" w:fill="B4C6E7"/>
            <w:noWrap/>
            <w:vAlign w:val="center"/>
            <w:hideMark/>
          </w:tcPr>
          <w:p w14:paraId="65F2A076" w14:textId="77777777" w:rsidR="00BA0D82" w:rsidRPr="0005691D" w:rsidRDefault="00BA0D82" w:rsidP="001A5653">
            <w:pPr>
              <w:spacing w:after="0" w:line="240" w:lineRule="auto"/>
              <w:jc w:val="right"/>
              <w:rPr>
                <w:rFonts w:ascii="Calibri" w:eastAsia="Times New Roman" w:hAnsi="Calibri" w:cs="Calibri"/>
                <w:b/>
                <w:bCs/>
                <w:color w:val="000000"/>
              </w:rPr>
            </w:pPr>
            <w:r w:rsidRPr="0005691D">
              <w:rPr>
                <w:rFonts w:ascii="Calibri" w:eastAsia="Times New Roman" w:hAnsi="Calibri" w:cs="Calibri"/>
                <w:b/>
                <w:bCs/>
                <w:color w:val="000000"/>
              </w:rPr>
              <w:t>Section 511</w:t>
            </w:r>
          </w:p>
        </w:tc>
        <w:tc>
          <w:tcPr>
            <w:tcW w:w="1165" w:type="dxa"/>
            <w:tcBorders>
              <w:top w:val="nil"/>
              <w:left w:val="nil"/>
              <w:bottom w:val="single" w:sz="4" w:space="0" w:color="auto"/>
              <w:right w:val="single" w:sz="4" w:space="0" w:color="auto"/>
            </w:tcBorders>
            <w:shd w:val="clear" w:color="000000" w:fill="FFFFFF"/>
            <w:noWrap/>
            <w:vAlign w:val="center"/>
            <w:hideMark/>
          </w:tcPr>
          <w:p w14:paraId="2802BFA3"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w:t>
            </w:r>
          </w:p>
        </w:tc>
        <w:tc>
          <w:tcPr>
            <w:tcW w:w="1254" w:type="dxa"/>
            <w:tcBorders>
              <w:top w:val="nil"/>
              <w:left w:val="nil"/>
              <w:bottom w:val="single" w:sz="4" w:space="0" w:color="auto"/>
              <w:right w:val="single" w:sz="4" w:space="0" w:color="auto"/>
            </w:tcBorders>
            <w:shd w:val="clear" w:color="000000" w:fill="FFFFFF"/>
            <w:noWrap/>
            <w:vAlign w:val="center"/>
            <w:hideMark/>
          </w:tcPr>
          <w:p w14:paraId="0C7E91DB"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100%</w:t>
            </w:r>
          </w:p>
        </w:tc>
        <w:tc>
          <w:tcPr>
            <w:tcW w:w="897" w:type="dxa"/>
            <w:tcBorders>
              <w:top w:val="nil"/>
              <w:left w:val="nil"/>
              <w:bottom w:val="single" w:sz="4" w:space="0" w:color="auto"/>
              <w:right w:val="single" w:sz="4" w:space="0" w:color="auto"/>
            </w:tcBorders>
            <w:shd w:val="clear" w:color="000000" w:fill="FFFFFF"/>
            <w:noWrap/>
            <w:vAlign w:val="center"/>
            <w:hideMark/>
          </w:tcPr>
          <w:p w14:paraId="6EAE3687"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w:t>
            </w:r>
          </w:p>
        </w:tc>
        <w:tc>
          <w:tcPr>
            <w:tcW w:w="897" w:type="dxa"/>
            <w:tcBorders>
              <w:top w:val="nil"/>
              <w:left w:val="nil"/>
              <w:bottom w:val="single" w:sz="4" w:space="0" w:color="auto"/>
              <w:right w:val="single" w:sz="4" w:space="0" w:color="auto"/>
            </w:tcBorders>
            <w:shd w:val="clear" w:color="000000" w:fill="FFFFFF"/>
            <w:noWrap/>
            <w:vAlign w:val="center"/>
            <w:hideMark/>
          </w:tcPr>
          <w:p w14:paraId="2C6ECD2F"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w:t>
            </w:r>
          </w:p>
        </w:tc>
        <w:tc>
          <w:tcPr>
            <w:tcW w:w="892" w:type="dxa"/>
            <w:tcBorders>
              <w:top w:val="nil"/>
              <w:left w:val="nil"/>
              <w:bottom w:val="single" w:sz="4" w:space="0" w:color="auto"/>
              <w:right w:val="single" w:sz="4" w:space="0" w:color="auto"/>
            </w:tcBorders>
            <w:shd w:val="clear" w:color="000000" w:fill="FFFFFF"/>
            <w:noWrap/>
            <w:vAlign w:val="center"/>
            <w:hideMark/>
          </w:tcPr>
          <w:p w14:paraId="31C24C88"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100%</w:t>
            </w:r>
          </w:p>
        </w:tc>
        <w:tc>
          <w:tcPr>
            <w:tcW w:w="1063" w:type="dxa"/>
            <w:tcBorders>
              <w:top w:val="nil"/>
              <w:left w:val="nil"/>
              <w:bottom w:val="single" w:sz="4" w:space="0" w:color="auto"/>
              <w:right w:val="single" w:sz="4" w:space="0" w:color="auto"/>
            </w:tcBorders>
            <w:shd w:val="clear" w:color="000000" w:fill="FFFFFF"/>
            <w:noWrap/>
            <w:vAlign w:val="center"/>
            <w:hideMark/>
          </w:tcPr>
          <w:p w14:paraId="05FEC9B0"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2</w:t>
            </w:r>
          </w:p>
        </w:tc>
        <w:tc>
          <w:tcPr>
            <w:tcW w:w="1063" w:type="dxa"/>
            <w:tcBorders>
              <w:top w:val="nil"/>
              <w:left w:val="nil"/>
              <w:bottom w:val="single" w:sz="4" w:space="0" w:color="auto"/>
              <w:right w:val="single" w:sz="4" w:space="0" w:color="auto"/>
            </w:tcBorders>
            <w:shd w:val="clear" w:color="000000" w:fill="FFFFFF"/>
            <w:noWrap/>
            <w:vAlign w:val="center"/>
            <w:hideMark/>
          </w:tcPr>
          <w:p w14:paraId="1A8C14F8"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w:t>
            </w:r>
          </w:p>
        </w:tc>
        <w:tc>
          <w:tcPr>
            <w:tcW w:w="1063" w:type="dxa"/>
            <w:tcBorders>
              <w:top w:val="nil"/>
              <w:left w:val="nil"/>
              <w:bottom w:val="single" w:sz="4" w:space="0" w:color="auto"/>
              <w:right w:val="single" w:sz="4" w:space="0" w:color="auto"/>
            </w:tcBorders>
            <w:shd w:val="clear" w:color="000000" w:fill="FFFFFF"/>
            <w:noWrap/>
            <w:vAlign w:val="center"/>
            <w:hideMark/>
          </w:tcPr>
          <w:p w14:paraId="0B0D3222"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50%</w:t>
            </w:r>
          </w:p>
        </w:tc>
      </w:tr>
      <w:tr w:rsidR="00BA0D82" w:rsidRPr="0005691D" w14:paraId="71DC26D8" w14:textId="77777777" w:rsidTr="001A5653">
        <w:trPr>
          <w:trHeight w:val="300"/>
        </w:trPr>
        <w:tc>
          <w:tcPr>
            <w:tcW w:w="2506" w:type="dxa"/>
            <w:tcBorders>
              <w:top w:val="nil"/>
              <w:left w:val="single" w:sz="4" w:space="0" w:color="auto"/>
              <w:bottom w:val="single" w:sz="4" w:space="0" w:color="auto"/>
              <w:right w:val="single" w:sz="4" w:space="0" w:color="auto"/>
            </w:tcBorders>
            <w:shd w:val="clear" w:color="000000" w:fill="B4C6E7"/>
            <w:noWrap/>
            <w:vAlign w:val="center"/>
            <w:hideMark/>
          </w:tcPr>
          <w:p w14:paraId="4DA41C58" w14:textId="77777777" w:rsidR="00BA0D82" w:rsidRPr="0005691D" w:rsidRDefault="00BA0D82" w:rsidP="001A5653">
            <w:pPr>
              <w:spacing w:after="0" w:line="240" w:lineRule="auto"/>
              <w:jc w:val="right"/>
              <w:rPr>
                <w:rFonts w:ascii="Calibri" w:eastAsia="Times New Roman" w:hAnsi="Calibri" w:cs="Calibri"/>
                <w:b/>
                <w:bCs/>
                <w:color w:val="000000"/>
              </w:rPr>
            </w:pPr>
            <w:r w:rsidRPr="0005691D">
              <w:rPr>
                <w:rFonts w:ascii="Calibri" w:eastAsia="Times New Roman" w:hAnsi="Calibri" w:cs="Calibri"/>
                <w:b/>
                <w:bCs/>
                <w:color w:val="000000"/>
              </w:rPr>
              <w:t>Common Performance Measures</w:t>
            </w:r>
          </w:p>
        </w:tc>
        <w:tc>
          <w:tcPr>
            <w:tcW w:w="1165" w:type="dxa"/>
            <w:tcBorders>
              <w:top w:val="nil"/>
              <w:left w:val="nil"/>
              <w:bottom w:val="single" w:sz="4" w:space="0" w:color="auto"/>
              <w:right w:val="single" w:sz="4" w:space="0" w:color="auto"/>
            </w:tcBorders>
            <w:shd w:val="clear" w:color="000000" w:fill="D9E2F3"/>
            <w:noWrap/>
            <w:vAlign w:val="center"/>
            <w:hideMark/>
          </w:tcPr>
          <w:p w14:paraId="2BE03044"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4</w:t>
            </w:r>
          </w:p>
        </w:tc>
        <w:tc>
          <w:tcPr>
            <w:tcW w:w="1254" w:type="dxa"/>
            <w:tcBorders>
              <w:top w:val="nil"/>
              <w:left w:val="nil"/>
              <w:bottom w:val="single" w:sz="4" w:space="0" w:color="auto"/>
              <w:right w:val="single" w:sz="4" w:space="0" w:color="auto"/>
            </w:tcBorders>
            <w:shd w:val="clear" w:color="000000" w:fill="D9E2F3"/>
            <w:noWrap/>
            <w:vAlign w:val="center"/>
            <w:hideMark/>
          </w:tcPr>
          <w:p w14:paraId="52A86171"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81%</w:t>
            </w:r>
          </w:p>
        </w:tc>
        <w:tc>
          <w:tcPr>
            <w:tcW w:w="897" w:type="dxa"/>
            <w:tcBorders>
              <w:top w:val="nil"/>
              <w:left w:val="nil"/>
              <w:bottom w:val="single" w:sz="4" w:space="0" w:color="auto"/>
              <w:right w:val="single" w:sz="4" w:space="0" w:color="auto"/>
            </w:tcBorders>
            <w:shd w:val="clear" w:color="000000" w:fill="D9E2F3"/>
            <w:noWrap/>
            <w:vAlign w:val="center"/>
            <w:hideMark/>
          </w:tcPr>
          <w:p w14:paraId="20AF037F"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4</w:t>
            </w:r>
          </w:p>
        </w:tc>
        <w:tc>
          <w:tcPr>
            <w:tcW w:w="897" w:type="dxa"/>
            <w:tcBorders>
              <w:top w:val="nil"/>
              <w:left w:val="nil"/>
              <w:bottom w:val="single" w:sz="4" w:space="0" w:color="auto"/>
              <w:right w:val="single" w:sz="4" w:space="0" w:color="auto"/>
            </w:tcBorders>
            <w:shd w:val="clear" w:color="000000" w:fill="D9E2F3"/>
            <w:noWrap/>
            <w:vAlign w:val="center"/>
            <w:hideMark/>
          </w:tcPr>
          <w:p w14:paraId="7525D1A3"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2</w:t>
            </w:r>
          </w:p>
        </w:tc>
        <w:tc>
          <w:tcPr>
            <w:tcW w:w="892" w:type="dxa"/>
            <w:tcBorders>
              <w:top w:val="nil"/>
              <w:left w:val="nil"/>
              <w:bottom w:val="single" w:sz="4" w:space="0" w:color="auto"/>
              <w:right w:val="single" w:sz="4" w:space="0" w:color="auto"/>
            </w:tcBorders>
            <w:shd w:val="clear" w:color="000000" w:fill="D9E2F3"/>
            <w:noWrap/>
            <w:vAlign w:val="center"/>
            <w:hideMark/>
          </w:tcPr>
          <w:p w14:paraId="46E84463"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50%</w:t>
            </w:r>
          </w:p>
        </w:tc>
        <w:tc>
          <w:tcPr>
            <w:tcW w:w="1063" w:type="dxa"/>
            <w:tcBorders>
              <w:top w:val="nil"/>
              <w:left w:val="nil"/>
              <w:bottom w:val="single" w:sz="4" w:space="0" w:color="auto"/>
              <w:right w:val="single" w:sz="4" w:space="0" w:color="auto"/>
            </w:tcBorders>
            <w:shd w:val="clear" w:color="000000" w:fill="D9E2F3"/>
            <w:noWrap/>
            <w:vAlign w:val="center"/>
            <w:hideMark/>
          </w:tcPr>
          <w:p w14:paraId="579472A3"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w:t>
            </w:r>
          </w:p>
        </w:tc>
        <w:tc>
          <w:tcPr>
            <w:tcW w:w="1063" w:type="dxa"/>
            <w:tcBorders>
              <w:top w:val="nil"/>
              <w:left w:val="nil"/>
              <w:bottom w:val="single" w:sz="4" w:space="0" w:color="auto"/>
              <w:right w:val="single" w:sz="4" w:space="0" w:color="auto"/>
            </w:tcBorders>
            <w:shd w:val="clear" w:color="000000" w:fill="D9E2F3"/>
            <w:noWrap/>
            <w:vAlign w:val="center"/>
            <w:hideMark/>
          </w:tcPr>
          <w:p w14:paraId="74FECDE6"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w:t>
            </w:r>
          </w:p>
        </w:tc>
        <w:tc>
          <w:tcPr>
            <w:tcW w:w="1063" w:type="dxa"/>
            <w:tcBorders>
              <w:top w:val="nil"/>
              <w:left w:val="nil"/>
              <w:bottom w:val="single" w:sz="4" w:space="0" w:color="auto"/>
              <w:right w:val="single" w:sz="4" w:space="0" w:color="auto"/>
            </w:tcBorders>
            <w:shd w:val="clear" w:color="000000" w:fill="D9E2F3"/>
            <w:noWrap/>
            <w:vAlign w:val="center"/>
            <w:hideMark/>
          </w:tcPr>
          <w:p w14:paraId="6E2DE5F7"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100%</w:t>
            </w:r>
          </w:p>
        </w:tc>
      </w:tr>
      <w:tr w:rsidR="00BA0D82" w:rsidRPr="0005691D" w14:paraId="7C783FF5" w14:textId="77777777" w:rsidTr="001A5653">
        <w:trPr>
          <w:trHeight w:val="300"/>
        </w:trPr>
        <w:tc>
          <w:tcPr>
            <w:tcW w:w="2506" w:type="dxa"/>
            <w:tcBorders>
              <w:top w:val="nil"/>
              <w:left w:val="single" w:sz="4" w:space="0" w:color="auto"/>
              <w:bottom w:val="single" w:sz="4" w:space="0" w:color="auto"/>
              <w:right w:val="single" w:sz="4" w:space="0" w:color="auto"/>
            </w:tcBorders>
            <w:shd w:val="clear" w:color="000000" w:fill="B4C6E7"/>
            <w:noWrap/>
            <w:vAlign w:val="center"/>
            <w:hideMark/>
          </w:tcPr>
          <w:p w14:paraId="25CB1EE3" w14:textId="77777777" w:rsidR="00BA0D82" w:rsidRPr="0005691D" w:rsidRDefault="00BA0D82" w:rsidP="001A5653">
            <w:pPr>
              <w:spacing w:after="0" w:line="240" w:lineRule="auto"/>
              <w:jc w:val="right"/>
              <w:rPr>
                <w:rFonts w:ascii="Calibri" w:eastAsia="Times New Roman" w:hAnsi="Calibri" w:cs="Calibri"/>
                <w:b/>
                <w:bCs/>
                <w:color w:val="000000"/>
              </w:rPr>
            </w:pPr>
            <w:r w:rsidRPr="0005691D">
              <w:rPr>
                <w:rFonts w:ascii="Calibri" w:eastAsia="Times New Roman" w:hAnsi="Calibri" w:cs="Calibri"/>
                <w:b/>
                <w:bCs/>
                <w:color w:val="000000"/>
              </w:rPr>
              <w:t>The Career Index Plus (TCI+) and LMI</w:t>
            </w:r>
          </w:p>
        </w:tc>
        <w:tc>
          <w:tcPr>
            <w:tcW w:w="1165" w:type="dxa"/>
            <w:tcBorders>
              <w:top w:val="nil"/>
              <w:left w:val="nil"/>
              <w:bottom w:val="single" w:sz="4" w:space="0" w:color="auto"/>
              <w:right w:val="single" w:sz="4" w:space="0" w:color="auto"/>
            </w:tcBorders>
            <w:shd w:val="clear" w:color="000000" w:fill="FFFFFF"/>
            <w:noWrap/>
            <w:vAlign w:val="center"/>
            <w:hideMark/>
          </w:tcPr>
          <w:p w14:paraId="7C6CAC06"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w:t>
            </w:r>
          </w:p>
        </w:tc>
        <w:tc>
          <w:tcPr>
            <w:tcW w:w="1254" w:type="dxa"/>
            <w:tcBorders>
              <w:top w:val="nil"/>
              <w:left w:val="nil"/>
              <w:bottom w:val="single" w:sz="4" w:space="0" w:color="auto"/>
              <w:right w:val="single" w:sz="4" w:space="0" w:color="auto"/>
            </w:tcBorders>
            <w:shd w:val="clear" w:color="000000" w:fill="FFFFFF"/>
            <w:noWrap/>
            <w:vAlign w:val="center"/>
            <w:hideMark/>
          </w:tcPr>
          <w:p w14:paraId="70105FE8"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100%</w:t>
            </w:r>
          </w:p>
        </w:tc>
        <w:tc>
          <w:tcPr>
            <w:tcW w:w="897" w:type="dxa"/>
            <w:tcBorders>
              <w:top w:val="nil"/>
              <w:left w:val="nil"/>
              <w:bottom w:val="single" w:sz="4" w:space="0" w:color="auto"/>
              <w:right w:val="single" w:sz="4" w:space="0" w:color="auto"/>
            </w:tcBorders>
            <w:shd w:val="clear" w:color="000000" w:fill="FFFFFF"/>
            <w:noWrap/>
            <w:vAlign w:val="center"/>
            <w:hideMark/>
          </w:tcPr>
          <w:p w14:paraId="3F3C3FB1"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w:t>
            </w:r>
          </w:p>
        </w:tc>
        <w:tc>
          <w:tcPr>
            <w:tcW w:w="897" w:type="dxa"/>
            <w:tcBorders>
              <w:top w:val="nil"/>
              <w:left w:val="nil"/>
              <w:bottom w:val="single" w:sz="4" w:space="0" w:color="auto"/>
              <w:right w:val="single" w:sz="4" w:space="0" w:color="auto"/>
            </w:tcBorders>
            <w:shd w:val="clear" w:color="000000" w:fill="FFFFFF"/>
            <w:noWrap/>
            <w:vAlign w:val="center"/>
            <w:hideMark/>
          </w:tcPr>
          <w:p w14:paraId="05643F3F"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w:t>
            </w:r>
          </w:p>
        </w:tc>
        <w:tc>
          <w:tcPr>
            <w:tcW w:w="892" w:type="dxa"/>
            <w:tcBorders>
              <w:top w:val="nil"/>
              <w:left w:val="nil"/>
              <w:bottom w:val="single" w:sz="4" w:space="0" w:color="auto"/>
              <w:right w:val="single" w:sz="4" w:space="0" w:color="auto"/>
            </w:tcBorders>
            <w:shd w:val="clear" w:color="000000" w:fill="FFFFFF"/>
            <w:noWrap/>
            <w:vAlign w:val="center"/>
            <w:hideMark/>
          </w:tcPr>
          <w:p w14:paraId="71DB1479"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100%</w:t>
            </w:r>
          </w:p>
        </w:tc>
        <w:tc>
          <w:tcPr>
            <w:tcW w:w="1063" w:type="dxa"/>
            <w:tcBorders>
              <w:top w:val="nil"/>
              <w:left w:val="nil"/>
              <w:bottom w:val="single" w:sz="4" w:space="0" w:color="auto"/>
              <w:right w:val="single" w:sz="4" w:space="0" w:color="auto"/>
            </w:tcBorders>
            <w:shd w:val="clear" w:color="000000" w:fill="FFFFFF"/>
            <w:noWrap/>
            <w:vAlign w:val="center"/>
            <w:hideMark/>
          </w:tcPr>
          <w:p w14:paraId="7CAD55D2"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w:t>
            </w:r>
          </w:p>
        </w:tc>
        <w:tc>
          <w:tcPr>
            <w:tcW w:w="1063" w:type="dxa"/>
            <w:tcBorders>
              <w:top w:val="nil"/>
              <w:left w:val="nil"/>
              <w:bottom w:val="single" w:sz="4" w:space="0" w:color="auto"/>
              <w:right w:val="single" w:sz="4" w:space="0" w:color="auto"/>
            </w:tcBorders>
            <w:shd w:val="clear" w:color="000000" w:fill="FFFFFF"/>
            <w:noWrap/>
            <w:vAlign w:val="center"/>
            <w:hideMark/>
          </w:tcPr>
          <w:p w14:paraId="20C260D6"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w:t>
            </w:r>
          </w:p>
        </w:tc>
        <w:tc>
          <w:tcPr>
            <w:tcW w:w="1063" w:type="dxa"/>
            <w:tcBorders>
              <w:top w:val="nil"/>
              <w:left w:val="nil"/>
              <w:bottom w:val="single" w:sz="4" w:space="0" w:color="auto"/>
              <w:right w:val="single" w:sz="4" w:space="0" w:color="auto"/>
            </w:tcBorders>
            <w:shd w:val="clear" w:color="000000" w:fill="FFFFFF"/>
            <w:noWrap/>
            <w:vAlign w:val="center"/>
            <w:hideMark/>
          </w:tcPr>
          <w:p w14:paraId="5C09BBD8"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100%</w:t>
            </w:r>
          </w:p>
        </w:tc>
      </w:tr>
      <w:tr w:rsidR="00BA0D82" w:rsidRPr="0005691D" w14:paraId="7D682136" w14:textId="77777777" w:rsidTr="001A5653">
        <w:trPr>
          <w:trHeight w:val="300"/>
        </w:trPr>
        <w:tc>
          <w:tcPr>
            <w:tcW w:w="2506" w:type="dxa"/>
            <w:tcBorders>
              <w:top w:val="nil"/>
              <w:left w:val="single" w:sz="4" w:space="0" w:color="auto"/>
              <w:bottom w:val="single" w:sz="4" w:space="0" w:color="auto"/>
              <w:right w:val="single" w:sz="4" w:space="0" w:color="auto"/>
            </w:tcBorders>
            <w:shd w:val="clear" w:color="000000" w:fill="B4C6E7"/>
            <w:noWrap/>
            <w:vAlign w:val="center"/>
            <w:hideMark/>
          </w:tcPr>
          <w:p w14:paraId="2C3A88D3" w14:textId="77777777" w:rsidR="00BA0D82" w:rsidRPr="0005691D" w:rsidRDefault="00BA0D82" w:rsidP="001A5653">
            <w:pPr>
              <w:spacing w:after="0" w:line="240" w:lineRule="auto"/>
              <w:jc w:val="right"/>
              <w:rPr>
                <w:rFonts w:ascii="Calibri" w:eastAsia="Times New Roman" w:hAnsi="Calibri" w:cs="Calibri"/>
                <w:b/>
                <w:bCs/>
                <w:color w:val="000000"/>
              </w:rPr>
            </w:pPr>
            <w:r w:rsidRPr="0005691D">
              <w:rPr>
                <w:rFonts w:ascii="Calibri" w:eastAsia="Times New Roman" w:hAnsi="Calibri" w:cs="Calibri"/>
                <w:b/>
                <w:bCs/>
                <w:color w:val="000000"/>
              </w:rPr>
              <w:t>Customized Employment</w:t>
            </w:r>
          </w:p>
        </w:tc>
        <w:tc>
          <w:tcPr>
            <w:tcW w:w="1165" w:type="dxa"/>
            <w:tcBorders>
              <w:top w:val="nil"/>
              <w:left w:val="nil"/>
              <w:bottom w:val="single" w:sz="4" w:space="0" w:color="auto"/>
              <w:right w:val="single" w:sz="4" w:space="0" w:color="auto"/>
            </w:tcBorders>
            <w:shd w:val="clear" w:color="000000" w:fill="D9E2F3"/>
            <w:noWrap/>
            <w:vAlign w:val="center"/>
            <w:hideMark/>
          </w:tcPr>
          <w:p w14:paraId="5C9FD301"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3</w:t>
            </w:r>
          </w:p>
        </w:tc>
        <w:tc>
          <w:tcPr>
            <w:tcW w:w="1254" w:type="dxa"/>
            <w:tcBorders>
              <w:top w:val="nil"/>
              <w:left w:val="nil"/>
              <w:bottom w:val="single" w:sz="4" w:space="0" w:color="auto"/>
              <w:right w:val="single" w:sz="4" w:space="0" w:color="auto"/>
            </w:tcBorders>
            <w:shd w:val="clear" w:color="000000" w:fill="D9E2F3"/>
            <w:noWrap/>
            <w:vAlign w:val="center"/>
            <w:hideMark/>
          </w:tcPr>
          <w:p w14:paraId="7A6EAAB8"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97%</w:t>
            </w:r>
          </w:p>
        </w:tc>
        <w:tc>
          <w:tcPr>
            <w:tcW w:w="897" w:type="dxa"/>
            <w:tcBorders>
              <w:top w:val="nil"/>
              <w:left w:val="nil"/>
              <w:bottom w:val="single" w:sz="4" w:space="0" w:color="auto"/>
              <w:right w:val="single" w:sz="4" w:space="0" w:color="auto"/>
            </w:tcBorders>
            <w:shd w:val="clear" w:color="000000" w:fill="D9E2F3"/>
            <w:noWrap/>
            <w:vAlign w:val="center"/>
            <w:hideMark/>
          </w:tcPr>
          <w:p w14:paraId="0298617D"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3</w:t>
            </w:r>
          </w:p>
        </w:tc>
        <w:tc>
          <w:tcPr>
            <w:tcW w:w="897" w:type="dxa"/>
            <w:tcBorders>
              <w:top w:val="nil"/>
              <w:left w:val="nil"/>
              <w:bottom w:val="single" w:sz="4" w:space="0" w:color="auto"/>
              <w:right w:val="single" w:sz="4" w:space="0" w:color="auto"/>
            </w:tcBorders>
            <w:shd w:val="clear" w:color="000000" w:fill="D9E2F3"/>
            <w:noWrap/>
            <w:vAlign w:val="center"/>
            <w:hideMark/>
          </w:tcPr>
          <w:p w14:paraId="2AE0A9A4"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2</w:t>
            </w:r>
          </w:p>
        </w:tc>
        <w:tc>
          <w:tcPr>
            <w:tcW w:w="892" w:type="dxa"/>
            <w:tcBorders>
              <w:top w:val="nil"/>
              <w:left w:val="nil"/>
              <w:bottom w:val="single" w:sz="4" w:space="0" w:color="auto"/>
              <w:right w:val="single" w:sz="4" w:space="0" w:color="auto"/>
            </w:tcBorders>
            <w:shd w:val="clear" w:color="000000" w:fill="D9E2F3"/>
            <w:noWrap/>
            <w:vAlign w:val="center"/>
            <w:hideMark/>
          </w:tcPr>
          <w:p w14:paraId="07D8B906"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67%</w:t>
            </w:r>
          </w:p>
        </w:tc>
        <w:tc>
          <w:tcPr>
            <w:tcW w:w="1063" w:type="dxa"/>
            <w:tcBorders>
              <w:top w:val="nil"/>
              <w:left w:val="nil"/>
              <w:bottom w:val="single" w:sz="4" w:space="0" w:color="auto"/>
              <w:right w:val="single" w:sz="4" w:space="0" w:color="auto"/>
            </w:tcBorders>
            <w:shd w:val="clear" w:color="000000" w:fill="D9E2F3"/>
            <w:noWrap/>
            <w:vAlign w:val="center"/>
            <w:hideMark/>
          </w:tcPr>
          <w:p w14:paraId="203EC764"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w:t>
            </w:r>
          </w:p>
        </w:tc>
        <w:tc>
          <w:tcPr>
            <w:tcW w:w="1063" w:type="dxa"/>
            <w:tcBorders>
              <w:top w:val="nil"/>
              <w:left w:val="nil"/>
              <w:bottom w:val="single" w:sz="4" w:space="0" w:color="auto"/>
              <w:right w:val="single" w:sz="4" w:space="0" w:color="auto"/>
            </w:tcBorders>
            <w:shd w:val="clear" w:color="000000" w:fill="D9E2F3"/>
            <w:noWrap/>
            <w:vAlign w:val="center"/>
            <w:hideMark/>
          </w:tcPr>
          <w:p w14:paraId="23740140"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0</w:t>
            </w:r>
          </w:p>
        </w:tc>
        <w:tc>
          <w:tcPr>
            <w:tcW w:w="1063" w:type="dxa"/>
            <w:tcBorders>
              <w:top w:val="nil"/>
              <w:left w:val="nil"/>
              <w:bottom w:val="single" w:sz="4" w:space="0" w:color="auto"/>
              <w:right w:val="single" w:sz="4" w:space="0" w:color="auto"/>
            </w:tcBorders>
            <w:shd w:val="clear" w:color="000000" w:fill="D9E2F3"/>
            <w:noWrap/>
            <w:vAlign w:val="center"/>
            <w:hideMark/>
          </w:tcPr>
          <w:p w14:paraId="3460B763"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0%</w:t>
            </w:r>
          </w:p>
        </w:tc>
      </w:tr>
      <w:tr w:rsidR="00BA0D82" w:rsidRPr="0005691D" w14:paraId="27085AF0" w14:textId="77777777" w:rsidTr="001A5653">
        <w:trPr>
          <w:trHeight w:val="300"/>
        </w:trPr>
        <w:tc>
          <w:tcPr>
            <w:tcW w:w="2506" w:type="dxa"/>
            <w:tcBorders>
              <w:top w:val="nil"/>
              <w:left w:val="nil"/>
              <w:bottom w:val="nil"/>
              <w:right w:val="nil"/>
            </w:tcBorders>
            <w:shd w:val="clear" w:color="auto" w:fill="auto"/>
            <w:noWrap/>
            <w:vAlign w:val="bottom"/>
            <w:hideMark/>
          </w:tcPr>
          <w:p w14:paraId="1ECF0310" w14:textId="77777777" w:rsidR="00BA0D82" w:rsidRPr="0005691D" w:rsidRDefault="00BA0D82" w:rsidP="001A5653">
            <w:pPr>
              <w:spacing w:after="0" w:line="240" w:lineRule="auto"/>
              <w:jc w:val="center"/>
              <w:rPr>
                <w:rFonts w:ascii="Calibri" w:eastAsia="Times New Roman" w:hAnsi="Calibri" w:cs="Calibri"/>
                <w:color w:val="000000"/>
              </w:rPr>
            </w:pPr>
          </w:p>
        </w:tc>
        <w:tc>
          <w:tcPr>
            <w:tcW w:w="1165" w:type="dxa"/>
            <w:tcBorders>
              <w:top w:val="nil"/>
              <w:left w:val="nil"/>
              <w:bottom w:val="nil"/>
              <w:right w:val="nil"/>
            </w:tcBorders>
            <w:shd w:val="clear" w:color="auto" w:fill="auto"/>
            <w:noWrap/>
            <w:vAlign w:val="center"/>
            <w:hideMark/>
          </w:tcPr>
          <w:p w14:paraId="06B54CC4" w14:textId="77777777" w:rsidR="00BA0D82" w:rsidRPr="0005691D" w:rsidRDefault="00BA0D82" w:rsidP="001A5653">
            <w:pPr>
              <w:spacing w:after="0" w:line="240" w:lineRule="auto"/>
              <w:rPr>
                <w:rFonts w:ascii="Times New Roman" w:eastAsia="Times New Roman" w:hAnsi="Times New Roman" w:cs="Times New Roman"/>
                <w:sz w:val="20"/>
                <w:szCs w:val="20"/>
              </w:rPr>
            </w:pPr>
          </w:p>
        </w:tc>
        <w:tc>
          <w:tcPr>
            <w:tcW w:w="1254" w:type="dxa"/>
            <w:tcBorders>
              <w:top w:val="nil"/>
              <w:left w:val="nil"/>
              <w:bottom w:val="nil"/>
              <w:right w:val="nil"/>
            </w:tcBorders>
            <w:shd w:val="clear" w:color="auto" w:fill="auto"/>
            <w:noWrap/>
            <w:vAlign w:val="center"/>
            <w:hideMark/>
          </w:tcPr>
          <w:p w14:paraId="744EA768"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c>
          <w:tcPr>
            <w:tcW w:w="897" w:type="dxa"/>
            <w:tcBorders>
              <w:top w:val="nil"/>
              <w:left w:val="nil"/>
              <w:bottom w:val="nil"/>
              <w:right w:val="nil"/>
            </w:tcBorders>
            <w:shd w:val="clear" w:color="auto" w:fill="auto"/>
            <w:noWrap/>
            <w:vAlign w:val="center"/>
            <w:hideMark/>
          </w:tcPr>
          <w:p w14:paraId="0879476E"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c>
          <w:tcPr>
            <w:tcW w:w="897" w:type="dxa"/>
            <w:tcBorders>
              <w:top w:val="nil"/>
              <w:left w:val="nil"/>
              <w:bottom w:val="nil"/>
              <w:right w:val="nil"/>
            </w:tcBorders>
            <w:shd w:val="clear" w:color="auto" w:fill="auto"/>
            <w:noWrap/>
            <w:vAlign w:val="center"/>
            <w:hideMark/>
          </w:tcPr>
          <w:p w14:paraId="2FB60A2C"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c>
          <w:tcPr>
            <w:tcW w:w="892" w:type="dxa"/>
            <w:tcBorders>
              <w:top w:val="nil"/>
              <w:left w:val="nil"/>
              <w:bottom w:val="nil"/>
              <w:right w:val="nil"/>
            </w:tcBorders>
            <w:shd w:val="clear" w:color="auto" w:fill="auto"/>
            <w:noWrap/>
            <w:vAlign w:val="center"/>
            <w:hideMark/>
          </w:tcPr>
          <w:p w14:paraId="75B11133"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c>
          <w:tcPr>
            <w:tcW w:w="1063" w:type="dxa"/>
            <w:tcBorders>
              <w:top w:val="nil"/>
              <w:left w:val="nil"/>
              <w:bottom w:val="nil"/>
              <w:right w:val="nil"/>
            </w:tcBorders>
            <w:shd w:val="clear" w:color="auto" w:fill="auto"/>
            <w:noWrap/>
            <w:vAlign w:val="center"/>
            <w:hideMark/>
          </w:tcPr>
          <w:p w14:paraId="24EDBBDA"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c>
          <w:tcPr>
            <w:tcW w:w="1063" w:type="dxa"/>
            <w:tcBorders>
              <w:top w:val="nil"/>
              <w:left w:val="nil"/>
              <w:bottom w:val="nil"/>
              <w:right w:val="nil"/>
            </w:tcBorders>
            <w:shd w:val="clear" w:color="auto" w:fill="auto"/>
            <w:noWrap/>
            <w:vAlign w:val="center"/>
            <w:hideMark/>
          </w:tcPr>
          <w:p w14:paraId="4F4C6A71"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c>
          <w:tcPr>
            <w:tcW w:w="1063" w:type="dxa"/>
            <w:tcBorders>
              <w:top w:val="nil"/>
              <w:left w:val="nil"/>
              <w:bottom w:val="nil"/>
              <w:right w:val="nil"/>
            </w:tcBorders>
            <w:shd w:val="clear" w:color="auto" w:fill="auto"/>
            <w:noWrap/>
            <w:vAlign w:val="center"/>
            <w:hideMark/>
          </w:tcPr>
          <w:p w14:paraId="419C5F7F"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r>
      <w:tr w:rsidR="00BA0D82" w:rsidRPr="0005691D" w14:paraId="60568950" w14:textId="77777777" w:rsidTr="001A5653">
        <w:trPr>
          <w:trHeight w:val="465"/>
        </w:trPr>
        <w:tc>
          <w:tcPr>
            <w:tcW w:w="10800" w:type="dxa"/>
            <w:gridSpan w:val="9"/>
            <w:tcBorders>
              <w:top w:val="single" w:sz="4" w:space="0" w:color="auto"/>
              <w:left w:val="nil"/>
              <w:bottom w:val="single" w:sz="4" w:space="0" w:color="auto"/>
              <w:right w:val="nil"/>
            </w:tcBorders>
            <w:shd w:val="clear" w:color="auto" w:fill="auto"/>
            <w:noWrap/>
            <w:vAlign w:val="bottom"/>
            <w:hideMark/>
          </w:tcPr>
          <w:p w14:paraId="2DA2F9D1" w14:textId="77777777" w:rsidR="00BA0D82" w:rsidRPr="0005691D" w:rsidRDefault="00BA0D82" w:rsidP="00BA0D82">
            <w:pPr>
              <w:pStyle w:val="Heading2"/>
              <w:numPr>
                <w:ilvl w:val="0"/>
                <w:numId w:val="0"/>
              </w:numPr>
              <w:rPr>
                <w:rFonts w:eastAsia="Times New Roman"/>
              </w:rPr>
            </w:pPr>
            <w:bookmarkStart w:id="239" w:name="_Toc27143209"/>
            <w:bookmarkStart w:id="240" w:name="_Toc28011508"/>
            <w:r w:rsidRPr="0005691D">
              <w:rPr>
                <w:rFonts w:eastAsia="Times New Roman"/>
              </w:rPr>
              <w:t>Minnesota General</w:t>
            </w:r>
            <w:bookmarkEnd w:id="239"/>
            <w:bookmarkEnd w:id="240"/>
          </w:p>
        </w:tc>
      </w:tr>
      <w:tr w:rsidR="00BA0D82" w:rsidRPr="0005691D" w14:paraId="3D63341F" w14:textId="77777777" w:rsidTr="001A5653">
        <w:trPr>
          <w:trHeight w:val="1305"/>
        </w:trPr>
        <w:tc>
          <w:tcPr>
            <w:tcW w:w="2506" w:type="dxa"/>
            <w:tcBorders>
              <w:top w:val="nil"/>
              <w:left w:val="single" w:sz="4" w:space="0" w:color="auto"/>
              <w:bottom w:val="single" w:sz="4" w:space="0" w:color="auto"/>
              <w:right w:val="single" w:sz="4" w:space="0" w:color="auto"/>
            </w:tcBorders>
            <w:shd w:val="clear" w:color="000000" w:fill="B4C6E7"/>
            <w:vAlign w:val="bottom"/>
            <w:hideMark/>
          </w:tcPr>
          <w:p w14:paraId="72DE995A" w14:textId="77777777" w:rsidR="00BA0D82" w:rsidRPr="0005691D" w:rsidRDefault="00BA0D82" w:rsidP="001A5653">
            <w:pPr>
              <w:spacing w:after="0" w:line="240" w:lineRule="auto"/>
              <w:jc w:val="right"/>
              <w:rPr>
                <w:rFonts w:ascii="Calibri" w:eastAsia="Times New Roman" w:hAnsi="Calibri" w:cs="Calibri"/>
                <w:b/>
                <w:bCs/>
                <w:color w:val="000000"/>
                <w:szCs w:val="28"/>
              </w:rPr>
            </w:pPr>
            <w:r w:rsidRPr="0005691D">
              <w:rPr>
                <w:rFonts w:ascii="Calibri" w:eastAsia="Times New Roman" w:hAnsi="Calibri" w:cs="Calibri"/>
                <w:b/>
                <w:bCs/>
                <w:color w:val="000000"/>
                <w:szCs w:val="28"/>
              </w:rPr>
              <w:t>Area</w:t>
            </w:r>
          </w:p>
        </w:tc>
        <w:tc>
          <w:tcPr>
            <w:tcW w:w="1165" w:type="dxa"/>
            <w:tcBorders>
              <w:top w:val="nil"/>
              <w:left w:val="nil"/>
              <w:bottom w:val="single" w:sz="4" w:space="0" w:color="auto"/>
              <w:right w:val="single" w:sz="4" w:space="0" w:color="auto"/>
            </w:tcBorders>
            <w:shd w:val="clear" w:color="000000" w:fill="B4C6E7"/>
            <w:vAlign w:val="bottom"/>
            <w:hideMark/>
          </w:tcPr>
          <w:p w14:paraId="60AE02FC"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of Total Activities</w:t>
            </w:r>
          </w:p>
        </w:tc>
        <w:tc>
          <w:tcPr>
            <w:tcW w:w="1254" w:type="dxa"/>
            <w:tcBorders>
              <w:top w:val="nil"/>
              <w:left w:val="nil"/>
              <w:bottom w:val="single" w:sz="4" w:space="0" w:color="auto"/>
              <w:right w:val="single" w:sz="4" w:space="0" w:color="auto"/>
            </w:tcBorders>
            <w:shd w:val="clear" w:color="000000" w:fill="B4C6E7"/>
            <w:vAlign w:val="bottom"/>
            <w:hideMark/>
          </w:tcPr>
          <w:p w14:paraId="0EB56FF7"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Average Progress on Activities (%)</w:t>
            </w:r>
          </w:p>
        </w:tc>
        <w:tc>
          <w:tcPr>
            <w:tcW w:w="897" w:type="dxa"/>
            <w:tcBorders>
              <w:top w:val="nil"/>
              <w:left w:val="nil"/>
              <w:bottom w:val="single" w:sz="4" w:space="0" w:color="auto"/>
              <w:right w:val="single" w:sz="4" w:space="0" w:color="auto"/>
            </w:tcBorders>
            <w:shd w:val="clear" w:color="000000" w:fill="B4C6E7"/>
            <w:vAlign w:val="bottom"/>
            <w:hideMark/>
          </w:tcPr>
          <w:p w14:paraId="61951837"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Outputs</w:t>
            </w:r>
          </w:p>
        </w:tc>
        <w:tc>
          <w:tcPr>
            <w:tcW w:w="897" w:type="dxa"/>
            <w:tcBorders>
              <w:top w:val="nil"/>
              <w:left w:val="nil"/>
              <w:bottom w:val="single" w:sz="4" w:space="0" w:color="auto"/>
              <w:right w:val="single" w:sz="4" w:space="0" w:color="auto"/>
            </w:tcBorders>
            <w:shd w:val="clear" w:color="000000" w:fill="B4C6E7"/>
            <w:vAlign w:val="bottom"/>
            <w:hideMark/>
          </w:tcPr>
          <w:p w14:paraId="2FCEECBE"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Outputs Met</w:t>
            </w:r>
          </w:p>
        </w:tc>
        <w:tc>
          <w:tcPr>
            <w:tcW w:w="892" w:type="dxa"/>
            <w:tcBorders>
              <w:top w:val="nil"/>
              <w:left w:val="nil"/>
              <w:bottom w:val="single" w:sz="4" w:space="0" w:color="auto"/>
              <w:right w:val="single" w:sz="4" w:space="0" w:color="auto"/>
            </w:tcBorders>
            <w:shd w:val="clear" w:color="000000" w:fill="B4C6E7"/>
            <w:vAlign w:val="bottom"/>
            <w:hideMark/>
          </w:tcPr>
          <w:p w14:paraId="305D0B0B"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Outputs Met</w:t>
            </w:r>
          </w:p>
        </w:tc>
        <w:tc>
          <w:tcPr>
            <w:tcW w:w="1063" w:type="dxa"/>
            <w:tcBorders>
              <w:top w:val="nil"/>
              <w:left w:val="nil"/>
              <w:bottom w:val="single" w:sz="4" w:space="0" w:color="auto"/>
              <w:right w:val="single" w:sz="4" w:space="0" w:color="auto"/>
            </w:tcBorders>
            <w:shd w:val="clear" w:color="000000" w:fill="B4C6E7"/>
            <w:vAlign w:val="bottom"/>
            <w:hideMark/>
          </w:tcPr>
          <w:p w14:paraId="7C7D6C8D"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Short-Term Outcomes</w:t>
            </w:r>
          </w:p>
        </w:tc>
        <w:tc>
          <w:tcPr>
            <w:tcW w:w="1063" w:type="dxa"/>
            <w:tcBorders>
              <w:top w:val="nil"/>
              <w:left w:val="nil"/>
              <w:bottom w:val="single" w:sz="4" w:space="0" w:color="auto"/>
              <w:right w:val="single" w:sz="4" w:space="0" w:color="auto"/>
            </w:tcBorders>
            <w:shd w:val="clear" w:color="000000" w:fill="B4C6E7"/>
            <w:vAlign w:val="bottom"/>
            <w:hideMark/>
          </w:tcPr>
          <w:p w14:paraId="72BA48F7"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Short-Term Outcomes Met</w:t>
            </w:r>
          </w:p>
        </w:tc>
        <w:tc>
          <w:tcPr>
            <w:tcW w:w="1063" w:type="dxa"/>
            <w:tcBorders>
              <w:top w:val="nil"/>
              <w:left w:val="nil"/>
              <w:bottom w:val="single" w:sz="4" w:space="0" w:color="auto"/>
              <w:right w:val="single" w:sz="4" w:space="0" w:color="auto"/>
            </w:tcBorders>
            <w:shd w:val="clear" w:color="000000" w:fill="B4C6E7"/>
            <w:vAlign w:val="bottom"/>
            <w:hideMark/>
          </w:tcPr>
          <w:p w14:paraId="6F8E33B9"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%Short-Term Outcomes Achieved</w:t>
            </w:r>
          </w:p>
        </w:tc>
      </w:tr>
      <w:tr w:rsidR="00BA0D82" w:rsidRPr="0005691D" w14:paraId="14CB2860" w14:textId="77777777" w:rsidTr="001A5653">
        <w:trPr>
          <w:trHeight w:val="300"/>
        </w:trPr>
        <w:tc>
          <w:tcPr>
            <w:tcW w:w="2506" w:type="dxa"/>
            <w:tcBorders>
              <w:top w:val="nil"/>
              <w:left w:val="single" w:sz="4" w:space="0" w:color="auto"/>
              <w:bottom w:val="single" w:sz="4" w:space="0" w:color="auto"/>
              <w:right w:val="single" w:sz="4" w:space="0" w:color="auto"/>
            </w:tcBorders>
            <w:shd w:val="clear" w:color="000000" w:fill="B4C6E7"/>
            <w:noWrap/>
            <w:vAlign w:val="center"/>
            <w:hideMark/>
          </w:tcPr>
          <w:p w14:paraId="21D3631A" w14:textId="77777777" w:rsidR="00BA0D82" w:rsidRPr="0005691D" w:rsidRDefault="00BA0D82" w:rsidP="001A5653">
            <w:pPr>
              <w:spacing w:after="0" w:line="240" w:lineRule="auto"/>
              <w:jc w:val="right"/>
              <w:rPr>
                <w:rFonts w:ascii="Calibri" w:eastAsia="Times New Roman" w:hAnsi="Calibri" w:cs="Calibri"/>
                <w:b/>
                <w:bCs/>
                <w:color w:val="000000"/>
              </w:rPr>
            </w:pPr>
            <w:r w:rsidRPr="0005691D">
              <w:rPr>
                <w:rFonts w:ascii="Calibri" w:eastAsia="Times New Roman" w:hAnsi="Calibri" w:cs="Calibri"/>
                <w:b/>
                <w:bCs/>
                <w:color w:val="000000"/>
              </w:rPr>
              <w:t>Pre-ETS</w:t>
            </w:r>
          </w:p>
        </w:tc>
        <w:tc>
          <w:tcPr>
            <w:tcW w:w="1165" w:type="dxa"/>
            <w:tcBorders>
              <w:top w:val="nil"/>
              <w:left w:val="nil"/>
              <w:bottom w:val="single" w:sz="4" w:space="0" w:color="auto"/>
              <w:right w:val="single" w:sz="4" w:space="0" w:color="auto"/>
            </w:tcBorders>
            <w:shd w:val="clear" w:color="000000" w:fill="FFFFFF"/>
            <w:noWrap/>
            <w:vAlign w:val="center"/>
            <w:hideMark/>
          </w:tcPr>
          <w:p w14:paraId="458DAE1E"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7</w:t>
            </w:r>
          </w:p>
        </w:tc>
        <w:tc>
          <w:tcPr>
            <w:tcW w:w="1254" w:type="dxa"/>
            <w:tcBorders>
              <w:top w:val="nil"/>
              <w:left w:val="nil"/>
              <w:bottom w:val="single" w:sz="4" w:space="0" w:color="auto"/>
              <w:right w:val="single" w:sz="4" w:space="0" w:color="auto"/>
            </w:tcBorders>
            <w:shd w:val="clear" w:color="000000" w:fill="FFFFFF"/>
            <w:noWrap/>
            <w:vAlign w:val="center"/>
            <w:hideMark/>
          </w:tcPr>
          <w:p w14:paraId="675D8E49"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88%</w:t>
            </w:r>
          </w:p>
        </w:tc>
        <w:tc>
          <w:tcPr>
            <w:tcW w:w="897" w:type="dxa"/>
            <w:tcBorders>
              <w:top w:val="nil"/>
              <w:left w:val="nil"/>
              <w:bottom w:val="single" w:sz="4" w:space="0" w:color="auto"/>
              <w:right w:val="single" w:sz="4" w:space="0" w:color="auto"/>
            </w:tcBorders>
            <w:shd w:val="clear" w:color="000000" w:fill="FFFFFF"/>
            <w:noWrap/>
            <w:vAlign w:val="center"/>
            <w:hideMark/>
          </w:tcPr>
          <w:p w14:paraId="0B287B1D"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7</w:t>
            </w:r>
          </w:p>
        </w:tc>
        <w:tc>
          <w:tcPr>
            <w:tcW w:w="897" w:type="dxa"/>
            <w:tcBorders>
              <w:top w:val="nil"/>
              <w:left w:val="nil"/>
              <w:bottom w:val="single" w:sz="4" w:space="0" w:color="auto"/>
              <w:right w:val="single" w:sz="4" w:space="0" w:color="auto"/>
            </w:tcBorders>
            <w:shd w:val="clear" w:color="000000" w:fill="FFFFFF"/>
            <w:noWrap/>
            <w:vAlign w:val="center"/>
            <w:hideMark/>
          </w:tcPr>
          <w:p w14:paraId="2B07ACED"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4</w:t>
            </w:r>
          </w:p>
        </w:tc>
        <w:tc>
          <w:tcPr>
            <w:tcW w:w="892" w:type="dxa"/>
            <w:tcBorders>
              <w:top w:val="nil"/>
              <w:left w:val="nil"/>
              <w:bottom w:val="single" w:sz="4" w:space="0" w:color="auto"/>
              <w:right w:val="single" w:sz="4" w:space="0" w:color="auto"/>
            </w:tcBorders>
            <w:shd w:val="clear" w:color="000000" w:fill="FFFFFF"/>
            <w:noWrap/>
            <w:vAlign w:val="center"/>
            <w:hideMark/>
          </w:tcPr>
          <w:p w14:paraId="6081CC13"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57%</w:t>
            </w:r>
          </w:p>
        </w:tc>
        <w:tc>
          <w:tcPr>
            <w:tcW w:w="1063" w:type="dxa"/>
            <w:tcBorders>
              <w:top w:val="nil"/>
              <w:left w:val="nil"/>
              <w:bottom w:val="single" w:sz="4" w:space="0" w:color="auto"/>
              <w:right w:val="single" w:sz="4" w:space="0" w:color="auto"/>
            </w:tcBorders>
            <w:shd w:val="clear" w:color="000000" w:fill="FFFFFF"/>
            <w:noWrap/>
            <w:vAlign w:val="center"/>
            <w:hideMark/>
          </w:tcPr>
          <w:p w14:paraId="6E7ED5C8"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3</w:t>
            </w:r>
          </w:p>
        </w:tc>
        <w:tc>
          <w:tcPr>
            <w:tcW w:w="1063" w:type="dxa"/>
            <w:tcBorders>
              <w:top w:val="nil"/>
              <w:left w:val="nil"/>
              <w:bottom w:val="single" w:sz="4" w:space="0" w:color="auto"/>
              <w:right w:val="single" w:sz="4" w:space="0" w:color="auto"/>
            </w:tcBorders>
            <w:shd w:val="clear" w:color="000000" w:fill="FFFFFF"/>
            <w:noWrap/>
            <w:vAlign w:val="center"/>
            <w:hideMark/>
          </w:tcPr>
          <w:p w14:paraId="12DC548B"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2</w:t>
            </w:r>
          </w:p>
        </w:tc>
        <w:tc>
          <w:tcPr>
            <w:tcW w:w="1063" w:type="dxa"/>
            <w:tcBorders>
              <w:top w:val="nil"/>
              <w:left w:val="nil"/>
              <w:bottom w:val="single" w:sz="4" w:space="0" w:color="auto"/>
              <w:right w:val="single" w:sz="4" w:space="0" w:color="auto"/>
            </w:tcBorders>
            <w:shd w:val="clear" w:color="000000" w:fill="FFFFFF"/>
            <w:noWrap/>
            <w:vAlign w:val="center"/>
            <w:hideMark/>
          </w:tcPr>
          <w:p w14:paraId="29A407C7"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67%</w:t>
            </w:r>
          </w:p>
        </w:tc>
      </w:tr>
      <w:tr w:rsidR="00BA0D82" w:rsidRPr="0005691D" w14:paraId="1F1F6708" w14:textId="77777777" w:rsidTr="001A5653">
        <w:trPr>
          <w:trHeight w:val="300"/>
        </w:trPr>
        <w:tc>
          <w:tcPr>
            <w:tcW w:w="2506" w:type="dxa"/>
            <w:tcBorders>
              <w:top w:val="nil"/>
              <w:left w:val="single" w:sz="4" w:space="0" w:color="auto"/>
              <w:bottom w:val="single" w:sz="4" w:space="0" w:color="auto"/>
              <w:right w:val="single" w:sz="4" w:space="0" w:color="auto"/>
            </w:tcBorders>
            <w:shd w:val="clear" w:color="000000" w:fill="B4C6E7"/>
            <w:noWrap/>
            <w:vAlign w:val="center"/>
            <w:hideMark/>
          </w:tcPr>
          <w:p w14:paraId="50D89E80" w14:textId="77777777" w:rsidR="00BA0D82" w:rsidRPr="0005691D" w:rsidRDefault="00BA0D82" w:rsidP="001A5653">
            <w:pPr>
              <w:spacing w:after="0" w:line="240" w:lineRule="auto"/>
              <w:jc w:val="right"/>
              <w:rPr>
                <w:rFonts w:ascii="Calibri" w:eastAsia="Times New Roman" w:hAnsi="Calibri" w:cs="Calibri"/>
                <w:b/>
                <w:bCs/>
                <w:color w:val="000000"/>
              </w:rPr>
            </w:pPr>
            <w:r w:rsidRPr="0005691D">
              <w:rPr>
                <w:rFonts w:ascii="Calibri" w:eastAsia="Times New Roman" w:hAnsi="Calibri" w:cs="Calibri"/>
                <w:b/>
                <w:bCs/>
                <w:color w:val="000000"/>
              </w:rPr>
              <w:t>Competitive Integrated Employment</w:t>
            </w:r>
          </w:p>
        </w:tc>
        <w:tc>
          <w:tcPr>
            <w:tcW w:w="1165" w:type="dxa"/>
            <w:tcBorders>
              <w:top w:val="nil"/>
              <w:left w:val="nil"/>
              <w:bottom w:val="single" w:sz="4" w:space="0" w:color="auto"/>
              <w:right w:val="single" w:sz="4" w:space="0" w:color="auto"/>
            </w:tcBorders>
            <w:shd w:val="clear" w:color="000000" w:fill="D9E2F3"/>
            <w:noWrap/>
            <w:vAlign w:val="center"/>
            <w:hideMark/>
          </w:tcPr>
          <w:p w14:paraId="2145741C"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w:t>
            </w:r>
          </w:p>
        </w:tc>
        <w:tc>
          <w:tcPr>
            <w:tcW w:w="1254" w:type="dxa"/>
            <w:tcBorders>
              <w:top w:val="nil"/>
              <w:left w:val="nil"/>
              <w:bottom w:val="single" w:sz="4" w:space="0" w:color="auto"/>
              <w:right w:val="single" w:sz="4" w:space="0" w:color="auto"/>
            </w:tcBorders>
            <w:shd w:val="clear" w:color="000000" w:fill="D9E2F3"/>
            <w:noWrap/>
            <w:vAlign w:val="center"/>
            <w:hideMark/>
          </w:tcPr>
          <w:p w14:paraId="00842753"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100%</w:t>
            </w:r>
          </w:p>
        </w:tc>
        <w:tc>
          <w:tcPr>
            <w:tcW w:w="897" w:type="dxa"/>
            <w:tcBorders>
              <w:top w:val="nil"/>
              <w:left w:val="nil"/>
              <w:bottom w:val="single" w:sz="4" w:space="0" w:color="auto"/>
              <w:right w:val="single" w:sz="4" w:space="0" w:color="auto"/>
            </w:tcBorders>
            <w:shd w:val="clear" w:color="000000" w:fill="D9E2F3"/>
            <w:noWrap/>
            <w:vAlign w:val="center"/>
            <w:hideMark/>
          </w:tcPr>
          <w:p w14:paraId="68E543C3"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w:t>
            </w:r>
          </w:p>
        </w:tc>
        <w:tc>
          <w:tcPr>
            <w:tcW w:w="897" w:type="dxa"/>
            <w:tcBorders>
              <w:top w:val="nil"/>
              <w:left w:val="nil"/>
              <w:bottom w:val="single" w:sz="4" w:space="0" w:color="auto"/>
              <w:right w:val="single" w:sz="4" w:space="0" w:color="auto"/>
            </w:tcBorders>
            <w:shd w:val="clear" w:color="000000" w:fill="D9E2F3"/>
            <w:noWrap/>
            <w:vAlign w:val="center"/>
            <w:hideMark/>
          </w:tcPr>
          <w:p w14:paraId="3E657AEA"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w:t>
            </w:r>
          </w:p>
        </w:tc>
        <w:tc>
          <w:tcPr>
            <w:tcW w:w="892" w:type="dxa"/>
            <w:tcBorders>
              <w:top w:val="nil"/>
              <w:left w:val="nil"/>
              <w:bottom w:val="single" w:sz="4" w:space="0" w:color="auto"/>
              <w:right w:val="single" w:sz="4" w:space="0" w:color="auto"/>
            </w:tcBorders>
            <w:shd w:val="clear" w:color="000000" w:fill="D9E2F3"/>
            <w:noWrap/>
            <w:vAlign w:val="center"/>
            <w:hideMark/>
          </w:tcPr>
          <w:p w14:paraId="5629379A"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100%</w:t>
            </w:r>
          </w:p>
        </w:tc>
        <w:tc>
          <w:tcPr>
            <w:tcW w:w="1063" w:type="dxa"/>
            <w:tcBorders>
              <w:top w:val="nil"/>
              <w:left w:val="nil"/>
              <w:bottom w:val="single" w:sz="4" w:space="0" w:color="auto"/>
              <w:right w:val="single" w:sz="4" w:space="0" w:color="auto"/>
            </w:tcBorders>
            <w:shd w:val="clear" w:color="000000" w:fill="D9E2F3"/>
            <w:noWrap/>
            <w:vAlign w:val="center"/>
            <w:hideMark/>
          </w:tcPr>
          <w:p w14:paraId="0646EB8F"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0</w:t>
            </w:r>
          </w:p>
        </w:tc>
        <w:tc>
          <w:tcPr>
            <w:tcW w:w="1063" w:type="dxa"/>
            <w:tcBorders>
              <w:top w:val="nil"/>
              <w:left w:val="nil"/>
              <w:bottom w:val="single" w:sz="4" w:space="0" w:color="auto"/>
              <w:right w:val="single" w:sz="4" w:space="0" w:color="auto"/>
            </w:tcBorders>
            <w:shd w:val="clear" w:color="000000" w:fill="D9E2F3"/>
            <w:noWrap/>
            <w:vAlign w:val="center"/>
            <w:hideMark/>
          </w:tcPr>
          <w:p w14:paraId="69C793E7"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0</w:t>
            </w:r>
          </w:p>
        </w:tc>
        <w:tc>
          <w:tcPr>
            <w:tcW w:w="1063" w:type="dxa"/>
            <w:tcBorders>
              <w:top w:val="nil"/>
              <w:left w:val="nil"/>
              <w:bottom w:val="single" w:sz="4" w:space="0" w:color="auto"/>
              <w:right w:val="single" w:sz="4" w:space="0" w:color="auto"/>
            </w:tcBorders>
            <w:shd w:val="clear" w:color="000000" w:fill="D9E2F3"/>
            <w:noWrap/>
            <w:vAlign w:val="center"/>
            <w:hideMark/>
          </w:tcPr>
          <w:p w14:paraId="288205A6"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 </w:t>
            </w:r>
          </w:p>
        </w:tc>
      </w:tr>
      <w:tr w:rsidR="00BA0D82" w:rsidRPr="0005691D" w14:paraId="4D67B790" w14:textId="77777777" w:rsidTr="001A5653">
        <w:trPr>
          <w:trHeight w:val="300"/>
        </w:trPr>
        <w:tc>
          <w:tcPr>
            <w:tcW w:w="2506" w:type="dxa"/>
            <w:tcBorders>
              <w:top w:val="nil"/>
              <w:left w:val="single" w:sz="4" w:space="0" w:color="auto"/>
              <w:bottom w:val="single" w:sz="4" w:space="0" w:color="auto"/>
              <w:right w:val="single" w:sz="4" w:space="0" w:color="auto"/>
            </w:tcBorders>
            <w:shd w:val="clear" w:color="000000" w:fill="B4C6E7"/>
            <w:noWrap/>
            <w:vAlign w:val="center"/>
            <w:hideMark/>
          </w:tcPr>
          <w:p w14:paraId="12C05A74" w14:textId="77777777" w:rsidR="00BA0D82" w:rsidRPr="0005691D" w:rsidRDefault="00BA0D82" w:rsidP="001A5653">
            <w:pPr>
              <w:spacing w:after="0" w:line="240" w:lineRule="auto"/>
              <w:jc w:val="right"/>
              <w:rPr>
                <w:rFonts w:ascii="Calibri" w:eastAsia="Times New Roman" w:hAnsi="Calibri" w:cs="Calibri"/>
                <w:b/>
                <w:bCs/>
                <w:color w:val="000000"/>
              </w:rPr>
            </w:pPr>
            <w:r w:rsidRPr="0005691D">
              <w:rPr>
                <w:rFonts w:ascii="Calibri" w:eastAsia="Times New Roman" w:hAnsi="Calibri" w:cs="Calibri"/>
                <w:b/>
                <w:bCs/>
                <w:color w:val="000000"/>
              </w:rPr>
              <w:t>Common Performance Measures</w:t>
            </w:r>
          </w:p>
        </w:tc>
        <w:tc>
          <w:tcPr>
            <w:tcW w:w="1165" w:type="dxa"/>
            <w:tcBorders>
              <w:top w:val="nil"/>
              <w:left w:val="nil"/>
              <w:bottom w:val="single" w:sz="4" w:space="0" w:color="auto"/>
              <w:right w:val="single" w:sz="4" w:space="0" w:color="auto"/>
            </w:tcBorders>
            <w:shd w:val="clear" w:color="000000" w:fill="FFFFFF"/>
            <w:noWrap/>
            <w:vAlign w:val="center"/>
            <w:hideMark/>
          </w:tcPr>
          <w:p w14:paraId="785ABE9F"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6</w:t>
            </w:r>
          </w:p>
        </w:tc>
        <w:tc>
          <w:tcPr>
            <w:tcW w:w="1254" w:type="dxa"/>
            <w:tcBorders>
              <w:top w:val="nil"/>
              <w:left w:val="nil"/>
              <w:bottom w:val="single" w:sz="4" w:space="0" w:color="auto"/>
              <w:right w:val="single" w:sz="4" w:space="0" w:color="auto"/>
            </w:tcBorders>
            <w:shd w:val="clear" w:color="000000" w:fill="FFFFFF"/>
            <w:noWrap/>
            <w:vAlign w:val="center"/>
            <w:hideMark/>
          </w:tcPr>
          <w:p w14:paraId="4C4FD997"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67%</w:t>
            </w:r>
          </w:p>
        </w:tc>
        <w:tc>
          <w:tcPr>
            <w:tcW w:w="897" w:type="dxa"/>
            <w:tcBorders>
              <w:top w:val="nil"/>
              <w:left w:val="nil"/>
              <w:bottom w:val="single" w:sz="4" w:space="0" w:color="auto"/>
              <w:right w:val="single" w:sz="4" w:space="0" w:color="auto"/>
            </w:tcBorders>
            <w:shd w:val="clear" w:color="000000" w:fill="FFFFFF"/>
            <w:noWrap/>
            <w:vAlign w:val="center"/>
            <w:hideMark/>
          </w:tcPr>
          <w:p w14:paraId="2E5B4B33"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6</w:t>
            </w:r>
          </w:p>
        </w:tc>
        <w:tc>
          <w:tcPr>
            <w:tcW w:w="897" w:type="dxa"/>
            <w:tcBorders>
              <w:top w:val="nil"/>
              <w:left w:val="nil"/>
              <w:bottom w:val="single" w:sz="4" w:space="0" w:color="auto"/>
              <w:right w:val="single" w:sz="4" w:space="0" w:color="auto"/>
            </w:tcBorders>
            <w:shd w:val="clear" w:color="000000" w:fill="FFFFFF"/>
            <w:noWrap/>
            <w:vAlign w:val="center"/>
            <w:hideMark/>
          </w:tcPr>
          <w:p w14:paraId="7F60B918"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4</w:t>
            </w:r>
          </w:p>
        </w:tc>
        <w:tc>
          <w:tcPr>
            <w:tcW w:w="892" w:type="dxa"/>
            <w:tcBorders>
              <w:top w:val="nil"/>
              <w:left w:val="nil"/>
              <w:bottom w:val="single" w:sz="4" w:space="0" w:color="auto"/>
              <w:right w:val="single" w:sz="4" w:space="0" w:color="auto"/>
            </w:tcBorders>
            <w:shd w:val="clear" w:color="000000" w:fill="FFFFFF"/>
            <w:noWrap/>
            <w:vAlign w:val="center"/>
            <w:hideMark/>
          </w:tcPr>
          <w:p w14:paraId="3CA9B831"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67%</w:t>
            </w:r>
          </w:p>
        </w:tc>
        <w:tc>
          <w:tcPr>
            <w:tcW w:w="1063" w:type="dxa"/>
            <w:tcBorders>
              <w:top w:val="nil"/>
              <w:left w:val="nil"/>
              <w:bottom w:val="single" w:sz="4" w:space="0" w:color="auto"/>
              <w:right w:val="single" w:sz="4" w:space="0" w:color="auto"/>
            </w:tcBorders>
            <w:shd w:val="clear" w:color="000000" w:fill="FFFFFF"/>
            <w:noWrap/>
            <w:vAlign w:val="center"/>
            <w:hideMark/>
          </w:tcPr>
          <w:p w14:paraId="560C0DFC"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2</w:t>
            </w:r>
          </w:p>
        </w:tc>
        <w:tc>
          <w:tcPr>
            <w:tcW w:w="1063" w:type="dxa"/>
            <w:tcBorders>
              <w:top w:val="nil"/>
              <w:left w:val="nil"/>
              <w:bottom w:val="single" w:sz="4" w:space="0" w:color="auto"/>
              <w:right w:val="single" w:sz="4" w:space="0" w:color="auto"/>
            </w:tcBorders>
            <w:shd w:val="clear" w:color="000000" w:fill="FFFFFF"/>
            <w:noWrap/>
            <w:vAlign w:val="center"/>
            <w:hideMark/>
          </w:tcPr>
          <w:p w14:paraId="278162C0"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2</w:t>
            </w:r>
          </w:p>
        </w:tc>
        <w:tc>
          <w:tcPr>
            <w:tcW w:w="1063" w:type="dxa"/>
            <w:tcBorders>
              <w:top w:val="nil"/>
              <w:left w:val="nil"/>
              <w:bottom w:val="single" w:sz="4" w:space="0" w:color="auto"/>
              <w:right w:val="single" w:sz="4" w:space="0" w:color="auto"/>
            </w:tcBorders>
            <w:shd w:val="clear" w:color="000000" w:fill="FFFFFF"/>
            <w:noWrap/>
            <w:vAlign w:val="center"/>
            <w:hideMark/>
          </w:tcPr>
          <w:p w14:paraId="29B6304D"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100%</w:t>
            </w:r>
          </w:p>
        </w:tc>
      </w:tr>
      <w:tr w:rsidR="00BA0D82" w:rsidRPr="0005691D" w14:paraId="2D3D2B4D" w14:textId="77777777" w:rsidTr="001A5653">
        <w:trPr>
          <w:trHeight w:val="300"/>
        </w:trPr>
        <w:tc>
          <w:tcPr>
            <w:tcW w:w="2506" w:type="dxa"/>
            <w:tcBorders>
              <w:top w:val="nil"/>
              <w:left w:val="single" w:sz="4" w:space="0" w:color="auto"/>
              <w:bottom w:val="single" w:sz="4" w:space="0" w:color="auto"/>
              <w:right w:val="single" w:sz="4" w:space="0" w:color="auto"/>
            </w:tcBorders>
            <w:shd w:val="clear" w:color="000000" w:fill="B4C6E7"/>
            <w:noWrap/>
            <w:vAlign w:val="center"/>
            <w:hideMark/>
          </w:tcPr>
          <w:p w14:paraId="1EF9F4FE" w14:textId="77777777" w:rsidR="00BA0D82" w:rsidRPr="0005691D" w:rsidRDefault="00BA0D82" w:rsidP="001A5653">
            <w:pPr>
              <w:spacing w:after="0" w:line="240" w:lineRule="auto"/>
              <w:jc w:val="right"/>
              <w:rPr>
                <w:rFonts w:ascii="Calibri" w:eastAsia="Times New Roman" w:hAnsi="Calibri" w:cs="Calibri"/>
                <w:b/>
                <w:bCs/>
                <w:color w:val="000000"/>
              </w:rPr>
            </w:pPr>
            <w:r w:rsidRPr="0005691D">
              <w:rPr>
                <w:rFonts w:ascii="Calibri" w:eastAsia="Times New Roman" w:hAnsi="Calibri" w:cs="Calibri"/>
                <w:b/>
                <w:bCs/>
                <w:color w:val="000000"/>
              </w:rPr>
              <w:t>Customized Employment</w:t>
            </w:r>
          </w:p>
        </w:tc>
        <w:tc>
          <w:tcPr>
            <w:tcW w:w="1165" w:type="dxa"/>
            <w:tcBorders>
              <w:top w:val="nil"/>
              <w:left w:val="nil"/>
              <w:bottom w:val="single" w:sz="4" w:space="0" w:color="auto"/>
              <w:right w:val="single" w:sz="4" w:space="0" w:color="auto"/>
            </w:tcBorders>
            <w:shd w:val="clear" w:color="000000" w:fill="D9E2F3"/>
            <w:noWrap/>
            <w:vAlign w:val="center"/>
            <w:hideMark/>
          </w:tcPr>
          <w:p w14:paraId="76387A67"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4</w:t>
            </w:r>
          </w:p>
        </w:tc>
        <w:tc>
          <w:tcPr>
            <w:tcW w:w="1254" w:type="dxa"/>
            <w:tcBorders>
              <w:top w:val="nil"/>
              <w:left w:val="nil"/>
              <w:bottom w:val="single" w:sz="4" w:space="0" w:color="auto"/>
              <w:right w:val="single" w:sz="4" w:space="0" w:color="auto"/>
            </w:tcBorders>
            <w:shd w:val="clear" w:color="000000" w:fill="D9E2F3"/>
            <w:noWrap/>
            <w:vAlign w:val="center"/>
            <w:hideMark/>
          </w:tcPr>
          <w:p w14:paraId="6FBCC238"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94%</w:t>
            </w:r>
          </w:p>
        </w:tc>
        <w:tc>
          <w:tcPr>
            <w:tcW w:w="897" w:type="dxa"/>
            <w:tcBorders>
              <w:top w:val="nil"/>
              <w:left w:val="nil"/>
              <w:bottom w:val="single" w:sz="4" w:space="0" w:color="auto"/>
              <w:right w:val="single" w:sz="4" w:space="0" w:color="auto"/>
            </w:tcBorders>
            <w:shd w:val="clear" w:color="000000" w:fill="D9E2F3"/>
            <w:noWrap/>
            <w:vAlign w:val="center"/>
            <w:hideMark/>
          </w:tcPr>
          <w:p w14:paraId="3773C17A"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4</w:t>
            </w:r>
          </w:p>
        </w:tc>
        <w:tc>
          <w:tcPr>
            <w:tcW w:w="897" w:type="dxa"/>
            <w:tcBorders>
              <w:top w:val="nil"/>
              <w:left w:val="nil"/>
              <w:bottom w:val="single" w:sz="4" w:space="0" w:color="auto"/>
              <w:right w:val="single" w:sz="4" w:space="0" w:color="auto"/>
            </w:tcBorders>
            <w:shd w:val="clear" w:color="000000" w:fill="D9E2F3"/>
            <w:noWrap/>
            <w:vAlign w:val="center"/>
            <w:hideMark/>
          </w:tcPr>
          <w:p w14:paraId="6ED224C8"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4</w:t>
            </w:r>
          </w:p>
        </w:tc>
        <w:tc>
          <w:tcPr>
            <w:tcW w:w="892" w:type="dxa"/>
            <w:tcBorders>
              <w:top w:val="nil"/>
              <w:left w:val="nil"/>
              <w:bottom w:val="single" w:sz="4" w:space="0" w:color="auto"/>
              <w:right w:val="single" w:sz="4" w:space="0" w:color="auto"/>
            </w:tcBorders>
            <w:shd w:val="clear" w:color="000000" w:fill="D9E2F3"/>
            <w:noWrap/>
            <w:vAlign w:val="center"/>
            <w:hideMark/>
          </w:tcPr>
          <w:p w14:paraId="0EDA0718"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100%</w:t>
            </w:r>
          </w:p>
        </w:tc>
        <w:tc>
          <w:tcPr>
            <w:tcW w:w="1063" w:type="dxa"/>
            <w:tcBorders>
              <w:top w:val="nil"/>
              <w:left w:val="nil"/>
              <w:bottom w:val="single" w:sz="4" w:space="0" w:color="auto"/>
              <w:right w:val="single" w:sz="4" w:space="0" w:color="auto"/>
            </w:tcBorders>
            <w:shd w:val="clear" w:color="000000" w:fill="D9E2F3"/>
            <w:noWrap/>
            <w:vAlign w:val="center"/>
            <w:hideMark/>
          </w:tcPr>
          <w:p w14:paraId="5D4ECFB3"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3</w:t>
            </w:r>
          </w:p>
        </w:tc>
        <w:tc>
          <w:tcPr>
            <w:tcW w:w="1063" w:type="dxa"/>
            <w:tcBorders>
              <w:top w:val="nil"/>
              <w:left w:val="nil"/>
              <w:bottom w:val="single" w:sz="4" w:space="0" w:color="auto"/>
              <w:right w:val="single" w:sz="4" w:space="0" w:color="auto"/>
            </w:tcBorders>
            <w:shd w:val="clear" w:color="000000" w:fill="D9E2F3"/>
            <w:noWrap/>
            <w:vAlign w:val="center"/>
            <w:hideMark/>
          </w:tcPr>
          <w:p w14:paraId="3382F7C5"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0</w:t>
            </w:r>
          </w:p>
        </w:tc>
        <w:tc>
          <w:tcPr>
            <w:tcW w:w="1063" w:type="dxa"/>
            <w:tcBorders>
              <w:top w:val="nil"/>
              <w:left w:val="nil"/>
              <w:bottom w:val="single" w:sz="4" w:space="0" w:color="auto"/>
              <w:right w:val="single" w:sz="4" w:space="0" w:color="auto"/>
            </w:tcBorders>
            <w:shd w:val="clear" w:color="000000" w:fill="D9E2F3"/>
            <w:noWrap/>
            <w:vAlign w:val="center"/>
            <w:hideMark/>
          </w:tcPr>
          <w:p w14:paraId="42681011"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0%</w:t>
            </w:r>
          </w:p>
        </w:tc>
      </w:tr>
      <w:tr w:rsidR="00BA0D82" w:rsidRPr="0005691D" w14:paraId="144E2702" w14:textId="77777777" w:rsidTr="001A5653">
        <w:trPr>
          <w:trHeight w:val="300"/>
        </w:trPr>
        <w:tc>
          <w:tcPr>
            <w:tcW w:w="2506" w:type="dxa"/>
            <w:tcBorders>
              <w:top w:val="nil"/>
              <w:left w:val="nil"/>
              <w:bottom w:val="nil"/>
              <w:right w:val="nil"/>
            </w:tcBorders>
            <w:shd w:val="clear" w:color="auto" w:fill="auto"/>
            <w:noWrap/>
            <w:vAlign w:val="center"/>
            <w:hideMark/>
          </w:tcPr>
          <w:p w14:paraId="1EB2FB9F" w14:textId="77777777" w:rsidR="00BA0D82" w:rsidRPr="0005691D" w:rsidRDefault="00BA0D82" w:rsidP="001A5653">
            <w:pPr>
              <w:spacing w:after="0" w:line="240" w:lineRule="auto"/>
              <w:jc w:val="center"/>
              <w:rPr>
                <w:rFonts w:ascii="Calibri" w:eastAsia="Times New Roman" w:hAnsi="Calibri" w:cs="Calibri"/>
                <w:color w:val="000000"/>
              </w:rPr>
            </w:pPr>
          </w:p>
        </w:tc>
        <w:tc>
          <w:tcPr>
            <w:tcW w:w="1165" w:type="dxa"/>
            <w:tcBorders>
              <w:top w:val="nil"/>
              <w:left w:val="nil"/>
              <w:bottom w:val="nil"/>
              <w:right w:val="nil"/>
            </w:tcBorders>
            <w:shd w:val="clear" w:color="auto" w:fill="auto"/>
            <w:noWrap/>
            <w:vAlign w:val="center"/>
            <w:hideMark/>
          </w:tcPr>
          <w:p w14:paraId="536BC3A6" w14:textId="77777777" w:rsidR="00BA0D82" w:rsidRPr="0005691D" w:rsidRDefault="00BA0D82" w:rsidP="001A5653">
            <w:pPr>
              <w:spacing w:after="0" w:line="240" w:lineRule="auto"/>
              <w:jc w:val="right"/>
              <w:rPr>
                <w:rFonts w:ascii="Times New Roman" w:eastAsia="Times New Roman" w:hAnsi="Times New Roman" w:cs="Times New Roman"/>
                <w:sz w:val="20"/>
                <w:szCs w:val="20"/>
              </w:rPr>
            </w:pPr>
          </w:p>
        </w:tc>
        <w:tc>
          <w:tcPr>
            <w:tcW w:w="1254" w:type="dxa"/>
            <w:tcBorders>
              <w:top w:val="nil"/>
              <w:left w:val="nil"/>
              <w:bottom w:val="nil"/>
              <w:right w:val="nil"/>
            </w:tcBorders>
            <w:shd w:val="clear" w:color="auto" w:fill="auto"/>
            <w:noWrap/>
            <w:vAlign w:val="center"/>
            <w:hideMark/>
          </w:tcPr>
          <w:p w14:paraId="683D9CAE"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c>
          <w:tcPr>
            <w:tcW w:w="897" w:type="dxa"/>
            <w:tcBorders>
              <w:top w:val="nil"/>
              <w:left w:val="nil"/>
              <w:bottom w:val="nil"/>
              <w:right w:val="nil"/>
            </w:tcBorders>
            <w:shd w:val="clear" w:color="auto" w:fill="auto"/>
            <w:noWrap/>
            <w:vAlign w:val="center"/>
            <w:hideMark/>
          </w:tcPr>
          <w:p w14:paraId="1EB0B633"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c>
          <w:tcPr>
            <w:tcW w:w="897" w:type="dxa"/>
            <w:tcBorders>
              <w:top w:val="nil"/>
              <w:left w:val="nil"/>
              <w:bottom w:val="nil"/>
              <w:right w:val="nil"/>
            </w:tcBorders>
            <w:shd w:val="clear" w:color="auto" w:fill="auto"/>
            <w:noWrap/>
            <w:vAlign w:val="center"/>
            <w:hideMark/>
          </w:tcPr>
          <w:p w14:paraId="7C4A8715"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c>
          <w:tcPr>
            <w:tcW w:w="892" w:type="dxa"/>
            <w:tcBorders>
              <w:top w:val="nil"/>
              <w:left w:val="nil"/>
              <w:bottom w:val="nil"/>
              <w:right w:val="nil"/>
            </w:tcBorders>
            <w:shd w:val="clear" w:color="auto" w:fill="auto"/>
            <w:noWrap/>
            <w:vAlign w:val="center"/>
            <w:hideMark/>
          </w:tcPr>
          <w:p w14:paraId="522D388C"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c>
          <w:tcPr>
            <w:tcW w:w="1063" w:type="dxa"/>
            <w:tcBorders>
              <w:top w:val="nil"/>
              <w:left w:val="nil"/>
              <w:bottom w:val="nil"/>
              <w:right w:val="nil"/>
            </w:tcBorders>
            <w:shd w:val="clear" w:color="auto" w:fill="auto"/>
            <w:noWrap/>
            <w:vAlign w:val="center"/>
            <w:hideMark/>
          </w:tcPr>
          <w:p w14:paraId="2BDF3FE2"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c>
          <w:tcPr>
            <w:tcW w:w="1063" w:type="dxa"/>
            <w:tcBorders>
              <w:top w:val="nil"/>
              <w:left w:val="nil"/>
              <w:bottom w:val="nil"/>
              <w:right w:val="nil"/>
            </w:tcBorders>
            <w:shd w:val="clear" w:color="auto" w:fill="auto"/>
            <w:noWrap/>
            <w:vAlign w:val="center"/>
            <w:hideMark/>
          </w:tcPr>
          <w:p w14:paraId="2EA27F98"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c>
          <w:tcPr>
            <w:tcW w:w="1063" w:type="dxa"/>
            <w:tcBorders>
              <w:top w:val="nil"/>
              <w:left w:val="nil"/>
              <w:bottom w:val="nil"/>
              <w:right w:val="nil"/>
            </w:tcBorders>
            <w:shd w:val="clear" w:color="auto" w:fill="auto"/>
            <w:noWrap/>
            <w:vAlign w:val="center"/>
            <w:hideMark/>
          </w:tcPr>
          <w:p w14:paraId="2B05B06E"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r>
      <w:tr w:rsidR="00BA0D82" w:rsidRPr="0005691D" w14:paraId="1AB8B2C5" w14:textId="77777777" w:rsidTr="001A5653">
        <w:trPr>
          <w:trHeight w:val="465"/>
        </w:trPr>
        <w:tc>
          <w:tcPr>
            <w:tcW w:w="10800" w:type="dxa"/>
            <w:gridSpan w:val="9"/>
            <w:tcBorders>
              <w:top w:val="single" w:sz="4" w:space="0" w:color="auto"/>
              <w:left w:val="nil"/>
              <w:bottom w:val="single" w:sz="4" w:space="0" w:color="auto"/>
              <w:right w:val="nil"/>
            </w:tcBorders>
            <w:shd w:val="clear" w:color="auto" w:fill="auto"/>
            <w:noWrap/>
            <w:vAlign w:val="bottom"/>
            <w:hideMark/>
          </w:tcPr>
          <w:p w14:paraId="153B304D" w14:textId="77777777" w:rsidR="00BA0D82" w:rsidRPr="0005691D" w:rsidRDefault="00BA0D82" w:rsidP="00BA0D82">
            <w:pPr>
              <w:pStyle w:val="Heading2"/>
              <w:numPr>
                <w:ilvl w:val="0"/>
                <w:numId w:val="0"/>
              </w:numPr>
              <w:rPr>
                <w:rFonts w:eastAsia="Times New Roman"/>
              </w:rPr>
            </w:pPr>
            <w:bookmarkStart w:id="241" w:name="_Toc27143210"/>
            <w:bookmarkStart w:id="242" w:name="_Toc28011509"/>
            <w:r w:rsidRPr="0005691D">
              <w:rPr>
                <w:rFonts w:eastAsia="Times New Roman"/>
              </w:rPr>
              <w:t>Missouri General</w:t>
            </w:r>
            <w:bookmarkEnd w:id="241"/>
            <w:bookmarkEnd w:id="242"/>
          </w:p>
        </w:tc>
      </w:tr>
      <w:tr w:rsidR="00BA0D82" w:rsidRPr="0005691D" w14:paraId="2F92072F" w14:textId="77777777" w:rsidTr="001A5653">
        <w:trPr>
          <w:trHeight w:val="1305"/>
        </w:trPr>
        <w:tc>
          <w:tcPr>
            <w:tcW w:w="2506" w:type="dxa"/>
            <w:tcBorders>
              <w:top w:val="nil"/>
              <w:left w:val="single" w:sz="4" w:space="0" w:color="auto"/>
              <w:bottom w:val="single" w:sz="4" w:space="0" w:color="auto"/>
              <w:right w:val="single" w:sz="4" w:space="0" w:color="auto"/>
            </w:tcBorders>
            <w:shd w:val="clear" w:color="000000" w:fill="B4C6E7"/>
            <w:vAlign w:val="bottom"/>
            <w:hideMark/>
          </w:tcPr>
          <w:p w14:paraId="3AAEFD45" w14:textId="77777777" w:rsidR="00BA0D82" w:rsidRPr="0005691D" w:rsidRDefault="00BA0D82" w:rsidP="001A5653">
            <w:pPr>
              <w:spacing w:after="0" w:line="240" w:lineRule="auto"/>
              <w:jc w:val="right"/>
              <w:rPr>
                <w:rFonts w:ascii="Calibri" w:eastAsia="Times New Roman" w:hAnsi="Calibri" w:cs="Calibri"/>
                <w:b/>
                <w:bCs/>
                <w:color w:val="000000"/>
                <w:szCs w:val="28"/>
              </w:rPr>
            </w:pPr>
            <w:r w:rsidRPr="0005691D">
              <w:rPr>
                <w:rFonts w:ascii="Calibri" w:eastAsia="Times New Roman" w:hAnsi="Calibri" w:cs="Calibri"/>
                <w:b/>
                <w:bCs/>
                <w:color w:val="000000"/>
                <w:szCs w:val="28"/>
              </w:rPr>
              <w:t>Area</w:t>
            </w:r>
          </w:p>
        </w:tc>
        <w:tc>
          <w:tcPr>
            <w:tcW w:w="1165" w:type="dxa"/>
            <w:tcBorders>
              <w:top w:val="nil"/>
              <w:left w:val="nil"/>
              <w:bottom w:val="single" w:sz="4" w:space="0" w:color="auto"/>
              <w:right w:val="single" w:sz="4" w:space="0" w:color="auto"/>
            </w:tcBorders>
            <w:shd w:val="clear" w:color="000000" w:fill="B4C6E7"/>
            <w:vAlign w:val="bottom"/>
            <w:hideMark/>
          </w:tcPr>
          <w:p w14:paraId="66370167"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of Total Activities</w:t>
            </w:r>
          </w:p>
        </w:tc>
        <w:tc>
          <w:tcPr>
            <w:tcW w:w="1254" w:type="dxa"/>
            <w:tcBorders>
              <w:top w:val="nil"/>
              <w:left w:val="nil"/>
              <w:bottom w:val="single" w:sz="4" w:space="0" w:color="auto"/>
              <w:right w:val="single" w:sz="4" w:space="0" w:color="auto"/>
            </w:tcBorders>
            <w:shd w:val="clear" w:color="000000" w:fill="B4C6E7"/>
            <w:vAlign w:val="bottom"/>
            <w:hideMark/>
          </w:tcPr>
          <w:p w14:paraId="673DB53E"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Average Progress on Activities (%)</w:t>
            </w:r>
          </w:p>
        </w:tc>
        <w:tc>
          <w:tcPr>
            <w:tcW w:w="897" w:type="dxa"/>
            <w:tcBorders>
              <w:top w:val="nil"/>
              <w:left w:val="nil"/>
              <w:bottom w:val="single" w:sz="4" w:space="0" w:color="auto"/>
              <w:right w:val="single" w:sz="4" w:space="0" w:color="auto"/>
            </w:tcBorders>
            <w:shd w:val="clear" w:color="000000" w:fill="B4C6E7"/>
            <w:vAlign w:val="bottom"/>
            <w:hideMark/>
          </w:tcPr>
          <w:p w14:paraId="455EE9C9"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Outputs</w:t>
            </w:r>
          </w:p>
        </w:tc>
        <w:tc>
          <w:tcPr>
            <w:tcW w:w="897" w:type="dxa"/>
            <w:tcBorders>
              <w:top w:val="nil"/>
              <w:left w:val="nil"/>
              <w:bottom w:val="single" w:sz="4" w:space="0" w:color="auto"/>
              <w:right w:val="single" w:sz="4" w:space="0" w:color="auto"/>
            </w:tcBorders>
            <w:shd w:val="clear" w:color="000000" w:fill="B4C6E7"/>
            <w:vAlign w:val="bottom"/>
            <w:hideMark/>
          </w:tcPr>
          <w:p w14:paraId="653B8AD3"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Outputs Met</w:t>
            </w:r>
          </w:p>
        </w:tc>
        <w:tc>
          <w:tcPr>
            <w:tcW w:w="892" w:type="dxa"/>
            <w:tcBorders>
              <w:top w:val="nil"/>
              <w:left w:val="nil"/>
              <w:bottom w:val="single" w:sz="4" w:space="0" w:color="auto"/>
              <w:right w:val="single" w:sz="4" w:space="0" w:color="auto"/>
            </w:tcBorders>
            <w:shd w:val="clear" w:color="000000" w:fill="B4C6E7"/>
            <w:vAlign w:val="bottom"/>
            <w:hideMark/>
          </w:tcPr>
          <w:p w14:paraId="3849B371"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Outputs Met</w:t>
            </w:r>
          </w:p>
        </w:tc>
        <w:tc>
          <w:tcPr>
            <w:tcW w:w="1063" w:type="dxa"/>
            <w:tcBorders>
              <w:top w:val="nil"/>
              <w:left w:val="nil"/>
              <w:bottom w:val="single" w:sz="4" w:space="0" w:color="auto"/>
              <w:right w:val="single" w:sz="4" w:space="0" w:color="auto"/>
            </w:tcBorders>
            <w:shd w:val="clear" w:color="000000" w:fill="B4C6E7"/>
            <w:vAlign w:val="bottom"/>
            <w:hideMark/>
          </w:tcPr>
          <w:p w14:paraId="7E75DA60"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Short-Term Outcomes</w:t>
            </w:r>
          </w:p>
        </w:tc>
        <w:tc>
          <w:tcPr>
            <w:tcW w:w="1063" w:type="dxa"/>
            <w:tcBorders>
              <w:top w:val="nil"/>
              <w:left w:val="nil"/>
              <w:bottom w:val="single" w:sz="4" w:space="0" w:color="auto"/>
              <w:right w:val="single" w:sz="4" w:space="0" w:color="auto"/>
            </w:tcBorders>
            <w:shd w:val="clear" w:color="000000" w:fill="B4C6E7"/>
            <w:vAlign w:val="bottom"/>
            <w:hideMark/>
          </w:tcPr>
          <w:p w14:paraId="0A479D66"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Short-Term Outcomes Met</w:t>
            </w:r>
          </w:p>
        </w:tc>
        <w:tc>
          <w:tcPr>
            <w:tcW w:w="1063" w:type="dxa"/>
            <w:tcBorders>
              <w:top w:val="nil"/>
              <w:left w:val="nil"/>
              <w:bottom w:val="single" w:sz="4" w:space="0" w:color="auto"/>
              <w:right w:val="single" w:sz="4" w:space="0" w:color="auto"/>
            </w:tcBorders>
            <w:shd w:val="clear" w:color="000000" w:fill="B4C6E7"/>
            <w:vAlign w:val="bottom"/>
            <w:hideMark/>
          </w:tcPr>
          <w:p w14:paraId="786E03BB"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%Short-Term Outcomes Achieved</w:t>
            </w:r>
          </w:p>
        </w:tc>
      </w:tr>
      <w:tr w:rsidR="00BA0D82" w:rsidRPr="0005691D" w14:paraId="4CF43158" w14:textId="77777777" w:rsidTr="001A5653">
        <w:trPr>
          <w:trHeight w:val="300"/>
        </w:trPr>
        <w:tc>
          <w:tcPr>
            <w:tcW w:w="2506" w:type="dxa"/>
            <w:tcBorders>
              <w:top w:val="nil"/>
              <w:left w:val="single" w:sz="4" w:space="0" w:color="auto"/>
              <w:bottom w:val="single" w:sz="4" w:space="0" w:color="auto"/>
              <w:right w:val="single" w:sz="4" w:space="0" w:color="auto"/>
            </w:tcBorders>
            <w:shd w:val="clear" w:color="000000" w:fill="B4C6E7"/>
            <w:noWrap/>
            <w:vAlign w:val="center"/>
            <w:hideMark/>
          </w:tcPr>
          <w:p w14:paraId="102A5F6F" w14:textId="77777777" w:rsidR="00BA0D82" w:rsidRPr="0005691D" w:rsidRDefault="00BA0D82" w:rsidP="001A5653">
            <w:pPr>
              <w:spacing w:after="0" w:line="240" w:lineRule="auto"/>
              <w:jc w:val="right"/>
              <w:rPr>
                <w:rFonts w:ascii="Calibri" w:eastAsia="Times New Roman" w:hAnsi="Calibri" w:cs="Calibri"/>
                <w:b/>
                <w:bCs/>
                <w:color w:val="000000"/>
              </w:rPr>
            </w:pPr>
            <w:r w:rsidRPr="0005691D">
              <w:rPr>
                <w:rFonts w:ascii="Calibri" w:eastAsia="Times New Roman" w:hAnsi="Calibri" w:cs="Calibri"/>
                <w:b/>
                <w:bCs/>
                <w:color w:val="000000"/>
              </w:rPr>
              <w:t>Peer Mentoring</w:t>
            </w:r>
          </w:p>
        </w:tc>
        <w:tc>
          <w:tcPr>
            <w:tcW w:w="1165" w:type="dxa"/>
            <w:tcBorders>
              <w:top w:val="nil"/>
              <w:left w:val="nil"/>
              <w:bottom w:val="single" w:sz="4" w:space="0" w:color="auto"/>
              <w:right w:val="single" w:sz="4" w:space="0" w:color="auto"/>
            </w:tcBorders>
            <w:shd w:val="clear" w:color="000000" w:fill="FFFFFF"/>
            <w:noWrap/>
            <w:vAlign w:val="center"/>
            <w:hideMark/>
          </w:tcPr>
          <w:p w14:paraId="449BD222"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4</w:t>
            </w:r>
          </w:p>
        </w:tc>
        <w:tc>
          <w:tcPr>
            <w:tcW w:w="1254" w:type="dxa"/>
            <w:tcBorders>
              <w:top w:val="nil"/>
              <w:left w:val="nil"/>
              <w:bottom w:val="single" w:sz="4" w:space="0" w:color="auto"/>
              <w:right w:val="single" w:sz="4" w:space="0" w:color="auto"/>
            </w:tcBorders>
            <w:shd w:val="clear" w:color="000000" w:fill="FFFFFF"/>
            <w:noWrap/>
            <w:vAlign w:val="center"/>
            <w:hideMark/>
          </w:tcPr>
          <w:p w14:paraId="28D92DA8"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85%</w:t>
            </w:r>
          </w:p>
        </w:tc>
        <w:tc>
          <w:tcPr>
            <w:tcW w:w="897" w:type="dxa"/>
            <w:tcBorders>
              <w:top w:val="nil"/>
              <w:left w:val="nil"/>
              <w:bottom w:val="single" w:sz="4" w:space="0" w:color="auto"/>
              <w:right w:val="single" w:sz="4" w:space="0" w:color="auto"/>
            </w:tcBorders>
            <w:shd w:val="clear" w:color="000000" w:fill="FFFFFF"/>
            <w:noWrap/>
            <w:vAlign w:val="center"/>
            <w:hideMark/>
          </w:tcPr>
          <w:p w14:paraId="2EB94E90"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4</w:t>
            </w:r>
          </w:p>
        </w:tc>
        <w:tc>
          <w:tcPr>
            <w:tcW w:w="897" w:type="dxa"/>
            <w:tcBorders>
              <w:top w:val="nil"/>
              <w:left w:val="nil"/>
              <w:bottom w:val="single" w:sz="4" w:space="0" w:color="auto"/>
              <w:right w:val="single" w:sz="4" w:space="0" w:color="auto"/>
            </w:tcBorders>
            <w:shd w:val="clear" w:color="000000" w:fill="FFFFFF"/>
            <w:noWrap/>
            <w:vAlign w:val="center"/>
            <w:hideMark/>
          </w:tcPr>
          <w:p w14:paraId="1607BD90"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2</w:t>
            </w:r>
          </w:p>
        </w:tc>
        <w:tc>
          <w:tcPr>
            <w:tcW w:w="892" w:type="dxa"/>
            <w:tcBorders>
              <w:top w:val="nil"/>
              <w:left w:val="nil"/>
              <w:bottom w:val="single" w:sz="4" w:space="0" w:color="auto"/>
              <w:right w:val="single" w:sz="4" w:space="0" w:color="auto"/>
            </w:tcBorders>
            <w:shd w:val="clear" w:color="000000" w:fill="FFFFFF"/>
            <w:noWrap/>
            <w:vAlign w:val="center"/>
            <w:hideMark/>
          </w:tcPr>
          <w:p w14:paraId="41FFE938"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50%</w:t>
            </w:r>
          </w:p>
        </w:tc>
        <w:tc>
          <w:tcPr>
            <w:tcW w:w="1063" w:type="dxa"/>
            <w:tcBorders>
              <w:top w:val="nil"/>
              <w:left w:val="nil"/>
              <w:bottom w:val="single" w:sz="4" w:space="0" w:color="auto"/>
              <w:right w:val="single" w:sz="4" w:space="0" w:color="auto"/>
            </w:tcBorders>
            <w:shd w:val="clear" w:color="000000" w:fill="FFFFFF"/>
            <w:noWrap/>
            <w:vAlign w:val="center"/>
            <w:hideMark/>
          </w:tcPr>
          <w:p w14:paraId="11A2F41F"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2</w:t>
            </w:r>
          </w:p>
        </w:tc>
        <w:tc>
          <w:tcPr>
            <w:tcW w:w="1063" w:type="dxa"/>
            <w:tcBorders>
              <w:top w:val="nil"/>
              <w:left w:val="nil"/>
              <w:bottom w:val="single" w:sz="4" w:space="0" w:color="auto"/>
              <w:right w:val="single" w:sz="4" w:space="0" w:color="auto"/>
            </w:tcBorders>
            <w:shd w:val="clear" w:color="000000" w:fill="FFFFFF"/>
            <w:noWrap/>
            <w:vAlign w:val="center"/>
            <w:hideMark/>
          </w:tcPr>
          <w:p w14:paraId="337BF685"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0</w:t>
            </w:r>
          </w:p>
        </w:tc>
        <w:tc>
          <w:tcPr>
            <w:tcW w:w="1063" w:type="dxa"/>
            <w:tcBorders>
              <w:top w:val="nil"/>
              <w:left w:val="nil"/>
              <w:bottom w:val="single" w:sz="4" w:space="0" w:color="auto"/>
              <w:right w:val="single" w:sz="4" w:space="0" w:color="auto"/>
            </w:tcBorders>
            <w:shd w:val="clear" w:color="000000" w:fill="FFFFFF"/>
            <w:noWrap/>
            <w:vAlign w:val="center"/>
            <w:hideMark/>
          </w:tcPr>
          <w:p w14:paraId="35AD1B11"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0%</w:t>
            </w:r>
          </w:p>
        </w:tc>
      </w:tr>
      <w:tr w:rsidR="00BA0D82" w:rsidRPr="0005691D" w14:paraId="174CA38C" w14:textId="77777777" w:rsidTr="001A5653">
        <w:trPr>
          <w:trHeight w:val="300"/>
        </w:trPr>
        <w:tc>
          <w:tcPr>
            <w:tcW w:w="2506" w:type="dxa"/>
            <w:tcBorders>
              <w:top w:val="nil"/>
              <w:left w:val="nil"/>
              <w:bottom w:val="nil"/>
              <w:right w:val="nil"/>
            </w:tcBorders>
            <w:shd w:val="clear" w:color="auto" w:fill="auto"/>
            <w:noWrap/>
            <w:vAlign w:val="bottom"/>
            <w:hideMark/>
          </w:tcPr>
          <w:p w14:paraId="4F15D276" w14:textId="77777777" w:rsidR="00BA0D82" w:rsidRPr="0005691D" w:rsidRDefault="00BA0D82" w:rsidP="001A5653">
            <w:pPr>
              <w:spacing w:after="0" w:line="240" w:lineRule="auto"/>
              <w:jc w:val="center"/>
              <w:rPr>
                <w:rFonts w:ascii="Calibri" w:eastAsia="Times New Roman" w:hAnsi="Calibri" w:cs="Calibri"/>
                <w:color w:val="000000"/>
              </w:rPr>
            </w:pPr>
          </w:p>
        </w:tc>
        <w:tc>
          <w:tcPr>
            <w:tcW w:w="1165" w:type="dxa"/>
            <w:tcBorders>
              <w:top w:val="nil"/>
              <w:left w:val="nil"/>
              <w:bottom w:val="nil"/>
              <w:right w:val="nil"/>
            </w:tcBorders>
            <w:shd w:val="clear" w:color="auto" w:fill="auto"/>
            <w:noWrap/>
            <w:vAlign w:val="center"/>
            <w:hideMark/>
          </w:tcPr>
          <w:p w14:paraId="1337DC60" w14:textId="77777777" w:rsidR="00BA0D82" w:rsidRPr="0005691D" w:rsidRDefault="00BA0D82" w:rsidP="001A5653">
            <w:pPr>
              <w:spacing w:after="0" w:line="240" w:lineRule="auto"/>
              <w:rPr>
                <w:rFonts w:ascii="Times New Roman" w:eastAsia="Times New Roman" w:hAnsi="Times New Roman" w:cs="Times New Roman"/>
                <w:sz w:val="20"/>
                <w:szCs w:val="20"/>
              </w:rPr>
            </w:pPr>
          </w:p>
        </w:tc>
        <w:tc>
          <w:tcPr>
            <w:tcW w:w="1254" w:type="dxa"/>
            <w:tcBorders>
              <w:top w:val="nil"/>
              <w:left w:val="nil"/>
              <w:bottom w:val="nil"/>
              <w:right w:val="nil"/>
            </w:tcBorders>
            <w:shd w:val="clear" w:color="auto" w:fill="auto"/>
            <w:noWrap/>
            <w:vAlign w:val="center"/>
            <w:hideMark/>
          </w:tcPr>
          <w:p w14:paraId="610E0ABE"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c>
          <w:tcPr>
            <w:tcW w:w="897" w:type="dxa"/>
            <w:tcBorders>
              <w:top w:val="nil"/>
              <w:left w:val="nil"/>
              <w:bottom w:val="nil"/>
              <w:right w:val="nil"/>
            </w:tcBorders>
            <w:shd w:val="clear" w:color="auto" w:fill="auto"/>
            <w:noWrap/>
            <w:vAlign w:val="center"/>
            <w:hideMark/>
          </w:tcPr>
          <w:p w14:paraId="72BEF9E1"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c>
          <w:tcPr>
            <w:tcW w:w="897" w:type="dxa"/>
            <w:tcBorders>
              <w:top w:val="nil"/>
              <w:left w:val="nil"/>
              <w:bottom w:val="nil"/>
              <w:right w:val="nil"/>
            </w:tcBorders>
            <w:shd w:val="clear" w:color="auto" w:fill="auto"/>
            <w:noWrap/>
            <w:vAlign w:val="center"/>
            <w:hideMark/>
          </w:tcPr>
          <w:p w14:paraId="23852B4B"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c>
          <w:tcPr>
            <w:tcW w:w="892" w:type="dxa"/>
            <w:tcBorders>
              <w:top w:val="nil"/>
              <w:left w:val="nil"/>
              <w:bottom w:val="nil"/>
              <w:right w:val="nil"/>
            </w:tcBorders>
            <w:shd w:val="clear" w:color="auto" w:fill="auto"/>
            <w:noWrap/>
            <w:vAlign w:val="center"/>
            <w:hideMark/>
          </w:tcPr>
          <w:p w14:paraId="46DAAE25"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c>
          <w:tcPr>
            <w:tcW w:w="1063" w:type="dxa"/>
            <w:tcBorders>
              <w:top w:val="nil"/>
              <w:left w:val="nil"/>
              <w:bottom w:val="nil"/>
              <w:right w:val="nil"/>
            </w:tcBorders>
            <w:shd w:val="clear" w:color="auto" w:fill="auto"/>
            <w:noWrap/>
            <w:vAlign w:val="center"/>
            <w:hideMark/>
          </w:tcPr>
          <w:p w14:paraId="4E57895F"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c>
          <w:tcPr>
            <w:tcW w:w="1063" w:type="dxa"/>
            <w:tcBorders>
              <w:top w:val="nil"/>
              <w:left w:val="nil"/>
              <w:bottom w:val="nil"/>
              <w:right w:val="nil"/>
            </w:tcBorders>
            <w:shd w:val="clear" w:color="auto" w:fill="auto"/>
            <w:noWrap/>
            <w:vAlign w:val="center"/>
            <w:hideMark/>
          </w:tcPr>
          <w:p w14:paraId="0F3DE9BE"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c>
          <w:tcPr>
            <w:tcW w:w="1063" w:type="dxa"/>
            <w:tcBorders>
              <w:top w:val="nil"/>
              <w:left w:val="nil"/>
              <w:bottom w:val="nil"/>
              <w:right w:val="nil"/>
            </w:tcBorders>
            <w:shd w:val="clear" w:color="auto" w:fill="auto"/>
            <w:noWrap/>
            <w:vAlign w:val="center"/>
            <w:hideMark/>
          </w:tcPr>
          <w:p w14:paraId="553CC489"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r>
      <w:tr w:rsidR="00BA0D82" w:rsidRPr="0005691D" w14:paraId="75F72005" w14:textId="77777777" w:rsidTr="001A5653">
        <w:trPr>
          <w:trHeight w:val="465"/>
        </w:trPr>
        <w:tc>
          <w:tcPr>
            <w:tcW w:w="10800" w:type="dxa"/>
            <w:gridSpan w:val="9"/>
            <w:tcBorders>
              <w:top w:val="single" w:sz="4" w:space="0" w:color="auto"/>
              <w:left w:val="nil"/>
              <w:bottom w:val="single" w:sz="4" w:space="0" w:color="auto"/>
              <w:right w:val="nil"/>
            </w:tcBorders>
            <w:shd w:val="clear" w:color="auto" w:fill="auto"/>
            <w:noWrap/>
            <w:vAlign w:val="bottom"/>
            <w:hideMark/>
          </w:tcPr>
          <w:p w14:paraId="722AFB49" w14:textId="77777777" w:rsidR="00BA0D82" w:rsidRPr="0005691D" w:rsidRDefault="00BA0D82" w:rsidP="00BA0D82">
            <w:pPr>
              <w:pStyle w:val="Heading2"/>
              <w:numPr>
                <w:ilvl w:val="0"/>
                <w:numId w:val="0"/>
              </w:numPr>
              <w:rPr>
                <w:rFonts w:eastAsia="Times New Roman"/>
              </w:rPr>
            </w:pPr>
            <w:bookmarkStart w:id="243" w:name="_Toc27143211"/>
            <w:bookmarkStart w:id="244" w:name="_Toc28011510"/>
            <w:r w:rsidRPr="0005691D">
              <w:rPr>
                <w:rFonts w:eastAsia="Times New Roman"/>
              </w:rPr>
              <w:t>Missouri General and Blind</w:t>
            </w:r>
            <w:bookmarkEnd w:id="243"/>
            <w:bookmarkEnd w:id="244"/>
          </w:p>
        </w:tc>
      </w:tr>
      <w:tr w:rsidR="00BA0D82" w:rsidRPr="0005691D" w14:paraId="32DC455F" w14:textId="77777777" w:rsidTr="001A5653">
        <w:trPr>
          <w:trHeight w:val="1305"/>
        </w:trPr>
        <w:tc>
          <w:tcPr>
            <w:tcW w:w="2506" w:type="dxa"/>
            <w:tcBorders>
              <w:top w:val="nil"/>
              <w:left w:val="single" w:sz="4" w:space="0" w:color="auto"/>
              <w:bottom w:val="single" w:sz="4" w:space="0" w:color="auto"/>
              <w:right w:val="single" w:sz="4" w:space="0" w:color="auto"/>
            </w:tcBorders>
            <w:shd w:val="clear" w:color="000000" w:fill="B4C6E7"/>
            <w:vAlign w:val="bottom"/>
            <w:hideMark/>
          </w:tcPr>
          <w:p w14:paraId="24944D70" w14:textId="77777777" w:rsidR="00BA0D82" w:rsidRPr="0005691D" w:rsidRDefault="00BA0D82" w:rsidP="001A5653">
            <w:pPr>
              <w:spacing w:after="0" w:line="240" w:lineRule="auto"/>
              <w:jc w:val="right"/>
              <w:rPr>
                <w:rFonts w:ascii="Calibri" w:eastAsia="Times New Roman" w:hAnsi="Calibri" w:cs="Calibri"/>
                <w:b/>
                <w:bCs/>
                <w:color w:val="000000"/>
                <w:szCs w:val="28"/>
              </w:rPr>
            </w:pPr>
            <w:r w:rsidRPr="0005691D">
              <w:rPr>
                <w:rFonts w:ascii="Calibri" w:eastAsia="Times New Roman" w:hAnsi="Calibri" w:cs="Calibri"/>
                <w:b/>
                <w:bCs/>
                <w:color w:val="000000"/>
                <w:szCs w:val="28"/>
              </w:rPr>
              <w:t>Area</w:t>
            </w:r>
          </w:p>
        </w:tc>
        <w:tc>
          <w:tcPr>
            <w:tcW w:w="1165" w:type="dxa"/>
            <w:tcBorders>
              <w:top w:val="nil"/>
              <w:left w:val="nil"/>
              <w:bottom w:val="single" w:sz="4" w:space="0" w:color="auto"/>
              <w:right w:val="single" w:sz="4" w:space="0" w:color="auto"/>
            </w:tcBorders>
            <w:shd w:val="clear" w:color="000000" w:fill="B4C6E7"/>
            <w:vAlign w:val="bottom"/>
            <w:hideMark/>
          </w:tcPr>
          <w:p w14:paraId="686B91A2"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of Total Activities</w:t>
            </w:r>
          </w:p>
        </w:tc>
        <w:tc>
          <w:tcPr>
            <w:tcW w:w="1254" w:type="dxa"/>
            <w:tcBorders>
              <w:top w:val="nil"/>
              <w:left w:val="nil"/>
              <w:bottom w:val="single" w:sz="4" w:space="0" w:color="auto"/>
              <w:right w:val="single" w:sz="4" w:space="0" w:color="auto"/>
            </w:tcBorders>
            <w:shd w:val="clear" w:color="000000" w:fill="B4C6E7"/>
            <w:vAlign w:val="bottom"/>
            <w:hideMark/>
          </w:tcPr>
          <w:p w14:paraId="01BEECCA"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Average Progress on Activities (%)</w:t>
            </w:r>
          </w:p>
        </w:tc>
        <w:tc>
          <w:tcPr>
            <w:tcW w:w="897" w:type="dxa"/>
            <w:tcBorders>
              <w:top w:val="nil"/>
              <w:left w:val="nil"/>
              <w:bottom w:val="single" w:sz="4" w:space="0" w:color="auto"/>
              <w:right w:val="single" w:sz="4" w:space="0" w:color="auto"/>
            </w:tcBorders>
            <w:shd w:val="clear" w:color="000000" w:fill="B4C6E7"/>
            <w:vAlign w:val="bottom"/>
            <w:hideMark/>
          </w:tcPr>
          <w:p w14:paraId="148EBB4E"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Outputs</w:t>
            </w:r>
          </w:p>
        </w:tc>
        <w:tc>
          <w:tcPr>
            <w:tcW w:w="897" w:type="dxa"/>
            <w:tcBorders>
              <w:top w:val="nil"/>
              <w:left w:val="nil"/>
              <w:bottom w:val="single" w:sz="4" w:space="0" w:color="auto"/>
              <w:right w:val="single" w:sz="4" w:space="0" w:color="auto"/>
            </w:tcBorders>
            <w:shd w:val="clear" w:color="000000" w:fill="B4C6E7"/>
            <w:vAlign w:val="bottom"/>
            <w:hideMark/>
          </w:tcPr>
          <w:p w14:paraId="42B46279"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Outputs Met</w:t>
            </w:r>
          </w:p>
        </w:tc>
        <w:tc>
          <w:tcPr>
            <w:tcW w:w="892" w:type="dxa"/>
            <w:tcBorders>
              <w:top w:val="nil"/>
              <w:left w:val="nil"/>
              <w:bottom w:val="single" w:sz="4" w:space="0" w:color="auto"/>
              <w:right w:val="single" w:sz="4" w:space="0" w:color="auto"/>
            </w:tcBorders>
            <w:shd w:val="clear" w:color="000000" w:fill="B4C6E7"/>
            <w:vAlign w:val="bottom"/>
            <w:hideMark/>
          </w:tcPr>
          <w:p w14:paraId="1D32A336"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Outputs Met</w:t>
            </w:r>
          </w:p>
        </w:tc>
        <w:tc>
          <w:tcPr>
            <w:tcW w:w="1063" w:type="dxa"/>
            <w:tcBorders>
              <w:top w:val="nil"/>
              <w:left w:val="nil"/>
              <w:bottom w:val="single" w:sz="4" w:space="0" w:color="auto"/>
              <w:right w:val="single" w:sz="4" w:space="0" w:color="auto"/>
            </w:tcBorders>
            <w:shd w:val="clear" w:color="000000" w:fill="B4C6E7"/>
            <w:vAlign w:val="bottom"/>
            <w:hideMark/>
          </w:tcPr>
          <w:p w14:paraId="3AAC0DA2"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Short-Term Outcomes</w:t>
            </w:r>
          </w:p>
        </w:tc>
        <w:tc>
          <w:tcPr>
            <w:tcW w:w="1063" w:type="dxa"/>
            <w:tcBorders>
              <w:top w:val="nil"/>
              <w:left w:val="nil"/>
              <w:bottom w:val="single" w:sz="4" w:space="0" w:color="auto"/>
              <w:right w:val="single" w:sz="4" w:space="0" w:color="auto"/>
            </w:tcBorders>
            <w:shd w:val="clear" w:color="000000" w:fill="B4C6E7"/>
            <w:vAlign w:val="bottom"/>
            <w:hideMark/>
          </w:tcPr>
          <w:p w14:paraId="7593D079"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Short-Term Outcomes Met</w:t>
            </w:r>
          </w:p>
        </w:tc>
        <w:tc>
          <w:tcPr>
            <w:tcW w:w="1063" w:type="dxa"/>
            <w:tcBorders>
              <w:top w:val="nil"/>
              <w:left w:val="nil"/>
              <w:bottom w:val="single" w:sz="4" w:space="0" w:color="auto"/>
              <w:right w:val="single" w:sz="4" w:space="0" w:color="auto"/>
            </w:tcBorders>
            <w:shd w:val="clear" w:color="000000" w:fill="B4C6E7"/>
            <w:vAlign w:val="bottom"/>
            <w:hideMark/>
          </w:tcPr>
          <w:p w14:paraId="42B19CE1"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%Short-Term Outcomes Achieved</w:t>
            </w:r>
          </w:p>
        </w:tc>
      </w:tr>
      <w:tr w:rsidR="00BA0D82" w:rsidRPr="0005691D" w14:paraId="2540A233" w14:textId="77777777" w:rsidTr="001A5653">
        <w:trPr>
          <w:trHeight w:val="300"/>
        </w:trPr>
        <w:tc>
          <w:tcPr>
            <w:tcW w:w="2506" w:type="dxa"/>
            <w:tcBorders>
              <w:top w:val="nil"/>
              <w:left w:val="single" w:sz="4" w:space="0" w:color="auto"/>
              <w:bottom w:val="single" w:sz="4" w:space="0" w:color="auto"/>
              <w:right w:val="single" w:sz="4" w:space="0" w:color="auto"/>
            </w:tcBorders>
            <w:shd w:val="clear" w:color="000000" w:fill="B4C6E7"/>
            <w:noWrap/>
            <w:vAlign w:val="center"/>
            <w:hideMark/>
          </w:tcPr>
          <w:p w14:paraId="475E1AFD" w14:textId="77777777" w:rsidR="00BA0D82" w:rsidRPr="0005691D" w:rsidRDefault="00BA0D82" w:rsidP="001A5653">
            <w:pPr>
              <w:spacing w:after="0" w:line="240" w:lineRule="auto"/>
              <w:jc w:val="right"/>
              <w:rPr>
                <w:rFonts w:ascii="Calibri" w:eastAsia="Times New Roman" w:hAnsi="Calibri" w:cs="Calibri"/>
                <w:b/>
                <w:bCs/>
                <w:color w:val="000000"/>
              </w:rPr>
            </w:pPr>
            <w:r w:rsidRPr="0005691D">
              <w:rPr>
                <w:rFonts w:ascii="Calibri" w:eastAsia="Times New Roman" w:hAnsi="Calibri" w:cs="Calibri"/>
                <w:b/>
                <w:bCs/>
                <w:color w:val="000000"/>
              </w:rPr>
              <w:t>Customized Employment</w:t>
            </w:r>
          </w:p>
        </w:tc>
        <w:tc>
          <w:tcPr>
            <w:tcW w:w="1165" w:type="dxa"/>
            <w:tcBorders>
              <w:top w:val="nil"/>
              <w:left w:val="nil"/>
              <w:bottom w:val="single" w:sz="4" w:space="0" w:color="auto"/>
              <w:right w:val="single" w:sz="4" w:space="0" w:color="auto"/>
            </w:tcBorders>
            <w:shd w:val="clear" w:color="000000" w:fill="FFFFFF"/>
            <w:noWrap/>
            <w:vAlign w:val="center"/>
            <w:hideMark/>
          </w:tcPr>
          <w:p w14:paraId="003E2EB6"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5</w:t>
            </w:r>
          </w:p>
        </w:tc>
        <w:tc>
          <w:tcPr>
            <w:tcW w:w="1254" w:type="dxa"/>
            <w:tcBorders>
              <w:top w:val="nil"/>
              <w:left w:val="nil"/>
              <w:bottom w:val="single" w:sz="4" w:space="0" w:color="auto"/>
              <w:right w:val="single" w:sz="4" w:space="0" w:color="auto"/>
            </w:tcBorders>
            <w:shd w:val="clear" w:color="000000" w:fill="FFFFFF"/>
            <w:noWrap/>
            <w:vAlign w:val="center"/>
            <w:hideMark/>
          </w:tcPr>
          <w:p w14:paraId="6C92A493"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80%</w:t>
            </w:r>
          </w:p>
        </w:tc>
        <w:tc>
          <w:tcPr>
            <w:tcW w:w="897" w:type="dxa"/>
            <w:tcBorders>
              <w:top w:val="nil"/>
              <w:left w:val="nil"/>
              <w:bottom w:val="single" w:sz="4" w:space="0" w:color="auto"/>
              <w:right w:val="single" w:sz="4" w:space="0" w:color="auto"/>
            </w:tcBorders>
            <w:shd w:val="clear" w:color="000000" w:fill="FFFFFF"/>
            <w:noWrap/>
            <w:vAlign w:val="center"/>
            <w:hideMark/>
          </w:tcPr>
          <w:p w14:paraId="50C09EE7"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5</w:t>
            </w:r>
          </w:p>
        </w:tc>
        <w:tc>
          <w:tcPr>
            <w:tcW w:w="897" w:type="dxa"/>
            <w:tcBorders>
              <w:top w:val="nil"/>
              <w:left w:val="nil"/>
              <w:bottom w:val="single" w:sz="4" w:space="0" w:color="auto"/>
              <w:right w:val="single" w:sz="4" w:space="0" w:color="auto"/>
            </w:tcBorders>
            <w:shd w:val="clear" w:color="000000" w:fill="FFFFFF"/>
            <w:noWrap/>
            <w:vAlign w:val="center"/>
            <w:hideMark/>
          </w:tcPr>
          <w:p w14:paraId="089CE3C1"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4</w:t>
            </w:r>
          </w:p>
        </w:tc>
        <w:tc>
          <w:tcPr>
            <w:tcW w:w="892" w:type="dxa"/>
            <w:tcBorders>
              <w:top w:val="nil"/>
              <w:left w:val="nil"/>
              <w:bottom w:val="single" w:sz="4" w:space="0" w:color="auto"/>
              <w:right w:val="single" w:sz="4" w:space="0" w:color="auto"/>
            </w:tcBorders>
            <w:shd w:val="clear" w:color="000000" w:fill="FFFFFF"/>
            <w:noWrap/>
            <w:vAlign w:val="center"/>
            <w:hideMark/>
          </w:tcPr>
          <w:p w14:paraId="05DA22CE"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80%</w:t>
            </w:r>
          </w:p>
        </w:tc>
        <w:tc>
          <w:tcPr>
            <w:tcW w:w="1063" w:type="dxa"/>
            <w:tcBorders>
              <w:top w:val="nil"/>
              <w:left w:val="nil"/>
              <w:bottom w:val="single" w:sz="4" w:space="0" w:color="auto"/>
              <w:right w:val="single" w:sz="4" w:space="0" w:color="auto"/>
            </w:tcBorders>
            <w:shd w:val="clear" w:color="000000" w:fill="FFFFFF"/>
            <w:noWrap/>
            <w:vAlign w:val="center"/>
            <w:hideMark/>
          </w:tcPr>
          <w:p w14:paraId="1C75FB73"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5</w:t>
            </w:r>
          </w:p>
        </w:tc>
        <w:tc>
          <w:tcPr>
            <w:tcW w:w="1063" w:type="dxa"/>
            <w:tcBorders>
              <w:top w:val="nil"/>
              <w:left w:val="nil"/>
              <w:bottom w:val="single" w:sz="4" w:space="0" w:color="auto"/>
              <w:right w:val="single" w:sz="4" w:space="0" w:color="auto"/>
            </w:tcBorders>
            <w:shd w:val="clear" w:color="000000" w:fill="FFFFFF"/>
            <w:noWrap/>
            <w:vAlign w:val="center"/>
            <w:hideMark/>
          </w:tcPr>
          <w:p w14:paraId="753C309C"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2</w:t>
            </w:r>
          </w:p>
        </w:tc>
        <w:tc>
          <w:tcPr>
            <w:tcW w:w="1063" w:type="dxa"/>
            <w:tcBorders>
              <w:top w:val="nil"/>
              <w:left w:val="nil"/>
              <w:bottom w:val="single" w:sz="4" w:space="0" w:color="auto"/>
              <w:right w:val="single" w:sz="4" w:space="0" w:color="auto"/>
            </w:tcBorders>
            <w:shd w:val="clear" w:color="000000" w:fill="FFFFFF"/>
            <w:noWrap/>
            <w:vAlign w:val="center"/>
            <w:hideMark/>
          </w:tcPr>
          <w:p w14:paraId="2121B59A"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40%</w:t>
            </w:r>
          </w:p>
        </w:tc>
      </w:tr>
      <w:tr w:rsidR="00BA0D82" w:rsidRPr="0005691D" w14:paraId="46B95D3F" w14:textId="77777777" w:rsidTr="001A5653">
        <w:trPr>
          <w:trHeight w:val="300"/>
        </w:trPr>
        <w:tc>
          <w:tcPr>
            <w:tcW w:w="2506" w:type="dxa"/>
            <w:tcBorders>
              <w:top w:val="nil"/>
              <w:left w:val="nil"/>
              <w:bottom w:val="nil"/>
              <w:right w:val="nil"/>
            </w:tcBorders>
            <w:shd w:val="clear" w:color="auto" w:fill="auto"/>
            <w:noWrap/>
            <w:vAlign w:val="bottom"/>
            <w:hideMark/>
          </w:tcPr>
          <w:p w14:paraId="3B9B3C6B" w14:textId="77777777" w:rsidR="00BA0D82" w:rsidRPr="0005691D" w:rsidRDefault="00BA0D82" w:rsidP="001A5653">
            <w:pPr>
              <w:spacing w:after="0" w:line="240" w:lineRule="auto"/>
              <w:jc w:val="center"/>
              <w:rPr>
                <w:rFonts w:ascii="Calibri" w:eastAsia="Times New Roman" w:hAnsi="Calibri" w:cs="Calibri"/>
                <w:color w:val="000000"/>
              </w:rPr>
            </w:pPr>
          </w:p>
        </w:tc>
        <w:tc>
          <w:tcPr>
            <w:tcW w:w="1165" w:type="dxa"/>
            <w:tcBorders>
              <w:top w:val="nil"/>
              <w:left w:val="nil"/>
              <w:bottom w:val="nil"/>
              <w:right w:val="nil"/>
            </w:tcBorders>
            <w:shd w:val="clear" w:color="auto" w:fill="auto"/>
            <w:noWrap/>
            <w:vAlign w:val="center"/>
            <w:hideMark/>
          </w:tcPr>
          <w:p w14:paraId="4D69B00F" w14:textId="77777777" w:rsidR="00BA0D82" w:rsidRPr="0005691D" w:rsidRDefault="00BA0D82" w:rsidP="001A5653">
            <w:pPr>
              <w:spacing w:after="0" w:line="240" w:lineRule="auto"/>
              <w:rPr>
                <w:rFonts w:ascii="Times New Roman" w:eastAsia="Times New Roman" w:hAnsi="Times New Roman" w:cs="Times New Roman"/>
                <w:sz w:val="20"/>
                <w:szCs w:val="20"/>
              </w:rPr>
            </w:pPr>
          </w:p>
        </w:tc>
        <w:tc>
          <w:tcPr>
            <w:tcW w:w="1254" w:type="dxa"/>
            <w:tcBorders>
              <w:top w:val="nil"/>
              <w:left w:val="nil"/>
              <w:bottom w:val="nil"/>
              <w:right w:val="nil"/>
            </w:tcBorders>
            <w:shd w:val="clear" w:color="auto" w:fill="auto"/>
            <w:noWrap/>
            <w:vAlign w:val="center"/>
            <w:hideMark/>
          </w:tcPr>
          <w:p w14:paraId="6A940B75"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c>
          <w:tcPr>
            <w:tcW w:w="897" w:type="dxa"/>
            <w:tcBorders>
              <w:top w:val="nil"/>
              <w:left w:val="nil"/>
              <w:bottom w:val="nil"/>
              <w:right w:val="nil"/>
            </w:tcBorders>
            <w:shd w:val="clear" w:color="auto" w:fill="auto"/>
            <w:noWrap/>
            <w:vAlign w:val="center"/>
            <w:hideMark/>
          </w:tcPr>
          <w:p w14:paraId="4C8889CE"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c>
          <w:tcPr>
            <w:tcW w:w="897" w:type="dxa"/>
            <w:tcBorders>
              <w:top w:val="nil"/>
              <w:left w:val="nil"/>
              <w:bottom w:val="nil"/>
              <w:right w:val="nil"/>
            </w:tcBorders>
            <w:shd w:val="clear" w:color="auto" w:fill="auto"/>
            <w:noWrap/>
            <w:vAlign w:val="center"/>
            <w:hideMark/>
          </w:tcPr>
          <w:p w14:paraId="2D1B78CE"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c>
          <w:tcPr>
            <w:tcW w:w="892" w:type="dxa"/>
            <w:tcBorders>
              <w:top w:val="nil"/>
              <w:left w:val="nil"/>
              <w:bottom w:val="nil"/>
              <w:right w:val="nil"/>
            </w:tcBorders>
            <w:shd w:val="clear" w:color="auto" w:fill="auto"/>
            <w:noWrap/>
            <w:vAlign w:val="center"/>
            <w:hideMark/>
          </w:tcPr>
          <w:p w14:paraId="11F64FEE"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c>
          <w:tcPr>
            <w:tcW w:w="1063" w:type="dxa"/>
            <w:tcBorders>
              <w:top w:val="nil"/>
              <w:left w:val="nil"/>
              <w:bottom w:val="nil"/>
              <w:right w:val="nil"/>
            </w:tcBorders>
            <w:shd w:val="clear" w:color="auto" w:fill="auto"/>
            <w:noWrap/>
            <w:vAlign w:val="center"/>
            <w:hideMark/>
          </w:tcPr>
          <w:p w14:paraId="31650FD0"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c>
          <w:tcPr>
            <w:tcW w:w="1063" w:type="dxa"/>
            <w:tcBorders>
              <w:top w:val="nil"/>
              <w:left w:val="nil"/>
              <w:bottom w:val="nil"/>
              <w:right w:val="nil"/>
            </w:tcBorders>
            <w:shd w:val="clear" w:color="auto" w:fill="auto"/>
            <w:noWrap/>
            <w:vAlign w:val="center"/>
            <w:hideMark/>
          </w:tcPr>
          <w:p w14:paraId="0D1C7ACD"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c>
          <w:tcPr>
            <w:tcW w:w="1063" w:type="dxa"/>
            <w:tcBorders>
              <w:top w:val="nil"/>
              <w:left w:val="nil"/>
              <w:bottom w:val="nil"/>
              <w:right w:val="nil"/>
            </w:tcBorders>
            <w:shd w:val="clear" w:color="auto" w:fill="auto"/>
            <w:noWrap/>
            <w:vAlign w:val="center"/>
            <w:hideMark/>
          </w:tcPr>
          <w:p w14:paraId="189FD4F4"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r>
    </w:tbl>
    <w:p w14:paraId="17362108" w14:textId="77777777" w:rsidR="00BC793A" w:rsidRDefault="00BC793A">
      <w:bookmarkStart w:id="245" w:name="_Toc27143212"/>
      <w:r>
        <w:rPr>
          <w:b/>
        </w:rPr>
        <w:br w:type="page"/>
      </w:r>
    </w:p>
    <w:tbl>
      <w:tblPr>
        <w:tblW w:w="10800" w:type="dxa"/>
        <w:tblLook w:val="04A0" w:firstRow="1" w:lastRow="0" w:firstColumn="1" w:lastColumn="0" w:noHBand="0" w:noVBand="1"/>
      </w:tblPr>
      <w:tblGrid>
        <w:gridCol w:w="2506"/>
        <w:gridCol w:w="1165"/>
        <w:gridCol w:w="1254"/>
        <w:gridCol w:w="897"/>
        <w:gridCol w:w="897"/>
        <w:gridCol w:w="892"/>
        <w:gridCol w:w="1063"/>
        <w:gridCol w:w="1063"/>
        <w:gridCol w:w="1063"/>
      </w:tblGrid>
      <w:tr w:rsidR="00BA0D82" w:rsidRPr="0005691D" w14:paraId="057EF799" w14:textId="77777777" w:rsidTr="001A5653">
        <w:trPr>
          <w:trHeight w:val="465"/>
        </w:trPr>
        <w:tc>
          <w:tcPr>
            <w:tcW w:w="10800" w:type="dxa"/>
            <w:gridSpan w:val="9"/>
            <w:tcBorders>
              <w:top w:val="single" w:sz="4" w:space="0" w:color="auto"/>
              <w:left w:val="nil"/>
              <w:bottom w:val="single" w:sz="4" w:space="0" w:color="auto"/>
              <w:right w:val="nil"/>
            </w:tcBorders>
            <w:shd w:val="clear" w:color="auto" w:fill="auto"/>
            <w:noWrap/>
            <w:vAlign w:val="bottom"/>
            <w:hideMark/>
          </w:tcPr>
          <w:p w14:paraId="503B141A" w14:textId="112D7033" w:rsidR="00BA0D82" w:rsidRPr="0005691D" w:rsidRDefault="00BA0D82" w:rsidP="00BA0D82">
            <w:pPr>
              <w:pStyle w:val="Heading2"/>
              <w:numPr>
                <w:ilvl w:val="0"/>
                <w:numId w:val="0"/>
              </w:numPr>
              <w:rPr>
                <w:rFonts w:eastAsia="Times New Roman"/>
              </w:rPr>
            </w:pPr>
            <w:bookmarkStart w:id="246" w:name="_Toc28011511"/>
            <w:r w:rsidRPr="0005691D">
              <w:rPr>
                <w:rFonts w:eastAsia="Times New Roman"/>
              </w:rPr>
              <w:lastRenderedPageBreak/>
              <w:t>Mississippi Combined</w:t>
            </w:r>
            <w:bookmarkEnd w:id="245"/>
            <w:bookmarkEnd w:id="246"/>
          </w:p>
        </w:tc>
      </w:tr>
      <w:tr w:rsidR="00BA0D82" w:rsidRPr="0005691D" w14:paraId="37F75ED2" w14:textId="77777777" w:rsidTr="001A5653">
        <w:trPr>
          <w:trHeight w:val="1305"/>
        </w:trPr>
        <w:tc>
          <w:tcPr>
            <w:tcW w:w="2506" w:type="dxa"/>
            <w:tcBorders>
              <w:top w:val="nil"/>
              <w:left w:val="single" w:sz="4" w:space="0" w:color="auto"/>
              <w:bottom w:val="single" w:sz="4" w:space="0" w:color="auto"/>
              <w:right w:val="single" w:sz="4" w:space="0" w:color="auto"/>
            </w:tcBorders>
            <w:shd w:val="clear" w:color="000000" w:fill="B4C6E7"/>
            <w:vAlign w:val="bottom"/>
            <w:hideMark/>
          </w:tcPr>
          <w:p w14:paraId="72ED6D5D" w14:textId="77777777" w:rsidR="00BA0D82" w:rsidRPr="0005691D" w:rsidRDefault="00BA0D82" w:rsidP="001A5653">
            <w:pPr>
              <w:spacing w:after="0" w:line="240" w:lineRule="auto"/>
              <w:jc w:val="right"/>
              <w:rPr>
                <w:rFonts w:ascii="Calibri" w:eastAsia="Times New Roman" w:hAnsi="Calibri" w:cs="Calibri"/>
                <w:b/>
                <w:bCs/>
                <w:color w:val="000000"/>
                <w:szCs w:val="28"/>
              </w:rPr>
            </w:pPr>
            <w:r w:rsidRPr="0005691D">
              <w:rPr>
                <w:rFonts w:ascii="Calibri" w:eastAsia="Times New Roman" w:hAnsi="Calibri" w:cs="Calibri"/>
                <w:b/>
                <w:bCs/>
                <w:color w:val="000000"/>
                <w:szCs w:val="28"/>
              </w:rPr>
              <w:t>Area</w:t>
            </w:r>
          </w:p>
        </w:tc>
        <w:tc>
          <w:tcPr>
            <w:tcW w:w="1165" w:type="dxa"/>
            <w:tcBorders>
              <w:top w:val="nil"/>
              <w:left w:val="nil"/>
              <w:bottom w:val="single" w:sz="4" w:space="0" w:color="auto"/>
              <w:right w:val="single" w:sz="4" w:space="0" w:color="auto"/>
            </w:tcBorders>
            <w:shd w:val="clear" w:color="000000" w:fill="B4C6E7"/>
            <w:vAlign w:val="bottom"/>
            <w:hideMark/>
          </w:tcPr>
          <w:p w14:paraId="19897F40"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of Total Activities</w:t>
            </w:r>
          </w:p>
        </w:tc>
        <w:tc>
          <w:tcPr>
            <w:tcW w:w="1254" w:type="dxa"/>
            <w:tcBorders>
              <w:top w:val="nil"/>
              <w:left w:val="nil"/>
              <w:bottom w:val="single" w:sz="4" w:space="0" w:color="auto"/>
              <w:right w:val="single" w:sz="4" w:space="0" w:color="auto"/>
            </w:tcBorders>
            <w:shd w:val="clear" w:color="000000" w:fill="B4C6E7"/>
            <w:vAlign w:val="bottom"/>
            <w:hideMark/>
          </w:tcPr>
          <w:p w14:paraId="4AE37478"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Average Progress on Activities (%)</w:t>
            </w:r>
          </w:p>
        </w:tc>
        <w:tc>
          <w:tcPr>
            <w:tcW w:w="897" w:type="dxa"/>
            <w:tcBorders>
              <w:top w:val="nil"/>
              <w:left w:val="nil"/>
              <w:bottom w:val="single" w:sz="4" w:space="0" w:color="auto"/>
              <w:right w:val="single" w:sz="4" w:space="0" w:color="auto"/>
            </w:tcBorders>
            <w:shd w:val="clear" w:color="000000" w:fill="B4C6E7"/>
            <w:vAlign w:val="bottom"/>
            <w:hideMark/>
          </w:tcPr>
          <w:p w14:paraId="12F7FE9B"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Outputs</w:t>
            </w:r>
          </w:p>
        </w:tc>
        <w:tc>
          <w:tcPr>
            <w:tcW w:w="897" w:type="dxa"/>
            <w:tcBorders>
              <w:top w:val="nil"/>
              <w:left w:val="nil"/>
              <w:bottom w:val="single" w:sz="4" w:space="0" w:color="auto"/>
              <w:right w:val="single" w:sz="4" w:space="0" w:color="auto"/>
            </w:tcBorders>
            <w:shd w:val="clear" w:color="000000" w:fill="B4C6E7"/>
            <w:vAlign w:val="bottom"/>
            <w:hideMark/>
          </w:tcPr>
          <w:p w14:paraId="4EEF4012"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Outputs Met</w:t>
            </w:r>
          </w:p>
        </w:tc>
        <w:tc>
          <w:tcPr>
            <w:tcW w:w="892" w:type="dxa"/>
            <w:tcBorders>
              <w:top w:val="nil"/>
              <w:left w:val="nil"/>
              <w:bottom w:val="single" w:sz="4" w:space="0" w:color="auto"/>
              <w:right w:val="single" w:sz="4" w:space="0" w:color="auto"/>
            </w:tcBorders>
            <w:shd w:val="clear" w:color="000000" w:fill="B4C6E7"/>
            <w:vAlign w:val="bottom"/>
            <w:hideMark/>
          </w:tcPr>
          <w:p w14:paraId="4B79E27B"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Outputs Met</w:t>
            </w:r>
          </w:p>
        </w:tc>
        <w:tc>
          <w:tcPr>
            <w:tcW w:w="1063" w:type="dxa"/>
            <w:tcBorders>
              <w:top w:val="nil"/>
              <w:left w:val="nil"/>
              <w:bottom w:val="single" w:sz="4" w:space="0" w:color="auto"/>
              <w:right w:val="single" w:sz="4" w:space="0" w:color="auto"/>
            </w:tcBorders>
            <w:shd w:val="clear" w:color="000000" w:fill="B4C6E7"/>
            <w:vAlign w:val="bottom"/>
            <w:hideMark/>
          </w:tcPr>
          <w:p w14:paraId="1DF270C3"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Short-Term Outcomes</w:t>
            </w:r>
          </w:p>
        </w:tc>
        <w:tc>
          <w:tcPr>
            <w:tcW w:w="1063" w:type="dxa"/>
            <w:tcBorders>
              <w:top w:val="nil"/>
              <w:left w:val="nil"/>
              <w:bottom w:val="single" w:sz="4" w:space="0" w:color="auto"/>
              <w:right w:val="single" w:sz="4" w:space="0" w:color="auto"/>
            </w:tcBorders>
            <w:shd w:val="clear" w:color="000000" w:fill="B4C6E7"/>
            <w:vAlign w:val="bottom"/>
            <w:hideMark/>
          </w:tcPr>
          <w:p w14:paraId="78DCA7C7"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Short-Term Outcomes Met</w:t>
            </w:r>
          </w:p>
        </w:tc>
        <w:tc>
          <w:tcPr>
            <w:tcW w:w="1063" w:type="dxa"/>
            <w:tcBorders>
              <w:top w:val="nil"/>
              <w:left w:val="nil"/>
              <w:bottom w:val="single" w:sz="4" w:space="0" w:color="auto"/>
              <w:right w:val="single" w:sz="4" w:space="0" w:color="auto"/>
            </w:tcBorders>
            <w:shd w:val="clear" w:color="000000" w:fill="B4C6E7"/>
            <w:vAlign w:val="bottom"/>
            <w:hideMark/>
          </w:tcPr>
          <w:p w14:paraId="441D6D50"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%Short-Term Outcomes Achieved</w:t>
            </w:r>
          </w:p>
        </w:tc>
      </w:tr>
      <w:tr w:rsidR="00BA0D82" w:rsidRPr="0005691D" w14:paraId="58C5302E" w14:textId="77777777" w:rsidTr="001A5653">
        <w:trPr>
          <w:trHeight w:val="300"/>
        </w:trPr>
        <w:tc>
          <w:tcPr>
            <w:tcW w:w="2506" w:type="dxa"/>
            <w:tcBorders>
              <w:top w:val="nil"/>
              <w:left w:val="single" w:sz="4" w:space="0" w:color="auto"/>
              <w:bottom w:val="single" w:sz="4" w:space="0" w:color="auto"/>
              <w:right w:val="single" w:sz="4" w:space="0" w:color="auto"/>
            </w:tcBorders>
            <w:shd w:val="clear" w:color="000000" w:fill="B4C6E7"/>
            <w:noWrap/>
            <w:vAlign w:val="center"/>
            <w:hideMark/>
          </w:tcPr>
          <w:p w14:paraId="27FD6014" w14:textId="77777777" w:rsidR="00BA0D82" w:rsidRPr="0005691D" w:rsidRDefault="00BA0D82" w:rsidP="001A5653">
            <w:pPr>
              <w:spacing w:after="0" w:line="240" w:lineRule="auto"/>
              <w:jc w:val="right"/>
              <w:rPr>
                <w:rFonts w:ascii="Calibri" w:eastAsia="Times New Roman" w:hAnsi="Calibri" w:cs="Calibri"/>
                <w:b/>
                <w:bCs/>
                <w:color w:val="000000"/>
              </w:rPr>
            </w:pPr>
            <w:r w:rsidRPr="0005691D">
              <w:rPr>
                <w:rFonts w:ascii="Calibri" w:eastAsia="Times New Roman" w:hAnsi="Calibri" w:cs="Calibri"/>
                <w:b/>
                <w:bCs/>
                <w:color w:val="000000"/>
              </w:rPr>
              <w:t>Pre-ETS</w:t>
            </w:r>
          </w:p>
        </w:tc>
        <w:tc>
          <w:tcPr>
            <w:tcW w:w="1165" w:type="dxa"/>
            <w:tcBorders>
              <w:top w:val="nil"/>
              <w:left w:val="nil"/>
              <w:bottom w:val="single" w:sz="4" w:space="0" w:color="auto"/>
              <w:right w:val="single" w:sz="4" w:space="0" w:color="auto"/>
            </w:tcBorders>
            <w:shd w:val="clear" w:color="000000" w:fill="FFFFFF"/>
            <w:noWrap/>
            <w:vAlign w:val="center"/>
            <w:hideMark/>
          </w:tcPr>
          <w:p w14:paraId="3E5BA52D"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6</w:t>
            </w:r>
          </w:p>
        </w:tc>
        <w:tc>
          <w:tcPr>
            <w:tcW w:w="1254" w:type="dxa"/>
            <w:tcBorders>
              <w:top w:val="nil"/>
              <w:left w:val="nil"/>
              <w:bottom w:val="single" w:sz="4" w:space="0" w:color="auto"/>
              <w:right w:val="single" w:sz="4" w:space="0" w:color="auto"/>
            </w:tcBorders>
            <w:shd w:val="clear" w:color="000000" w:fill="FFFFFF"/>
            <w:noWrap/>
            <w:vAlign w:val="center"/>
            <w:hideMark/>
          </w:tcPr>
          <w:p w14:paraId="5CDC74E1"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86%</w:t>
            </w:r>
          </w:p>
        </w:tc>
        <w:tc>
          <w:tcPr>
            <w:tcW w:w="897" w:type="dxa"/>
            <w:tcBorders>
              <w:top w:val="nil"/>
              <w:left w:val="nil"/>
              <w:bottom w:val="single" w:sz="4" w:space="0" w:color="auto"/>
              <w:right w:val="single" w:sz="4" w:space="0" w:color="auto"/>
            </w:tcBorders>
            <w:shd w:val="clear" w:color="000000" w:fill="FFFFFF"/>
            <w:noWrap/>
            <w:vAlign w:val="center"/>
            <w:hideMark/>
          </w:tcPr>
          <w:p w14:paraId="107CCB29"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6</w:t>
            </w:r>
          </w:p>
        </w:tc>
        <w:tc>
          <w:tcPr>
            <w:tcW w:w="897" w:type="dxa"/>
            <w:tcBorders>
              <w:top w:val="nil"/>
              <w:left w:val="nil"/>
              <w:bottom w:val="single" w:sz="4" w:space="0" w:color="auto"/>
              <w:right w:val="single" w:sz="4" w:space="0" w:color="auto"/>
            </w:tcBorders>
            <w:shd w:val="clear" w:color="000000" w:fill="FFFFFF"/>
            <w:noWrap/>
            <w:vAlign w:val="center"/>
            <w:hideMark/>
          </w:tcPr>
          <w:p w14:paraId="1E8A9B32"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3</w:t>
            </w:r>
          </w:p>
        </w:tc>
        <w:tc>
          <w:tcPr>
            <w:tcW w:w="892" w:type="dxa"/>
            <w:tcBorders>
              <w:top w:val="nil"/>
              <w:left w:val="nil"/>
              <w:bottom w:val="single" w:sz="4" w:space="0" w:color="auto"/>
              <w:right w:val="single" w:sz="4" w:space="0" w:color="auto"/>
            </w:tcBorders>
            <w:shd w:val="clear" w:color="000000" w:fill="FFFFFF"/>
            <w:noWrap/>
            <w:vAlign w:val="center"/>
            <w:hideMark/>
          </w:tcPr>
          <w:p w14:paraId="46708296"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50%</w:t>
            </w:r>
          </w:p>
        </w:tc>
        <w:tc>
          <w:tcPr>
            <w:tcW w:w="1063" w:type="dxa"/>
            <w:tcBorders>
              <w:top w:val="nil"/>
              <w:left w:val="nil"/>
              <w:bottom w:val="single" w:sz="4" w:space="0" w:color="auto"/>
              <w:right w:val="single" w:sz="4" w:space="0" w:color="auto"/>
            </w:tcBorders>
            <w:shd w:val="clear" w:color="000000" w:fill="FFFFFF"/>
            <w:noWrap/>
            <w:vAlign w:val="center"/>
            <w:hideMark/>
          </w:tcPr>
          <w:p w14:paraId="654EA1E3"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4</w:t>
            </w:r>
          </w:p>
        </w:tc>
        <w:tc>
          <w:tcPr>
            <w:tcW w:w="1063" w:type="dxa"/>
            <w:tcBorders>
              <w:top w:val="nil"/>
              <w:left w:val="nil"/>
              <w:bottom w:val="single" w:sz="4" w:space="0" w:color="auto"/>
              <w:right w:val="single" w:sz="4" w:space="0" w:color="auto"/>
            </w:tcBorders>
            <w:shd w:val="clear" w:color="000000" w:fill="FFFFFF"/>
            <w:noWrap/>
            <w:vAlign w:val="center"/>
            <w:hideMark/>
          </w:tcPr>
          <w:p w14:paraId="14A562CD"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w:t>
            </w:r>
          </w:p>
        </w:tc>
        <w:tc>
          <w:tcPr>
            <w:tcW w:w="1063" w:type="dxa"/>
            <w:tcBorders>
              <w:top w:val="nil"/>
              <w:left w:val="nil"/>
              <w:bottom w:val="single" w:sz="4" w:space="0" w:color="auto"/>
              <w:right w:val="single" w:sz="4" w:space="0" w:color="auto"/>
            </w:tcBorders>
            <w:shd w:val="clear" w:color="000000" w:fill="FFFFFF"/>
            <w:noWrap/>
            <w:vAlign w:val="center"/>
            <w:hideMark/>
          </w:tcPr>
          <w:p w14:paraId="27CC0414"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25%</w:t>
            </w:r>
          </w:p>
        </w:tc>
      </w:tr>
      <w:tr w:rsidR="00BA0D82" w:rsidRPr="0005691D" w14:paraId="7F91004F" w14:textId="77777777" w:rsidTr="001A5653">
        <w:trPr>
          <w:trHeight w:val="300"/>
        </w:trPr>
        <w:tc>
          <w:tcPr>
            <w:tcW w:w="2506" w:type="dxa"/>
            <w:tcBorders>
              <w:top w:val="nil"/>
              <w:left w:val="single" w:sz="4" w:space="0" w:color="auto"/>
              <w:bottom w:val="single" w:sz="4" w:space="0" w:color="auto"/>
              <w:right w:val="single" w:sz="4" w:space="0" w:color="auto"/>
            </w:tcBorders>
            <w:shd w:val="clear" w:color="000000" w:fill="B4C6E7"/>
            <w:noWrap/>
            <w:vAlign w:val="center"/>
            <w:hideMark/>
          </w:tcPr>
          <w:p w14:paraId="1FD64867" w14:textId="77777777" w:rsidR="00BA0D82" w:rsidRPr="0005691D" w:rsidRDefault="00BA0D82" w:rsidP="001A5653">
            <w:pPr>
              <w:spacing w:after="0" w:line="240" w:lineRule="auto"/>
              <w:jc w:val="right"/>
              <w:rPr>
                <w:rFonts w:ascii="Calibri" w:eastAsia="Times New Roman" w:hAnsi="Calibri" w:cs="Calibri"/>
                <w:b/>
                <w:bCs/>
                <w:color w:val="000000"/>
              </w:rPr>
            </w:pPr>
            <w:r w:rsidRPr="0005691D">
              <w:rPr>
                <w:rFonts w:ascii="Calibri" w:eastAsia="Times New Roman" w:hAnsi="Calibri" w:cs="Calibri"/>
                <w:b/>
                <w:bCs/>
                <w:color w:val="000000"/>
              </w:rPr>
              <w:t>Section 511</w:t>
            </w:r>
          </w:p>
        </w:tc>
        <w:tc>
          <w:tcPr>
            <w:tcW w:w="1165" w:type="dxa"/>
            <w:tcBorders>
              <w:top w:val="nil"/>
              <w:left w:val="nil"/>
              <w:bottom w:val="single" w:sz="4" w:space="0" w:color="auto"/>
              <w:right w:val="single" w:sz="4" w:space="0" w:color="auto"/>
            </w:tcBorders>
            <w:shd w:val="clear" w:color="000000" w:fill="D9E2F3"/>
            <w:noWrap/>
            <w:vAlign w:val="center"/>
            <w:hideMark/>
          </w:tcPr>
          <w:p w14:paraId="7AA45C46"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4</w:t>
            </w:r>
          </w:p>
        </w:tc>
        <w:tc>
          <w:tcPr>
            <w:tcW w:w="1254" w:type="dxa"/>
            <w:tcBorders>
              <w:top w:val="nil"/>
              <w:left w:val="nil"/>
              <w:bottom w:val="single" w:sz="4" w:space="0" w:color="auto"/>
              <w:right w:val="single" w:sz="4" w:space="0" w:color="auto"/>
            </w:tcBorders>
            <w:shd w:val="clear" w:color="000000" w:fill="D9E2F3"/>
            <w:noWrap/>
            <w:vAlign w:val="center"/>
            <w:hideMark/>
          </w:tcPr>
          <w:p w14:paraId="0E74E6DD"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100%</w:t>
            </w:r>
          </w:p>
        </w:tc>
        <w:tc>
          <w:tcPr>
            <w:tcW w:w="897" w:type="dxa"/>
            <w:tcBorders>
              <w:top w:val="nil"/>
              <w:left w:val="nil"/>
              <w:bottom w:val="single" w:sz="4" w:space="0" w:color="auto"/>
              <w:right w:val="single" w:sz="4" w:space="0" w:color="auto"/>
            </w:tcBorders>
            <w:shd w:val="clear" w:color="000000" w:fill="D9E2F3"/>
            <w:noWrap/>
            <w:vAlign w:val="center"/>
            <w:hideMark/>
          </w:tcPr>
          <w:p w14:paraId="35C96276"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4</w:t>
            </w:r>
          </w:p>
        </w:tc>
        <w:tc>
          <w:tcPr>
            <w:tcW w:w="897" w:type="dxa"/>
            <w:tcBorders>
              <w:top w:val="nil"/>
              <w:left w:val="nil"/>
              <w:bottom w:val="single" w:sz="4" w:space="0" w:color="auto"/>
              <w:right w:val="single" w:sz="4" w:space="0" w:color="auto"/>
            </w:tcBorders>
            <w:shd w:val="clear" w:color="000000" w:fill="D9E2F3"/>
            <w:noWrap/>
            <w:vAlign w:val="center"/>
            <w:hideMark/>
          </w:tcPr>
          <w:p w14:paraId="09D308DC"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4</w:t>
            </w:r>
          </w:p>
        </w:tc>
        <w:tc>
          <w:tcPr>
            <w:tcW w:w="892" w:type="dxa"/>
            <w:tcBorders>
              <w:top w:val="nil"/>
              <w:left w:val="nil"/>
              <w:bottom w:val="single" w:sz="4" w:space="0" w:color="auto"/>
              <w:right w:val="single" w:sz="4" w:space="0" w:color="auto"/>
            </w:tcBorders>
            <w:shd w:val="clear" w:color="000000" w:fill="D9E2F3"/>
            <w:noWrap/>
            <w:vAlign w:val="center"/>
            <w:hideMark/>
          </w:tcPr>
          <w:p w14:paraId="0007980C"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100%</w:t>
            </w:r>
          </w:p>
        </w:tc>
        <w:tc>
          <w:tcPr>
            <w:tcW w:w="1063" w:type="dxa"/>
            <w:tcBorders>
              <w:top w:val="nil"/>
              <w:left w:val="nil"/>
              <w:bottom w:val="single" w:sz="4" w:space="0" w:color="auto"/>
              <w:right w:val="single" w:sz="4" w:space="0" w:color="auto"/>
            </w:tcBorders>
            <w:shd w:val="clear" w:color="000000" w:fill="D9E2F3"/>
            <w:noWrap/>
            <w:vAlign w:val="center"/>
            <w:hideMark/>
          </w:tcPr>
          <w:p w14:paraId="3E60B9B5"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2</w:t>
            </w:r>
          </w:p>
        </w:tc>
        <w:tc>
          <w:tcPr>
            <w:tcW w:w="1063" w:type="dxa"/>
            <w:tcBorders>
              <w:top w:val="nil"/>
              <w:left w:val="nil"/>
              <w:bottom w:val="single" w:sz="4" w:space="0" w:color="auto"/>
              <w:right w:val="single" w:sz="4" w:space="0" w:color="auto"/>
            </w:tcBorders>
            <w:shd w:val="clear" w:color="000000" w:fill="D9E2F3"/>
            <w:noWrap/>
            <w:vAlign w:val="center"/>
            <w:hideMark/>
          </w:tcPr>
          <w:p w14:paraId="1FC13B2F"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2</w:t>
            </w:r>
          </w:p>
        </w:tc>
        <w:tc>
          <w:tcPr>
            <w:tcW w:w="1063" w:type="dxa"/>
            <w:tcBorders>
              <w:top w:val="nil"/>
              <w:left w:val="nil"/>
              <w:bottom w:val="single" w:sz="4" w:space="0" w:color="auto"/>
              <w:right w:val="single" w:sz="4" w:space="0" w:color="auto"/>
            </w:tcBorders>
            <w:shd w:val="clear" w:color="000000" w:fill="D9E2F3"/>
            <w:noWrap/>
            <w:vAlign w:val="center"/>
            <w:hideMark/>
          </w:tcPr>
          <w:p w14:paraId="530846CD"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100%</w:t>
            </w:r>
          </w:p>
        </w:tc>
      </w:tr>
      <w:tr w:rsidR="00BA0D82" w:rsidRPr="0005691D" w14:paraId="1BF83E10" w14:textId="77777777" w:rsidTr="001A5653">
        <w:trPr>
          <w:trHeight w:val="300"/>
        </w:trPr>
        <w:tc>
          <w:tcPr>
            <w:tcW w:w="2506" w:type="dxa"/>
            <w:tcBorders>
              <w:top w:val="nil"/>
              <w:left w:val="single" w:sz="4" w:space="0" w:color="auto"/>
              <w:bottom w:val="single" w:sz="4" w:space="0" w:color="auto"/>
              <w:right w:val="single" w:sz="4" w:space="0" w:color="auto"/>
            </w:tcBorders>
            <w:shd w:val="clear" w:color="000000" w:fill="B4C6E7"/>
            <w:noWrap/>
            <w:vAlign w:val="center"/>
            <w:hideMark/>
          </w:tcPr>
          <w:p w14:paraId="78C5CEBB" w14:textId="77777777" w:rsidR="00BA0D82" w:rsidRPr="0005691D" w:rsidRDefault="00BA0D82" w:rsidP="001A5653">
            <w:pPr>
              <w:spacing w:after="0" w:line="240" w:lineRule="auto"/>
              <w:jc w:val="right"/>
              <w:rPr>
                <w:rFonts w:ascii="Calibri" w:eastAsia="Times New Roman" w:hAnsi="Calibri" w:cs="Calibri"/>
                <w:b/>
                <w:bCs/>
                <w:color w:val="000000"/>
              </w:rPr>
            </w:pPr>
            <w:r w:rsidRPr="0005691D">
              <w:rPr>
                <w:rFonts w:ascii="Calibri" w:eastAsia="Times New Roman" w:hAnsi="Calibri" w:cs="Calibri"/>
                <w:b/>
                <w:bCs/>
                <w:color w:val="000000"/>
              </w:rPr>
              <w:t>Workforce Integration</w:t>
            </w:r>
          </w:p>
        </w:tc>
        <w:tc>
          <w:tcPr>
            <w:tcW w:w="1165" w:type="dxa"/>
            <w:tcBorders>
              <w:top w:val="nil"/>
              <w:left w:val="nil"/>
              <w:bottom w:val="single" w:sz="4" w:space="0" w:color="auto"/>
              <w:right w:val="single" w:sz="4" w:space="0" w:color="auto"/>
            </w:tcBorders>
            <w:shd w:val="clear" w:color="000000" w:fill="FFFFFF"/>
            <w:noWrap/>
            <w:vAlign w:val="center"/>
            <w:hideMark/>
          </w:tcPr>
          <w:p w14:paraId="5798DBD6"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5</w:t>
            </w:r>
          </w:p>
        </w:tc>
        <w:tc>
          <w:tcPr>
            <w:tcW w:w="1254" w:type="dxa"/>
            <w:tcBorders>
              <w:top w:val="nil"/>
              <w:left w:val="nil"/>
              <w:bottom w:val="single" w:sz="4" w:space="0" w:color="auto"/>
              <w:right w:val="single" w:sz="4" w:space="0" w:color="auto"/>
            </w:tcBorders>
            <w:shd w:val="clear" w:color="000000" w:fill="FFFFFF"/>
            <w:noWrap/>
            <w:vAlign w:val="center"/>
            <w:hideMark/>
          </w:tcPr>
          <w:p w14:paraId="1E367CFB"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90%</w:t>
            </w:r>
          </w:p>
        </w:tc>
        <w:tc>
          <w:tcPr>
            <w:tcW w:w="897" w:type="dxa"/>
            <w:tcBorders>
              <w:top w:val="nil"/>
              <w:left w:val="nil"/>
              <w:bottom w:val="single" w:sz="4" w:space="0" w:color="auto"/>
              <w:right w:val="single" w:sz="4" w:space="0" w:color="auto"/>
            </w:tcBorders>
            <w:shd w:val="clear" w:color="000000" w:fill="FFFFFF"/>
            <w:noWrap/>
            <w:vAlign w:val="center"/>
            <w:hideMark/>
          </w:tcPr>
          <w:p w14:paraId="2B6573AA"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5</w:t>
            </w:r>
          </w:p>
        </w:tc>
        <w:tc>
          <w:tcPr>
            <w:tcW w:w="897" w:type="dxa"/>
            <w:tcBorders>
              <w:top w:val="nil"/>
              <w:left w:val="nil"/>
              <w:bottom w:val="single" w:sz="4" w:space="0" w:color="auto"/>
              <w:right w:val="single" w:sz="4" w:space="0" w:color="auto"/>
            </w:tcBorders>
            <w:shd w:val="clear" w:color="000000" w:fill="FFFFFF"/>
            <w:noWrap/>
            <w:vAlign w:val="center"/>
            <w:hideMark/>
          </w:tcPr>
          <w:p w14:paraId="6E13095C"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4</w:t>
            </w:r>
          </w:p>
        </w:tc>
        <w:tc>
          <w:tcPr>
            <w:tcW w:w="892" w:type="dxa"/>
            <w:tcBorders>
              <w:top w:val="nil"/>
              <w:left w:val="nil"/>
              <w:bottom w:val="single" w:sz="4" w:space="0" w:color="auto"/>
              <w:right w:val="single" w:sz="4" w:space="0" w:color="auto"/>
            </w:tcBorders>
            <w:shd w:val="clear" w:color="000000" w:fill="FFFFFF"/>
            <w:noWrap/>
            <w:vAlign w:val="center"/>
            <w:hideMark/>
          </w:tcPr>
          <w:p w14:paraId="6B5B0EFF"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80%</w:t>
            </w:r>
          </w:p>
        </w:tc>
        <w:tc>
          <w:tcPr>
            <w:tcW w:w="1063" w:type="dxa"/>
            <w:tcBorders>
              <w:top w:val="nil"/>
              <w:left w:val="nil"/>
              <w:bottom w:val="single" w:sz="4" w:space="0" w:color="auto"/>
              <w:right w:val="single" w:sz="4" w:space="0" w:color="auto"/>
            </w:tcBorders>
            <w:shd w:val="clear" w:color="000000" w:fill="FFFFFF"/>
            <w:noWrap/>
            <w:vAlign w:val="center"/>
            <w:hideMark/>
          </w:tcPr>
          <w:p w14:paraId="1F5B4127"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4</w:t>
            </w:r>
          </w:p>
        </w:tc>
        <w:tc>
          <w:tcPr>
            <w:tcW w:w="1063" w:type="dxa"/>
            <w:tcBorders>
              <w:top w:val="nil"/>
              <w:left w:val="nil"/>
              <w:bottom w:val="single" w:sz="4" w:space="0" w:color="auto"/>
              <w:right w:val="single" w:sz="4" w:space="0" w:color="auto"/>
            </w:tcBorders>
            <w:shd w:val="clear" w:color="000000" w:fill="FFFFFF"/>
            <w:noWrap/>
            <w:vAlign w:val="center"/>
            <w:hideMark/>
          </w:tcPr>
          <w:p w14:paraId="0ADF3A08"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w:t>
            </w:r>
          </w:p>
        </w:tc>
        <w:tc>
          <w:tcPr>
            <w:tcW w:w="1063" w:type="dxa"/>
            <w:tcBorders>
              <w:top w:val="nil"/>
              <w:left w:val="nil"/>
              <w:bottom w:val="single" w:sz="4" w:space="0" w:color="auto"/>
              <w:right w:val="single" w:sz="4" w:space="0" w:color="auto"/>
            </w:tcBorders>
            <w:shd w:val="clear" w:color="000000" w:fill="FFFFFF"/>
            <w:noWrap/>
            <w:vAlign w:val="center"/>
            <w:hideMark/>
          </w:tcPr>
          <w:p w14:paraId="30C1F59C"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25%</w:t>
            </w:r>
          </w:p>
        </w:tc>
      </w:tr>
      <w:tr w:rsidR="00BA0D82" w:rsidRPr="0005691D" w14:paraId="6DF121AE" w14:textId="77777777" w:rsidTr="001A5653">
        <w:trPr>
          <w:trHeight w:val="300"/>
        </w:trPr>
        <w:tc>
          <w:tcPr>
            <w:tcW w:w="2506" w:type="dxa"/>
            <w:tcBorders>
              <w:top w:val="nil"/>
              <w:left w:val="single" w:sz="4" w:space="0" w:color="auto"/>
              <w:bottom w:val="single" w:sz="4" w:space="0" w:color="auto"/>
              <w:right w:val="single" w:sz="4" w:space="0" w:color="auto"/>
            </w:tcBorders>
            <w:shd w:val="clear" w:color="000000" w:fill="B4C6E7"/>
            <w:noWrap/>
            <w:vAlign w:val="center"/>
            <w:hideMark/>
          </w:tcPr>
          <w:p w14:paraId="1D719DDE" w14:textId="77777777" w:rsidR="00BA0D82" w:rsidRPr="0005691D" w:rsidRDefault="00BA0D82" w:rsidP="001A5653">
            <w:pPr>
              <w:spacing w:after="0" w:line="240" w:lineRule="auto"/>
              <w:jc w:val="right"/>
              <w:rPr>
                <w:rFonts w:ascii="Calibri" w:eastAsia="Times New Roman" w:hAnsi="Calibri" w:cs="Calibri"/>
                <w:b/>
                <w:bCs/>
                <w:color w:val="000000"/>
              </w:rPr>
            </w:pPr>
            <w:r w:rsidRPr="0005691D">
              <w:rPr>
                <w:rFonts w:ascii="Calibri" w:eastAsia="Times New Roman" w:hAnsi="Calibri" w:cs="Calibri"/>
                <w:b/>
                <w:bCs/>
                <w:color w:val="000000"/>
              </w:rPr>
              <w:t>Common Performance Measures</w:t>
            </w:r>
          </w:p>
        </w:tc>
        <w:tc>
          <w:tcPr>
            <w:tcW w:w="1165" w:type="dxa"/>
            <w:tcBorders>
              <w:top w:val="nil"/>
              <w:left w:val="nil"/>
              <w:bottom w:val="single" w:sz="4" w:space="0" w:color="auto"/>
              <w:right w:val="single" w:sz="4" w:space="0" w:color="auto"/>
            </w:tcBorders>
            <w:shd w:val="clear" w:color="000000" w:fill="D9E2F3"/>
            <w:noWrap/>
            <w:vAlign w:val="center"/>
            <w:hideMark/>
          </w:tcPr>
          <w:p w14:paraId="2AC20E03"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5</w:t>
            </w:r>
          </w:p>
        </w:tc>
        <w:tc>
          <w:tcPr>
            <w:tcW w:w="1254" w:type="dxa"/>
            <w:tcBorders>
              <w:top w:val="nil"/>
              <w:left w:val="nil"/>
              <w:bottom w:val="single" w:sz="4" w:space="0" w:color="auto"/>
              <w:right w:val="single" w:sz="4" w:space="0" w:color="auto"/>
            </w:tcBorders>
            <w:shd w:val="clear" w:color="000000" w:fill="D9E2F3"/>
            <w:noWrap/>
            <w:vAlign w:val="center"/>
            <w:hideMark/>
          </w:tcPr>
          <w:p w14:paraId="71A0640D"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55%</w:t>
            </w:r>
          </w:p>
        </w:tc>
        <w:tc>
          <w:tcPr>
            <w:tcW w:w="897" w:type="dxa"/>
            <w:tcBorders>
              <w:top w:val="nil"/>
              <w:left w:val="nil"/>
              <w:bottom w:val="single" w:sz="4" w:space="0" w:color="auto"/>
              <w:right w:val="single" w:sz="4" w:space="0" w:color="auto"/>
            </w:tcBorders>
            <w:shd w:val="clear" w:color="000000" w:fill="D9E2F3"/>
            <w:noWrap/>
            <w:vAlign w:val="center"/>
            <w:hideMark/>
          </w:tcPr>
          <w:p w14:paraId="312B3432"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5</w:t>
            </w:r>
          </w:p>
        </w:tc>
        <w:tc>
          <w:tcPr>
            <w:tcW w:w="897" w:type="dxa"/>
            <w:tcBorders>
              <w:top w:val="nil"/>
              <w:left w:val="nil"/>
              <w:bottom w:val="single" w:sz="4" w:space="0" w:color="auto"/>
              <w:right w:val="single" w:sz="4" w:space="0" w:color="auto"/>
            </w:tcBorders>
            <w:shd w:val="clear" w:color="000000" w:fill="D9E2F3"/>
            <w:noWrap/>
            <w:vAlign w:val="center"/>
            <w:hideMark/>
          </w:tcPr>
          <w:p w14:paraId="617E242D"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2</w:t>
            </w:r>
          </w:p>
        </w:tc>
        <w:tc>
          <w:tcPr>
            <w:tcW w:w="892" w:type="dxa"/>
            <w:tcBorders>
              <w:top w:val="nil"/>
              <w:left w:val="nil"/>
              <w:bottom w:val="single" w:sz="4" w:space="0" w:color="auto"/>
              <w:right w:val="single" w:sz="4" w:space="0" w:color="auto"/>
            </w:tcBorders>
            <w:shd w:val="clear" w:color="000000" w:fill="D9E2F3"/>
            <w:noWrap/>
            <w:vAlign w:val="center"/>
            <w:hideMark/>
          </w:tcPr>
          <w:p w14:paraId="3F3EAD29"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40%</w:t>
            </w:r>
          </w:p>
        </w:tc>
        <w:tc>
          <w:tcPr>
            <w:tcW w:w="1063" w:type="dxa"/>
            <w:tcBorders>
              <w:top w:val="nil"/>
              <w:left w:val="nil"/>
              <w:bottom w:val="single" w:sz="4" w:space="0" w:color="auto"/>
              <w:right w:val="single" w:sz="4" w:space="0" w:color="auto"/>
            </w:tcBorders>
            <w:shd w:val="clear" w:color="000000" w:fill="D9E2F3"/>
            <w:noWrap/>
            <w:vAlign w:val="center"/>
            <w:hideMark/>
          </w:tcPr>
          <w:p w14:paraId="6285DD6D"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3</w:t>
            </w:r>
          </w:p>
        </w:tc>
        <w:tc>
          <w:tcPr>
            <w:tcW w:w="1063" w:type="dxa"/>
            <w:tcBorders>
              <w:top w:val="nil"/>
              <w:left w:val="nil"/>
              <w:bottom w:val="single" w:sz="4" w:space="0" w:color="auto"/>
              <w:right w:val="single" w:sz="4" w:space="0" w:color="auto"/>
            </w:tcBorders>
            <w:shd w:val="clear" w:color="000000" w:fill="D9E2F3"/>
            <w:noWrap/>
            <w:vAlign w:val="center"/>
            <w:hideMark/>
          </w:tcPr>
          <w:p w14:paraId="448C8F24"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2</w:t>
            </w:r>
          </w:p>
        </w:tc>
        <w:tc>
          <w:tcPr>
            <w:tcW w:w="1063" w:type="dxa"/>
            <w:tcBorders>
              <w:top w:val="nil"/>
              <w:left w:val="nil"/>
              <w:bottom w:val="single" w:sz="4" w:space="0" w:color="auto"/>
              <w:right w:val="single" w:sz="4" w:space="0" w:color="auto"/>
            </w:tcBorders>
            <w:shd w:val="clear" w:color="000000" w:fill="D9E2F3"/>
            <w:noWrap/>
            <w:vAlign w:val="center"/>
            <w:hideMark/>
          </w:tcPr>
          <w:p w14:paraId="5F5C2B2C"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67%</w:t>
            </w:r>
          </w:p>
        </w:tc>
      </w:tr>
      <w:tr w:rsidR="00BA0D82" w:rsidRPr="0005691D" w14:paraId="7548B4D5" w14:textId="77777777" w:rsidTr="001A5653">
        <w:trPr>
          <w:trHeight w:val="300"/>
        </w:trPr>
        <w:tc>
          <w:tcPr>
            <w:tcW w:w="2506" w:type="dxa"/>
            <w:tcBorders>
              <w:top w:val="nil"/>
              <w:left w:val="single" w:sz="4" w:space="0" w:color="auto"/>
              <w:bottom w:val="single" w:sz="4" w:space="0" w:color="auto"/>
              <w:right w:val="single" w:sz="4" w:space="0" w:color="auto"/>
            </w:tcBorders>
            <w:shd w:val="clear" w:color="000000" w:fill="B4C6E7"/>
            <w:noWrap/>
            <w:vAlign w:val="center"/>
            <w:hideMark/>
          </w:tcPr>
          <w:p w14:paraId="56A6033A" w14:textId="77777777" w:rsidR="00BA0D82" w:rsidRPr="0005691D" w:rsidRDefault="00BA0D82" w:rsidP="001A5653">
            <w:pPr>
              <w:spacing w:after="0" w:line="240" w:lineRule="auto"/>
              <w:jc w:val="right"/>
              <w:rPr>
                <w:rFonts w:ascii="Calibri" w:eastAsia="Times New Roman" w:hAnsi="Calibri" w:cs="Calibri"/>
                <w:b/>
                <w:bCs/>
                <w:color w:val="000000"/>
              </w:rPr>
            </w:pPr>
            <w:r w:rsidRPr="0005691D">
              <w:rPr>
                <w:rFonts w:ascii="Calibri" w:eastAsia="Times New Roman" w:hAnsi="Calibri" w:cs="Calibri"/>
                <w:b/>
                <w:bCs/>
                <w:color w:val="000000"/>
              </w:rPr>
              <w:t>Peer Mentoring</w:t>
            </w:r>
          </w:p>
        </w:tc>
        <w:tc>
          <w:tcPr>
            <w:tcW w:w="1165" w:type="dxa"/>
            <w:tcBorders>
              <w:top w:val="nil"/>
              <w:left w:val="nil"/>
              <w:bottom w:val="single" w:sz="4" w:space="0" w:color="auto"/>
              <w:right w:val="single" w:sz="4" w:space="0" w:color="auto"/>
            </w:tcBorders>
            <w:shd w:val="clear" w:color="000000" w:fill="FFFFFF"/>
            <w:noWrap/>
            <w:vAlign w:val="center"/>
            <w:hideMark/>
          </w:tcPr>
          <w:p w14:paraId="39D69B04"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2</w:t>
            </w:r>
          </w:p>
        </w:tc>
        <w:tc>
          <w:tcPr>
            <w:tcW w:w="1254" w:type="dxa"/>
            <w:tcBorders>
              <w:top w:val="nil"/>
              <w:left w:val="nil"/>
              <w:bottom w:val="single" w:sz="4" w:space="0" w:color="auto"/>
              <w:right w:val="single" w:sz="4" w:space="0" w:color="auto"/>
            </w:tcBorders>
            <w:shd w:val="clear" w:color="000000" w:fill="FFFFFF"/>
            <w:noWrap/>
            <w:vAlign w:val="center"/>
            <w:hideMark/>
          </w:tcPr>
          <w:p w14:paraId="7905C536"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100%</w:t>
            </w:r>
          </w:p>
        </w:tc>
        <w:tc>
          <w:tcPr>
            <w:tcW w:w="897" w:type="dxa"/>
            <w:tcBorders>
              <w:top w:val="nil"/>
              <w:left w:val="nil"/>
              <w:bottom w:val="single" w:sz="4" w:space="0" w:color="auto"/>
              <w:right w:val="single" w:sz="4" w:space="0" w:color="auto"/>
            </w:tcBorders>
            <w:shd w:val="clear" w:color="000000" w:fill="FFFFFF"/>
            <w:noWrap/>
            <w:vAlign w:val="center"/>
            <w:hideMark/>
          </w:tcPr>
          <w:p w14:paraId="6D6BA3DF"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2</w:t>
            </w:r>
          </w:p>
        </w:tc>
        <w:tc>
          <w:tcPr>
            <w:tcW w:w="897" w:type="dxa"/>
            <w:tcBorders>
              <w:top w:val="nil"/>
              <w:left w:val="nil"/>
              <w:bottom w:val="single" w:sz="4" w:space="0" w:color="auto"/>
              <w:right w:val="single" w:sz="4" w:space="0" w:color="auto"/>
            </w:tcBorders>
            <w:shd w:val="clear" w:color="000000" w:fill="FFFFFF"/>
            <w:noWrap/>
            <w:vAlign w:val="center"/>
            <w:hideMark/>
          </w:tcPr>
          <w:p w14:paraId="557A9A92"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0</w:t>
            </w:r>
          </w:p>
        </w:tc>
        <w:tc>
          <w:tcPr>
            <w:tcW w:w="892" w:type="dxa"/>
            <w:tcBorders>
              <w:top w:val="nil"/>
              <w:left w:val="nil"/>
              <w:bottom w:val="single" w:sz="4" w:space="0" w:color="auto"/>
              <w:right w:val="single" w:sz="4" w:space="0" w:color="auto"/>
            </w:tcBorders>
            <w:shd w:val="clear" w:color="000000" w:fill="FFFFFF"/>
            <w:noWrap/>
            <w:vAlign w:val="center"/>
            <w:hideMark/>
          </w:tcPr>
          <w:p w14:paraId="5B88B6EB"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0%</w:t>
            </w:r>
          </w:p>
        </w:tc>
        <w:tc>
          <w:tcPr>
            <w:tcW w:w="1063" w:type="dxa"/>
            <w:tcBorders>
              <w:top w:val="nil"/>
              <w:left w:val="nil"/>
              <w:bottom w:val="single" w:sz="4" w:space="0" w:color="auto"/>
              <w:right w:val="single" w:sz="4" w:space="0" w:color="auto"/>
            </w:tcBorders>
            <w:shd w:val="clear" w:color="000000" w:fill="FFFFFF"/>
            <w:noWrap/>
            <w:vAlign w:val="center"/>
            <w:hideMark/>
          </w:tcPr>
          <w:p w14:paraId="26DE3415"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w:t>
            </w:r>
          </w:p>
        </w:tc>
        <w:tc>
          <w:tcPr>
            <w:tcW w:w="1063" w:type="dxa"/>
            <w:tcBorders>
              <w:top w:val="nil"/>
              <w:left w:val="nil"/>
              <w:bottom w:val="single" w:sz="4" w:space="0" w:color="auto"/>
              <w:right w:val="single" w:sz="4" w:space="0" w:color="auto"/>
            </w:tcBorders>
            <w:shd w:val="clear" w:color="000000" w:fill="FFFFFF"/>
            <w:noWrap/>
            <w:vAlign w:val="center"/>
            <w:hideMark/>
          </w:tcPr>
          <w:p w14:paraId="3580D3E2"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w:t>
            </w:r>
          </w:p>
        </w:tc>
        <w:tc>
          <w:tcPr>
            <w:tcW w:w="1063" w:type="dxa"/>
            <w:tcBorders>
              <w:top w:val="nil"/>
              <w:left w:val="nil"/>
              <w:bottom w:val="single" w:sz="4" w:space="0" w:color="auto"/>
              <w:right w:val="single" w:sz="4" w:space="0" w:color="auto"/>
            </w:tcBorders>
            <w:shd w:val="clear" w:color="000000" w:fill="FFFFFF"/>
            <w:noWrap/>
            <w:vAlign w:val="center"/>
            <w:hideMark/>
          </w:tcPr>
          <w:p w14:paraId="2A4D5F2B"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100%</w:t>
            </w:r>
          </w:p>
        </w:tc>
      </w:tr>
      <w:tr w:rsidR="00BA0D82" w:rsidRPr="0005691D" w14:paraId="1961BC81" w14:textId="77777777" w:rsidTr="001A5653">
        <w:trPr>
          <w:trHeight w:val="300"/>
        </w:trPr>
        <w:tc>
          <w:tcPr>
            <w:tcW w:w="2506" w:type="dxa"/>
            <w:tcBorders>
              <w:top w:val="nil"/>
              <w:left w:val="single" w:sz="4" w:space="0" w:color="auto"/>
              <w:bottom w:val="single" w:sz="4" w:space="0" w:color="auto"/>
              <w:right w:val="single" w:sz="4" w:space="0" w:color="auto"/>
            </w:tcBorders>
            <w:shd w:val="clear" w:color="000000" w:fill="B4C6E7"/>
            <w:noWrap/>
            <w:vAlign w:val="center"/>
            <w:hideMark/>
          </w:tcPr>
          <w:p w14:paraId="014E42C6" w14:textId="77777777" w:rsidR="00BA0D82" w:rsidRPr="0005691D" w:rsidRDefault="00BA0D82" w:rsidP="001A5653">
            <w:pPr>
              <w:spacing w:after="0" w:line="240" w:lineRule="auto"/>
              <w:jc w:val="right"/>
              <w:rPr>
                <w:rFonts w:ascii="Calibri" w:eastAsia="Times New Roman" w:hAnsi="Calibri" w:cs="Calibri"/>
                <w:b/>
                <w:bCs/>
                <w:color w:val="000000"/>
              </w:rPr>
            </w:pPr>
            <w:r w:rsidRPr="0005691D">
              <w:rPr>
                <w:rFonts w:ascii="Calibri" w:eastAsia="Times New Roman" w:hAnsi="Calibri" w:cs="Calibri"/>
                <w:b/>
                <w:bCs/>
                <w:color w:val="000000"/>
              </w:rPr>
              <w:t>Business Engagement</w:t>
            </w:r>
          </w:p>
        </w:tc>
        <w:tc>
          <w:tcPr>
            <w:tcW w:w="1165" w:type="dxa"/>
            <w:tcBorders>
              <w:top w:val="nil"/>
              <w:left w:val="nil"/>
              <w:bottom w:val="single" w:sz="4" w:space="0" w:color="auto"/>
              <w:right w:val="single" w:sz="4" w:space="0" w:color="auto"/>
            </w:tcBorders>
            <w:shd w:val="clear" w:color="000000" w:fill="D9E2F3"/>
            <w:noWrap/>
            <w:vAlign w:val="center"/>
            <w:hideMark/>
          </w:tcPr>
          <w:p w14:paraId="32644EEB"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w:t>
            </w:r>
          </w:p>
        </w:tc>
        <w:tc>
          <w:tcPr>
            <w:tcW w:w="1254" w:type="dxa"/>
            <w:tcBorders>
              <w:top w:val="nil"/>
              <w:left w:val="nil"/>
              <w:bottom w:val="single" w:sz="4" w:space="0" w:color="auto"/>
              <w:right w:val="single" w:sz="4" w:space="0" w:color="auto"/>
            </w:tcBorders>
            <w:shd w:val="clear" w:color="000000" w:fill="D9E2F3"/>
            <w:noWrap/>
            <w:vAlign w:val="center"/>
            <w:hideMark/>
          </w:tcPr>
          <w:p w14:paraId="4D344E8F"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25%</w:t>
            </w:r>
          </w:p>
        </w:tc>
        <w:tc>
          <w:tcPr>
            <w:tcW w:w="897" w:type="dxa"/>
            <w:tcBorders>
              <w:top w:val="nil"/>
              <w:left w:val="nil"/>
              <w:bottom w:val="single" w:sz="4" w:space="0" w:color="auto"/>
              <w:right w:val="single" w:sz="4" w:space="0" w:color="auto"/>
            </w:tcBorders>
            <w:shd w:val="clear" w:color="000000" w:fill="D9E2F3"/>
            <w:noWrap/>
            <w:vAlign w:val="center"/>
            <w:hideMark/>
          </w:tcPr>
          <w:p w14:paraId="6AB6AA56"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w:t>
            </w:r>
          </w:p>
        </w:tc>
        <w:tc>
          <w:tcPr>
            <w:tcW w:w="897" w:type="dxa"/>
            <w:tcBorders>
              <w:top w:val="nil"/>
              <w:left w:val="nil"/>
              <w:bottom w:val="single" w:sz="4" w:space="0" w:color="auto"/>
              <w:right w:val="single" w:sz="4" w:space="0" w:color="auto"/>
            </w:tcBorders>
            <w:shd w:val="clear" w:color="000000" w:fill="D9E2F3"/>
            <w:noWrap/>
            <w:vAlign w:val="center"/>
            <w:hideMark/>
          </w:tcPr>
          <w:p w14:paraId="7CB19A6D"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0</w:t>
            </w:r>
          </w:p>
        </w:tc>
        <w:tc>
          <w:tcPr>
            <w:tcW w:w="892" w:type="dxa"/>
            <w:tcBorders>
              <w:top w:val="nil"/>
              <w:left w:val="nil"/>
              <w:bottom w:val="single" w:sz="4" w:space="0" w:color="auto"/>
              <w:right w:val="single" w:sz="4" w:space="0" w:color="auto"/>
            </w:tcBorders>
            <w:shd w:val="clear" w:color="000000" w:fill="D9E2F3"/>
            <w:noWrap/>
            <w:vAlign w:val="center"/>
            <w:hideMark/>
          </w:tcPr>
          <w:p w14:paraId="447E4B19"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0%</w:t>
            </w:r>
          </w:p>
        </w:tc>
        <w:tc>
          <w:tcPr>
            <w:tcW w:w="1063" w:type="dxa"/>
            <w:tcBorders>
              <w:top w:val="nil"/>
              <w:left w:val="nil"/>
              <w:bottom w:val="single" w:sz="4" w:space="0" w:color="auto"/>
              <w:right w:val="single" w:sz="4" w:space="0" w:color="auto"/>
            </w:tcBorders>
            <w:shd w:val="clear" w:color="000000" w:fill="D9E2F3"/>
            <w:noWrap/>
            <w:vAlign w:val="center"/>
            <w:hideMark/>
          </w:tcPr>
          <w:p w14:paraId="3C13CF88"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w:t>
            </w:r>
          </w:p>
        </w:tc>
        <w:tc>
          <w:tcPr>
            <w:tcW w:w="1063" w:type="dxa"/>
            <w:tcBorders>
              <w:top w:val="nil"/>
              <w:left w:val="nil"/>
              <w:bottom w:val="single" w:sz="4" w:space="0" w:color="auto"/>
              <w:right w:val="single" w:sz="4" w:space="0" w:color="auto"/>
            </w:tcBorders>
            <w:shd w:val="clear" w:color="000000" w:fill="D9E2F3"/>
            <w:noWrap/>
            <w:vAlign w:val="center"/>
            <w:hideMark/>
          </w:tcPr>
          <w:p w14:paraId="5F0D58E4"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0</w:t>
            </w:r>
          </w:p>
        </w:tc>
        <w:tc>
          <w:tcPr>
            <w:tcW w:w="1063" w:type="dxa"/>
            <w:tcBorders>
              <w:top w:val="nil"/>
              <w:left w:val="nil"/>
              <w:bottom w:val="single" w:sz="4" w:space="0" w:color="auto"/>
              <w:right w:val="single" w:sz="4" w:space="0" w:color="auto"/>
            </w:tcBorders>
            <w:shd w:val="clear" w:color="000000" w:fill="D9E2F3"/>
            <w:noWrap/>
            <w:vAlign w:val="center"/>
            <w:hideMark/>
          </w:tcPr>
          <w:p w14:paraId="1E17FD6B"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0%</w:t>
            </w:r>
          </w:p>
        </w:tc>
      </w:tr>
      <w:tr w:rsidR="00BA0D82" w:rsidRPr="0005691D" w14:paraId="190EA6B9" w14:textId="77777777" w:rsidTr="001A5653">
        <w:trPr>
          <w:trHeight w:val="300"/>
        </w:trPr>
        <w:tc>
          <w:tcPr>
            <w:tcW w:w="2506" w:type="dxa"/>
            <w:tcBorders>
              <w:top w:val="nil"/>
              <w:left w:val="single" w:sz="4" w:space="0" w:color="auto"/>
              <w:bottom w:val="single" w:sz="4" w:space="0" w:color="auto"/>
              <w:right w:val="single" w:sz="4" w:space="0" w:color="auto"/>
            </w:tcBorders>
            <w:shd w:val="clear" w:color="000000" w:fill="B4C6E7"/>
            <w:noWrap/>
            <w:vAlign w:val="center"/>
            <w:hideMark/>
          </w:tcPr>
          <w:p w14:paraId="5589510B" w14:textId="77777777" w:rsidR="00BA0D82" w:rsidRPr="0005691D" w:rsidRDefault="00BA0D82" w:rsidP="001A5653">
            <w:pPr>
              <w:spacing w:after="0" w:line="240" w:lineRule="auto"/>
              <w:jc w:val="right"/>
              <w:rPr>
                <w:rFonts w:ascii="Calibri" w:eastAsia="Times New Roman" w:hAnsi="Calibri" w:cs="Calibri"/>
                <w:b/>
                <w:bCs/>
                <w:color w:val="000000"/>
              </w:rPr>
            </w:pPr>
            <w:r w:rsidRPr="0005691D">
              <w:rPr>
                <w:rFonts w:ascii="Calibri" w:eastAsia="Times New Roman" w:hAnsi="Calibri" w:cs="Calibri"/>
                <w:b/>
                <w:bCs/>
                <w:color w:val="000000"/>
              </w:rPr>
              <w:t>The Career Index Plus (TCI+) and LMI</w:t>
            </w:r>
          </w:p>
        </w:tc>
        <w:tc>
          <w:tcPr>
            <w:tcW w:w="1165" w:type="dxa"/>
            <w:tcBorders>
              <w:top w:val="nil"/>
              <w:left w:val="nil"/>
              <w:bottom w:val="single" w:sz="4" w:space="0" w:color="auto"/>
              <w:right w:val="single" w:sz="4" w:space="0" w:color="auto"/>
            </w:tcBorders>
            <w:shd w:val="clear" w:color="000000" w:fill="FFFFFF"/>
            <w:noWrap/>
            <w:vAlign w:val="center"/>
            <w:hideMark/>
          </w:tcPr>
          <w:p w14:paraId="0FF6E4F9"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4</w:t>
            </w:r>
          </w:p>
        </w:tc>
        <w:tc>
          <w:tcPr>
            <w:tcW w:w="1254" w:type="dxa"/>
            <w:tcBorders>
              <w:top w:val="nil"/>
              <w:left w:val="nil"/>
              <w:bottom w:val="single" w:sz="4" w:space="0" w:color="auto"/>
              <w:right w:val="single" w:sz="4" w:space="0" w:color="auto"/>
            </w:tcBorders>
            <w:shd w:val="clear" w:color="000000" w:fill="FFFFFF"/>
            <w:noWrap/>
            <w:vAlign w:val="center"/>
            <w:hideMark/>
          </w:tcPr>
          <w:p w14:paraId="0DBACCFF"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98%</w:t>
            </w:r>
          </w:p>
        </w:tc>
        <w:tc>
          <w:tcPr>
            <w:tcW w:w="897" w:type="dxa"/>
            <w:tcBorders>
              <w:top w:val="nil"/>
              <w:left w:val="nil"/>
              <w:bottom w:val="single" w:sz="4" w:space="0" w:color="auto"/>
              <w:right w:val="single" w:sz="4" w:space="0" w:color="auto"/>
            </w:tcBorders>
            <w:shd w:val="clear" w:color="000000" w:fill="FFFFFF"/>
            <w:noWrap/>
            <w:vAlign w:val="center"/>
            <w:hideMark/>
          </w:tcPr>
          <w:p w14:paraId="52571060"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4</w:t>
            </w:r>
          </w:p>
        </w:tc>
        <w:tc>
          <w:tcPr>
            <w:tcW w:w="897" w:type="dxa"/>
            <w:tcBorders>
              <w:top w:val="nil"/>
              <w:left w:val="nil"/>
              <w:bottom w:val="single" w:sz="4" w:space="0" w:color="auto"/>
              <w:right w:val="single" w:sz="4" w:space="0" w:color="auto"/>
            </w:tcBorders>
            <w:shd w:val="clear" w:color="000000" w:fill="FFFFFF"/>
            <w:noWrap/>
            <w:vAlign w:val="center"/>
            <w:hideMark/>
          </w:tcPr>
          <w:p w14:paraId="711C267D"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3</w:t>
            </w:r>
          </w:p>
        </w:tc>
        <w:tc>
          <w:tcPr>
            <w:tcW w:w="892" w:type="dxa"/>
            <w:tcBorders>
              <w:top w:val="nil"/>
              <w:left w:val="nil"/>
              <w:bottom w:val="single" w:sz="4" w:space="0" w:color="auto"/>
              <w:right w:val="single" w:sz="4" w:space="0" w:color="auto"/>
            </w:tcBorders>
            <w:shd w:val="clear" w:color="000000" w:fill="FFFFFF"/>
            <w:noWrap/>
            <w:vAlign w:val="center"/>
            <w:hideMark/>
          </w:tcPr>
          <w:p w14:paraId="5FFD6DAA"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75%</w:t>
            </w:r>
          </w:p>
        </w:tc>
        <w:tc>
          <w:tcPr>
            <w:tcW w:w="1063" w:type="dxa"/>
            <w:tcBorders>
              <w:top w:val="nil"/>
              <w:left w:val="nil"/>
              <w:bottom w:val="single" w:sz="4" w:space="0" w:color="auto"/>
              <w:right w:val="single" w:sz="4" w:space="0" w:color="auto"/>
            </w:tcBorders>
            <w:shd w:val="clear" w:color="000000" w:fill="FFFFFF"/>
            <w:noWrap/>
            <w:vAlign w:val="center"/>
            <w:hideMark/>
          </w:tcPr>
          <w:p w14:paraId="1864EE19"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w:t>
            </w:r>
          </w:p>
        </w:tc>
        <w:tc>
          <w:tcPr>
            <w:tcW w:w="1063" w:type="dxa"/>
            <w:tcBorders>
              <w:top w:val="nil"/>
              <w:left w:val="nil"/>
              <w:bottom w:val="single" w:sz="4" w:space="0" w:color="auto"/>
              <w:right w:val="single" w:sz="4" w:space="0" w:color="auto"/>
            </w:tcBorders>
            <w:shd w:val="clear" w:color="000000" w:fill="FFFFFF"/>
            <w:noWrap/>
            <w:vAlign w:val="center"/>
            <w:hideMark/>
          </w:tcPr>
          <w:p w14:paraId="730EF8AA"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w:t>
            </w:r>
          </w:p>
        </w:tc>
        <w:tc>
          <w:tcPr>
            <w:tcW w:w="1063" w:type="dxa"/>
            <w:tcBorders>
              <w:top w:val="nil"/>
              <w:left w:val="nil"/>
              <w:bottom w:val="single" w:sz="4" w:space="0" w:color="auto"/>
              <w:right w:val="single" w:sz="4" w:space="0" w:color="auto"/>
            </w:tcBorders>
            <w:shd w:val="clear" w:color="000000" w:fill="FFFFFF"/>
            <w:noWrap/>
            <w:vAlign w:val="center"/>
            <w:hideMark/>
          </w:tcPr>
          <w:p w14:paraId="20668BD1"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100%</w:t>
            </w:r>
          </w:p>
        </w:tc>
      </w:tr>
      <w:tr w:rsidR="00BA0D82" w:rsidRPr="0005691D" w14:paraId="27D76EAE" w14:textId="77777777" w:rsidTr="001A5653">
        <w:trPr>
          <w:trHeight w:val="300"/>
        </w:trPr>
        <w:tc>
          <w:tcPr>
            <w:tcW w:w="2506" w:type="dxa"/>
            <w:tcBorders>
              <w:top w:val="nil"/>
              <w:left w:val="nil"/>
              <w:bottom w:val="nil"/>
              <w:right w:val="nil"/>
            </w:tcBorders>
            <w:shd w:val="clear" w:color="auto" w:fill="auto"/>
            <w:noWrap/>
            <w:vAlign w:val="bottom"/>
            <w:hideMark/>
          </w:tcPr>
          <w:p w14:paraId="621EB9DB" w14:textId="77777777" w:rsidR="00BA0D82" w:rsidRPr="0005691D" w:rsidRDefault="00BA0D82" w:rsidP="001A5653">
            <w:pPr>
              <w:spacing w:after="0" w:line="240" w:lineRule="auto"/>
              <w:jc w:val="center"/>
              <w:rPr>
                <w:rFonts w:ascii="Calibri" w:eastAsia="Times New Roman" w:hAnsi="Calibri" w:cs="Calibri"/>
                <w:color w:val="000000"/>
              </w:rPr>
            </w:pPr>
          </w:p>
        </w:tc>
        <w:tc>
          <w:tcPr>
            <w:tcW w:w="1165" w:type="dxa"/>
            <w:tcBorders>
              <w:top w:val="nil"/>
              <w:left w:val="nil"/>
              <w:bottom w:val="nil"/>
              <w:right w:val="nil"/>
            </w:tcBorders>
            <w:shd w:val="clear" w:color="auto" w:fill="auto"/>
            <w:noWrap/>
            <w:vAlign w:val="center"/>
            <w:hideMark/>
          </w:tcPr>
          <w:p w14:paraId="4FCCFEAB" w14:textId="77777777" w:rsidR="00BA0D82" w:rsidRPr="0005691D" w:rsidRDefault="00BA0D82" w:rsidP="001A5653">
            <w:pPr>
              <w:spacing w:after="0" w:line="240" w:lineRule="auto"/>
              <w:rPr>
                <w:rFonts w:ascii="Times New Roman" w:eastAsia="Times New Roman" w:hAnsi="Times New Roman" w:cs="Times New Roman"/>
                <w:sz w:val="20"/>
                <w:szCs w:val="20"/>
              </w:rPr>
            </w:pPr>
          </w:p>
        </w:tc>
        <w:tc>
          <w:tcPr>
            <w:tcW w:w="1254" w:type="dxa"/>
            <w:tcBorders>
              <w:top w:val="nil"/>
              <w:left w:val="nil"/>
              <w:bottom w:val="nil"/>
              <w:right w:val="nil"/>
            </w:tcBorders>
            <w:shd w:val="clear" w:color="auto" w:fill="auto"/>
            <w:noWrap/>
            <w:vAlign w:val="center"/>
            <w:hideMark/>
          </w:tcPr>
          <w:p w14:paraId="0652C67C"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c>
          <w:tcPr>
            <w:tcW w:w="897" w:type="dxa"/>
            <w:tcBorders>
              <w:top w:val="nil"/>
              <w:left w:val="nil"/>
              <w:bottom w:val="nil"/>
              <w:right w:val="nil"/>
            </w:tcBorders>
            <w:shd w:val="clear" w:color="auto" w:fill="auto"/>
            <w:noWrap/>
            <w:vAlign w:val="center"/>
            <w:hideMark/>
          </w:tcPr>
          <w:p w14:paraId="309526CA"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c>
          <w:tcPr>
            <w:tcW w:w="897" w:type="dxa"/>
            <w:tcBorders>
              <w:top w:val="nil"/>
              <w:left w:val="nil"/>
              <w:bottom w:val="nil"/>
              <w:right w:val="nil"/>
            </w:tcBorders>
            <w:shd w:val="clear" w:color="auto" w:fill="auto"/>
            <w:noWrap/>
            <w:vAlign w:val="center"/>
            <w:hideMark/>
          </w:tcPr>
          <w:p w14:paraId="64FDDF82"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c>
          <w:tcPr>
            <w:tcW w:w="892" w:type="dxa"/>
            <w:tcBorders>
              <w:top w:val="nil"/>
              <w:left w:val="nil"/>
              <w:bottom w:val="nil"/>
              <w:right w:val="nil"/>
            </w:tcBorders>
            <w:shd w:val="clear" w:color="auto" w:fill="auto"/>
            <w:noWrap/>
            <w:vAlign w:val="center"/>
            <w:hideMark/>
          </w:tcPr>
          <w:p w14:paraId="7A746D0B"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c>
          <w:tcPr>
            <w:tcW w:w="1063" w:type="dxa"/>
            <w:tcBorders>
              <w:top w:val="nil"/>
              <w:left w:val="nil"/>
              <w:bottom w:val="nil"/>
              <w:right w:val="nil"/>
            </w:tcBorders>
            <w:shd w:val="clear" w:color="auto" w:fill="auto"/>
            <w:noWrap/>
            <w:vAlign w:val="center"/>
            <w:hideMark/>
          </w:tcPr>
          <w:p w14:paraId="5F8831A3"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c>
          <w:tcPr>
            <w:tcW w:w="1063" w:type="dxa"/>
            <w:tcBorders>
              <w:top w:val="nil"/>
              <w:left w:val="nil"/>
              <w:bottom w:val="nil"/>
              <w:right w:val="nil"/>
            </w:tcBorders>
            <w:shd w:val="clear" w:color="auto" w:fill="auto"/>
            <w:noWrap/>
            <w:vAlign w:val="center"/>
            <w:hideMark/>
          </w:tcPr>
          <w:p w14:paraId="06E510C3"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c>
          <w:tcPr>
            <w:tcW w:w="1063" w:type="dxa"/>
            <w:tcBorders>
              <w:top w:val="nil"/>
              <w:left w:val="nil"/>
              <w:bottom w:val="nil"/>
              <w:right w:val="nil"/>
            </w:tcBorders>
            <w:shd w:val="clear" w:color="auto" w:fill="auto"/>
            <w:noWrap/>
            <w:vAlign w:val="center"/>
            <w:hideMark/>
          </w:tcPr>
          <w:p w14:paraId="1CC0B473"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r>
      <w:tr w:rsidR="00BA0D82" w:rsidRPr="0005691D" w14:paraId="21864BE5" w14:textId="77777777" w:rsidTr="001A5653">
        <w:trPr>
          <w:trHeight w:val="465"/>
        </w:trPr>
        <w:tc>
          <w:tcPr>
            <w:tcW w:w="10800" w:type="dxa"/>
            <w:gridSpan w:val="9"/>
            <w:tcBorders>
              <w:top w:val="single" w:sz="4" w:space="0" w:color="auto"/>
              <w:left w:val="nil"/>
              <w:bottom w:val="single" w:sz="4" w:space="0" w:color="auto"/>
              <w:right w:val="nil"/>
            </w:tcBorders>
            <w:shd w:val="clear" w:color="auto" w:fill="auto"/>
            <w:noWrap/>
            <w:vAlign w:val="bottom"/>
            <w:hideMark/>
          </w:tcPr>
          <w:p w14:paraId="0EBDC6F5" w14:textId="77777777" w:rsidR="00BA0D82" w:rsidRPr="0005691D" w:rsidRDefault="00BA0D82" w:rsidP="00BA0D82">
            <w:pPr>
              <w:pStyle w:val="Heading2"/>
              <w:numPr>
                <w:ilvl w:val="0"/>
                <w:numId w:val="0"/>
              </w:numPr>
              <w:rPr>
                <w:rFonts w:eastAsia="Times New Roman"/>
              </w:rPr>
            </w:pPr>
            <w:bookmarkStart w:id="247" w:name="_Toc27143213"/>
            <w:bookmarkStart w:id="248" w:name="_Toc28011512"/>
            <w:r w:rsidRPr="0005691D">
              <w:rPr>
                <w:rFonts w:eastAsia="Times New Roman"/>
              </w:rPr>
              <w:t>Montana Combined</w:t>
            </w:r>
            <w:bookmarkEnd w:id="247"/>
            <w:bookmarkEnd w:id="248"/>
          </w:p>
        </w:tc>
      </w:tr>
      <w:tr w:rsidR="00BA0D82" w:rsidRPr="0005691D" w14:paraId="2E0ED091" w14:textId="77777777" w:rsidTr="001A5653">
        <w:trPr>
          <w:trHeight w:val="1305"/>
        </w:trPr>
        <w:tc>
          <w:tcPr>
            <w:tcW w:w="2506" w:type="dxa"/>
            <w:tcBorders>
              <w:top w:val="nil"/>
              <w:left w:val="single" w:sz="4" w:space="0" w:color="auto"/>
              <w:bottom w:val="single" w:sz="4" w:space="0" w:color="auto"/>
              <w:right w:val="single" w:sz="4" w:space="0" w:color="auto"/>
            </w:tcBorders>
            <w:shd w:val="clear" w:color="000000" w:fill="B4C6E7"/>
            <w:vAlign w:val="bottom"/>
            <w:hideMark/>
          </w:tcPr>
          <w:p w14:paraId="381A4E15" w14:textId="77777777" w:rsidR="00BA0D82" w:rsidRPr="0005691D" w:rsidRDefault="00BA0D82" w:rsidP="001A5653">
            <w:pPr>
              <w:spacing w:after="0" w:line="240" w:lineRule="auto"/>
              <w:jc w:val="right"/>
              <w:rPr>
                <w:rFonts w:ascii="Calibri" w:eastAsia="Times New Roman" w:hAnsi="Calibri" w:cs="Calibri"/>
                <w:b/>
                <w:bCs/>
                <w:color w:val="000000"/>
                <w:szCs w:val="28"/>
              </w:rPr>
            </w:pPr>
            <w:r w:rsidRPr="0005691D">
              <w:rPr>
                <w:rFonts w:ascii="Calibri" w:eastAsia="Times New Roman" w:hAnsi="Calibri" w:cs="Calibri"/>
                <w:b/>
                <w:bCs/>
                <w:color w:val="000000"/>
                <w:szCs w:val="28"/>
              </w:rPr>
              <w:t>Area</w:t>
            </w:r>
          </w:p>
        </w:tc>
        <w:tc>
          <w:tcPr>
            <w:tcW w:w="1165" w:type="dxa"/>
            <w:tcBorders>
              <w:top w:val="nil"/>
              <w:left w:val="nil"/>
              <w:bottom w:val="single" w:sz="4" w:space="0" w:color="auto"/>
              <w:right w:val="single" w:sz="4" w:space="0" w:color="auto"/>
            </w:tcBorders>
            <w:shd w:val="clear" w:color="000000" w:fill="B4C6E7"/>
            <w:vAlign w:val="bottom"/>
            <w:hideMark/>
          </w:tcPr>
          <w:p w14:paraId="643256D1"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of Total Activities</w:t>
            </w:r>
          </w:p>
        </w:tc>
        <w:tc>
          <w:tcPr>
            <w:tcW w:w="1254" w:type="dxa"/>
            <w:tcBorders>
              <w:top w:val="nil"/>
              <w:left w:val="nil"/>
              <w:bottom w:val="single" w:sz="4" w:space="0" w:color="auto"/>
              <w:right w:val="single" w:sz="4" w:space="0" w:color="auto"/>
            </w:tcBorders>
            <w:shd w:val="clear" w:color="000000" w:fill="B4C6E7"/>
            <w:vAlign w:val="bottom"/>
            <w:hideMark/>
          </w:tcPr>
          <w:p w14:paraId="7A396BEF"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Average Progress on Activities (%)</w:t>
            </w:r>
          </w:p>
        </w:tc>
        <w:tc>
          <w:tcPr>
            <w:tcW w:w="897" w:type="dxa"/>
            <w:tcBorders>
              <w:top w:val="nil"/>
              <w:left w:val="nil"/>
              <w:bottom w:val="single" w:sz="4" w:space="0" w:color="auto"/>
              <w:right w:val="single" w:sz="4" w:space="0" w:color="auto"/>
            </w:tcBorders>
            <w:shd w:val="clear" w:color="000000" w:fill="B4C6E7"/>
            <w:vAlign w:val="bottom"/>
            <w:hideMark/>
          </w:tcPr>
          <w:p w14:paraId="07EEB221"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Outputs</w:t>
            </w:r>
          </w:p>
        </w:tc>
        <w:tc>
          <w:tcPr>
            <w:tcW w:w="897" w:type="dxa"/>
            <w:tcBorders>
              <w:top w:val="nil"/>
              <w:left w:val="nil"/>
              <w:bottom w:val="single" w:sz="4" w:space="0" w:color="auto"/>
              <w:right w:val="single" w:sz="4" w:space="0" w:color="auto"/>
            </w:tcBorders>
            <w:shd w:val="clear" w:color="000000" w:fill="B4C6E7"/>
            <w:vAlign w:val="bottom"/>
            <w:hideMark/>
          </w:tcPr>
          <w:p w14:paraId="6B344AAB"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Outputs Met</w:t>
            </w:r>
          </w:p>
        </w:tc>
        <w:tc>
          <w:tcPr>
            <w:tcW w:w="892" w:type="dxa"/>
            <w:tcBorders>
              <w:top w:val="nil"/>
              <w:left w:val="nil"/>
              <w:bottom w:val="single" w:sz="4" w:space="0" w:color="auto"/>
              <w:right w:val="single" w:sz="4" w:space="0" w:color="auto"/>
            </w:tcBorders>
            <w:shd w:val="clear" w:color="000000" w:fill="B4C6E7"/>
            <w:vAlign w:val="bottom"/>
            <w:hideMark/>
          </w:tcPr>
          <w:p w14:paraId="5021622E"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Outputs Met</w:t>
            </w:r>
          </w:p>
        </w:tc>
        <w:tc>
          <w:tcPr>
            <w:tcW w:w="1063" w:type="dxa"/>
            <w:tcBorders>
              <w:top w:val="nil"/>
              <w:left w:val="nil"/>
              <w:bottom w:val="single" w:sz="4" w:space="0" w:color="auto"/>
              <w:right w:val="single" w:sz="4" w:space="0" w:color="auto"/>
            </w:tcBorders>
            <w:shd w:val="clear" w:color="000000" w:fill="B4C6E7"/>
            <w:vAlign w:val="bottom"/>
            <w:hideMark/>
          </w:tcPr>
          <w:p w14:paraId="2BC05375"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Short-Term Outcomes</w:t>
            </w:r>
          </w:p>
        </w:tc>
        <w:tc>
          <w:tcPr>
            <w:tcW w:w="1063" w:type="dxa"/>
            <w:tcBorders>
              <w:top w:val="nil"/>
              <w:left w:val="nil"/>
              <w:bottom w:val="single" w:sz="4" w:space="0" w:color="auto"/>
              <w:right w:val="single" w:sz="4" w:space="0" w:color="auto"/>
            </w:tcBorders>
            <w:shd w:val="clear" w:color="000000" w:fill="B4C6E7"/>
            <w:vAlign w:val="bottom"/>
            <w:hideMark/>
          </w:tcPr>
          <w:p w14:paraId="0C4E73B1"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Short-Term Outcomes Met</w:t>
            </w:r>
          </w:p>
        </w:tc>
        <w:tc>
          <w:tcPr>
            <w:tcW w:w="1063" w:type="dxa"/>
            <w:tcBorders>
              <w:top w:val="nil"/>
              <w:left w:val="nil"/>
              <w:bottom w:val="single" w:sz="4" w:space="0" w:color="auto"/>
              <w:right w:val="single" w:sz="4" w:space="0" w:color="auto"/>
            </w:tcBorders>
            <w:shd w:val="clear" w:color="000000" w:fill="B4C6E7"/>
            <w:vAlign w:val="bottom"/>
            <w:hideMark/>
          </w:tcPr>
          <w:p w14:paraId="38B90C04"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%Short-Term Outcomes Achieved</w:t>
            </w:r>
          </w:p>
        </w:tc>
      </w:tr>
      <w:tr w:rsidR="00BA0D82" w:rsidRPr="0005691D" w14:paraId="1B6B6AB5" w14:textId="77777777" w:rsidTr="001A5653">
        <w:trPr>
          <w:trHeight w:val="300"/>
        </w:trPr>
        <w:tc>
          <w:tcPr>
            <w:tcW w:w="2506" w:type="dxa"/>
            <w:tcBorders>
              <w:top w:val="nil"/>
              <w:left w:val="single" w:sz="4" w:space="0" w:color="auto"/>
              <w:bottom w:val="single" w:sz="4" w:space="0" w:color="auto"/>
              <w:right w:val="single" w:sz="4" w:space="0" w:color="auto"/>
            </w:tcBorders>
            <w:shd w:val="clear" w:color="000000" w:fill="B4C6E7"/>
            <w:noWrap/>
            <w:vAlign w:val="center"/>
            <w:hideMark/>
          </w:tcPr>
          <w:p w14:paraId="09641FB9" w14:textId="77777777" w:rsidR="00BA0D82" w:rsidRPr="0005691D" w:rsidRDefault="00BA0D82" w:rsidP="001A5653">
            <w:pPr>
              <w:spacing w:after="0" w:line="240" w:lineRule="auto"/>
              <w:jc w:val="right"/>
              <w:rPr>
                <w:rFonts w:ascii="Calibri" w:eastAsia="Times New Roman" w:hAnsi="Calibri" w:cs="Calibri"/>
                <w:b/>
                <w:bCs/>
                <w:color w:val="000000"/>
              </w:rPr>
            </w:pPr>
            <w:r w:rsidRPr="0005691D">
              <w:rPr>
                <w:rFonts w:ascii="Calibri" w:eastAsia="Times New Roman" w:hAnsi="Calibri" w:cs="Calibri"/>
                <w:b/>
                <w:bCs/>
                <w:color w:val="000000"/>
              </w:rPr>
              <w:t>Pre-ETS</w:t>
            </w:r>
          </w:p>
        </w:tc>
        <w:tc>
          <w:tcPr>
            <w:tcW w:w="1165" w:type="dxa"/>
            <w:tcBorders>
              <w:top w:val="nil"/>
              <w:left w:val="nil"/>
              <w:bottom w:val="single" w:sz="4" w:space="0" w:color="auto"/>
              <w:right w:val="single" w:sz="4" w:space="0" w:color="auto"/>
            </w:tcBorders>
            <w:shd w:val="clear" w:color="000000" w:fill="FFFFFF"/>
            <w:noWrap/>
            <w:vAlign w:val="center"/>
            <w:hideMark/>
          </w:tcPr>
          <w:p w14:paraId="6121B5E6"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7</w:t>
            </w:r>
          </w:p>
        </w:tc>
        <w:tc>
          <w:tcPr>
            <w:tcW w:w="1254" w:type="dxa"/>
            <w:tcBorders>
              <w:top w:val="nil"/>
              <w:left w:val="nil"/>
              <w:bottom w:val="single" w:sz="4" w:space="0" w:color="auto"/>
              <w:right w:val="single" w:sz="4" w:space="0" w:color="auto"/>
            </w:tcBorders>
            <w:shd w:val="clear" w:color="000000" w:fill="FFFFFF"/>
            <w:noWrap/>
            <w:vAlign w:val="center"/>
            <w:hideMark/>
          </w:tcPr>
          <w:p w14:paraId="654C3383"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96%</w:t>
            </w:r>
          </w:p>
        </w:tc>
        <w:tc>
          <w:tcPr>
            <w:tcW w:w="897" w:type="dxa"/>
            <w:tcBorders>
              <w:top w:val="nil"/>
              <w:left w:val="nil"/>
              <w:bottom w:val="single" w:sz="4" w:space="0" w:color="auto"/>
              <w:right w:val="single" w:sz="4" w:space="0" w:color="auto"/>
            </w:tcBorders>
            <w:shd w:val="clear" w:color="000000" w:fill="FFFFFF"/>
            <w:noWrap/>
            <w:vAlign w:val="center"/>
            <w:hideMark/>
          </w:tcPr>
          <w:p w14:paraId="37610534"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7</w:t>
            </w:r>
          </w:p>
        </w:tc>
        <w:tc>
          <w:tcPr>
            <w:tcW w:w="897" w:type="dxa"/>
            <w:tcBorders>
              <w:top w:val="nil"/>
              <w:left w:val="nil"/>
              <w:bottom w:val="single" w:sz="4" w:space="0" w:color="auto"/>
              <w:right w:val="single" w:sz="4" w:space="0" w:color="auto"/>
            </w:tcBorders>
            <w:shd w:val="clear" w:color="000000" w:fill="FFFFFF"/>
            <w:noWrap/>
            <w:vAlign w:val="center"/>
            <w:hideMark/>
          </w:tcPr>
          <w:p w14:paraId="201162DA"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6</w:t>
            </w:r>
          </w:p>
        </w:tc>
        <w:tc>
          <w:tcPr>
            <w:tcW w:w="892" w:type="dxa"/>
            <w:tcBorders>
              <w:top w:val="nil"/>
              <w:left w:val="nil"/>
              <w:bottom w:val="single" w:sz="4" w:space="0" w:color="auto"/>
              <w:right w:val="single" w:sz="4" w:space="0" w:color="auto"/>
            </w:tcBorders>
            <w:shd w:val="clear" w:color="000000" w:fill="FFFFFF"/>
            <w:noWrap/>
            <w:vAlign w:val="center"/>
            <w:hideMark/>
          </w:tcPr>
          <w:p w14:paraId="5609F932"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86%</w:t>
            </w:r>
          </w:p>
        </w:tc>
        <w:tc>
          <w:tcPr>
            <w:tcW w:w="1063" w:type="dxa"/>
            <w:tcBorders>
              <w:top w:val="nil"/>
              <w:left w:val="nil"/>
              <w:bottom w:val="single" w:sz="4" w:space="0" w:color="auto"/>
              <w:right w:val="single" w:sz="4" w:space="0" w:color="auto"/>
            </w:tcBorders>
            <w:shd w:val="clear" w:color="000000" w:fill="FFFFFF"/>
            <w:noWrap/>
            <w:vAlign w:val="center"/>
            <w:hideMark/>
          </w:tcPr>
          <w:p w14:paraId="57A9CF40"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4</w:t>
            </w:r>
          </w:p>
        </w:tc>
        <w:tc>
          <w:tcPr>
            <w:tcW w:w="1063" w:type="dxa"/>
            <w:tcBorders>
              <w:top w:val="nil"/>
              <w:left w:val="nil"/>
              <w:bottom w:val="single" w:sz="4" w:space="0" w:color="auto"/>
              <w:right w:val="single" w:sz="4" w:space="0" w:color="auto"/>
            </w:tcBorders>
            <w:shd w:val="clear" w:color="000000" w:fill="FFFFFF"/>
            <w:noWrap/>
            <w:vAlign w:val="center"/>
            <w:hideMark/>
          </w:tcPr>
          <w:p w14:paraId="2880AD28"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2</w:t>
            </w:r>
          </w:p>
        </w:tc>
        <w:tc>
          <w:tcPr>
            <w:tcW w:w="1063" w:type="dxa"/>
            <w:tcBorders>
              <w:top w:val="nil"/>
              <w:left w:val="nil"/>
              <w:bottom w:val="single" w:sz="4" w:space="0" w:color="auto"/>
              <w:right w:val="single" w:sz="4" w:space="0" w:color="auto"/>
            </w:tcBorders>
            <w:shd w:val="clear" w:color="000000" w:fill="FFFFFF"/>
            <w:noWrap/>
            <w:vAlign w:val="center"/>
            <w:hideMark/>
          </w:tcPr>
          <w:p w14:paraId="6B7FA860"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50%</w:t>
            </w:r>
          </w:p>
        </w:tc>
      </w:tr>
      <w:tr w:rsidR="00BA0D82" w:rsidRPr="0005691D" w14:paraId="1D140BFD" w14:textId="77777777" w:rsidTr="001A5653">
        <w:trPr>
          <w:trHeight w:val="300"/>
        </w:trPr>
        <w:tc>
          <w:tcPr>
            <w:tcW w:w="2506" w:type="dxa"/>
            <w:tcBorders>
              <w:top w:val="nil"/>
              <w:left w:val="single" w:sz="4" w:space="0" w:color="auto"/>
              <w:bottom w:val="single" w:sz="4" w:space="0" w:color="auto"/>
              <w:right w:val="single" w:sz="4" w:space="0" w:color="auto"/>
            </w:tcBorders>
            <w:shd w:val="clear" w:color="000000" w:fill="B4C6E7"/>
            <w:noWrap/>
            <w:vAlign w:val="center"/>
            <w:hideMark/>
          </w:tcPr>
          <w:p w14:paraId="02E950BD" w14:textId="77777777" w:rsidR="00BA0D82" w:rsidRPr="0005691D" w:rsidRDefault="00BA0D82" w:rsidP="001A5653">
            <w:pPr>
              <w:spacing w:after="0" w:line="240" w:lineRule="auto"/>
              <w:jc w:val="right"/>
              <w:rPr>
                <w:rFonts w:ascii="Calibri" w:eastAsia="Times New Roman" w:hAnsi="Calibri" w:cs="Calibri"/>
                <w:b/>
                <w:bCs/>
                <w:color w:val="000000"/>
              </w:rPr>
            </w:pPr>
            <w:r w:rsidRPr="0005691D">
              <w:rPr>
                <w:rFonts w:ascii="Calibri" w:eastAsia="Times New Roman" w:hAnsi="Calibri" w:cs="Calibri"/>
                <w:b/>
                <w:bCs/>
                <w:color w:val="000000"/>
              </w:rPr>
              <w:t>Common Performance Measures</w:t>
            </w:r>
          </w:p>
        </w:tc>
        <w:tc>
          <w:tcPr>
            <w:tcW w:w="1165" w:type="dxa"/>
            <w:tcBorders>
              <w:top w:val="nil"/>
              <w:left w:val="nil"/>
              <w:bottom w:val="single" w:sz="4" w:space="0" w:color="auto"/>
              <w:right w:val="single" w:sz="4" w:space="0" w:color="auto"/>
            </w:tcBorders>
            <w:shd w:val="clear" w:color="000000" w:fill="D9E2F3"/>
            <w:noWrap/>
            <w:vAlign w:val="center"/>
            <w:hideMark/>
          </w:tcPr>
          <w:p w14:paraId="4BCB11DD"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5</w:t>
            </w:r>
          </w:p>
        </w:tc>
        <w:tc>
          <w:tcPr>
            <w:tcW w:w="1254" w:type="dxa"/>
            <w:tcBorders>
              <w:top w:val="nil"/>
              <w:left w:val="nil"/>
              <w:bottom w:val="single" w:sz="4" w:space="0" w:color="auto"/>
              <w:right w:val="single" w:sz="4" w:space="0" w:color="auto"/>
            </w:tcBorders>
            <w:shd w:val="clear" w:color="000000" w:fill="D9E2F3"/>
            <w:noWrap/>
            <w:vAlign w:val="center"/>
            <w:hideMark/>
          </w:tcPr>
          <w:p w14:paraId="487935C3"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70%</w:t>
            </w:r>
          </w:p>
        </w:tc>
        <w:tc>
          <w:tcPr>
            <w:tcW w:w="897" w:type="dxa"/>
            <w:tcBorders>
              <w:top w:val="nil"/>
              <w:left w:val="nil"/>
              <w:bottom w:val="single" w:sz="4" w:space="0" w:color="auto"/>
              <w:right w:val="single" w:sz="4" w:space="0" w:color="auto"/>
            </w:tcBorders>
            <w:shd w:val="clear" w:color="000000" w:fill="D9E2F3"/>
            <w:noWrap/>
            <w:vAlign w:val="center"/>
            <w:hideMark/>
          </w:tcPr>
          <w:p w14:paraId="6D104896"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5</w:t>
            </w:r>
          </w:p>
        </w:tc>
        <w:tc>
          <w:tcPr>
            <w:tcW w:w="897" w:type="dxa"/>
            <w:tcBorders>
              <w:top w:val="nil"/>
              <w:left w:val="nil"/>
              <w:bottom w:val="single" w:sz="4" w:space="0" w:color="auto"/>
              <w:right w:val="single" w:sz="4" w:space="0" w:color="auto"/>
            </w:tcBorders>
            <w:shd w:val="clear" w:color="000000" w:fill="D9E2F3"/>
            <w:noWrap/>
            <w:vAlign w:val="center"/>
            <w:hideMark/>
          </w:tcPr>
          <w:p w14:paraId="24BD9F06"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2</w:t>
            </w:r>
          </w:p>
        </w:tc>
        <w:tc>
          <w:tcPr>
            <w:tcW w:w="892" w:type="dxa"/>
            <w:tcBorders>
              <w:top w:val="nil"/>
              <w:left w:val="nil"/>
              <w:bottom w:val="single" w:sz="4" w:space="0" w:color="auto"/>
              <w:right w:val="single" w:sz="4" w:space="0" w:color="auto"/>
            </w:tcBorders>
            <w:shd w:val="clear" w:color="000000" w:fill="D9E2F3"/>
            <w:noWrap/>
            <w:vAlign w:val="center"/>
            <w:hideMark/>
          </w:tcPr>
          <w:p w14:paraId="198A7ED3"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40%</w:t>
            </w:r>
          </w:p>
        </w:tc>
        <w:tc>
          <w:tcPr>
            <w:tcW w:w="1063" w:type="dxa"/>
            <w:tcBorders>
              <w:top w:val="nil"/>
              <w:left w:val="nil"/>
              <w:bottom w:val="single" w:sz="4" w:space="0" w:color="auto"/>
              <w:right w:val="single" w:sz="4" w:space="0" w:color="auto"/>
            </w:tcBorders>
            <w:shd w:val="clear" w:color="000000" w:fill="D9E2F3"/>
            <w:noWrap/>
            <w:vAlign w:val="center"/>
            <w:hideMark/>
          </w:tcPr>
          <w:p w14:paraId="71302FBA"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2</w:t>
            </w:r>
          </w:p>
        </w:tc>
        <w:tc>
          <w:tcPr>
            <w:tcW w:w="1063" w:type="dxa"/>
            <w:tcBorders>
              <w:top w:val="nil"/>
              <w:left w:val="nil"/>
              <w:bottom w:val="single" w:sz="4" w:space="0" w:color="auto"/>
              <w:right w:val="single" w:sz="4" w:space="0" w:color="auto"/>
            </w:tcBorders>
            <w:shd w:val="clear" w:color="000000" w:fill="D9E2F3"/>
            <w:noWrap/>
            <w:vAlign w:val="center"/>
            <w:hideMark/>
          </w:tcPr>
          <w:p w14:paraId="60A3F2EC"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w:t>
            </w:r>
          </w:p>
        </w:tc>
        <w:tc>
          <w:tcPr>
            <w:tcW w:w="1063" w:type="dxa"/>
            <w:tcBorders>
              <w:top w:val="nil"/>
              <w:left w:val="nil"/>
              <w:bottom w:val="single" w:sz="4" w:space="0" w:color="auto"/>
              <w:right w:val="single" w:sz="4" w:space="0" w:color="auto"/>
            </w:tcBorders>
            <w:shd w:val="clear" w:color="000000" w:fill="D9E2F3"/>
            <w:noWrap/>
            <w:vAlign w:val="center"/>
            <w:hideMark/>
          </w:tcPr>
          <w:p w14:paraId="0CAB276C"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50%</w:t>
            </w:r>
          </w:p>
        </w:tc>
      </w:tr>
      <w:tr w:rsidR="00BA0D82" w:rsidRPr="0005691D" w14:paraId="11F484B7" w14:textId="77777777" w:rsidTr="001A5653">
        <w:trPr>
          <w:trHeight w:val="300"/>
        </w:trPr>
        <w:tc>
          <w:tcPr>
            <w:tcW w:w="2506" w:type="dxa"/>
            <w:tcBorders>
              <w:top w:val="nil"/>
              <w:left w:val="single" w:sz="4" w:space="0" w:color="auto"/>
              <w:bottom w:val="single" w:sz="4" w:space="0" w:color="auto"/>
              <w:right w:val="single" w:sz="4" w:space="0" w:color="auto"/>
            </w:tcBorders>
            <w:shd w:val="clear" w:color="000000" w:fill="B4C6E7"/>
            <w:noWrap/>
            <w:vAlign w:val="center"/>
            <w:hideMark/>
          </w:tcPr>
          <w:p w14:paraId="251CB3C4" w14:textId="77777777" w:rsidR="00BA0D82" w:rsidRPr="0005691D" w:rsidRDefault="00BA0D82" w:rsidP="001A5653">
            <w:pPr>
              <w:spacing w:after="0" w:line="240" w:lineRule="auto"/>
              <w:jc w:val="right"/>
              <w:rPr>
                <w:rFonts w:ascii="Calibri" w:eastAsia="Times New Roman" w:hAnsi="Calibri" w:cs="Calibri"/>
                <w:b/>
                <w:bCs/>
                <w:color w:val="000000"/>
              </w:rPr>
            </w:pPr>
            <w:r w:rsidRPr="0005691D">
              <w:rPr>
                <w:rFonts w:ascii="Calibri" w:eastAsia="Times New Roman" w:hAnsi="Calibri" w:cs="Calibri"/>
                <w:b/>
                <w:bCs/>
                <w:color w:val="000000"/>
              </w:rPr>
              <w:t>Customized Employment</w:t>
            </w:r>
          </w:p>
        </w:tc>
        <w:tc>
          <w:tcPr>
            <w:tcW w:w="1165" w:type="dxa"/>
            <w:tcBorders>
              <w:top w:val="nil"/>
              <w:left w:val="nil"/>
              <w:bottom w:val="single" w:sz="4" w:space="0" w:color="auto"/>
              <w:right w:val="single" w:sz="4" w:space="0" w:color="auto"/>
            </w:tcBorders>
            <w:shd w:val="clear" w:color="000000" w:fill="FFFFFF"/>
            <w:noWrap/>
            <w:vAlign w:val="center"/>
            <w:hideMark/>
          </w:tcPr>
          <w:p w14:paraId="59292B49"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3</w:t>
            </w:r>
          </w:p>
        </w:tc>
        <w:tc>
          <w:tcPr>
            <w:tcW w:w="1254" w:type="dxa"/>
            <w:tcBorders>
              <w:top w:val="nil"/>
              <w:left w:val="nil"/>
              <w:bottom w:val="single" w:sz="4" w:space="0" w:color="auto"/>
              <w:right w:val="single" w:sz="4" w:space="0" w:color="auto"/>
            </w:tcBorders>
            <w:shd w:val="clear" w:color="000000" w:fill="FFFFFF"/>
            <w:noWrap/>
            <w:vAlign w:val="center"/>
            <w:hideMark/>
          </w:tcPr>
          <w:p w14:paraId="1B6E7B7E"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67%</w:t>
            </w:r>
          </w:p>
        </w:tc>
        <w:tc>
          <w:tcPr>
            <w:tcW w:w="897" w:type="dxa"/>
            <w:tcBorders>
              <w:top w:val="nil"/>
              <w:left w:val="nil"/>
              <w:bottom w:val="single" w:sz="4" w:space="0" w:color="auto"/>
              <w:right w:val="single" w:sz="4" w:space="0" w:color="auto"/>
            </w:tcBorders>
            <w:shd w:val="clear" w:color="000000" w:fill="FFFFFF"/>
            <w:noWrap/>
            <w:vAlign w:val="center"/>
            <w:hideMark/>
          </w:tcPr>
          <w:p w14:paraId="788460CB"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3</w:t>
            </w:r>
          </w:p>
        </w:tc>
        <w:tc>
          <w:tcPr>
            <w:tcW w:w="897" w:type="dxa"/>
            <w:tcBorders>
              <w:top w:val="nil"/>
              <w:left w:val="nil"/>
              <w:bottom w:val="single" w:sz="4" w:space="0" w:color="auto"/>
              <w:right w:val="single" w:sz="4" w:space="0" w:color="auto"/>
            </w:tcBorders>
            <w:shd w:val="clear" w:color="000000" w:fill="FFFFFF"/>
            <w:noWrap/>
            <w:vAlign w:val="center"/>
            <w:hideMark/>
          </w:tcPr>
          <w:p w14:paraId="09824BA7"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2</w:t>
            </w:r>
          </w:p>
        </w:tc>
        <w:tc>
          <w:tcPr>
            <w:tcW w:w="892" w:type="dxa"/>
            <w:tcBorders>
              <w:top w:val="nil"/>
              <w:left w:val="nil"/>
              <w:bottom w:val="single" w:sz="4" w:space="0" w:color="auto"/>
              <w:right w:val="single" w:sz="4" w:space="0" w:color="auto"/>
            </w:tcBorders>
            <w:shd w:val="clear" w:color="000000" w:fill="FFFFFF"/>
            <w:noWrap/>
            <w:vAlign w:val="center"/>
            <w:hideMark/>
          </w:tcPr>
          <w:p w14:paraId="669CFB8A"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67%</w:t>
            </w:r>
          </w:p>
        </w:tc>
        <w:tc>
          <w:tcPr>
            <w:tcW w:w="1063" w:type="dxa"/>
            <w:tcBorders>
              <w:top w:val="nil"/>
              <w:left w:val="nil"/>
              <w:bottom w:val="single" w:sz="4" w:space="0" w:color="auto"/>
              <w:right w:val="single" w:sz="4" w:space="0" w:color="auto"/>
            </w:tcBorders>
            <w:shd w:val="clear" w:color="000000" w:fill="FFFFFF"/>
            <w:noWrap/>
            <w:vAlign w:val="center"/>
            <w:hideMark/>
          </w:tcPr>
          <w:p w14:paraId="2F6ACDFA"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w:t>
            </w:r>
          </w:p>
        </w:tc>
        <w:tc>
          <w:tcPr>
            <w:tcW w:w="1063" w:type="dxa"/>
            <w:tcBorders>
              <w:top w:val="nil"/>
              <w:left w:val="nil"/>
              <w:bottom w:val="single" w:sz="4" w:space="0" w:color="auto"/>
              <w:right w:val="single" w:sz="4" w:space="0" w:color="auto"/>
            </w:tcBorders>
            <w:shd w:val="clear" w:color="000000" w:fill="FFFFFF"/>
            <w:noWrap/>
            <w:vAlign w:val="center"/>
            <w:hideMark/>
          </w:tcPr>
          <w:p w14:paraId="2F6CB86D"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0</w:t>
            </w:r>
          </w:p>
        </w:tc>
        <w:tc>
          <w:tcPr>
            <w:tcW w:w="1063" w:type="dxa"/>
            <w:tcBorders>
              <w:top w:val="nil"/>
              <w:left w:val="nil"/>
              <w:bottom w:val="single" w:sz="4" w:space="0" w:color="auto"/>
              <w:right w:val="single" w:sz="4" w:space="0" w:color="auto"/>
            </w:tcBorders>
            <w:shd w:val="clear" w:color="000000" w:fill="FFFFFF"/>
            <w:noWrap/>
            <w:vAlign w:val="center"/>
            <w:hideMark/>
          </w:tcPr>
          <w:p w14:paraId="78EC07CF"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0%</w:t>
            </w:r>
          </w:p>
        </w:tc>
      </w:tr>
      <w:tr w:rsidR="00BA0D82" w:rsidRPr="0005691D" w14:paraId="13DD3373" w14:textId="77777777" w:rsidTr="001A5653">
        <w:trPr>
          <w:trHeight w:val="300"/>
        </w:trPr>
        <w:tc>
          <w:tcPr>
            <w:tcW w:w="2506" w:type="dxa"/>
            <w:tcBorders>
              <w:top w:val="nil"/>
              <w:left w:val="nil"/>
              <w:bottom w:val="nil"/>
              <w:right w:val="nil"/>
            </w:tcBorders>
            <w:shd w:val="clear" w:color="auto" w:fill="auto"/>
            <w:noWrap/>
            <w:vAlign w:val="bottom"/>
            <w:hideMark/>
          </w:tcPr>
          <w:p w14:paraId="6C942556" w14:textId="77777777" w:rsidR="00BA0D82" w:rsidRPr="0005691D" w:rsidRDefault="00BA0D82" w:rsidP="001A5653">
            <w:pPr>
              <w:spacing w:after="0" w:line="240" w:lineRule="auto"/>
              <w:jc w:val="center"/>
              <w:rPr>
                <w:rFonts w:ascii="Calibri" w:eastAsia="Times New Roman" w:hAnsi="Calibri" w:cs="Calibri"/>
                <w:color w:val="000000"/>
              </w:rPr>
            </w:pPr>
          </w:p>
        </w:tc>
        <w:tc>
          <w:tcPr>
            <w:tcW w:w="1165" w:type="dxa"/>
            <w:tcBorders>
              <w:top w:val="nil"/>
              <w:left w:val="nil"/>
              <w:bottom w:val="nil"/>
              <w:right w:val="nil"/>
            </w:tcBorders>
            <w:shd w:val="clear" w:color="auto" w:fill="auto"/>
            <w:noWrap/>
            <w:vAlign w:val="center"/>
            <w:hideMark/>
          </w:tcPr>
          <w:p w14:paraId="0A6951AD" w14:textId="77777777" w:rsidR="00BA0D82" w:rsidRPr="0005691D" w:rsidRDefault="00BA0D82" w:rsidP="001A5653">
            <w:pPr>
              <w:spacing w:after="0" w:line="240" w:lineRule="auto"/>
              <w:rPr>
                <w:rFonts w:ascii="Times New Roman" w:eastAsia="Times New Roman" w:hAnsi="Times New Roman" w:cs="Times New Roman"/>
                <w:sz w:val="20"/>
                <w:szCs w:val="20"/>
              </w:rPr>
            </w:pPr>
          </w:p>
        </w:tc>
        <w:tc>
          <w:tcPr>
            <w:tcW w:w="1254" w:type="dxa"/>
            <w:tcBorders>
              <w:top w:val="nil"/>
              <w:left w:val="nil"/>
              <w:bottom w:val="nil"/>
              <w:right w:val="nil"/>
            </w:tcBorders>
            <w:shd w:val="clear" w:color="auto" w:fill="auto"/>
            <w:noWrap/>
            <w:vAlign w:val="center"/>
            <w:hideMark/>
          </w:tcPr>
          <w:p w14:paraId="056F1006"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c>
          <w:tcPr>
            <w:tcW w:w="897" w:type="dxa"/>
            <w:tcBorders>
              <w:top w:val="nil"/>
              <w:left w:val="nil"/>
              <w:bottom w:val="nil"/>
              <w:right w:val="nil"/>
            </w:tcBorders>
            <w:shd w:val="clear" w:color="auto" w:fill="auto"/>
            <w:noWrap/>
            <w:vAlign w:val="center"/>
            <w:hideMark/>
          </w:tcPr>
          <w:p w14:paraId="10C6762C"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c>
          <w:tcPr>
            <w:tcW w:w="897" w:type="dxa"/>
            <w:tcBorders>
              <w:top w:val="nil"/>
              <w:left w:val="nil"/>
              <w:bottom w:val="nil"/>
              <w:right w:val="nil"/>
            </w:tcBorders>
            <w:shd w:val="clear" w:color="auto" w:fill="auto"/>
            <w:noWrap/>
            <w:vAlign w:val="center"/>
            <w:hideMark/>
          </w:tcPr>
          <w:p w14:paraId="28B02E1B"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c>
          <w:tcPr>
            <w:tcW w:w="892" w:type="dxa"/>
            <w:tcBorders>
              <w:top w:val="nil"/>
              <w:left w:val="nil"/>
              <w:bottom w:val="nil"/>
              <w:right w:val="nil"/>
            </w:tcBorders>
            <w:shd w:val="clear" w:color="auto" w:fill="auto"/>
            <w:noWrap/>
            <w:vAlign w:val="center"/>
            <w:hideMark/>
          </w:tcPr>
          <w:p w14:paraId="09E59D86"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c>
          <w:tcPr>
            <w:tcW w:w="1063" w:type="dxa"/>
            <w:tcBorders>
              <w:top w:val="nil"/>
              <w:left w:val="nil"/>
              <w:bottom w:val="nil"/>
              <w:right w:val="nil"/>
            </w:tcBorders>
            <w:shd w:val="clear" w:color="auto" w:fill="auto"/>
            <w:noWrap/>
            <w:vAlign w:val="center"/>
            <w:hideMark/>
          </w:tcPr>
          <w:p w14:paraId="48D8DDBE"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c>
          <w:tcPr>
            <w:tcW w:w="1063" w:type="dxa"/>
            <w:tcBorders>
              <w:top w:val="nil"/>
              <w:left w:val="nil"/>
              <w:bottom w:val="nil"/>
              <w:right w:val="nil"/>
            </w:tcBorders>
            <w:shd w:val="clear" w:color="auto" w:fill="auto"/>
            <w:noWrap/>
            <w:vAlign w:val="center"/>
            <w:hideMark/>
          </w:tcPr>
          <w:p w14:paraId="42BFA77A"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c>
          <w:tcPr>
            <w:tcW w:w="1063" w:type="dxa"/>
            <w:tcBorders>
              <w:top w:val="nil"/>
              <w:left w:val="nil"/>
              <w:bottom w:val="nil"/>
              <w:right w:val="nil"/>
            </w:tcBorders>
            <w:shd w:val="clear" w:color="auto" w:fill="auto"/>
            <w:noWrap/>
            <w:vAlign w:val="center"/>
            <w:hideMark/>
          </w:tcPr>
          <w:p w14:paraId="4D88CAE9"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r>
      <w:tr w:rsidR="00BA0D82" w:rsidRPr="0005691D" w14:paraId="5BFADF51" w14:textId="77777777" w:rsidTr="001A5653">
        <w:trPr>
          <w:trHeight w:val="465"/>
        </w:trPr>
        <w:tc>
          <w:tcPr>
            <w:tcW w:w="10800" w:type="dxa"/>
            <w:gridSpan w:val="9"/>
            <w:tcBorders>
              <w:top w:val="single" w:sz="4" w:space="0" w:color="auto"/>
              <w:left w:val="nil"/>
              <w:bottom w:val="single" w:sz="4" w:space="0" w:color="auto"/>
              <w:right w:val="nil"/>
            </w:tcBorders>
            <w:shd w:val="clear" w:color="auto" w:fill="auto"/>
            <w:noWrap/>
            <w:vAlign w:val="bottom"/>
            <w:hideMark/>
          </w:tcPr>
          <w:p w14:paraId="280B7E59" w14:textId="77777777" w:rsidR="00BA0D82" w:rsidRPr="0005691D" w:rsidRDefault="00BA0D82" w:rsidP="00BA0D82">
            <w:pPr>
              <w:pStyle w:val="Heading2"/>
              <w:numPr>
                <w:ilvl w:val="0"/>
                <w:numId w:val="0"/>
              </w:numPr>
              <w:rPr>
                <w:rFonts w:eastAsia="Times New Roman"/>
              </w:rPr>
            </w:pPr>
            <w:bookmarkStart w:id="249" w:name="_Toc27143214"/>
            <w:bookmarkStart w:id="250" w:name="_Toc28011513"/>
            <w:r w:rsidRPr="0005691D">
              <w:rPr>
                <w:rFonts w:eastAsia="Times New Roman"/>
              </w:rPr>
              <w:t>Nebraska General</w:t>
            </w:r>
            <w:bookmarkEnd w:id="249"/>
            <w:bookmarkEnd w:id="250"/>
          </w:p>
        </w:tc>
      </w:tr>
      <w:tr w:rsidR="00BA0D82" w:rsidRPr="0005691D" w14:paraId="3345BC51" w14:textId="77777777" w:rsidTr="001A5653">
        <w:trPr>
          <w:trHeight w:val="1305"/>
        </w:trPr>
        <w:tc>
          <w:tcPr>
            <w:tcW w:w="2506" w:type="dxa"/>
            <w:tcBorders>
              <w:top w:val="nil"/>
              <w:left w:val="single" w:sz="4" w:space="0" w:color="auto"/>
              <w:bottom w:val="single" w:sz="4" w:space="0" w:color="auto"/>
              <w:right w:val="single" w:sz="4" w:space="0" w:color="auto"/>
            </w:tcBorders>
            <w:shd w:val="clear" w:color="000000" w:fill="B4C6E7"/>
            <w:vAlign w:val="bottom"/>
            <w:hideMark/>
          </w:tcPr>
          <w:p w14:paraId="42560F1A" w14:textId="77777777" w:rsidR="00BA0D82" w:rsidRPr="0005691D" w:rsidRDefault="00BA0D82" w:rsidP="001A5653">
            <w:pPr>
              <w:spacing w:after="0" w:line="240" w:lineRule="auto"/>
              <w:jc w:val="right"/>
              <w:rPr>
                <w:rFonts w:ascii="Calibri" w:eastAsia="Times New Roman" w:hAnsi="Calibri" w:cs="Calibri"/>
                <w:b/>
                <w:bCs/>
                <w:color w:val="000000"/>
                <w:szCs w:val="28"/>
              </w:rPr>
            </w:pPr>
            <w:r w:rsidRPr="0005691D">
              <w:rPr>
                <w:rFonts w:ascii="Calibri" w:eastAsia="Times New Roman" w:hAnsi="Calibri" w:cs="Calibri"/>
                <w:b/>
                <w:bCs/>
                <w:color w:val="000000"/>
                <w:szCs w:val="28"/>
              </w:rPr>
              <w:t>Area</w:t>
            </w:r>
          </w:p>
        </w:tc>
        <w:tc>
          <w:tcPr>
            <w:tcW w:w="1165" w:type="dxa"/>
            <w:tcBorders>
              <w:top w:val="nil"/>
              <w:left w:val="nil"/>
              <w:bottom w:val="single" w:sz="4" w:space="0" w:color="auto"/>
              <w:right w:val="single" w:sz="4" w:space="0" w:color="auto"/>
            </w:tcBorders>
            <w:shd w:val="clear" w:color="000000" w:fill="B4C6E7"/>
            <w:vAlign w:val="bottom"/>
            <w:hideMark/>
          </w:tcPr>
          <w:p w14:paraId="7A8E28C4"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of Total Activities</w:t>
            </w:r>
          </w:p>
        </w:tc>
        <w:tc>
          <w:tcPr>
            <w:tcW w:w="1254" w:type="dxa"/>
            <w:tcBorders>
              <w:top w:val="nil"/>
              <w:left w:val="nil"/>
              <w:bottom w:val="single" w:sz="4" w:space="0" w:color="auto"/>
              <w:right w:val="single" w:sz="4" w:space="0" w:color="auto"/>
            </w:tcBorders>
            <w:shd w:val="clear" w:color="000000" w:fill="B4C6E7"/>
            <w:vAlign w:val="bottom"/>
            <w:hideMark/>
          </w:tcPr>
          <w:p w14:paraId="3ABEDC9E"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Average Progress on Activities (%)</w:t>
            </w:r>
          </w:p>
        </w:tc>
        <w:tc>
          <w:tcPr>
            <w:tcW w:w="897" w:type="dxa"/>
            <w:tcBorders>
              <w:top w:val="nil"/>
              <w:left w:val="nil"/>
              <w:bottom w:val="single" w:sz="4" w:space="0" w:color="auto"/>
              <w:right w:val="single" w:sz="4" w:space="0" w:color="auto"/>
            </w:tcBorders>
            <w:shd w:val="clear" w:color="000000" w:fill="B4C6E7"/>
            <w:vAlign w:val="bottom"/>
            <w:hideMark/>
          </w:tcPr>
          <w:p w14:paraId="47226527"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Outputs</w:t>
            </w:r>
          </w:p>
        </w:tc>
        <w:tc>
          <w:tcPr>
            <w:tcW w:w="897" w:type="dxa"/>
            <w:tcBorders>
              <w:top w:val="nil"/>
              <w:left w:val="nil"/>
              <w:bottom w:val="single" w:sz="4" w:space="0" w:color="auto"/>
              <w:right w:val="single" w:sz="4" w:space="0" w:color="auto"/>
            </w:tcBorders>
            <w:shd w:val="clear" w:color="000000" w:fill="B4C6E7"/>
            <w:vAlign w:val="bottom"/>
            <w:hideMark/>
          </w:tcPr>
          <w:p w14:paraId="0D8F5526"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Outputs Met</w:t>
            </w:r>
          </w:p>
        </w:tc>
        <w:tc>
          <w:tcPr>
            <w:tcW w:w="892" w:type="dxa"/>
            <w:tcBorders>
              <w:top w:val="nil"/>
              <w:left w:val="nil"/>
              <w:bottom w:val="single" w:sz="4" w:space="0" w:color="auto"/>
              <w:right w:val="single" w:sz="4" w:space="0" w:color="auto"/>
            </w:tcBorders>
            <w:shd w:val="clear" w:color="000000" w:fill="B4C6E7"/>
            <w:vAlign w:val="bottom"/>
            <w:hideMark/>
          </w:tcPr>
          <w:p w14:paraId="4EC24D53"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Outputs Met</w:t>
            </w:r>
          </w:p>
        </w:tc>
        <w:tc>
          <w:tcPr>
            <w:tcW w:w="1063" w:type="dxa"/>
            <w:tcBorders>
              <w:top w:val="nil"/>
              <w:left w:val="nil"/>
              <w:bottom w:val="single" w:sz="4" w:space="0" w:color="auto"/>
              <w:right w:val="single" w:sz="4" w:space="0" w:color="auto"/>
            </w:tcBorders>
            <w:shd w:val="clear" w:color="000000" w:fill="B4C6E7"/>
            <w:vAlign w:val="bottom"/>
            <w:hideMark/>
          </w:tcPr>
          <w:p w14:paraId="0F1D3DAD"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Short-Term Outcomes</w:t>
            </w:r>
          </w:p>
        </w:tc>
        <w:tc>
          <w:tcPr>
            <w:tcW w:w="1063" w:type="dxa"/>
            <w:tcBorders>
              <w:top w:val="nil"/>
              <w:left w:val="nil"/>
              <w:bottom w:val="single" w:sz="4" w:space="0" w:color="auto"/>
              <w:right w:val="single" w:sz="4" w:space="0" w:color="auto"/>
            </w:tcBorders>
            <w:shd w:val="clear" w:color="000000" w:fill="B4C6E7"/>
            <w:vAlign w:val="bottom"/>
            <w:hideMark/>
          </w:tcPr>
          <w:p w14:paraId="6FD3C520"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Short-Term Outcomes Met</w:t>
            </w:r>
          </w:p>
        </w:tc>
        <w:tc>
          <w:tcPr>
            <w:tcW w:w="1063" w:type="dxa"/>
            <w:tcBorders>
              <w:top w:val="nil"/>
              <w:left w:val="nil"/>
              <w:bottom w:val="single" w:sz="4" w:space="0" w:color="auto"/>
              <w:right w:val="single" w:sz="4" w:space="0" w:color="auto"/>
            </w:tcBorders>
            <w:shd w:val="clear" w:color="000000" w:fill="B4C6E7"/>
            <w:vAlign w:val="bottom"/>
            <w:hideMark/>
          </w:tcPr>
          <w:p w14:paraId="2A3E4E11"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%Short-Term Outcomes Achieved</w:t>
            </w:r>
          </w:p>
        </w:tc>
      </w:tr>
      <w:tr w:rsidR="00BA0D82" w:rsidRPr="0005691D" w14:paraId="342EE8B5" w14:textId="77777777" w:rsidTr="001A5653">
        <w:trPr>
          <w:trHeight w:val="300"/>
        </w:trPr>
        <w:tc>
          <w:tcPr>
            <w:tcW w:w="2506" w:type="dxa"/>
            <w:tcBorders>
              <w:top w:val="nil"/>
              <w:left w:val="single" w:sz="4" w:space="0" w:color="auto"/>
              <w:bottom w:val="single" w:sz="4" w:space="0" w:color="auto"/>
              <w:right w:val="single" w:sz="4" w:space="0" w:color="auto"/>
            </w:tcBorders>
            <w:shd w:val="clear" w:color="000000" w:fill="B4C6E7"/>
            <w:noWrap/>
            <w:vAlign w:val="center"/>
            <w:hideMark/>
          </w:tcPr>
          <w:p w14:paraId="1556369C" w14:textId="77777777" w:rsidR="00BA0D82" w:rsidRPr="0005691D" w:rsidRDefault="00BA0D82" w:rsidP="001A5653">
            <w:pPr>
              <w:spacing w:after="0" w:line="240" w:lineRule="auto"/>
              <w:jc w:val="right"/>
              <w:rPr>
                <w:rFonts w:ascii="Calibri" w:eastAsia="Times New Roman" w:hAnsi="Calibri" w:cs="Calibri"/>
                <w:b/>
                <w:bCs/>
                <w:color w:val="000000"/>
              </w:rPr>
            </w:pPr>
            <w:r w:rsidRPr="0005691D">
              <w:rPr>
                <w:rFonts w:ascii="Calibri" w:eastAsia="Times New Roman" w:hAnsi="Calibri" w:cs="Calibri"/>
                <w:b/>
                <w:bCs/>
                <w:color w:val="000000"/>
              </w:rPr>
              <w:t>Workforce Integration</w:t>
            </w:r>
          </w:p>
        </w:tc>
        <w:tc>
          <w:tcPr>
            <w:tcW w:w="1165" w:type="dxa"/>
            <w:tcBorders>
              <w:top w:val="nil"/>
              <w:left w:val="nil"/>
              <w:bottom w:val="single" w:sz="4" w:space="0" w:color="auto"/>
              <w:right w:val="single" w:sz="4" w:space="0" w:color="auto"/>
            </w:tcBorders>
            <w:shd w:val="clear" w:color="000000" w:fill="FFFFFF"/>
            <w:noWrap/>
            <w:vAlign w:val="center"/>
            <w:hideMark/>
          </w:tcPr>
          <w:p w14:paraId="2779C794"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w:t>
            </w:r>
          </w:p>
        </w:tc>
        <w:tc>
          <w:tcPr>
            <w:tcW w:w="1254" w:type="dxa"/>
            <w:tcBorders>
              <w:top w:val="nil"/>
              <w:left w:val="nil"/>
              <w:bottom w:val="single" w:sz="4" w:space="0" w:color="auto"/>
              <w:right w:val="single" w:sz="4" w:space="0" w:color="auto"/>
            </w:tcBorders>
            <w:shd w:val="clear" w:color="000000" w:fill="FFFFFF"/>
            <w:noWrap/>
            <w:vAlign w:val="center"/>
            <w:hideMark/>
          </w:tcPr>
          <w:p w14:paraId="05EA487E"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100%</w:t>
            </w:r>
          </w:p>
        </w:tc>
        <w:tc>
          <w:tcPr>
            <w:tcW w:w="897" w:type="dxa"/>
            <w:tcBorders>
              <w:top w:val="nil"/>
              <w:left w:val="nil"/>
              <w:bottom w:val="single" w:sz="4" w:space="0" w:color="auto"/>
              <w:right w:val="single" w:sz="4" w:space="0" w:color="auto"/>
            </w:tcBorders>
            <w:shd w:val="clear" w:color="000000" w:fill="FFFFFF"/>
            <w:noWrap/>
            <w:vAlign w:val="center"/>
            <w:hideMark/>
          </w:tcPr>
          <w:p w14:paraId="07EBC771"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w:t>
            </w:r>
          </w:p>
        </w:tc>
        <w:tc>
          <w:tcPr>
            <w:tcW w:w="897" w:type="dxa"/>
            <w:tcBorders>
              <w:top w:val="nil"/>
              <w:left w:val="nil"/>
              <w:bottom w:val="single" w:sz="4" w:space="0" w:color="auto"/>
              <w:right w:val="single" w:sz="4" w:space="0" w:color="auto"/>
            </w:tcBorders>
            <w:shd w:val="clear" w:color="000000" w:fill="FFFFFF"/>
            <w:noWrap/>
            <w:vAlign w:val="center"/>
            <w:hideMark/>
          </w:tcPr>
          <w:p w14:paraId="7B4F0055"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w:t>
            </w:r>
          </w:p>
        </w:tc>
        <w:tc>
          <w:tcPr>
            <w:tcW w:w="892" w:type="dxa"/>
            <w:tcBorders>
              <w:top w:val="nil"/>
              <w:left w:val="nil"/>
              <w:bottom w:val="single" w:sz="4" w:space="0" w:color="auto"/>
              <w:right w:val="single" w:sz="4" w:space="0" w:color="auto"/>
            </w:tcBorders>
            <w:shd w:val="clear" w:color="000000" w:fill="FFFFFF"/>
            <w:noWrap/>
            <w:vAlign w:val="center"/>
            <w:hideMark/>
          </w:tcPr>
          <w:p w14:paraId="20CCA542"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100%</w:t>
            </w:r>
          </w:p>
        </w:tc>
        <w:tc>
          <w:tcPr>
            <w:tcW w:w="1063" w:type="dxa"/>
            <w:tcBorders>
              <w:top w:val="nil"/>
              <w:left w:val="nil"/>
              <w:bottom w:val="single" w:sz="4" w:space="0" w:color="auto"/>
              <w:right w:val="single" w:sz="4" w:space="0" w:color="auto"/>
            </w:tcBorders>
            <w:shd w:val="clear" w:color="000000" w:fill="FFFFFF"/>
            <w:noWrap/>
            <w:vAlign w:val="center"/>
            <w:hideMark/>
          </w:tcPr>
          <w:p w14:paraId="65EC8980"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0</w:t>
            </w:r>
          </w:p>
        </w:tc>
        <w:tc>
          <w:tcPr>
            <w:tcW w:w="1063" w:type="dxa"/>
            <w:tcBorders>
              <w:top w:val="nil"/>
              <w:left w:val="nil"/>
              <w:bottom w:val="single" w:sz="4" w:space="0" w:color="auto"/>
              <w:right w:val="single" w:sz="4" w:space="0" w:color="auto"/>
            </w:tcBorders>
            <w:shd w:val="clear" w:color="000000" w:fill="FFFFFF"/>
            <w:noWrap/>
            <w:vAlign w:val="center"/>
            <w:hideMark/>
          </w:tcPr>
          <w:p w14:paraId="3E63DA01"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0</w:t>
            </w:r>
          </w:p>
        </w:tc>
        <w:tc>
          <w:tcPr>
            <w:tcW w:w="1063" w:type="dxa"/>
            <w:tcBorders>
              <w:top w:val="nil"/>
              <w:left w:val="nil"/>
              <w:bottom w:val="single" w:sz="4" w:space="0" w:color="auto"/>
              <w:right w:val="single" w:sz="4" w:space="0" w:color="auto"/>
            </w:tcBorders>
            <w:shd w:val="clear" w:color="000000" w:fill="FFFFFF"/>
            <w:noWrap/>
            <w:vAlign w:val="center"/>
            <w:hideMark/>
          </w:tcPr>
          <w:p w14:paraId="17AF1E6D"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 </w:t>
            </w:r>
          </w:p>
        </w:tc>
      </w:tr>
      <w:tr w:rsidR="00BA0D82" w:rsidRPr="0005691D" w14:paraId="550DD51B" w14:textId="77777777" w:rsidTr="001A5653">
        <w:trPr>
          <w:trHeight w:val="300"/>
        </w:trPr>
        <w:tc>
          <w:tcPr>
            <w:tcW w:w="2506" w:type="dxa"/>
            <w:tcBorders>
              <w:top w:val="nil"/>
              <w:left w:val="nil"/>
              <w:bottom w:val="nil"/>
              <w:right w:val="nil"/>
            </w:tcBorders>
            <w:shd w:val="clear" w:color="auto" w:fill="auto"/>
            <w:noWrap/>
            <w:vAlign w:val="bottom"/>
            <w:hideMark/>
          </w:tcPr>
          <w:p w14:paraId="06A22892" w14:textId="77777777" w:rsidR="00BA0D82" w:rsidRPr="0005691D" w:rsidRDefault="00BA0D82" w:rsidP="001A5653">
            <w:pPr>
              <w:spacing w:after="0" w:line="240" w:lineRule="auto"/>
              <w:jc w:val="center"/>
              <w:rPr>
                <w:rFonts w:ascii="Calibri" w:eastAsia="Times New Roman" w:hAnsi="Calibri" w:cs="Calibri"/>
                <w:color w:val="000000"/>
              </w:rPr>
            </w:pPr>
          </w:p>
        </w:tc>
        <w:tc>
          <w:tcPr>
            <w:tcW w:w="1165" w:type="dxa"/>
            <w:tcBorders>
              <w:top w:val="nil"/>
              <w:left w:val="nil"/>
              <w:bottom w:val="nil"/>
              <w:right w:val="nil"/>
            </w:tcBorders>
            <w:shd w:val="clear" w:color="auto" w:fill="auto"/>
            <w:noWrap/>
            <w:vAlign w:val="center"/>
            <w:hideMark/>
          </w:tcPr>
          <w:p w14:paraId="15FB2117" w14:textId="77777777" w:rsidR="00BA0D82" w:rsidRPr="0005691D" w:rsidRDefault="00BA0D82" w:rsidP="001A5653">
            <w:pPr>
              <w:spacing w:after="0" w:line="240" w:lineRule="auto"/>
              <w:rPr>
                <w:rFonts w:ascii="Times New Roman" w:eastAsia="Times New Roman" w:hAnsi="Times New Roman" w:cs="Times New Roman"/>
                <w:sz w:val="20"/>
                <w:szCs w:val="20"/>
              </w:rPr>
            </w:pPr>
          </w:p>
        </w:tc>
        <w:tc>
          <w:tcPr>
            <w:tcW w:w="1254" w:type="dxa"/>
            <w:tcBorders>
              <w:top w:val="nil"/>
              <w:left w:val="nil"/>
              <w:bottom w:val="nil"/>
              <w:right w:val="nil"/>
            </w:tcBorders>
            <w:shd w:val="clear" w:color="auto" w:fill="auto"/>
            <w:noWrap/>
            <w:vAlign w:val="center"/>
            <w:hideMark/>
          </w:tcPr>
          <w:p w14:paraId="5E311DBC"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c>
          <w:tcPr>
            <w:tcW w:w="897" w:type="dxa"/>
            <w:tcBorders>
              <w:top w:val="nil"/>
              <w:left w:val="nil"/>
              <w:bottom w:val="nil"/>
              <w:right w:val="nil"/>
            </w:tcBorders>
            <w:shd w:val="clear" w:color="auto" w:fill="auto"/>
            <w:noWrap/>
            <w:vAlign w:val="center"/>
            <w:hideMark/>
          </w:tcPr>
          <w:p w14:paraId="1D4E9FD9"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c>
          <w:tcPr>
            <w:tcW w:w="897" w:type="dxa"/>
            <w:tcBorders>
              <w:top w:val="nil"/>
              <w:left w:val="nil"/>
              <w:bottom w:val="nil"/>
              <w:right w:val="nil"/>
            </w:tcBorders>
            <w:shd w:val="clear" w:color="auto" w:fill="auto"/>
            <w:noWrap/>
            <w:vAlign w:val="center"/>
            <w:hideMark/>
          </w:tcPr>
          <w:p w14:paraId="6C57068B"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c>
          <w:tcPr>
            <w:tcW w:w="892" w:type="dxa"/>
            <w:tcBorders>
              <w:top w:val="nil"/>
              <w:left w:val="nil"/>
              <w:bottom w:val="nil"/>
              <w:right w:val="nil"/>
            </w:tcBorders>
            <w:shd w:val="clear" w:color="auto" w:fill="auto"/>
            <w:noWrap/>
            <w:vAlign w:val="center"/>
            <w:hideMark/>
          </w:tcPr>
          <w:p w14:paraId="61A303F8"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c>
          <w:tcPr>
            <w:tcW w:w="1063" w:type="dxa"/>
            <w:tcBorders>
              <w:top w:val="nil"/>
              <w:left w:val="nil"/>
              <w:bottom w:val="nil"/>
              <w:right w:val="nil"/>
            </w:tcBorders>
            <w:shd w:val="clear" w:color="auto" w:fill="auto"/>
            <w:noWrap/>
            <w:vAlign w:val="center"/>
            <w:hideMark/>
          </w:tcPr>
          <w:p w14:paraId="45DC3C80"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c>
          <w:tcPr>
            <w:tcW w:w="1063" w:type="dxa"/>
            <w:tcBorders>
              <w:top w:val="nil"/>
              <w:left w:val="nil"/>
              <w:bottom w:val="nil"/>
              <w:right w:val="nil"/>
            </w:tcBorders>
            <w:shd w:val="clear" w:color="auto" w:fill="auto"/>
            <w:noWrap/>
            <w:vAlign w:val="center"/>
            <w:hideMark/>
          </w:tcPr>
          <w:p w14:paraId="2D09DA8F"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c>
          <w:tcPr>
            <w:tcW w:w="1063" w:type="dxa"/>
            <w:tcBorders>
              <w:top w:val="nil"/>
              <w:left w:val="nil"/>
              <w:bottom w:val="nil"/>
              <w:right w:val="nil"/>
            </w:tcBorders>
            <w:shd w:val="clear" w:color="auto" w:fill="auto"/>
            <w:noWrap/>
            <w:vAlign w:val="center"/>
            <w:hideMark/>
          </w:tcPr>
          <w:p w14:paraId="6E12748A"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r>
    </w:tbl>
    <w:p w14:paraId="50C6BA24" w14:textId="77777777" w:rsidR="00BC793A" w:rsidRDefault="00BC793A">
      <w:bookmarkStart w:id="251" w:name="_Toc27143215"/>
      <w:r>
        <w:rPr>
          <w:b/>
        </w:rPr>
        <w:br w:type="page"/>
      </w:r>
    </w:p>
    <w:tbl>
      <w:tblPr>
        <w:tblW w:w="10800" w:type="dxa"/>
        <w:tblLook w:val="04A0" w:firstRow="1" w:lastRow="0" w:firstColumn="1" w:lastColumn="0" w:noHBand="0" w:noVBand="1"/>
      </w:tblPr>
      <w:tblGrid>
        <w:gridCol w:w="2506"/>
        <w:gridCol w:w="1165"/>
        <w:gridCol w:w="1254"/>
        <w:gridCol w:w="897"/>
        <w:gridCol w:w="897"/>
        <w:gridCol w:w="892"/>
        <w:gridCol w:w="1063"/>
        <w:gridCol w:w="1063"/>
        <w:gridCol w:w="1063"/>
      </w:tblGrid>
      <w:tr w:rsidR="00BA0D82" w:rsidRPr="0005691D" w14:paraId="5E4F7E5A" w14:textId="77777777" w:rsidTr="001A5653">
        <w:trPr>
          <w:trHeight w:val="465"/>
        </w:trPr>
        <w:tc>
          <w:tcPr>
            <w:tcW w:w="10800" w:type="dxa"/>
            <w:gridSpan w:val="9"/>
            <w:tcBorders>
              <w:top w:val="single" w:sz="4" w:space="0" w:color="auto"/>
              <w:left w:val="nil"/>
              <w:bottom w:val="single" w:sz="4" w:space="0" w:color="auto"/>
              <w:right w:val="nil"/>
            </w:tcBorders>
            <w:shd w:val="clear" w:color="auto" w:fill="auto"/>
            <w:noWrap/>
            <w:vAlign w:val="bottom"/>
            <w:hideMark/>
          </w:tcPr>
          <w:p w14:paraId="0EB55A22" w14:textId="129DF4D8" w:rsidR="00BA0D82" w:rsidRPr="0005691D" w:rsidRDefault="00BA0D82" w:rsidP="00BA0D82">
            <w:pPr>
              <w:pStyle w:val="Heading2"/>
              <w:numPr>
                <w:ilvl w:val="0"/>
                <w:numId w:val="0"/>
              </w:numPr>
              <w:rPr>
                <w:rFonts w:eastAsia="Times New Roman"/>
              </w:rPr>
            </w:pPr>
            <w:bookmarkStart w:id="252" w:name="_Toc28011514"/>
            <w:r w:rsidRPr="0005691D">
              <w:rPr>
                <w:rFonts w:eastAsia="Times New Roman"/>
              </w:rPr>
              <w:lastRenderedPageBreak/>
              <w:t>Nevada Combined</w:t>
            </w:r>
            <w:bookmarkEnd w:id="251"/>
            <w:bookmarkEnd w:id="252"/>
          </w:p>
        </w:tc>
      </w:tr>
      <w:tr w:rsidR="00BA0D82" w:rsidRPr="0005691D" w14:paraId="53F591D5" w14:textId="77777777" w:rsidTr="001A5653">
        <w:trPr>
          <w:trHeight w:val="1305"/>
        </w:trPr>
        <w:tc>
          <w:tcPr>
            <w:tcW w:w="2506" w:type="dxa"/>
            <w:tcBorders>
              <w:top w:val="nil"/>
              <w:left w:val="single" w:sz="4" w:space="0" w:color="auto"/>
              <w:bottom w:val="single" w:sz="4" w:space="0" w:color="auto"/>
              <w:right w:val="single" w:sz="4" w:space="0" w:color="auto"/>
            </w:tcBorders>
            <w:shd w:val="clear" w:color="000000" w:fill="B4C6E7"/>
            <w:vAlign w:val="bottom"/>
            <w:hideMark/>
          </w:tcPr>
          <w:p w14:paraId="2AAF1EC9" w14:textId="77777777" w:rsidR="00BA0D82" w:rsidRPr="0005691D" w:rsidRDefault="00BA0D82" w:rsidP="001A5653">
            <w:pPr>
              <w:spacing w:after="0" w:line="240" w:lineRule="auto"/>
              <w:jc w:val="right"/>
              <w:rPr>
                <w:rFonts w:ascii="Calibri" w:eastAsia="Times New Roman" w:hAnsi="Calibri" w:cs="Calibri"/>
                <w:b/>
                <w:bCs/>
                <w:color w:val="000000"/>
                <w:szCs w:val="28"/>
              </w:rPr>
            </w:pPr>
            <w:r w:rsidRPr="0005691D">
              <w:rPr>
                <w:rFonts w:ascii="Calibri" w:eastAsia="Times New Roman" w:hAnsi="Calibri" w:cs="Calibri"/>
                <w:b/>
                <w:bCs/>
                <w:color w:val="000000"/>
                <w:szCs w:val="28"/>
              </w:rPr>
              <w:t>Area</w:t>
            </w:r>
          </w:p>
        </w:tc>
        <w:tc>
          <w:tcPr>
            <w:tcW w:w="1165" w:type="dxa"/>
            <w:tcBorders>
              <w:top w:val="nil"/>
              <w:left w:val="nil"/>
              <w:bottom w:val="single" w:sz="4" w:space="0" w:color="auto"/>
              <w:right w:val="single" w:sz="4" w:space="0" w:color="auto"/>
            </w:tcBorders>
            <w:shd w:val="clear" w:color="000000" w:fill="B4C6E7"/>
            <w:vAlign w:val="bottom"/>
            <w:hideMark/>
          </w:tcPr>
          <w:p w14:paraId="1B3CC190"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of Total Activities</w:t>
            </w:r>
          </w:p>
        </w:tc>
        <w:tc>
          <w:tcPr>
            <w:tcW w:w="1254" w:type="dxa"/>
            <w:tcBorders>
              <w:top w:val="nil"/>
              <w:left w:val="nil"/>
              <w:bottom w:val="single" w:sz="4" w:space="0" w:color="auto"/>
              <w:right w:val="single" w:sz="4" w:space="0" w:color="auto"/>
            </w:tcBorders>
            <w:shd w:val="clear" w:color="000000" w:fill="B4C6E7"/>
            <w:vAlign w:val="bottom"/>
            <w:hideMark/>
          </w:tcPr>
          <w:p w14:paraId="04DA822A"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Average Progress on Activities (%)</w:t>
            </w:r>
          </w:p>
        </w:tc>
        <w:tc>
          <w:tcPr>
            <w:tcW w:w="897" w:type="dxa"/>
            <w:tcBorders>
              <w:top w:val="nil"/>
              <w:left w:val="nil"/>
              <w:bottom w:val="single" w:sz="4" w:space="0" w:color="auto"/>
              <w:right w:val="single" w:sz="4" w:space="0" w:color="auto"/>
            </w:tcBorders>
            <w:shd w:val="clear" w:color="000000" w:fill="B4C6E7"/>
            <w:vAlign w:val="bottom"/>
            <w:hideMark/>
          </w:tcPr>
          <w:p w14:paraId="4DC0385C"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Outputs</w:t>
            </w:r>
          </w:p>
        </w:tc>
        <w:tc>
          <w:tcPr>
            <w:tcW w:w="897" w:type="dxa"/>
            <w:tcBorders>
              <w:top w:val="nil"/>
              <w:left w:val="nil"/>
              <w:bottom w:val="single" w:sz="4" w:space="0" w:color="auto"/>
              <w:right w:val="single" w:sz="4" w:space="0" w:color="auto"/>
            </w:tcBorders>
            <w:shd w:val="clear" w:color="000000" w:fill="B4C6E7"/>
            <w:vAlign w:val="bottom"/>
            <w:hideMark/>
          </w:tcPr>
          <w:p w14:paraId="623EF69D"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Outputs Met</w:t>
            </w:r>
          </w:p>
        </w:tc>
        <w:tc>
          <w:tcPr>
            <w:tcW w:w="892" w:type="dxa"/>
            <w:tcBorders>
              <w:top w:val="nil"/>
              <w:left w:val="nil"/>
              <w:bottom w:val="single" w:sz="4" w:space="0" w:color="auto"/>
              <w:right w:val="single" w:sz="4" w:space="0" w:color="auto"/>
            </w:tcBorders>
            <w:shd w:val="clear" w:color="000000" w:fill="B4C6E7"/>
            <w:vAlign w:val="bottom"/>
            <w:hideMark/>
          </w:tcPr>
          <w:p w14:paraId="2487D308"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Outputs Met</w:t>
            </w:r>
          </w:p>
        </w:tc>
        <w:tc>
          <w:tcPr>
            <w:tcW w:w="1063" w:type="dxa"/>
            <w:tcBorders>
              <w:top w:val="nil"/>
              <w:left w:val="nil"/>
              <w:bottom w:val="single" w:sz="4" w:space="0" w:color="auto"/>
              <w:right w:val="single" w:sz="4" w:space="0" w:color="auto"/>
            </w:tcBorders>
            <w:shd w:val="clear" w:color="000000" w:fill="B4C6E7"/>
            <w:vAlign w:val="bottom"/>
            <w:hideMark/>
          </w:tcPr>
          <w:p w14:paraId="09B7A643"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Short-Term Outcomes</w:t>
            </w:r>
          </w:p>
        </w:tc>
        <w:tc>
          <w:tcPr>
            <w:tcW w:w="1063" w:type="dxa"/>
            <w:tcBorders>
              <w:top w:val="nil"/>
              <w:left w:val="nil"/>
              <w:bottom w:val="single" w:sz="4" w:space="0" w:color="auto"/>
              <w:right w:val="single" w:sz="4" w:space="0" w:color="auto"/>
            </w:tcBorders>
            <w:shd w:val="clear" w:color="000000" w:fill="B4C6E7"/>
            <w:vAlign w:val="bottom"/>
            <w:hideMark/>
          </w:tcPr>
          <w:p w14:paraId="65720F56"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Short-Term Outcomes Met</w:t>
            </w:r>
          </w:p>
        </w:tc>
        <w:tc>
          <w:tcPr>
            <w:tcW w:w="1063" w:type="dxa"/>
            <w:tcBorders>
              <w:top w:val="nil"/>
              <w:left w:val="nil"/>
              <w:bottom w:val="single" w:sz="4" w:space="0" w:color="auto"/>
              <w:right w:val="single" w:sz="4" w:space="0" w:color="auto"/>
            </w:tcBorders>
            <w:shd w:val="clear" w:color="000000" w:fill="B4C6E7"/>
            <w:vAlign w:val="bottom"/>
            <w:hideMark/>
          </w:tcPr>
          <w:p w14:paraId="63C33C84"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%Short-Term Outcomes Achieved</w:t>
            </w:r>
          </w:p>
        </w:tc>
      </w:tr>
      <w:tr w:rsidR="00BA0D82" w:rsidRPr="0005691D" w14:paraId="3887400E" w14:textId="77777777" w:rsidTr="001A5653">
        <w:trPr>
          <w:trHeight w:val="300"/>
        </w:trPr>
        <w:tc>
          <w:tcPr>
            <w:tcW w:w="2506" w:type="dxa"/>
            <w:tcBorders>
              <w:top w:val="nil"/>
              <w:left w:val="single" w:sz="4" w:space="0" w:color="auto"/>
              <w:bottom w:val="single" w:sz="4" w:space="0" w:color="auto"/>
              <w:right w:val="single" w:sz="4" w:space="0" w:color="auto"/>
            </w:tcBorders>
            <w:shd w:val="clear" w:color="000000" w:fill="B4C6E7"/>
            <w:noWrap/>
            <w:vAlign w:val="center"/>
            <w:hideMark/>
          </w:tcPr>
          <w:p w14:paraId="0EE87837" w14:textId="77777777" w:rsidR="00BA0D82" w:rsidRPr="0005691D" w:rsidRDefault="00BA0D82" w:rsidP="001A5653">
            <w:pPr>
              <w:spacing w:after="0" w:line="240" w:lineRule="auto"/>
              <w:jc w:val="right"/>
              <w:rPr>
                <w:rFonts w:ascii="Calibri" w:eastAsia="Times New Roman" w:hAnsi="Calibri" w:cs="Calibri"/>
                <w:b/>
                <w:bCs/>
                <w:color w:val="000000"/>
              </w:rPr>
            </w:pPr>
            <w:r w:rsidRPr="0005691D">
              <w:rPr>
                <w:rFonts w:ascii="Calibri" w:eastAsia="Times New Roman" w:hAnsi="Calibri" w:cs="Calibri"/>
                <w:b/>
                <w:bCs/>
                <w:color w:val="000000"/>
              </w:rPr>
              <w:t>Pre-ETS</w:t>
            </w:r>
          </w:p>
        </w:tc>
        <w:tc>
          <w:tcPr>
            <w:tcW w:w="1165" w:type="dxa"/>
            <w:tcBorders>
              <w:top w:val="nil"/>
              <w:left w:val="nil"/>
              <w:bottom w:val="single" w:sz="4" w:space="0" w:color="auto"/>
              <w:right w:val="single" w:sz="4" w:space="0" w:color="auto"/>
            </w:tcBorders>
            <w:shd w:val="clear" w:color="000000" w:fill="FFFFFF"/>
            <w:noWrap/>
            <w:vAlign w:val="center"/>
            <w:hideMark/>
          </w:tcPr>
          <w:p w14:paraId="075895AC"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7</w:t>
            </w:r>
          </w:p>
        </w:tc>
        <w:tc>
          <w:tcPr>
            <w:tcW w:w="1254" w:type="dxa"/>
            <w:tcBorders>
              <w:top w:val="nil"/>
              <w:left w:val="nil"/>
              <w:bottom w:val="single" w:sz="4" w:space="0" w:color="auto"/>
              <w:right w:val="single" w:sz="4" w:space="0" w:color="auto"/>
            </w:tcBorders>
            <w:shd w:val="clear" w:color="000000" w:fill="FFFFFF"/>
            <w:noWrap/>
            <w:vAlign w:val="center"/>
            <w:hideMark/>
          </w:tcPr>
          <w:p w14:paraId="6C72AA18"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100%</w:t>
            </w:r>
          </w:p>
        </w:tc>
        <w:tc>
          <w:tcPr>
            <w:tcW w:w="897" w:type="dxa"/>
            <w:tcBorders>
              <w:top w:val="nil"/>
              <w:left w:val="nil"/>
              <w:bottom w:val="single" w:sz="4" w:space="0" w:color="auto"/>
              <w:right w:val="single" w:sz="4" w:space="0" w:color="auto"/>
            </w:tcBorders>
            <w:shd w:val="clear" w:color="000000" w:fill="FFFFFF"/>
            <w:noWrap/>
            <w:vAlign w:val="center"/>
            <w:hideMark/>
          </w:tcPr>
          <w:p w14:paraId="05F446EB"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7</w:t>
            </w:r>
          </w:p>
        </w:tc>
        <w:tc>
          <w:tcPr>
            <w:tcW w:w="897" w:type="dxa"/>
            <w:tcBorders>
              <w:top w:val="nil"/>
              <w:left w:val="nil"/>
              <w:bottom w:val="single" w:sz="4" w:space="0" w:color="auto"/>
              <w:right w:val="single" w:sz="4" w:space="0" w:color="auto"/>
            </w:tcBorders>
            <w:shd w:val="clear" w:color="000000" w:fill="FFFFFF"/>
            <w:noWrap/>
            <w:vAlign w:val="center"/>
            <w:hideMark/>
          </w:tcPr>
          <w:p w14:paraId="075163F1"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7</w:t>
            </w:r>
          </w:p>
        </w:tc>
        <w:tc>
          <w:tcPr>
            <w:tcW w:w="892" w:type="dxa"/>
            <w:tcBorders>
              <w:top w:val="nil"/>
              <w:left w:val="nil"/>
              <w:bottom w:val="single" w:sz="4" w:space="0" w:color="auto"/>
              <w:right w:val="single" w:sz="4" w:space="0" w:color="auto"/>
            </w:tcBorders>
            <w:shd w:val="clear" w:color="000000" w:fill="FFFFFF"/>
            <w:noWrap/>
            <w:vAlign w:val="center"/>
            <w:hideMark/>
          </w:tcPr>
          <w:p w14:paraId="5873BB5D"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100%</w:t>
            </w:r>
          </w:p>
        </w:tc>
        <w:tc>
          <w:tcPr>
            <w:tcW w:w="1063" w:type="dxa"/>
            <w:tcBorders>
              <w:top w:val="nil"/>
              <w:left w:val="nil"/>
              <w:bottom w:val="single" w:sz="4" w:space="0" w:color="auto"/>
              <w:right w:val="single" w:sz="4" w:space="0" w:color="auto"/>
            </w:tcBorders>
            <w:shd w:val="clear" w:color="000000" w:fill="FFFFFF"/>
            <w:noWrap/>
            <w:vAlign w:val="center"/>
            <w:hideMark/>
          </w:tcPr>
          <w:p w14:paraId="6AE7BC12"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4</w:t>
            </w:r>
          </w:p>
        </w:tc>
        <w:tc>
          <w:tcPr>
            <w:tcW w:w="1063" w:type="dxa"/>
            <w:tcBorders>
              <w:top w:val="nil"/>
              <w:left w:val="nil"/>
              <w:bottom w:val="single" w:sz="4" w:space="0" w:color="auto"/>
              <w:right w:val="single" w:sz="4" w:space="0" w:color="auto"/>
            </w:tcBorders>
            <w:shd w:val="clear" w:color="000000" w:fill="FFFFFF"/>
            <w:noWrap/>
            <w:vAlign w:val="center"/>
            <w:hideMark/>
          </w:tcPr>
          <w:p w14:paraId="5726DDD9"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w:t>
            </w:r>
          </w:p>
        </w:tc>
        <w:tc>
          <w:tcPr>
            <w:tcW w:w="1063" w:type="dxa"/>
            <w:tcBorders>
              <w:top w:val="nil"/>
              <w:left w:val="nil"/>
              <w:bottom w:val="single" w:sz="4" w:space="0" w:color="auto"/>
              <w:right w:val="single" w:sz="4" w:space="0" w:color="auto"/>
            </w:tcBorders>
            <w:shd w:val="clear" w:color="000000" w:fill="FFFFFF"/>
            <w:noWrap/>
            <w:vAlign w:val="center"/>
            <w:hideMark/>
          </w:tcPr>
          <w:p w14:paraId="0919A979"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25%</w:t>
            </w:r>
          </w:p>
        </w:tc>
      </w:tr>
      <w:tr w:rsidR="00BA0D82" w:rsidRPr="0005691D" w14:paraId="6E97A287" w14:textId="77777777" w:rsidTr="001A5653">
        <w:trPr>
          <w:trHeight w:val="300"/>
        </w:trPr>
        <w:tc>
          <w:tcPr>
            <w:tcW w:w="2506" w:type="dxa"/>
            <w:tcBorders>
              <w:top w:val="nil"/>
              <w:left w:val="single" w:sz="4" w:space="0" w:color="auto"/>
              <w:bottom w:val="single" w:sz="4" w:space="0" w:color="auto"/>
              <w:right w:val="single" w:sz="4" w:space="0" w:color="auto"/>
            </w:tcBorders>
            <w:shd w:val="clear" w:color="000000" w:fill="B4C6E7"/>
            <w:noWrap/>
            <w:vAlign w:val="center"/>
            <w:hideMark/>
          </w:tcPr>
          <w:p w14:paraId="37B11C4C" w14:textId="77777777" w:rsidR="00BA0D82" w:rsidRPr="0005691D" w:rsidRDefault="00BA0D82" w:rsidP="001A5653">
            <w:pPr>
              <w:spacing w:after="0" w:line="240" w:lineRule="auto"/>
              <w:jc w:val="right"/>
              <w:rPr>
                <w:rFonts w:ascii="Calibri" w:eastAsia="Times New Roman" w:hAnsi="Calibri" w:cs="Calibri"/>
                <w:b/>
                <w:bCs/>
                <w:color w:val="000000"/>
              </w:rPr>
            </w:pPr>
            <w:r w:rsidRPr="0005691D">
              <w:rPr>
                <w:rFonts w:ascii="Calibri" w:eastAsia="Times New Roman" w:hAnsi="Calibri" w:cs="Calibri"/>
                <w:b/>
                <w:bCs/>
                <w:color w:val="000000"/>
              </w:rPr>
              <w:t>Section 511</w:t>
            </w:r>
          </w:p>
        </w:tc>
        <w:tc>
          <w:tcPr>
            <w:tcW w:w="1165" w:type="dxa"/>
            <w:tcBorders>
              <w:top w:val="nil"/>
              <w:left w:val="nil"/>
              <w:bottom w:val="single" w:sz="4" w:space="0" w:color="auto"/>
              <w:right w:val="single" w:sz="4" w:space="0" w:color="auto"/>
            </w:tcBorders>
            <w:shd w:val="clear" w:color="000000" w:fill="D9E2F3"/>
            <w:noWrap/>
            <w:vAlign w:val="center"/>
            <w:hideMark/>
          </w:tcPr>
          <w:p w14:paraId="209766D4"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2</w:t>
            </w:r>
          </w:p>
        </w:tc>
        <w:tc>
          <w:tcPr>
            <w:tcW w:w="1254" w:type="dxa"/>
            <w:tcBorders>
              <w:top w:val="nil"/>
              <w:left w:val="nil"/>
              <w:bottom w:val="single" w:sz="4" w:space="0" w:color="auto"/>
              <w:right w:val="single" w:sz="4" w:space="0" w:color="auto"/>
            </w:tcBorders>
            <w:shd w:val="clear" w:color="000000" w:fill="D9E2F3"/>
            <w:noWrap/>
            <w:vAlign w:val="center"/>
            <w:hideMark/>
          </w:tcPr>
          <w:p w14:paraId="6B5096F9"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100%</w:t>
            </w:r>
          </w:p>
        </w:tc>
        <w:tc>
          <w:tcPr>
            <w:tcW w:w="897" w:type="dxa"/>
            <w:tcBorders>
              <w:top w:val="nil"/>
              <w:left w:val="nil"/>
              <w:bottom w:val="single" w:sz="4" w:space="0" w:color="auto"/>
              <w:right w:val="single" w:sz="4" w:space="0" w:color="auto"/>
            </w:tcBorders>
            <w:shd w:val="clear" w:color="000000" w:fill="D9E2F3"/>
            <w:noWrap/>
            <w:vAlign w:val="center"/>
            <w:hideMark/>
          </w:tcPr>
          <w:p w14:paraId="0DBCC4FF"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2</w:t>
            </w:r>
          </w:p>
        </w:tc>
        <w:tc>
          <w:tcPr>
            <w:tcW w:w="897" w:type="dxa"/>
            <w:tcBorders>
              <w:top w:val="nil"/>
              <w:left w:val="nil"/>
              <w:bottom w:val="single" w:sz="4" w:space="0" w:color="auto"/>
              <w:right w:val="single" w:sz="4" w:space="0" w:color="auto"/>
            </w:tcBorders>
            <w:shd w:val="clear" w:color="000000" w:fill="D9E2F3"/>
            <w:noWrap/>
            <w:vAlign w:val="center"/>
            <w:hideMark/>
          </w:tcPr>
          <w:p w14:paraId="1DDE2BE7"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2</w:t>
            </w:r>
          </w:p>
        </w:tc>
        <w:tc>
          <w:tcPr>
            <w:tcW w:w="892" w:type="dxa"/>
            <w:tcBorders>
              <w:top w:val="nil"/>
              <w:left w:val="nil"/>
              <w:bottom w:val="single" w:sz="4" w:space="0" w:color="auto"/>
              <w:right w:val="single" w:sz="4" w:space="0" w:color="auto"/>
            </w:tcBorders>
            <w:shd w:val="clear" w:color="000000" w:fill="D9E2F3"/>
            <w:noWrap/>
            <w:vAlign w:val="center"/>
            <w:hideMark/>
          </w:tcPr>
          <w:p w14:paraId="6F46F869"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100%</w:t>
            </w:r>
          </w:p>
        </w:tc>
        <w:tc>
          <w:tcPr>
            <w:tcW w:w="1063" w:type="dxa"/>
            <w:tcBorders>
              <w:top w:val="nil"/>
              <w:left w:val="nil"/>
              <w:bottom w:val="single" w:sz="4" w:space="0" w:color="auto"/>
              <w:right w:val="single" w:sz="4" w:space="0" w:color="auto"/>
            </w:tcBorders>
            <w:shd w:val="clear" w:color="000000" w:fill="D9E2F3"/>
            <w:noWrap/>
            <w:vAlign w:val="center"/>
            <w:hideMark/>
          </w:tcPr>
          <w:p w14:paraId="10B4B687"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2</w:t>
            </w:r>
          </w:p>
        </w:tc>
        <w:tc>
          <w:tcPr>
            <w:tcW w:w="1063" w:type="dxa"/>
            <w:tcBorders>
              <w:top w:val="nil"/>
              <w:left w:val="nil"/>
              <w:bottom w:val="single" w:sz="4" w:space="0" w:color="auto"/>
              <w:right w:val="single" w:sz="4" w:space="0" w:color="auto"/>
            </w:tcBorders>
            <w:shd w:val="clear" w:color="000000" w:fill="D9E2F3"/>
            <w:noWrap/>
            <w:vAlign w:val="center"/>
            <w:hideMark/>
          </w:tcPr>
          <w:p w14:paraId="7FCB1F8C"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2</w:t>
            </w:r>
          </w:p>
        </w:tc>
        <w:tc>
          <w:tcPr>
            <w:tcW w:w="1063" w:type="dxa"/>
            <w:tcBorders>
              <w:top w:val="nil"/>
              <w:left w:val="nil"/>
              <w:bottom w:val="single" w:sz="4" w:space="0" w:color="auto"/>
              <w:right w:val="single" w:sz="4" w:space="0" w:color="auto"/>
            </w:tcBorders>
            <w:shd w:val="clear" w:color="000000" w:fill="D9E2F3"/>
            <w:noWrap/>
            <w:vAlign w:val="center"/>
            <w:hideMark/>
          </w:tcPr>
          <w:p w14:paraId="2E863B24"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100%</w:t>
            </w:r>
          </w:p>
        </w:tc>
      </w:tr>
      <w:tr w:rsidR="00BA0D82" w:rsidRPr="0005691D" w14:paraId="5DB4A3E2" w14:textId="77777777" w:rsidTr="001A5653">
        <w:trPr>
          <w:trHeight w:val="300"/>
        </w:trPr>
        <w:tc>
          <w:tcPr>
            <w:tcW w:w="2506" w:type="dxa"/>
            <w:tcBorders>
              <w:top w:val="nil"/>
              <w:left w:val="single" w:sz="4" w:space="0" w:color="auto"/>
              <w:bottom w:val="single" w:sz="4" w:space="0" w:color="auto"/>
              <w:right w:val="single" w:sz="4" w:space="0" w:color="auto"/>
            </w:tcBorders>
            <w:shd w:val="clear" w:color="000000" w:fill="B4C6E7"/>
            <w:noWrap/>
            <w:vAlign w:val="center"/>
            <w:hideMark/>
          </w:tcPr>
          <w:p w14:paraId="4A42F5B3" w14:textId="77777777" w:rsidR="00BA0D82" w:rsidRPr="0005691D" w:rsidRDefault="00BA0D82" w:rsidP="001A5653">
            <w:pPr>
              <w:spacing w:after="0" w:line="240" w:lineRule="auto"/>
              <w:jc w:val="right"/>
              <w:rPr>
                <w:rFonts w:ascii="Calibri" w:eastAsia="Times New Roman" w:hAnsi="Calibri" w:cs="Calibri"/>
                <w:b/>
                <w:bCs/>
                <w:color w:val="000000"/>
              </w:rPr>
            </w:pPr>
            <w:r w:rsidRPr="0005691D">
              <w:rPr>
                <w:rFonts w:ascii="Calibri" w:eastAsia="Times New Roman" w:hAnsi="Calibri" w:cs="Calibri"/>
                <w:b/>
                <w:bCs/>
                <w:color w:val="000000"/>
              </w:rPr>
              <w:t>Common Performance Measures</w:t>
            </w:r>
          </w:p>
        </w:tc>
        <w:tc>
          <w:tcPr>
            <w:tcW w:w="1165" w:type="dxa"/>
            <w:tcBorders>
              <w:top w:val="nil"/>
              <w:left w:val="nil"/>
              <w:bottom w:val="single" w:sz="4" w:space="0" w:color="auto"/>
              <w:right w:val="single" w:sz="4" w:space="0" w:color="auto"/>
            </w:tcBorders>
            <w:shd w:val="clear" w:color="000000" w:fill="FFFFFF"/>
            <w:noWrap/>
            <w:vAlign w:val="center"/>
            <w:hideMark/>
          </w:tcPr>
          <w:p w14:paraId="05D8BA29"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5</w:t>
            </w:r>
          </w:p>
        </w:tc>
        <w:tc>
          <w:tcPr>
            <w:tcW w:w="1254" w:type="dxa"/>
            <w:tcBorders>
              <w:top w:val="nil"/>
              <w:left w:val="nil"/>
              <w:bottom w:val="single" w:sz="4" w:space="0" w:color="auto"/>
              <w:right w:val="single" w:sz="4" w:space="0" w:color="auto"/>
            </w:tcBorders>
            <w:shd w:val="clear" w:color="000000" w:fill="FFFFFF"/>
            <w:noWrap/>
            <w:vAlign w:val="center"/>
            <w:hideMark/>
          </w:tcPr>
          <w:p w14:paraId="666A5A1C"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70%</w:t>
            </w:r>
          </w:p>
        </w:tc>
        <w:tc>
          <w:tcPr>
            <w:tcW w:w="897" w:type="dxa"/>
            <w:tcBorders>
              <w:top w:val="nil"/>
              <w:left w:val="nil"/>
              <w:bottom w:val="single" w:sz="4" w:space="0" w:color="auto"/>
              <w:right w:val="single" w:sz="4" w:space="0" w:color="auto"/>
            </w:tcBorders>
            <w:shd w:val="clear" w:color="000000" w:fill="FFFFFF"/>
            <w:noWrap/>
            <w:vAlign w:val="center"/>
            <w:hideMark/>
          </w:tcPr>
          <w:p w14:paraId="190FCC40"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5</w:t>
            </w:r>
          </w:p>
        </w:tc>
        <w:tc>
          <w:tcPr>
            <w:tcW w:w="897" w:type="dxa"/>
            <w:tcBorders>
              <w:top w:val="nil"/>
              <w:left w:val="nil"/>
              <w:bottom w:val="single" w:sz="4" w:space="0" w:color="auto"/>
              <w:right w:val="single" w:sz="4" w:space="0" w:color="auto"/>
            </w:tcBorders>
            <w:shd w:val="clear" w:color="000000" w:fill="FFFFFF"/>
            <w:noWrap/>
            <w:vAlign w:val="center"/>
            <w:hideMark/>
          </w:tcPr>
          <w:p w14:paraId="0E1B7231"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3</w:t>
            </w:r>
          </w:p>
        </w:tc>
        <w:tc>
          <w:tcPr>
            <w:tcW w:w="892" w:type="dxa"/>
            <w:tcBorders>
              <w:top w:val="nil"/>
              <w:left w:val="nil"/>
              <w:bottom w:val="single" w:sz="4" w:space="0" w:color="auto"/>
              <w:right w:val="single" w:sz="4" w:space="0" w:color="auto"/>
            </w:tcBorders>
            <w:shd w:val="clear" w:color="000000" w:fill="FFFFFF"/>
            <w:noWrap/>
            <w:vAlign w:val="center"/>
            <w:hideMark/>
          </w:tcPr>
          <w:p w14:paraId="4DF88B74"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60%</w:t>
            </w:r>
          </w:p>
        </w:tc>
        <w:tc>
          <w:tcPr>
            <w:tcW w:w="1063" w:type="dxa"/>
            <w:tcBorders>
              <w:top w:val="nil"/>
              <w:left w:val="nil"/>
              <w:bottom w:val="single" w:sz="4" w:space="0" w:color="auto"/>
              <w:right w:val="single" w:sz="4" w:space="0" w:color="auto"/>
            </w:tcBorders>
            <w:shd w:val="clear" w:color="000000" w:fill="FFFFFF"/>
            <w:noWrap/>
            <w:vAlign w:val="center"/>
            <w:hideMark/>
          </w:tcPr>
          <w:p w14:paraId="530AD02F"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2</w:t>
            </w:r>
          </w:p>
        </w:tc>
        <w:tc>
          <w:tcPr>
            <w:tcW w:w="1063" w:type="dxa"/>
            <w:tcBorders>
              <w:top w:val="nil"/>
              <w:left w:val="nil"/>
              <w:bottom w:val="single" w:sz="4" w:space="0" w:color="auto"/>
              <w:right w:val="single" w:sz="4" w:space="0" w:color="auto"/>
            </w:tcBorders>
            <w:shd w:val="clear" w:color="000000" w:fill="FFFFFF"/>
            <w:noWrap/>
            <w:vAlign w:val="center"/>
            <w:hideMark/>
          </w:tcPr>
          <w:p w14:paraId="60E17C41"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w:t>
            </w:r>
          </w:p>
        </w:tc>
        <w:tc>
          <w:tcPr>
            <w:tcW w:w="1063" w:type="dxa"/>
            <w:tcBorders>
              <w:top w:val="nil"/>
              <w:left w:val="nil"/>
              <w:bottom w:val="single" w:sz="4" w:space="0" w:color="auto"/>
              <w:right w:val="single" w:sz="4" w:space="0" w:color="auto"/>
            </w:tcBorders>
            <w:shd w:val="clear" w:color="000000" w:fill="FFFFFF"/>
            <w:noWrap/>
            <w:vAlign w:val="center"/>
            <w:hideMark/>
          </w:tcPr>
          <w:p w14:paraId="4568BA01"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50%</w:t>
            </w:r>
          </w:p>
        </w:tc>
      </w:tr>
      <w:tr w:rsidR="00BA0D82" w:rsidRPr="0005691D" w14:paraId="1A2728A3" w14:textId="77777777" w:rsidTr="001A5653">
        <w:trPr>
          <w:trHeight w:val="300"/>
        </w:trPr>
        <w:tc>
          <w:tcPr>
            <w:tcW w:w="2506" w:type="dxa"/>
            <w:tcBorders>
              <w:top w:val="nil"/>
              <w:left w:val="single" w:sz="4" w:space="0" w:color="auto"/>
              <w:bottom w:val="single" w:sz="4" w:space="0" w:color="auto"/>
              <w:right w:val="single" w:sz="4" w:space="0" w:color="auto"/>
            </w:tcBorders>
            <w:shd w:val="clear" w:color="000000" w:fill="B4C6E7"/>
            <w:noWrap/>
            <w:vAlign w:val="center"/>
            <w:hideMark/>
          </w:tcPr>
          <w:p w14:paraId="7600080A" w14:textId="77777777" w:rsidR="00BA0D82" w:rsidRPr="0005691D" w:rsidRDefault="00BA0D82" w:rsidP="001A5653">
            <w:pPr>
              <w:spacing w:after="0" w:line="240" w:lineRule="auto"/>
              <w:jc w:val="right"/>
              <w:rPr>
                <w:rFonts w:ascii="Calibri" w:eastAsia="Times New Roman" w:hAnsi="Calibri" w:cs="Calibri"/>
                <w:b/>
                <w:bCs/>
                <w:color w:val="000000"/>
              </w:rPr>
            </w:pPr>
            <w:r w:rsidRPr="0005691D">
              <w:rPr>
                <w:rFonts w:ascii="Calibri" w:eastAsia="Times New Roman" w:hAnsi="Calibri" w:cs="Calibri"/>
                <w:b/>
                <w:bCs/>
                <w:color w:val="000000"/>
              </w:rPr>
              <w:t>SARA</w:t>
            </w:r>
          </w:p>
        </w:tc>
        <w:tc>
          <w:tcPr>
            <w:tcW w:w="1165" w:type="dxa"/>
            <w:tcBorders>
              <w:top w:val="nil"/>
              <w:left w:val="nil"/>
              <w:bottom w:val="single" w:sz="4" w:space="0" w:color="auto"/>
              <w:right w:val="single" w:sz="4" w:space="0" w:color="auto"/>
            </w:tcBorders>
            <w:shd w:val="clear" w:color="000000" w:fill="D9E2F3"/>
            <w:noWrap/>
            <w:vAlign w:val="center"/>
            <w:hideMark/>
          </w:tcPr>
          <w:p w14:paraId="7A4159E5"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7</w:t>
            </w:r>
          </w:p>
        </w:tc>
        <w:tc>
          <w:tcPr>
            <w:tcW w:w="1254" w:type="dxa"/>
            <w:tcBorders>
              <w:top w:val="nil"/>
              <w:left w:val="nil"/>
              <w:bottom w:val="single" w:sz="4" w:space="0" w:color="auto"/>
              <w:right w:val="single" w:sz="4" w:space="0" w:color="auto"/>
            </w:tcBorders>
            <w:shd w:val="clear" w:color="000000" w:fill="D9E2F3"/>
            <w:noWrap/>
            <w:vAlign w:val="center"/>
            <w:hideMark/>
          </w:tcPr>
          <w:p w14:paraId="3822A68B"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100%</w:t>
            </w:r>
          </w:p>
        </w:tc>
        <w:tc>
          <w:tcPr>
            <w:tcW w:w="897" w:type="dxa"/>
            <w:tcBorders>
              <w:top w:val="nil"/>
              <w:left w:val="nil"/>
              <w:bottom w:val="single" w:sz="4" w:space="0" w:color="auto"/>
              <w:right w:val="single" w:sz="4" w:space="0" w:color="auto"/>
            </w:tcBorders>
            <w:shd w:val="clear" w:color="000000" w:fill="D9E2F3"/>
            <w:noWrap/>
            <w:vAlign w:val="center"/>
            <w:hideMark/>
          </w:tcPr>
          <w:p w14:paraId="245C022E"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7</w:t>
            </w:r>
          </w:p>
        </w:tc>
        <w:tc>
          <w:tcPr>
            <w:tcW w:w="897" w:type="dxa"/>
            <w:tcBorders>
              <w:top w:val="nil"/>
              <w:left w:val="nil"/>
              <w:bottom w:val="single" w:sz="4" w:space="0" w:color="auto"/>
              <w:right w:val="single" w:sz="4" w:space="0" w:color="auto"/>
            </w:tcBorders>
            <w:shd w:val="clear" w:color="000000" w:fill="D9E2F3"/>
            <w:noWrap/>
            <w:vAlign w:val="center"/>
            <w:hideMark/>
          </w:tcPr>
          <w:p w14:paraId="78CC76D3"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7</w:t>
            </w:r>
          </w:p>
        </w:tc>
        <w:tc>
          <w:tcPr>
            <w:tcW w:w="892" w:type="dxa"/>
            <w:tcBorders>
              <w:top w:val="nil"/>
              <w:left w:val="nil"/>
              <w:bottom w:val="single" w:sz="4" w:space="0" w:color="auto"/>
              <w:right w:val="single" w:sz="4" w:space="0" w:color="auto"/>
            </w:tcBorders>
            <w:shd w:val="clear" w:color="000000" w:fill="D9E2F3"/>
            <w:noWrap/>
            <w:vAlign w:val="center"/>
            <w:hideMark/>
          </w:tcPr>
          <w:p w14:paraId="56F76DDE"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100%</w:t>
            </w:r>
          </w:p>
        </w:tc>
        <w:tc>
          <w:tcPr>
            <w:tcW w:w="1063" w:type="dxa"/>
            <w:tcBorders>
              <w:top w:val="nil"/>
              <w:left w:val="nil"/>
              <w:bottom w:val="single" w:sz="4" w:space="0" w:color="auto"/>
              <w:right w:val="single" w:sz="4" w:space="0" w:color="auto"/>
            </w:tcBorders>
            <w:shd w:val="clear" w:color="000000" w:fill="D9E2F3"/>
            <w:noWrap/>
            <w:vAlign w:val="center"/>
            <w:hideMark/>
          </w:tcPr>
          <w:p w14:paraId="6D3EC92B"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7</w:t>
            </w:r>
          </w:p>
        </w:tc>
        <w:tc>
          <w:tcPr>
            <w:tcW w:w="1063" w:type="dxa"/>
            <w:tcBorders>
              <w:top w:val="nil"/>
              <w:left w:val="nil"/>
              <w:bottom w:val="single" w:sz="4" w:space="0" w:color="auto"/>
              <w:right w:val="single" w:sz="4" w:space="0" w:color="auto"/>
            </w:tcBorders>
            <w:shd w:val="clear" w:color="000000" w:fill="D9E2F3"/>
            <w:noWrap/>
            <w:vAlign w:val="center"/>
            <w:hideMark/>
          </w:tcPr>
          <w:p w14:paraId="1CB86990"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6</w:t>
            </w:r>
          </w:p>
        </w:tc>
        <w:tc>
          <w:tcPr>
            <w:tcW w:w="1063" w:type="dxa"/>
            <w:tcBorders>
              <w:top w:val="nil"/>
              <w:left w:val="nil"/>
              <w:bottom w:val="single" w:sz="4" w:space="0" w:color="auto"/>
              <w:right w:val="single" w:sz="4" w:space="0" w:color="auto"/>
            </w:tcBorders>
            <w:shd w:val="clear" w:color="000000" w:fill="D9E2F3"/>
            <w:noWrap/>
            <w:vAlign w:val="center"/>
            <w:hideMark/>
          </w:tcPr>
          <w:p w14:paraId="69B6855D"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86%</w:t>
            </w:r>
          </w:p>
        </w:tc>
      </w:tr>
      <w:tr w:rsidR="00BA0D82" w:rsidRPr="0005691D" w14:paraId="06751A9D" w14:textId="77777777" w:rsidTr="001A5653">
        <w:trPr>
          <w:trHeight w:val="300"/>
        </w:trPr>
        <w:tc>
          <w:tcPr>
            <w:tcW w:w="2506" w:type="dxa"/>
            <w:tcBorders>
              <w:top w:val="nil"/>
              <w:left w:val="single" w:sz="4" w:space="0" w:color="auto"/>
              <w:bottom w:val="single" w:sz="4" w:space="0" w:color="auto"/>
              <w:right w:val="single" w:sz="4" w:space="0" w:color="auto"/>
            </w:tcBorders>
            <w:shd w:val="clear" w:color="000000" w:fill="B4C6E7"/>
            <w:noWrap/>
            <w:vAlign w:val="center"/>
            <w:hideMark/>
          </w:tcPr>
          <w:p w14:paraId="6B4EC59C" w14:textId="77777777" w:rsidR="00BA0D82" w:rsidRPr="0005691D" w:rsidRDefault="00BA0D82" w:rsidP="001A5653">
            <w:pPr>
              <w:spacing w:after="0" w:line="240" w:lineRule="auto"/>
              <w:jc w:val="right"/>
              <w:rPr>
                <w:rFonts w:ascii="Calibri" w:eastAsia="Times New Roman" w:hAnsi="Calibri" w:cs="Calibri"/>
                <w:b/>
                <w:bCs/>
                <w:color w:val="000000"/>
              </w:rPr>
            </w:pPr>
            <w:r w:rsidRPr="0005691D">
              <w:rPr>
                <w:rFonts w:ascii="Calibri" w:eastAsia="Times New Roman" w:hAnsi="Calibri" w:cs="Calibri"/>
                <w:b/>
                <w:bCs/>
                <w:color w:val="000000"/>
              </w:rPr>
              <w:t>Customized Employment</w:t>
            </w:r>
          </w:p>
        </w:tc>
        <w:tc>
          <w:tcPr>
            <w:tcW w:w="1165" w:type="dxa"/>
            <w:tcBorders>
              <w:top w:val="nil"/>
              <w:left w:val="nil"/>
              <w:bottom w:val="single" w:sz="4" w:space="0" w:color="auto"/>
              <w:right w:val="single" w:sz="4" w:space="0" w:color="auto"/>
            </w:tcBorders>
            <w:shd w:val="clear" w:color="000000" w:fill="FFFFFF"/>
            <w:noWrap/>
            <w:vAlign w:val="center"/>
            <w:hideMark/>
          </w:tcPr>
          <w:p w14:paraId="47FFEE0D"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3</w:t>
            </w:r>
          </w:p>
        </w:tc>
        <w:tc>
          <w:tcPr>
            <w:tcW w:w="1254" w:type="dxa"/>
            <w:tcBorders>
              <w:top w:val="nil"/>
              <w:left w:val="nil"/>
              <w:bottom w:val="single" w:sz="4" w:space="0" w:color="auto"/>
              <w:right w:val="single" w:sz="4" w:space="0" w:color="auto"/>
            </w:tcBorders>
            <w:shd w:val="clear" w:color="000000" w:fill="FFFFFF"/>
            <w:noWrap/>
            <w:vAlign w:val="center"/>
            <w:hideMark/>
          </w:tcPr>
          <w:p w14:paraId="405C56A5"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58%</w:t>
            </w:r>
          </w:p>
        </w:tc>
        <w:tc>
          <w:tcPr>
            <w:tcW w:w="897" w:type="dxa"/>
            <w:tcBorders>
              <w:top w:val="nil"/>
              <w:left w:val="nil"/>
              <w:bottom w:val="single" w:sz="4" w:space="0" w:color="auto"/>
              <w:right w:val="single" w:sz="4" w:space="0" w:color="auto"/>
            </w:tcBorders>
            <w:shd w:val="clear" w:color="000000" w:fill="FFFFFF"/>
            <w:noWrap/>
            <w:vAlign w:val="center"/>
            <w:hideMark/>
          </w:tcPr>
          <w:p w14:paraId="3174BD54"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3</w:t>
            </w:r>
          </w:p>
        </w:tc>
        <w:tc>
          <w:tcPr>
            <w:tcW w:w="897" w:type="dxa"/>
            <w:tcBorders>
              <w:top w:val="nil"/>
              <w:left w:val="nil"/>
              <w:bottom w:val="single" w:sz="4" w:space="0" w:color="auto"/>
              <w:right w:val="single" w:sz="4" w:space="0" w:color="auto"/>
            </w:tcBorders>
            <w:shd w:val="clear" w:color="000000" w:fill="FFFFFF"/>
            <w:noWrap/>
            <w:vAlign w:val="center"/>
            <w:hideMark/>
          </w:tcPr>
          <w:p w14:paraId="668FFAA2"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w:t>
            </w:r>
          </w:p>
        </w:tc>
        <w:tc>
          <w:tcPr>
            <w:tcW w:w="892" w:type="dxa"/>
            <w:tcBorders>
              <w:top w:val="nil"/>
              <w:left w:val="nil"/>
              <w:bottom w:val="single" w:sz="4" w:space="0" w:color="auto"/>
              <w:right w:val="single" w:sz="4" w:space="0" w:color="auto"/>
            </w:tcBorders>
            <w:shd w:val="clear" w:color="000000" w:fill="FFFFFF"/>
            <w:noWrap/>
            <w:vAlign w:val="center"/>
            <w:hideMark/>
          </w:tcPr>
          <w:p w14:paraId="3C8EFEC1"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33%</w:t>
            </w:r>
          </w:p>
        </w:tc>
        <w:tc>
          <w:tcPr>
            <w:tcW w:w="1063" w:type="dxa"/>
            <w:tcBorders>
              <w:top w:val="nil"/>
              <w:left w:val="nil"/>
              <w:bottom w:val="single" w:sz="4" w:space="0" w:color="auto"/>
              <w:right w:val="single" w:sz="4" w:space="0" w:color="auto"/>
            </w:tcBorders>
            <w:shd w:val="clear" w:color="000000" w:fill="FFFFFF"/>
            <w:noWrap/>
            <w:vAlign w:val="center"/>
            <w:hideMark/>
          </w:tcPr>
          <w:p w14:paraId="54D00D26"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3</w:t>
            </w:r>
          </w:p>
        </w:tc>
        <w:tc>
          <w:tcPr>
            <w:tcW w:w="1063" w:type="dxa"/>
            <w:tcBorders>
              <w:top w:val="nil"/>
              <w:left w:val="nil"/>
              <w:bottom w:val="single" w:sz="4" w:space="0" w:color="auto"/>
              <w:right w:val="single" w:sz="4" w:space="0" w:color="auto"/>
            </w:tcBorders>
            <w:shd w:val="clear" w:color="000000" w:fill="FFFFFF"/>
            <w:noWrap/>
            <w:vAlign w:val="center"/>
            <w:hideMark/>
          </w:tcPr>
          <w:p w14:paraId="4C955F3E"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w:t>
            </w:r>
          </w:p>
        </w:tc>
        <w:tc>
          <w:tcPr>
            <w:tcW w:w="1063" w:type="dxa"/>
            <w:tcBorders>
              <w:top w:val="nil"/>
              <w:left w:val="nil"/>
              <w:bottom w:val="single" w:sz="4" w:space="0" w:color="auto"/>
              <w:right w:val="single" w:sz="4" w:space="0" w:color="auto"/>
            </w:tcBorders>
            <w:shd w:val="clear" w:color="000000" w:fill="FFFFFF"/>
            <w:noWrap/>
            <w:vAlign w:val="center"/>
            <w:hideMark/>
          </w:tcPr>
          <w:p w14:paraId="1973B1B5"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33%</w:t>
            </w:r>
          </w:p>
        </w:tc>
      </w:tr>
      <w:tr w:rsidR="00BA0D82" w:rsidRPr="0005691D" w14:paraId="04427094" w14:textId="77777777" w:rsidTr="001A5653">
        <w:trPr>
          <w:trHeight w:val="300"/>
        </w:trPr>
        <w:tc>
          <w:tcPr>
            <w:tcW w:w="2506" w:type="dxa"/>
            <w:tcBorders>
              <w:top w:val="nil"/>
              <w:left w:val="nil"/>
              <w:bottom w:val="nil"/>
              <w:right w:val="nil"/>
            </w:tcBorders>
            <w:shd w:val="clear" w:color="auto" w:fill="auto"/>
            <w:noWrap/>
            <w:vAlign w:val="bottom"/>
            <w:hideMark/>
          </w:tcPr>
          <w:p w14:paraId="558AB2CE" w14:textId="77777777" w:rsidR="00BA0D82" w:rsidRPr="0005691D" w:rsidRDefault="00BA0D82" w:rsidP="001A5653">
            <w:pPr>
              <w:spacing w:after="0" w:line="240" w:lineRule="auto"/>
              <w:jc w:val="center"/>
              <w:rPr>
                <w:rFonts w:ascii="Calibri" w:eastAsia="Times New Roman" w:hAnsi="Calibri" w:cs="Calibri"/>
                <w:color w:val="000000"/>
              </w:rPr>
            </w:pPr>
          </w:p>
        </w:tc>
        <w:tc>
          <w:tcPr>
            <w:tcW w:w="1165" w:type="dxa"/>
            <w:tcBorders>
              <w:top w:val="nil"/>
              <w:left w:val="nil"/>
              <w:bottom w:val="nil"/>
              <w:right w:val="nil"/>
            </w:tcBorders>
            <w:shd w:val="clear" w:color="auto" w:fill="auto"/>
            <w:noWrap/>
            <w:vAlign w:val="center"/>
            <w:hideMark/>
          </w:tcPr>
          <w:p w14:paraId="44FA6466" w14:textId="77777777" w:rsidR="00BA0D82" w:rsidRPr="0005691D" w:rsidRDefault="00BA0D82" w:rsidP="001A5653">
            <w:pPr>
              <w:spacing w:after="0" w:line="240" w:lineRule="auto"/>
              <w:rPr>
                <w:rFonts w:ascii="Times New Roman" w:eastAsia="Times New Roman" w:hAnsi="Times New Roman" w:cs="Times New Roman"/>
                <w:sz w:val="20"/>
                <w:szCs w:val="20"/>
              </w:rPr>
            </w:pPr>
          </w:p>
        </w:tc>
        <w:tc>
          <w:tcPr>
            <w:tcW w:w="1254" w:type="dxa"/>
            <w:tcBorders>
              <w:top w:val="nil"/>
              <w:left w:val="nil"/>
              <w:bottom w:val="nil"/>
              <w:right w:val="nil"/>
            </w:tcBorders>
            <w:shd w:val="clear" w:color="auto" w:fill="auto"/>
            <w:noWrap/>
            <w:vAlign w:val="center"/>
            <w:hideMark/>
          </w:tcPr>
          <w:p w14:paraId="54EA758B"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c>
          <w:tcPr>
            <w:tcW w:w="897" w:type="dxa"/>
            <w:tcBorders>
              <w:top w:val="nil"/>
              <w:left w:val="nil"/>
              <w:bottom w:val="nil"/>
              <w:right w:val="nil"/>
            </w:tcBorders>
            <w:shd w:val="clear" w:color="auto" w:fill="auto"/>
            <w:noWrap/>
            <w:vAlign w:val="center"/>
            <w:hideMark/>
          </w:tcPr>
          <w:p w14:paraId="41AC4331"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c>
          <w:tcPr>
            <w:tcW w:w="897" w:type="dxa"/>
            <w:tcBorders>
              <w:top w:val="nil"/>
              <w:left w:val="nil"/>
              <w:bottom w:val="nil"/>
              <w:right w:val="nil"/>
            </w:tcBorders>
            <w:shd w:val="clear" w:color="auto" w:fill="auto"/>
            <w:noWrap/>
            <w:vAlign w:val="center"/>
            <w:hideMark/>
          </w:tcPr>
          <w:p w14:paraId="089A85A5"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c>
          <w:tcPr>
            <w:tcW w:w="892" w:type="dxa"/>
            <w:tcBorders>
              <w:top w:val="nil"/>
              <w:left w:val="nil"/>
              <w:bottom w:val="nil"/>
              <w:right w:val="nil"/>
            </w:tcBorders>
            <w:shd w:val="clear" w:color="auto" w:fill="auto"/>
            <w:noWrap/>
            <w:vAlign w:val="center"/>
            <w:hideMark/>
          </w:tcPr>
          <w:p w14:paraId="2B05D26D"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c>
          <w:tcPr>
            <w:tcW w:w="1063" w:type="dxa"/>
            <w:tcBorders>
              <w:top w:val="nil"/>
              <w:left w:val="nil"/>
              <w:bottom w:val="nil"/>
              <w:right w:val="nil"/>
            </w:tcBorders>
            <w:shd w:val="clear" w:color="auto" w:fill="auto"/>
            <w:noWrap/>
            <w:vAlign w:val="center"/>
            <w:hideMark/>
          </w:tcPr>
          <w:p w14:paraId="19665E04"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c>
          <w:tcPr>
            <w:tcW w:w="1063" w:type="dxa"/>
            <w:tcBorders>
              <w:top w:val="nil"/>
              <w:left w:val="nil"/>
              <w:bottom w:val="nil"/>
              <w:right w:val="nil"/>
            </w:tcBorders>
            <w:shd w:val="clear" w:color="auto" w:fill="auto"/>
            <w:noWrap/>
            <w:vAlign w:val="center"/>
            <w:hideMark/>
          </w:tcPr>
          <w:p w14:paraId="07317EB2"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c>
          <w:tcPr>
            <w:tcW w:w="1063" w:type="dxa"/>
            <w:tcBorders>
              <w:top w:val="nil"/>
              <w:left w:val="nil"/>
              <w:bottom w:val="nil"/>
              <w:right w:val="nil"/>
            </w:tcBorders>
            <w:shd w:val="clear" w:color="auto" w:fill="auto"/>
            <w:noWrap/>
            <w:vAlign w:val="center"/>
            <w:hideMark/>
          </w:tcPr>
          <w:p w14:paraId="10D631D5"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r>
      <w:tr w:rsidR="00BA0D82" w:rsidRPr="0005691D" w14:paraId="1A54F9F0" w14:textId="77777777" w:rsidTr="001A5653">
        <w:trPr>
          <w:trHeight w:val="465"/>
        </w:trPr>
        <w:tc>
          <w:tcPr>
            <w:tcW w:w="10800" w:type="dxa"/>
            <w:gridSpan w:val="9"/>
            <w:tcBorders>
              <w:top w:val="single" w:sz="4" w:space="0" w:color="auto"/>
              <w:left w:val="nil"/>
              <w:bottom w:val="single" w:sz="4" w:space="0" w:color="auto"/>
              <w:right w:val="nil"/>
            </w:tcBorders>
            <w:shd w:val="clear" w:color="auto" w:fill="auto"/>
            <w:noWrap/>
            <w:vAlign w:val="bottom"/>
            <w:hideMark/>
          </w:tcPr>
          <w:p w14:paraId="03E59A16" w14:textId="77777777" w:rsidR="00BA0D82" w:rsidRPr="0005691D" w:rsidRDefault="00BA0D82" w:rsidP="00BA0D82">
            <w:pPr>
              <w:pStyle w:val="Heading2"/>
              <w:numPr>
                <w:ilvl w:val="0"/>
                <w:numId w:val="0"/>
              </w:numPr>
              <w:rPr>
                <w:rFonts w:eastAsia="Times New Roman"/>
              </w:rPr>
            </w:pPr>
            <w:bookmarkStart w:id="253" w:name="_Toc27143216"/>
            <w:bookmarkStart w:id="254" w:name="_Toc28011515"/>
            <w:r w:rsidRPr="0005691D">
              <w:rPr>
                <w:rFonts w:eastAsia="Times New Roman"/>
              </w:rPr>
              <w:t>New Hampshire Combined</w:t>
            </w:r>
            <w:bookmarkEnd w:id="253"/>
            <w:bookmarkEnd w:id="254"/>
          </w:p>
        </w:tc>
      </w:tr>
      <w:tr w:rsidR="00BA0D82" w:rsidRPr="0005691D" w14:paraId="3F9986C0" w14:textId="77777777" w:rsidTr="001A5653">
        <w:trPr>
          <w:trHeight w:val="1305"/>
        </w:trPr>
        <w:tc>
          <w:tcPr>
            <w:tcW w:w="2506" w:type="dxa"/>
            <w:tcBorders>
              <w:top w:val="nil"/>
              <w:left w:val="single" w:sz="4" w:space="0" w:color="auto"/>
              <w:bottom w:val="single" w:sz="4" w:space="0" w:color="auto"/>
              <w:right w:val="single" w:sz="4" w:space="0" w:color="auto"/>
            </w:tcBorders>
            <w:shd w:val="clear" w:color="000000" w:fill="B4C6E7"/>
            <w:vAlign w:val="bottom"/>
            <w:hideMark/>
          </w:tcPr>
          <w:p w14:paraId="49052BA7" w14:textId="77777777" w:rsidR="00BA0D82" w:rsidRPr="0005691D" w:rsidRDefault="00BA0D82" w:rsidP="001A5653">
            <w:pPr>
              <w:spacing w:after="0" w:line="240" w:lineRule="auto"/>
              <w:jc w:val="right"/>
              <w:rPr>
                <w:rFonts w:ascii="Calibri" w:eastAsia="Times New Roman" w:hAnsi="Calibri" w:cs="Calibri"/>
                <w:b/>
                <w:bCs/>
                <w:color w:val="000000"/>
                <w:szCs w:val="28"/>
              </w:rPr>
            </w:pPr>
            <w:r w:rsidRPr="0005691D">
              <w:rPr>
                <w:rFonts w:ascii="Calibri" w:eastAsia="Times New Roman" w:hAnsi="Calibri" w:cs="Calibri"/>
                <w:b/>
                <w:bCs/>
                <w:color w:val="000000"/>
                <w:szCs w:val="28"/>
              </w:rPr>
              <w:t>Area</w:t>
            </w:r>
          </w:p>
        </w:tc>
        <w:tc>
          <w:tcPr>
            <w:tcW w:w="1165" w:type="dxa"/>
            <w:tcBorders>
              <w:top w:val="nil"/>
              <w:left w:val="nil"/>
              <w:bottom w:val="single" w:sz="4" w:space="0" w:color="auto"/>
              <w:right w:val="single" w:sz="4" w:space="0" w:color="auto"/>
            </w:tcBorders>
            <w:shd w:val="clear" w:color="000000" w:fill="B4C6E7"/>
            <w:vAlign w:val="bottom"/>
            <w:hideMark/>
          </w:tcPr>
          <w:p w14:paraId="666879BC"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of Total Activities</w:t>
            </w:r>
          </w:p>
        </w:tc>
        <w:tc>
          <w:tcPr>
            <w:tcW w:w="1254" w:type="dxa"/>
            <w:tcBorders>
              <w:top w:val="nil"/>
              <w:left w:val="nil"/>
              <w:bottom w:val="single" w:sz="4" w:space="0" w:color="auto"/>
              <w:right w:val="single" w:sz="4" w:space="0" w:color="auto"/>
            </w:tcBorders>
            <w:shd w:val="clear" w:color="000000" w:fill="B4C6E7"/>
            <w:vAlign w:val="bottom"/>
            <w:hideMark/>
          </w:tcPr>
          <w:p w14:paraId="511319DB"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Average Progress on Activities (%)</w:t>
            </w:r>
          </w:p>
        </w:tc>
        <w:tc>
          <w:tcPr>
            <w:tcW w:w="897" w:type="dxa"/>
            <w:tcBorders>
              <w:top w:val="nil"/>
              <w:left w:val="nil"/>
              <w:bottom w:val="single" w:sz="4" w:space="0" w:color="auto"/>
              <w:right w:val="single" w:sz="4" w:space="0" w:color="auto"/>
            </w:tcBorders>
            <w:shd w:val="clear" w:color="000000" w:fill="B4C6E7"/>
            <w:vAlign w:val="bottom"/>
            <w:hideMark/>
          </w:tcPr>
          <w:p w14:paraId="64D3CA5C"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Outputs</w:t>
            </w:r>
          </w:p>
        </w:tc>
        <w:tc>
          <w:tcPr>
            <w:tcW w:w="897" w:type="dxa"/>
            <w:tcBorders>
              <w:top w:val="nil"/>
              <w:left w:val="nil"/>
              <w:bottom w:val="single" w:sz="4" w:space="0" w:color="auto"/>
              <w:right w:val="single" w:sz="4" w:space="0" w:color="auto"/>
            </w:tcBorders>
            <w:shd w:val="clear" w:color="000000" w:fill="B4C6E7"/>
            <w:vAlign w:val="bottom"/>
            <w:hideMark/>
          </w:tcPr>
          <w:p w14:paraId="2C072987"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Outputs Met</w:t>
            </w:r>
          </w:p>
        </w:tc>
        <w:tc>
          <w:tcPr>
            <w:tcW w:w="892" w:type="dxa"/>
            <w:tcBorders>
              <w:top w:val="nil"/>
              <w:left w:val="nil"/>
              <w:bottom w:val="single" w:sz="4" w:space="0" w:color="auto"/>
              <w:right w:val="single" w:sz="4" w:space="0" w:color="auto"/>
            </w:tcBorders>
            <w:shd w:val="clear" w:color="000000" w:fill="B4C6E7"/>
            <w:vAlign w:val="bottom"/>
            <w:hideMark/>
          </w:tcPr>
          <w:p w14:paraId="29D0EE6B"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Outputs Met</w:t>
            </w:r>
          </w:p>
        </w:tc>
        <w:tc>
          <w:tcPr>
            <w:tcW w:w="1063" w:type="dxa"/>
            <w:tcBorders>
              <w:top w:val="nil"/>
              <w:left w:val="nil"/>
              <w:bottom w:val="single" w:sz="4" w:space="0" w:color="auto"/>
              <w:right w:val="single" w:sz="4" w:space="0" w:color="auto"/>
            </w:tcBorders>
            <w:shd w:val="clear" w:color="000000" w:fill="B4C6E7"/>
            <w:vAlign w:val="bottom"/>
            <w:hideMark/>
          </w:tcPr>
          <w:p w14:paraId="4F57588F"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Short-Term Outcomes</w:t>
            </w:r>
          </w:p>
        </w:tc>
        <w:tc>
          <w:tcPr>
            <w:tcW w:w="1063" w:type="dxa"/>
            <w:tcBorders>
              <w:top w:val="nil"/>
              <w:left w:val="nil"/>
              <w:bottom w:val="single" w:sz="4" w:space="0" w:color="auto"/>
              <w:right w:val="single" w:sz="4" w:space="0" w:color="auto"/>
            </w:tcBorders>
            <w:shd w:val="clear" w:color="000000" w:fill="B4C6E7"/>
            <w:vAlign w:val="bottom"/>
            <w:hideMark/>
          </w:tcPr>
          <w:p w14:paraId="64ED500C"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Short-Term Outcomes Met</w:t>
            </w:r>
          </w:p>
        </w:tc>
        <w:tc>
          <w:tcPr>
            <w:tcW w:w="1063" w:type="dxa"/>
            <w:tcBorders>
              <w:top w:val="nil"/>
              <w:left w:val="nil"/>
              <w:bottom w:val="single" w:sz="4" w:space="0" w:color="auto"/>
              <w:right w:val="single" w:sz="4" w:space="0" w:color="auto"/>
            </w:tcBorders>
            <w:shd w:val="clear" w:color="000000" w:fill="B4C6E7"/>
            <w:vAlign w:val="bottom"/>
            <w:hideMark/>
          </w:tcPr>
          <w:p w14:paraId="7F24BDFD"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%Short-Term Outcomes Achieved</w:t>
            </w:r>
          </w:p>
        </w:tc>
      </w:tr>
      <w:tr w:rsidR="00BA0D82" w:rsidRPr="0005691D" w14:paraId="55822768" w14:textId="77777777" w:rsidTr="001A5653">
        <w:trPr>
          <w:trHeight w:val="300"/>
        </w:trPr>
        <w:tc>
          <w:tcPr>
            <w:tcW w:w="2506" w:type="dxa"/>
            <w:tcBorders>
              <w:top w:val="nil"/>
              <w:left w:val="single" w:sz="4" w:space="0" w:color="auto"/>
              <w:bottom w:val="single" w:sz="4" w:space="0" w:color="auto"/>
              <w:right w:val="single" w:sz="4" w:space="0" w:color="auto"/>
            </w:tcBorders>
            <w:shd w:val="clear" w:color="000000" w:fill="B4C6E7"/>
            <w:noWrap/>
            <w:vAlign w:val="center"/>
            <w:hideMark/>
          </w:tcPr>
          <w:p w14:paraId="7FD346B1" w14:textId="77777777" w:rsidR="00BA0D82" w:rsidRPr="0005691D" w:rsidRDefault="00BA0D82" w:rsidP="001A5653">
            <w:pPr>
              <w:spacing w:after="0" w:line="240" w:lineRule="auto"/>
              <w:jc w:val="right"/>
              <w:rPr>
                <w:rFonts w:ascii="Calibri" w:eastAsia="Times New Roman" w:hAnsi="Calibri" w:cs="Calibri"/>
                <w:b/>
                <w:bCs/>
                <w:color w:val="000000"/>
              </w:rPr>
            </w:pPr>
            <w:r w:rsidRPr="0005691D">
              <w:rPr>
                <w:rFonts w:ascii="Calibri" w:eastAsia="Times New Roman" w:hAnsi="Calibri" w:cs="Calibri"/>
                <w:b/>
                <w:bCs/>
                <w:color w:val="000000"/>
              </w:rPr>
              <w:t>Pre-ETS</w:t>
            </w:r>
          </w:p>
        </w:tc>
        <w:tc>
          <w:tcPr>
            <w:tcW w:w="1165" w:type="dxa"/>
            <w:tcBorders>
              <w:top w:val="nil"/>
              <w:left w:val="nil"/>
              <w:bottom w:val="single" w:sz="4" w:space="0" w:color="auto"/>
              <w:right w:val="single" w:sz="4" w:space="0" w:color="auto"/>
            </w:tcBorders>
            <w:shd w:val="clear" w:color="000000" w:fill="FFFFFF"/>
            <w:noWrap/>
            <w:vAlign w:val="center"/>
            <w:hideMark/>
          </w:tcPr>
          <w:p w14:paraId="674BF76C"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3</w:t>
            </w:r>
          </w:p>
        </w:tc>
        <w:tc>
          <w:tcPr>
            <w:tcW w:w="1254" w:type="dxa"/>
            <w:tcBorders>
              <w:top w:val="nil"/>
              <w:left w:val="nil"/>
              <w:bottom w:val="single" w:sz="4" w:space="0" w:color="auto"/>
              <w:right w:val="single" w:sz="4" w:space="0" w:color="auto"/>
            </w:tcBorders>
            <w:shd w:val="clear" w:color="000000" w:fill="FFFFFF"/>
            <w:noWrap/>
            <w:vAlign w:val="center"/>
            <w:hideMark/>
          </w:tcPr>
          <w:p w14:paraId="685FE5A4"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0%</w:t>
            </w:r>
          </w:p>
        </w:tc>
        <w:tc>
          <w:tcPr>
            <w:tcW w:w="897" w:type="dxa"/>
            <w:tcBorders>
              <w:top w:val="nil"/>
              <w:left w:val="nil"/>
              <w:bottom w:val="single" w:sz="4" w:space="0" w:color="auto"/>
              <w:right w:val="single" w:sz="4" w:space="0" w:color="auto"/>
            </w:tcBorders>
            <w:shd w:val="clear" w:color="000000" w:fill="FFFFFF"/>
            <w:noWrap/>
            <w:vAlign w:val="center"/>
            <w:hideMark/>
          </w:tcPr>
          <w:p w14:paraId="41F9A4A3"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3</w:t>
            </w:r>
          </w:p>
        </w:tc>
        <w:tc>
          <w:tcPr>
            <w:tcW w:w="897" w:type="dxa"/>
            <w:tcBorders>
              <w:top w:val="nil"/>
              <w:left w:val="nil"/>
              <w:bottom w:val="single" w:sz="4" w:space="0" w:color="auto"/>
              <w:right w:val="single" w:sz="4" w:space="0" w:color="auto"/>
            </w:tcBorders>
            <w:shd w:val="clear" w:color="000000" w:fill="FFFFFF"/>
            <w:noWrap/>
            <w:vAlign w:val="center"/>
            <w:hideMark/>
          </w:tcPr>
          <w:p w14:paraId="212DD5D0"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0</w:t>
            </w:r>
          </w:p>
        </w:tc>
        <w:tc>
          <w:tcPr>
            <w:tcW w:w="892" w:type="dxa"/>
            <w:tcBorders>
              <w:top w:val="nil"/>
              <w:left w:val="nil"/>
              <w:bottom w:val="single" w:sz="4" w:space="0" w:color="auto"/>
              <w:right w:val="single" w:sz="4" w:space="0" w:color="auto"/>
            </w:tcBorders>
            <w:shd w:val="clear" w:color="000000" w:fill="FFFFFF"/>
            <w:noWrap/>
            <w:vAlign w:val="center"/>
            <w:hideMark/>
          </w:tcPr>
          <w:p w14:paraId="767042CF"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0%</w:t>
            </w:r>
          </w:p>
        </w:tc>
        <w:tc>
          <w:tcPr>
            <w:tcW w:w="1063" w:type="dxa"/>
            <w:tcBorders>
              <w:top w:val="nil"/>
              <w:left w:val="nil"/>
              <w:bottom w:val="single" w:sz="4" w:space="0" w:color="auto"/>
              <w:right w:val="single" w:sz="4" w:space="0" w:color="auto"/>
            </w:tcBorders>
            <w:shd w:val="clear" w:color="000000" w:fill="FFFFFF"/>
            <w:noWrap/>
            <w:vAlign w:val="center"/>
            <w:hideMark/>
          </w:tcPr>
          <w:p w14:paraId="4BBFEC85"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2</w:t>
            </w:r>
          </w:p>
        </w:tc>
        <w:tc>
          <w:tcPr>
            <w:tcW w:w="1063" w:type="dxa"/>
            <w:tcBorders>
              <w:top w:val="nil"/>
              <w:left w:val="nil"/>
              <w:bottom w:val="single" w:sz="4" w:space="0" w:color="auto"/>
              <w:right w:val="single" w:sz="4" w:space="0" w:color="auto"/>
            </w:tcBorders>
            <w:shd w:val="clear" w:color="000000" w:fill="FFFFFF"/>
            <w:noWrap/>
            <w:vAlign w:val="center"/>
            <w:hideMark/>
          </w:tcPr>
          <w:p w14:paraId="1CE184C2"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0</w:t>
            </w:r>
          </w:p>
        </w:tc>
        <w:tc>
          <w:tcPr>
            <w:tcW w:w="1063" w:type="dxa"/>
            <w:tcBorders>
              <w:top w:val="nil"/>
              <w:left w:val="nil"/>
              <w:bottom w:val="single" w:sz="4" w:space="0" w:color="auto"/>
              <w:right w:val="single" w:sz="4" w:space="0" w:color="auto"/>
            </w:tcBorders>
            <w:shd w:val="clear" w:color="000000" w:fill="FFFFFF"/>
            <w:noWrap/>
            <w:vAlign w:val="center"/>
            <w:hideMark/>
          </w:tcPr>
          <w:p w14:paraId="12AEC32C"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0%</w:t>
            </w:r>
          </w:p>
        </w:tc>
      </w:tr>
      <w:tr w:rsidR="00BA0D82" w:rsidRPr="0005691D" w14:paraId="6F91119F" w14:textId="77777777" w:rsidTr="001A5653">
        <w:trPr>
          <w:trHeight w:val="300"/>
        </w:trPr>
        <w:tc>
          <w:tcPr>
            <w:tcW w:w="2506" w:type="dxa"/>
            <w:tcBorders>
              <w:top w:val="nil"/>
              <w:left w:val="single" w:sz="4" w:space="0" w:color="auto"/>
              <w:bottom w:val="single" w:sz="4" w:space="0" w:color="auto"/>
              <w:right w:val="single" w:sz="4" w:space="0" w:color="auto"/>
            </w:tcBorders>
            <w:shd w:val="clear" w:color="000000" w:fill="B4C6E7"/>
            <w:noWrap/>
            <w:vAlign w:val="center"/>
            <w:hideMark/>
          </w:tcPr>
          <w:p w14:paraId="7D2E9200" w14:textId="77777777" w:rsidR="00BA0D82" w:rsidRPr="0005691D" w:rsidRDefault="00BA0D82" w:rsidP="001A5653">
            <w:pPr>
              <w:spacing w:after="0" w:line="240" w:lineRule="auto"/>
              <w:jc w:val="right"/>
              <w:rPr>
                <w:rFonts w:ascii="Calibri" w:eastAsia="Times New Roman" w:hAnsi="Calibri" w:cs="Calibri"/>
                <w:b/>
                <w:bCs/>
                <w:color w:val="000000"/>
              </w:rPr>
            </w:pPr>
            <w:r w:rsidRPr="0005691D">
              <w:rPr>
                <w:rFonts w:ascii="Calibri" w:eastAsia="Times New Roman" w:hAnsi="Calibri" w:cs="Calibri"/>
                <w:b/>
                <w:bCs/>
                <w:color w:val="000000"/>
              </w:rPr>
              <w:t>Workforce Integration</w:t>
            </w:r>
          </w:p>
        </w:tc>
        <w:tc>
          <w:tcPr>
            <w:tcW w:w="1165" w:type="dxa"/>
            <w:tcBorders>
              <w:top w:val="nil"/>
              <w:left w:val="nil"/>
              <w:bottom w:val="single" w:sz="4" w:space="0" w:color="auto"/>
              <w:right w:val="single" w:sz="4" w:space="0" w:color="auto"/>
            </w:tcBorders>
            <w:shd w:val="clear" w:color="000000" w:fill="D9E2F3"/>
            <w:noWrap/>
            <w:vAlign w:val="center"/>
            <w:hideMark/>
          </w:tcPr>
          <w:p w14:paraId="7EA4064D"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3</w:t>
            </w:r>
          </w:p>
        </w:tc>
        <w:tc>
          <w:tcPr>
            <w:tcW w:w="1254" w:type="dxa"/>
            <w:tcBorders>
              <w:top w:val="nil"/>
              <w:left w:val="nil"/>
              <w:bottom w:val="single" w:sz="4" w:space="0" w:color="auto"/>
              <w:right w:val="single" w:sz="4" w:space="0" w:color="auto"/>
            </w:tcBorders>
            <w:shd w:val="clear" w:color="000000" w:fill="D9E2F3"/>
            <w:noWrap/>
            <w:vAlign w:val="center"/>
            <w:hideMark/>
          </w:tcPr>
          <w:p w14:paraId="7592C55C"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17%</w:t>
            </w:r>
          </w:p>
        </w:tc>
        <w:tc>
          <w:tcPr>
            <w:tcW w:w="897" w:type="dxa"/>
            <w:tcBorders>
              <w:top w:val="nil"/>
              <w:left w:val="nil"/>
              <w:bottom w:val="single" w:sz="4" w:space="0" w:color="auto"/>
              <w:right w:val="single" w:sz="4" w:space="0" w:color="auto"/>
            </w:tcBorders>
            <w:shd w:val="clear" w:color="000000" w:fill="D9E2F3"/>
            <w:noWrap/>
            <w:vAlign w:val="center"/>
            <w:hideMark/>
          </w:tcPr>
          <w:p w14:paraId="1AAA5156"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3</w:t>
            </w:r>
          </w:p>
        </w:tc>
        <w:tc>
          <w:tcPr>
            <w:tcW w:w="897" w:type="dxa"/>
            <w:tcBorders>
              <w:top w:val="nil"/>
              <w:left w:val="nil"/>
              <w:bottom w:val="single" w:sz="4" w:space="0" w:color="auto"/>
              <w:right w:val="single" w:sz="4" w:space="0" w:color="auto"/>
            </w:tcBorders>
            <w:shd w:val="clear" w:color="000000" w:fill="D9E2F3"/>
            <w:noWrap/>
            <w:vAlign w:val="center"/>
            <w:hideMark/>
          </w:tcPr>
          <w:p w14:paraId="12FF0DE9"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0</w:t>
            </w:r>
          </w:p>
        </w:tc>
        <w:tc>
          <w:tcPr>
            <w:tcW w:w="892" w:type="dxa"/>
            <w:tcBorders>
              <w:top w:val="nil"/>
              <w:left w:val="nil"/>
              <w:bottom w:val="single" w:sz="4" w:space="0" w:color="auto"/>
              <w:right w:val="single" w:sz="4" w:space="0" w:color="auto"/>
            </w:tcBorders>
            <w:shd w:val="clear" w:color="000000" w:fill="D9E2F3"/>
            <w:noWrap/>
            <w:vAlign w:val="center"/>
            <w:hideMark/>
          </w:tcPr>
          <w:p w14:paraId="5DC569ED"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0%</w:t>
            </w:r>
          </w:p>
        </w:tc>
        <w:tc>
          <w:tcPr>
            <w:tcW w:w="1063" w:type="dxa"/>
            <w:tcBorders>
              <w:top w:val="nil"/>
              <w:left w:val="nil"/>
              <w:bottom w:val="single" w:sz="4" w:space="0" w:color="auto"/>
              <w:right w:val="single" w:sz="4" w:space="0" w:color="auto"/>
            </w:tcBorders>
            <w:shd w:val="clear" w:color="000000" w:fill="D9E2F3"/>
            <w:noWrap/>
            <w:vAlign w:val="center"/>
            <w:hideMark/>
          </w:tcPr>
          <w:p w14:paraId="797D9178"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w:t>
            </w:r>
          </w:p>
        </w:tc>
        <w:tc>
          <w:tcPr>
            <w:tcW w:w="1063" w:type="dxa"/>
            <w:tcBorders>
              <w:top w:val="nil"/>
              <w:left w:val="nil"/>
              <w:bottom w:val="single" w:sz="4" w:space="0" w:color="auto"/>
              <w:right w:val="single" w:sz="4" w:space="0" w:color="auto"/>
            </w:tcBorders>
            <w:shd w:val="clear" w:color="000000" w:fill="D9E2F3"/>
            <w:noWrap/>
            <w:vAlign w:val="center"/>
            <w:hideMark/>
          </w:tcPr>
          <w:p w14:paraId="6142A9C5"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0</w:t>
            </w:r>
          </w:p>
        </w:tc>
        <w:tc>
          <w:tcPr>
            <w:tcW w:w="1063" w:type="dxa"/>
            <w:tcBorders>
              <w:top w:val="nil"/>
              <w:left w:val="nil"/>
              <w:bottom w:val="single" w:sz="4" w:space="0" w:color="auto"/>
              <w:right w:val="single" w:sz="4" w:space="0" w:color="auto"/>
            </w:tcBorders>
            <w:shd w:val="clear" w:color="000000" w:fill="D9E2F3"/>
            <w:noWrap/>
            <w:vAlign w:val="center"/>
            <w:hideMark/>
          </w:tcPr>
          <w:p w14:paraId="5577CA19"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0%</w:t>
            </w:r>
          </w:p>
        </w:tc>
      </w:tr>
      <w:tr w:rsidR="00BA0D82" w:rsidRPr="0005691D" w14:paraId="6B8B784A" w14:textId="77777777" w:rsidTr="001A5653">
        <w:trPr>
          <w:trHeight w:val="300"/>
        </w:trPr>
        <w:tc>
          <w:tcPr>
            <w:tcW w:w="2506" w:type="dxa"/>
            <w:tcBorders>
              <w:top w:val="nil"/>
              <w:left w:val="single" w:sz="4" w:space="0" w:color="auto"/>
              <w:bottom w:val="single" w:sz="4" w:space="0" w:color="auto"/>
              <w:right w:val="single" w:sz="4" w:space="0" w:color="auto"/>
            </w:tcBorders>
            <w:shd w:val="clear" w:color="000000" w:fill="B4C6E7"/>
            <w:noWrap/>
            <w:vAlign w:val="center"/>
            <w:hideMark/>
          </w:tcPr>
          <w:p w14:paraId="2B5DFA39" w14:textId="77777777" w:rsidR="00BA0D82" w:rsidRPr="0005691D" w:rsidRDefault="00BA0D82" w:rsidP="001A5653">
            <w:pPr>
              <w:spacing w:after="0" w:line="240" w:lineRule="auto"/>
              <w:jc w:val="right"/>
              <w:rPr>
                <w:rFonts w:ascii="Calibri" w:eastAsia="Times New Roman" w:hAnsi="Calibri" w:cs="Calibri"/>
                <w:b/>
                <w:bCs/>
                <w:color w:val="000000"/>
              </w:rPr>
            </w:pPr>
            <w:r w:rsidRPr="0005691D">
              <w:rPr>
                <w:rFonts w:ascii="Calibri" w:eastAsia="Times New Roman" w:hAnsi="Calibri" w:cs="Calibri"/>
                <w:b/>
                <w:bCs/>
                <w:color w:val="000000"/>
              </w:rPr>
              <w:t>Common Performance Measures</w:t>
            </w:r>
          </w:p>
        </w:tc>
        <w:tc>
          <w:tcPr>
            <w:tcW w:w="1165" w:type="dxa"/>
            <w:tcBorders>
              <w:top w:val="nil"/>
              <w:left w:val="nil"/>
              <w:bottom w:val="single" w:sz="4" w:space="0" w:color="auto"/>
              <w:right w:val="single" w:sz="4" w:space="0" w:color="auto"/>
            </w:tcBorders>
            <w:shd w:val="clear" w:color="000000" w:fill="FFFFFF"/>
            <w:noWrap/>
            <w:vAlign w:val="center"/>
            <w:hideMark/>
          </w:tcPr>
          <w:p w14:paraId="4F55211E"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2</w:t>
            </w:r>
          </w:p>
        </w:tc>
        <w:tc>
          <w:tcPr>
            <w:tcW w:w="1254" w:type="dxa"/>
            <w:tcBorders>
              <w:top w:val="nil"/>
              <w:left w:val="nil"/>
              <w:bottom w:val="single" w:sz="4" w:space="0" w:color="auto"/>
              <w:right w:val="single" w:sz="4" w:space="0" w:color="auto"/>
            </w:tcBorders>
            <w:shd w:val="clear" w:color="000000" w:fill="FFFFFF"/>
            <w:noWrap/>
            <w:vAlign w:val="center"/>
            <w:hideMark/>
          </w:tcPr>
          <w:p w14:paraId="0FE44F86"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63%</w:t>
            </w:r>
          </w:p>
        </w:tc>
        <w:tc>
          <w:tcPr>
            <w:tcW w:w="897" w:type="dxa"/>
            <w:tcBorders>
              <w:top w:val="nil"/>
              <w:left w:val="nil"/>
              <w:bottom w:val="single" w:sz="4" w:space="0" w:color="auto"/>
              <w:right w:val="single" w:sz="4" w:space="0" w:color="auto"/>
            </w:tcBorders>
            <w:shd w:val="clear" w:color="000000" w:fill="FFFFFF"/>
            <w:noWrap/>
            <w:vAlign w:val="center"/>
            <w:hideMark/>
          </w:tcPr>
          <w:p w14:paraId="44CB7011"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2</w:t>
            </w:r>
          </w:p>
        </w:tc>
        <w:tc>
          <w:tcPr>
            <w:tcW w:w="897" w:type="dxa"/>
            <w:tcBorders>
              <w:top w:val="nil"/>
              <w:left w:val="nil"/>
              <w:bottom w:val="single" w:sz="4" w:space="0" w:color="auto"/>
              <w:right w:val="single" w:sz="4" w:space="0" w:color="auto"/>
            </w:tcBorders>
            <w:shd w:val="clear" w:color="000000" w:fill="FFFFFF"/>
            <w:noWrap/>
            <w:vAlign w:val="center"/>
            <w:hideMark/>
          </w:tcPr>
          <w:p w14:paraId="4B971258"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w:t>
            </w:r>
          </w:p>
        </w:tc>
        <w:tc>
          <w:tcPr>
            <w:tcW w:w="892" w:type="dxa"/>
            <w:tcBorders>
              <w:top w:val="nil"/>
              <w:left w:val="nil"/>
              <w:bottom w:val="single" w:sz="4" w:space="0" w:color="auto"/>
              <w:right w:val="single" w:sz="4" w:space="0" w:color="auto"/>
            </w:tcBorders>
            <w:shd w:val="clear" w:color="000000" w:fill="FFFFFF"/>
            <w:noWrap/>
            <w:vAlign w:val="center"/>
            <w:hideMark/>
          </w:tcPr>
          <w:p w14:paraId="7DA78F75"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50%</w:t>
            </w:r>
          </w:p>
        </w:tc>
        <w:tc>
          <w:tcPr>
            <w:tcW w:w="1063" w:type="dxa"/>
            <w:tcBorders>
              <w:top w:val="nil"/>
              <w:left w:val="nil"/>
              <w:bottom w:val="single" w:sz="4" w:space="0" w:color="auto"/>
              <w:right w:val="single" w:sz="4" w:space="0" w:color="auto"/>
            </w:tcBorders>
            <w:shd w:val="clear" w:color="000000" w:fill="FFFFFF"/>
            <w:noWrap/>
            <w:vAlign w:val="center"/>
            <w:hideMark/>
          </w:tcPr>
          <w:p w14:paraId="20378560"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0</w:t>
            </w:r>
          </w:p>
        </w:tc>
        <w:tc>
          <w:tcPr>
            <w:tcW w:w="1063" w:type="dxa"/>
            <w:tcBorders>
              <w:top w:val="nil"/>
              <w:left w:val="nil"/>
              <w:bottom w:val="single" w:sz="4" w:space="0" w:color="auto"/>
              <w:right w:val="single" w:sz="4" w:space="0" w:color="auto"/>
            </w:tcBorders>
            <w:shd w:val="clear" w:color="000000" w:fill="FFFFFF"/>
            <w:noWrap/>
            <w:vAlign w:val="center"/>
            <w:hideMark/>
          </w:tcPr>
          <w:p w14:paraId="0D046FBF"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0</w:t>
            </w:r>
          </w:p>
        </w:tc>
        <w:tc>
          <w:tcPr>
            <w:tcW w:w="1063" w:type="dxa"/>
            <w:tcBorders>
              <w:top w:val="nil"/>
              <w:left w:val="nil"/>
              <w:bottom w:val="single" w:sz="4" w:space="0" w:color="auto"/>
              <w:right w:val="single" w:sz="4" w:space="0" w:color="auto"/>
            </w:tcBorders>
            <w:shd w:val="clear" w:color="000000" w:fill="FFFFFF"/>
            <w:noWrap/>
            <w:vAlign w:val="center"/>
            <w:hideMark/>
          </w:tcPr>
          <w:p w14:paraId="7E3FAAE1"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 </w:t>
            </w:r>
          </w:p>
        </w:tc>
      </w:tr>
      <w:tr w:rsidR="00BA0D82" w:rsidRPr="0005691D" w14:paraId="697F1DD2" w14:textId="77777777" w:rsidTr="001A5653">
        <w:trPr>
          <w:trHeight w:val="300"/>
        </w:trPr>
        <w:tc>
          <w:tcPr>
            <w:tcW w:w="2506" w:type="dxa"/>
            <w:tcBorders>
              <w:top w:val="nil"/>
              <w:left w:val="single" w:sz="4" w:space="0" w:color="auto"/>
              <w:bottom w:val="single" w:sz="4" w:space="0" w:color="auto"/>
              <w:right w:val="single" w:sz="4" w:space="0" w:color="auto"/>
            </w:tcBorders>
            <w:shd w:val="clear" w:color="000000" w:fill="B4C6E7"/>
            <w:noWrap/>
            <w:vAlign w:val="center"/>
            <w:hideMark/>
          </w:tcPr>
          <w:p w14:paraId="6092A724" w14:textId="77777777" w:rsidR="00BA0D82" w:rsidRPr="0005691D" w:rsidRDefault="00BA0D82" w:rsidP="001A5653">
            <w:pPr>
              <w:spacing w:after="0" w:line="240" w:lineRule="auto"/>
              <w:jc w:val="right"/>
              <w:rPr>
                <w:rFonts w:ascii="Calibri" w:eastAsia="Times New Roman" w:hAnsi="Calibri" w:cs="Calibri"/>
                <w:b/>
                <w:bCs/>
                <w:color w:val="000000"/>
              </w:rPr>
            </w:pPr>
            <w:r w:rsidRPr="0005691D">
              <w:rPr>
                <w:rFonts w:ascii="Calibri" w:eastAsia="Times New Roman" w:hAnsi="Calibri" w:cs="Calibri"/>
                <w:b/>
                <w:bCs/>
                <w:color w:val="000000"/>
              </w:rPr>
              <w:t>Customized Employment</w:t>
            </w:r>
          </w:p>
        </w:tc>
        <w:tc>
          <w:tcPr>
            <w:tcW w:w="1165" w:type="dxa"/>
            <w:tcBorders>
              <w:top w:val="nil"/>
              <w:left w:val="nil"/>
              <w:bottom w:val="single" w:sz="4" w:space="0" w:color="auto"/>
              <w:right w:val="single" w:sz="4" w:space="0" w:color="auto"/>
            </w:tcBorders>
            <w:shd w:val="clear" w:color="000000" w:fill="D9E2F3"/>
            <w:noWrap/>
            <w:vAlign w:val="center"/>
            <w:hideMark/>
          </w:tcPr>
          <w:p w14:paraId="7522FE72"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w:t>
            </w:r>
          </w:p>
        </w:tc>
        <w:tc>
          <w:tcPr>
            <w:tcW w:w="1254" w:type="dxa"/>
            <w:tcBorders>
              <w:top w:val="nil"/>
              <w:left w:val="nil"/>
              <w:bottom w:val="single" w:sz="4" w:space="0" w:color="auto"/>
              <w:right w:val="single" w:sz="4" w:space="0" w:color="auto"/>
            </w:tcBorders>
            <w:shd w:val="clear" w:color="000000" w:fill="D9E2F3"/>
            <w:noWrap/>
            <w:vAlign w:val="center"/>
            <w:hideMark/>
          </w:tcPr>
          <w:p w14:paraId="5A884A9B"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25%</w:t>
            </w:r>
          </w:p>
        </w:tc>
        <w:tc>
          <w:tcPr>
            <w:tcW w:w="897" w:type="dxa"/>
            <w:tcBorders>
              <w:top w:val="nil"/>
              <w:left w:val="nil"/>
              <w:bottom w:val="single" w:sz="4" w:space="0" w:color="auto"/>
              <w:right w:val="single" w:sz="4" w:space="0" w:color="auto"/>
            </w:tcBorders>
            <w:shd w:val="clear" w:color="000000" w:fill="D9E2F3"/>
            <w:noWrap/>
            <w:vAlign w:val="center"/>
            <w:hideMark/>
          </w:tcPr>
          <w:p w14:paraId="39A30B6E"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w:t>
            </w:r>
          </w:p>
        </w:tc>
        <w:tc>
          <w:tcPr>
            <w:tcW w:w="897" w:type="dxa"/>
            <w:tcBorders>
              <w:top w:val="nil"/>
              <w:left w:val="nil"/>
              <w:bottom w:val="single" w:sz="4" w:space="0" w:color="auto"/>
              <w:right w:val="single" w:sz="4" w:space="0" w:color="auto"/>
            </w:tcBorders>
            <w:shd w:val="clear" w:color="000000" w:fill="D9E2F3"/>
            <w:noWrap/>
            <w:vAlign w:val="center"/>
            <w:hideMark/>
          </w:tcPr>
          <w:p w14:paraId="3EFA3CC0"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0</w:t>
            </w:r>
          </w:p>
        </w:tc>
        <w:tc>
          <w:tcPr>
            <w:tcW w:w="892" w:type="dxa"/>
            <w:tcBorders>
              <w:top w:val="nil"/>
              <w:left w:val="nil"/>
              <w:bottom w:val="single" w:sz="4" w:space="0" w:color="auto"/>
              <w:right w:val="single" w:sz="4" w:space="0" w:color="auto"/>
            </w:tcBorders>
            <w:shd w:val="clear" w:color="000000" w:fill="D9E2F3"/>
            <w:noWrap/>
            <w:vAlign w:val="center"/>
            <w:hideMark/>
          </w:tcPr>
          <w:p w14:paraId="20F957A9"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0%</w:t>
            </w:r>
          </w:p>
        </w:tc>
        <w:tc>
          <w:tcPr>
            <w:tcW w:w="1063" w:type="dxa"/>
            <w:tcBorders>
              <w:top w:val="nil"/>
              <w:left w:val="nil"/>
              <w:bottom w:val="single" w:sz="4" w:space="0" w:color="auto"/>
              <w:right w:val="single" w:sz="4" w:space="0" w:color="auto"/>
            </w:tcBorders>
            <w:shd w:val="clear" w:color="000000" w:fill="D9E2F3"/>
            <w:noWrap/>
            <w:vAlign w:val="center"/>
            <w:hideMark/>
          </w:tcPr>
          <w:p w14:paraId="18A4B3EE"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w:t>
            </w:r>
          </w:p>
        </w:tc>
        <w:tc>
          <w:tcPr>
            <w:tcW w:w="1063" w:type="dxa"/>
            <w:tcBorders>
              <w:top w:val="nil"/>
              <w:left w:val="nil"/>
              <w:bottom w:val="single" w:sz="4" w:space="0" w:color="auto"/>
              <w:right w:val="single" w:sz="4" w:space="0" w:color="auto"/>
            </w:tcBorders>
            <w:shd w:val="clear" w:color="000000" w:fill="D9E2F3"/>
            <w:noWrap/>
            <w:vAlign w:val="center"/>
            <w:hideMark/>
          </w:tcPr>
          <w:p w14:paraId="01977A85"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w:t>
            </w:r>
          </w:p>
        </w:tc>
        <w:tc>
          <w:tcPr>
            <w:tcW w:w="1063" w:type="dxa"/>
            <w:tcBorders>
              <w:top w:val="nil"/>
              <w:left w:val="nil"/>
              <w:bottom w:val="single" w:sz="4" w:space="0" w:color="auto"/>
              <w:right w:val="single" w:sz="4" w:space="0" w:color="auto"/>
            </w:tcBorders>
            <w:shd w:val="clear" w:color="000000" w:fill="D9E2F3"/>
            <w:noWrap/>
            <w:vAlign w:val="center"/>
            <w:hideMark/>
          </w:tcPr>
          <w:p w14:paraId="2B43F79D"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100%</w:t>
            </w:r>
          </w:p>
        </w:tc>
      </w:tr>
      <w:tr w:rsidR="00BA0D82" w:rsidRPr="0005691D" w14:paraId="1E2AFAF9" w14:textId="77777777" w:rsidTr="001A5653">
        <w:trPr>
          <w:trHeight w:val="300"/>
        </w:trPr>
        <w:tc>
          <w:tcPr>
            <w:tcW w:w="2506" w:type="dxa"/>
            <w:tcBorders>
              <w:top w:val="nil"/>
              <w:left w:val="nil"/>
              <w:bottom w:val="nil"/>
              <w:right w:val="nil"/>
            </w:tcBorders>
            <w:shd w:val="clear" w:color="auto" w:fill="auto"/>
            <w:noWrap/>
            <w:vAlign w:val="center"/>
            <w:hideMark/>
          </w:tcPr>
          <w:p w14:paraId="4CA7FA2F" w14:textId="77777777" w:rsidR="00BA0D82" w:rsidRPr="0005691D" w:rsidRDefault="00BA0D82" w:rsidP="001A5653">
            <w:pPr>
              <w:spacing w:after="0" w:line="240" w:lineRule="auto"/>
              <w:jc w:val="center"/>
              <w:rPr>
                <w:rFonts w:ascii="Calibri" w:eastAsia="Times New Roman" w:hAnsi="Calibri" w:cs="Calibri"/>
                <w:color w:val="000000"/>
              </w:rPr>
            </w:pPr>
          </w:p>
        </w:tc>
        <w:tc>
          <w:tcPr>
            <w:tcW w:w="1165" w:type="dxa"/>
            <w:tcBorders>
              <w:top w:val="nil"/>
              <w:left w:val="nil"/>
              <w:bottom w:val="nil"/>
              <w:right w:val="nil"/>
            </w:tcBorders>
            <w:shd w:val="clear" w:color="auto" w:fill="auto"/>
            <w:noWrap/>
            <w:vAlign w:val="center"/>
            <w:hideMark/>
          </w:tcPr>
          <w:p w14:paraId="6335CD04" w14:textId="77777777" w:rsidR="00BA0D82" w:rsidRPr="0005691D" w:rsidRDefault="00BA0D82" w:rsidP="001A5653">
            <w:pPr>
              <w:spacing w:after="0" w:line="240" w:lineRule="auto"/>
              <w:jc w:val="right"/>
              <w:rPr>
                <w:rFonts w:ascii="Times New Roman" w:eastAsia="Times New Roman" w:hAnsi="Times New Roman" w:cs="Times New Roman"/>
                <w:sz w:val="20"/>
                <w:szCs w:val="20"/>
              </w:rPr>
            </w:pPr>
          </w:p>
        </w:tc>
        <w:tc>
          <w:tcPr>
            <w:tcW w:w="1254" w:type="dxa"/>
            <w:tcBorders>
              <w:top w:val="nil"/>
              <w:left w:val="nil"/>
              <w:bottom w:val="nil"/>
              <w:right w:val="nil"/>
            </w:tcBorders>
            <w:shd w:val="clear" w:color="auto" w:fill="auto"/>
            <w:noWrap/>
            <w:vAlign w:val="center"/>
            <w:hideMark/>
          </w:tcPr>
          <w:p w14:paraId="2206FA88"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c>
          <w:tcPr>
            <w:tcW w:w="897" w:type="dxa"/>
            <w:tcBorders>
              <w:top w:val="nil"/>
              <w:left w:val="nil"/>
              <w:bottom w:val="nil"/>
              <w:right w:val="nil"/>
            </w:tcBorders>
            <w:shd w:val="clear" w:color="auto" w:fill="auto"/>
            <w:noWrap/>
            <w:vAlign w:val="center"/>
            <w:hideMark/>
          </w:tcPr>
          <w:p w14:paraId="00C5F25A"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c>
          <w:tcPr>
            <w:tcW w:w="897" w:type="dxa"/>
            <w:tcBorders>
              <w:top w:val="nil"/>
              <w:left w:val="nil"/>
              <w:bottom w:val="nil"/>
              <w:right w:val="nil"/>
            </w:tcBorders>
            <w:shd w:val="clear" w:color="auto" w:fill="auto"/>
            <w:noWrap/>
            <w:vAlign w:val="center"/>
            <w:hideMark/>
          </w:tcPr>
          <w:p w14:paraId="44EF09FD"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c>
          <w:tcPr>
            <w:tcW w:w="892" w:type="dxa"/>
            <w:tcBorders>
              <w:top w:val="nil"/>
              <w:left w:val="nil"/>
              <w:bottom w:val="nil"/>
              <w:right w:val="nil"/>
            </w:tcBorders>
            <w:shd w:val="clear" w:color="auto" w:fill="auto"/>
            <w:noWrap/>
            <w:vAlign w:val="center"/>
            <w:hideMark/>
          </w:tcPr>
          <w:p w14:paraId="215EF798"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c>
          <w:tcPr>
            <w:tcW w:w="1063" w:type="dxa"/>
            <w:tcBorders>
              <w:top w:val="nil"/>
              <w:left w:val="nil"/>
              <w:bottom w:val="nil"/>
              <w:right w:val="nil"/>
            </w:tcBorders>
            <w:shd w:val="clear" w:color="auto" w:fill="auto"/>
            <w:noWrap/>
            <w:vAlign w:val="center"/>
            <w:hideMark/>
          </w:tcPr>
          <w:p w14:paraId="534D4880"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c>
          <w:tcPr>
            <w:tcW w:w="1063" w:type="dxa"/>
            <w:tcBorders>
              <w:top w:val="nil"/>
              <w:left w:val="nil"/>
              <w:bottom w:val="nil"/>
              <w:right w:val="nil"/>
            </w:tcBorders>
            <w:shd w:val="clear" w:color="auto" w:fill="auto"/>
            <w:noWrap/>
            <w:vAlign w:val="center"/>
            <w:hideMark/>
          </w:tcPr>
          <w:p w14:paraId="56E33EE0"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c>
          <w:tcPr>
            <w:tcW w:w="1063" w:type="dxa"/>
            <w:tcBorders>
              <w:top w:val="nil"/>
              <w:left w:val="nil"/>
              <w:bottom w:val="nil"/>
              <w:right w:val="nil"/>
            </w:tcBorders>
            <w:shd w:val="clear" w:color="auto" w:fill="auto"/>
            <w:noWrap/>
            <w:vAlign w:val="center"/>
            <w:hideMark/>
          </w:tcPr>
          <w:p w14:paraId="66EFF230"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r>
      <w:tr w:rsidR="00BA0D82" w:rsidRPr="0005691D" w14:paraId="5C84FC4F" w14:textId="77777777" w:rsidTr="001A5653">
        <w:trPr>
          <w:trHeight w:val="465"/>
        </w:trPr>
        <w:tc>
          <w:tcPr>
            <w:tcW w:w="10800" w:type="dxa"/>
            <w:gridSpan w:val="9"/>
            <w:tcBorders>
              <w:top w:val="single" w:sz="4" w:space="0" w:color="auto"/>
              <w:left w:val="nil"/>
              <w:bottom w:val="single" w:sz="4" w:space="0" w:color="auto"/>
              <w:right w:val="nil"/>
            </w:tcBorders>
            <w:shd w:val="clear" w:color="auto" w:fill="auto"/>
            <w:noWrap/>
            <w:vAlign w:val="bottom"/>
            <w:hideMark/>
          </w:tcPr>
          <w:p w14:paraId="71EAECA2" w14:textId="77777777" w:rsidR="00BA0D82" w:rsidRPr="0005691D" w:rsidRDefault="00BA0D82" w:rsidP="00BA0D82">
            <w:pPr>
              <w:pStyle w:val="Heading2"/>
              <w:numPr>
                <w:ilvl w:val="0"/>
                <w:numId w:val="0"/>
              </w:numPr>
              <w:rPr>
                <w:rFonts w:eastAsia="Times New Roman"/>
              </w:rPr>
            </w:pPr>
            <w:bookmarkStart w:id="255" w:name="_Toc27143217"/>
            <w:bookmarkStart w:id="256" w:name="_Toc28011516"/>
            <w:r w:rsidRPr="0005691D">
              <w:rPr>
                <w:rFonts w:eastAsia="Times New Roman"/>
              </w:rPr>
              <w:t>New York General</w:t>
            </w:r>
            <w:bookmarkEnd w:id="255"/>
            <w:bookmarkEnd w:id="256"/>
          </w:p>
        </w:tc>
      </w:tr>
      <w:tr w:rsidR="00BA0D82" w:rsidRPr="0005691D" w14:paraId="7562630C" w14:textId="77777777" w:rsidTr="001A5653">
        <w:trPr>
          <w:trHeight w:val="1305"/>
        </w:trPr>
        <w:tc>
          <w:tcPr>
            <w:tcW w:w="2506" w:type="dxa"/>
            <w:tcBorders>
              <w:top w:val="nil"/>
              <w:left w:val="single" w:sz="4" w:space="0" w:color="auto"/>
              <w:bottom w:val="single" w:sz="4" w:space="0" w:color="auto"/>
              <w:right w:val="single" w:sz="4" w:space="0" w:color="auto"/>
            </w:tcBorders>
            <w:shd w:val="clear" w:color="000000" w:fill="B4C6E7"/>
            <w:vAlign w:val="bottom"/>
            <w:hideMark/>
          </w:tcPr>
          <w:p w14:paraId="74D04D78" w14:textId="77777777" w:rsidR="00BA0D82" w:rsidRPr="0005691D" w:rsidRDefault="00BA0D82" w:rsidP="001A5653">
            <w:pPr>
              <w:spacing w:after="0" w:line="240" w:lineRule="auto"/>
              <w:jc w:val="right"/>
              <w:rPr>
                <w:rFonts w:ascii="Calibri" w:eastAsia="Times New Roman" w:hAnsi="Calibri" w:cs="Calibri"/>
                <w:b/>
                <w:bCs/>
                <w:color w:val="000000"/>
                <w:szCs w:val="28"/>
              </w:rPr>
            </w:pPr>
            <w:r w:rsidRPr="0005691D">
              <w:rPr>
                <w:rFonts w:ascii="Calibri" w:eastAsia="Times New Roman" w:hAnsi="Calibri" w:cs="Calibri"/>
                <w:b/>
                <w:bCs/>
                <w:color w:val="000000"/>
                <w:szCs w:val="28"/>
              </w:rPr>
              <w:t>Area</w:t>
            </w:r>
          </w:p>
        </w:tc>
        <w:tc>
          <w:tcPr>
            <w:tcW w:w="1165" w:type="dxa"/>
            <w:tcBorders>
              <w:top w:val="nil"/>
              <w:left w:val="nil"/>
              <w:bottom w:val="single" w:sz="4" w:space="0" w:color="auto"/>
              <w:right w:val="single" w:sz="4" w:space="0" w:color="auto"/>
            </w:tcBorders>
            <w:shd w:val="clear" w:color="000000" w:fill="B4C6E7"/>
            <w:vAlign w:val="bottom"/>
            <w:hideMark/>
          </w:tcPr>
          <w:p w14:paraId="7638EE93"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of Total Activities</w:t>
            </w:r>
          </w:p>
        </w:tc>
        <w:tc>
          <w:tcPr>
            <w:tcW w:w="1254" w:type="dxa"/>
            <w:tcBorders>
              <w:top w:val="nil"/>
              <w:left w:val="nil"/>
              <w:bottom w:val="single" w:sz="4" w:space="0" w:color="auto"/>
              <w:right w:val="single" w:sz="4" w:space="0" w:color="auto"/>
            </w:tcBorders>
            <w:shd w:val="clear" w:color="000000" w:fill="B4C6E7"/>
            <w:vAlign w:val="bottom"/>
            <w:hideMark/>
          </w:tcPr>
          <w:p w14:paraId="01257285"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Average Progress on Activities (%)</w:t>
            </w:r>
          </w:p>
        </w:tc>
        <w:tc>
          <w:tcPr>
            <w:tcW w:w="897" w:type="dxa"/>
            <w:tcBorders>
              <w:top w:val="nil"/>
              <w:left w:val="nil"/>
              <w:bottom w:val="single" w:sz="4" w:space="0" w:color="auto"/>
              <w:right w:val="single" w:sz="4" w:space="0" w:color="auto"/>
            </w:tcBorders>
            <w:shd w:val="clear" w:color="000000" w:fill="B4C6E7"/>
            <w:vAlign w:val="bottom"/>
            <w:hideMark/>
          </w:tcPr>
          <w:p w14:paraId="14A70833"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Outputs</w:t>
            </w:r>
          </w:p>
        </w:tc>
        <w:tc>
          <w:tcPr>
            <w:tcW w:w="897" w:type="dxa"/>
            <w:tcBorders>
              <w:top w:val="nil"/>
              <w:left w:val="nil"/>
              <w:bottom w:val="single" w:sz="4" w:space="0" w:color="auto"/>
              <w:right w:val="single" w:sz="4" w:space="0" w:color="auto"/>
            </w:tcBorders>
            <w:shd w:val="clear" w:color="000000" w:fill="B4C6E7"/>
            <w:vAlign w:val="bottom"/>
            <w:hideMark/>
          </w:tcPr>
          <w:p w14:paraId="66F242A0"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Outputs Met</w:t>
            </w:r>
          </w:p>
        </w:tc>
        <w:tc>
          <w:tcPr>
            <w:tcW w:w="892" w:type="dxa"/>
            <w:tcBorders>
              <w:top w:val="nil"/>
              <w:left w:val="nil"/>
              <w:bottom w:val="single" w:sz="4" w:space="0" w:color="auto"/>
              <w:right w:val="single" w:sz="4" w:space="0" w:color="auto"/>
            </w:tcBorders>
            <w:shd w:val="clear" w:color="000000" w:fill="B4C6E7"/>
            <w:vAlign w:val="bottom"/>
            <w:hideMark/>
          </w:tcPr>
          <w:p w14:paraId="76F2DF02"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Outputs Met</w:t>
            </w:r>
          </w:p>
        </w:tc>
        <w:tc>
          <w:tcPr>
            <w:tcW w:w="1063" w:type="dxa"/>
            <w:tcBorders>
              <w:top w:val="nil"/>
              <w:left w:val="nil"/>
              <w:bottom w:val="single" w:sz="4" w:space="0" w:color="auto"/>
              <w:right w:val="single" w:sz="4" w:space="0" w:color="auto"/>
            </w:tcBorders>
            <w:shd w:val="clear" w:color="000000" w:fill="B4C6E7"/>
            <w:vAlign w:val="bottom"/>
            <w:hideMark/>
          </w:tcPr>
          <w:p w14:paraId="5E624104"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Short-Term Outcomes</w:t>
            </w:r>
          </w:p>
        </w:tc>
        <w:tc>
          <w:tcPr>
            <w:tcW w:w="1063" w:type="dxa"/>
            <w:tcBorders>
              <w:top w:val="nil"/>
              <w:left w:val="nil"/>
              <w:bottom w:val="single" w:sz="4" w:space="0" w:color="auto"/>
              <w:right w:val="single" w:sz="4" w:space="0" w:color="auto"/>
            </w:tcBorders>
            <w:shd w:val="clear" w:color="000000" w:fill="B4C6E7"/>
            <w:vAlign w:val="bottom"/>
            <w:hideMark/>
          </w:tcPr>
          <w:p w14:paraId="7A6528DE"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Short-Term Outcomes Met</w:t>
            </w:r>
          </w:p>
        </w:tc>
        <w:tc>
          <w:tcPr>
            <w:tcW w:w="1063" w:type="dxa"/>
            <w:tcBorders>
              <w:top w:val="nil"/>
              <w:left w:val="nil"/>
              <w:bottom w:val="single" w:sz="4" w:space="0" w:color="auto"/>
              <w:right w:val="single" w:sz="4" w:space="0" w:color="auto"/>
            </w:tcBorders>
            <w:shd w:val="clear" w:color="000000" w:fill="B4C6E7"/>
            <w:vAlign w:val="bottom"/>
            <w:hideMark/>
          </w:tcPr>
          <w:p w14:paraId="15DDB481"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%Short-Term Outcomes Achieved</w:t>
            </w:r>
          </w:p>
        </w:tc>
      </w:tr>
      <w:tr w:rsidR="00BA0D82" w:rsidRPr="0005691D" w14:paraId="5C2A695C" w14:textId="77777777" w:rsidTr="001A5653">
        <w:trPr>
          <w:trHeight w:val="300"/>
        </w:trPr>
        <w:tc>
          <w:tcPr>
            <w:tcW w:w="2506" w:type="dxa"/>
            <w:tcBorders>
              <w:top w:val="nil"/>
              <w:left w:val="single" w:sz="4" w:space="0" w:color="auto"/>
              <w:bottom w:val="single" w:sz="4" w:space="0" w:color="auto"/>
              <w:right w:val="single" w:sz="4" w:space="0" w:color="auto"/>
            </w:tcBorders>
            <w:shd w:val="clear" w:color="000000" w:fill="B4C6E7"/>
            <w:noWrap/>
            <w:vAlign w:val="center"/>
            <w:hideMark/>
          </w:tcPr>
          <w:p w14:paraId="5A7EA750" w14:textId="77777777" w:rsidR="00BA0D82" w:rsidRPr="0005691D" w:rsidRDefault="00BA0D82" w:rsidP="001A5653">
            <w:pPr>
              <w:spacing w:after="0" w:line="240" w:lineRule="auto"/>
              <w:jc w:val="right"/>
              <w:rPr>
                <w:rFonts w:ascii="Calibri" w:eastAsia="Times New Roman" w:hAnsi="Calibri" w:cs="Calibri"/>
                <w:b/>
                <w:bCs/>
                <w:color w:val="000000"/>
              </w:rPr>
            </w:pPr>
            <w:r w:rsidRPr="0005691D">
              <w:rPr>
                <w:rFonts w:ascii="Calibri" w:eastAsia="Times New Roman" w:hAnsi="Calibri" w:cs="Calibri"/>
                <w:b/>
                <w:bCs/>
                <w:color w:val="000000"/>
              </w:rPr>
              <w:t>The Career Index Plus (TCI+) and LMI</w:t>
            </w:r>
          </w:p>
        </w:tc>
        <w:tc>
          <w:tcPr>
            <w:tcW w:w="1165" w:type="dxa"/>
            <w:tcBorders>
              <w:top w:val="nil"/>
              <w:left w:val="nil"/>
              <w:bottom w:val="single" w:sz="4" w:space="0" w:color="auto"/>
              <w:right w:val="single" w:sz="4" w:space="0" w:color="auto"/>
            </w:tcBorders>
            <w:shd w:val="clear" w:color="000000" w:fill="FFFFFF"/>
            <w:noWrap/>
            <w:vAlign w:val="center"/>
            <w:hideMark/>
          </w:tcPr>
          <w:p w14:paraId="47E58DE4"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3</w:t>
            </w:r>
          </w:p>
        </w:tc>
        <w:tc>
          <w:tcPr>
            <w:tcW w:w="1254" w:type="dxa"/>
            <w:tcBorders>
              <w:top w:val="nil"/>
              <w:left w:val="nil"/>
              <w:bottom w:val="single" w:sz="4" w:space="0" w:color="auto"/>
              <w:right w:val="single" w:sz="4" w:space="0" w:color="auto"/>
            </w:tcBorders>
            <w:shd w:val="clear" w:color="000000" w:fill="FFFFFF"/>
            <w:noWrap/>
            <w:vAlign w:val="center"/>
            <w:hideMark/>
          </w:tcPr>
          <w:p w14:paraId="4C8137E6"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0%</w:t>
            </w:r>
          </w:p>
        </w:tc>
        <w:tc>
          <w:tcPr>
            <w:tcW w:w="897" w:type="dxa"/>
            <w:tcBorders>
              <w:top w:val="nil"/>
              <w:left w:val="nil"/>
              <w:bottom w:val="single" w:sz="4" w:space="0" w:color="auto"/>
              <w:right w:val="single" w:sz="4" w:space="0" w:color="auto"/>
            </w:tcBorders>
            <w:shd w:val="clear" w:color="000000" w:fill="FFFFFF"/>
            <w:noWrap/>
            <w:vAlign w:val="center"/>
            <w:hideMark/>
          </w:tcPr>
          <w:p w14:paraId="144A44C1"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3</w:t>
            </w:r>
          </w:p>
        </w:tc>
        <w:tc>
          <w:tcPr>
            <w:tcW w:w="897" w:type="dxa"/>
            <w:tcBorders>
              <w:top w:val="nil"/>
              <w:left w:val="nil"/>
              <w:bottom w:val="single" w:sz="4" w:space="0" w:color="auto"/>
              <w:right w:val="single" w:sz="4" w:space="0" w:color="auto"/>
            </w:tcBorders>
            <w:shd w:val="clear" w:color="000000" w:fill="FFFFFF"/>
            <w:noWrap/>
            <w:vAlign w:val="center"/>
            <w:hideMark/>
          </w:tcPr>
          <w:p w14:paraId="003C5D8F"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0</w:t>
            </w:r>
          </w:p>
        </w:tc>
        <w:tc>
          <w:tcPr>
            <w:tcW w:w="892" w:type="dxa"/>
            <w:tcBorders>
              <w:top w:val="nil"/>
              <w:left w:val="nil"/>
              <w:bottom w:val="single" w:sz="4" w:space="0" w:color="auto"/>
              <w:right w:val="single" w:sz="4" w:space="0" w:color="auto"/>
            </w:tcBorders>
            <w:shd w:val="clear" w:color="000000" w:fill="FFFFFF"/>
            <w:noWrap/>
            <w:vAlign w:val="center"/>
            <w:hideMark/>
          </w:tcPr>
          <w:p w14:paraId="26DDE854"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0%</w:t>
            </w:r>
          </w:p>
        </w:tc>
        <w:tc>
          <w:tcPr>
            <w:tcW w:w="1063" w:type="dxa"/>
            <w:tcBorders>
              <w:top w:val="nil"/>
              <w:left w:val="nil"/>
              <w:bottom w:val="single" w:sz="4" w:space="0" w:color="auto"/>
              <w:right w:val="single" w:sz="4" w:space="0" w:color="auto"/>
            </w:tcBorders>
            <w:shd w:val="clear" w:color="000000" w:fill="FFFFFF"/>
            <w:noWrap/>
            <w:vAlign w:val="center"/>
            <w:hideMark/>
          </w:tcPr>
          <w:p w14:paraId="2A26ACE5"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3</w:t>
            </w:r>
          </w:p>
        </w:tc>
        <w:tc>
          <w:tcPr>
            <w:tcW w:w="1063" w:type="dxa"/>
            <w:tcBorders>
              <w:top w:val="nil"/>
              <w:left w:val="nil"/>
              <w:bottom w:val="single" w:sz="4" w:space="0" w:color="auto"/>
              <w:right w:val="single" w:sz="4" w:space="0" w:color="auto"/>
            </w:tcBorders>
            <w:shd w:val="clear" w:color="000000" w:fill="FFFFFF"/>
            <w:noWrap/>
            <w:vAlign w:val="center"/>
            <w:hideMark/>
          </w:tcPr>
          <w:p w14:paraId="28C38EE8"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0</w:t>
            </w:r>
          </w:p>
        </w:tc>
        <w:tc>
          <w:tcPr>
            <w:tcW w:w="1063" w:type="dxa"/>
            <w:tcBorders>
              <w:top w:val="nil"/>
              <w:left w:val="nil"/>
              <w:bottom w:val="single" w:sz="4" w:space="0" w:color="auto"/>
              <w:right w:val="single" w:sz="4" w:space="0" w:color="auto"/>
            </w:tcBorders>
            <w:shd w:val="clear" w:color="000000" w:fill="FFFFFF"/>
            <w:noWrap/>
            <w:vAlign w:val="center"/>
            <w:hideMark/>
          </w:tcPr>
          <w:p w14:paraId="714E1938"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0%</w:t>
            </w:r>
          </w:p>
        </w:tc>
      </w:tr>
      <w:tr w:rsidR="00BA0D82" w:rsidRPr="0005691D" w14:paraId="4978CCC4" w14:textId="77777777" w:rsidTr="001A5653">
        <w:trPr>
          <w:trHeight w:val="300"/>
        </w:trPr>
        <w:tc>
          <w:tcPr>
            <w:tcW w:w="2506" w:type="dxa"/>
            <w:tcBorders>
              <w:top w:val="nil"/>
              <w:left w:val="nil"/>
              <w:bottom w:val="nil"/>
              <w:right w:val="nil"/>
            </w:tcBorders>
            <w:shd w:val="clear" w:color="auto" w:fill="auto"/>
            <w:noWrap/>
            <w:vAlign w:val="bottom"/>
            <w:hideMark/>
          </w:tcPr>
          <w:p w14:paraId="6218DD8A" w14:textId="77777777" w:rsidR="00BA0D82" w:rsidRPr="0005691D" w:rsidRDefault="00BA0D82" w:rsidP="001A5653">
            <w:pPr>
              <w:spacing w:after="0" w:line="240" w:lineRule="auto"/>
              <w:jc w:val="center"/>
              <w:rPr>
                <w:rFonts w:ascii="Calibri" w:eastAsia="Times New Roman" w:hAnsi="Calibri" w:cs="Calibri"/>
                <w:color w:val="000000"/>
              </w:rPr>
            </w:pPr>
          </w:p>
        </w:tc>
        <w:tc>
          <w:tcPr>
            <w:tcW w:w="1165" w:type="dxa"/>
            <w:tcBorders>
              <w:top w:val="nil"/>
              <w:left w:val="nil"/>
              <w:bottom w:val="nil"/>
              <w:right w:val="nil"/>
            </w:tcBorders>
            <w:shd w:val="clear" w:color="auto" w:fill="auto"/>
            <w:noWrap/>
            <w:vAlign w:val="center"/>
            <w:hideMark/>
          </w:tcPr>
          <w:p w14:paraId="6EF7DF48" w14:textId="77777777" w:rsidR="00BA0D82" w:rsidRPr="0005691D" w:rsidRDefault="00BA0D82" w:rsidP="001A5653">
            <w:pPr>
              <w:spacing w:after="0" w:line="240" w:lineRule="auto"/>
              <w:rPr>
                <w:rFonts w:ascii="Times New Roman" w:eastAsia="Times New Roman" w:hAnsi="Times New Roman" w:cs="Times New Roman"/>
                <w:sz w:val="20"/>
                <w:szCs w:val="20"/>
              </w:rPr>
            </w:pPr>
          </w:p>
        </w:tc>
        <w:tc>
          <w:tcPr>
            <w:tcW w:w="1254" w:type="dxa"/>
            <w:tcBorders>
              <w:top w:val="nil"/>
              <w:left w:val="nil"/>
              <w:bottom w:val="nil"/>
              <w:right w:val="nil"/>
            </w:tcBorders>
            <w:shd w:val="clear" w:color="auto" w:fill="auto"/>
            <w:noWrap/>
            <w:vAlign w:val="center"/>
            <w:hideMark/>
          </w:tcPr>
          <w:p w14:paraId="363DB96E"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c>
          <w:tcPr>
            <w:tcW w:w="897" w:type="dxa"/>
            <w:tcBorders>
              <w:top w:val="nil"/>
              <w:left w:val="nil"/>
              <w:bottom w:val="nil"/>
              <w:right w:val="nil"/>
            </w:tcBorders>
            <w:shd w:val="clear" w:color="auto" w:fill="auto"/>
            <w:noWrap/>
            <w:vAlign w:val="center"/>
            <w:hideMark/>
          </w:tcPr>
          <w:p w14:paraId="78FF7691"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c>
          <w:tcPr>
            <w:tcW w:w="897" w:type="dxa"/>
            <w:tcBorders>
              <w:top w:val="nil"/>
              <w:left w:val="nil"/>
              <w:bottom w:val="nil"/>
              <w:right w:val="nil"/>
            </w:tcBorders>
            <w:shd w:val="clear" w:color="auto" w:fill="auto"/>
            <w:noWrap/>
            <w:vAlign w:val="center"/>
            <w:hideMark/>
          </w:tcPr>
          <w:p w14:paraId="7B748F0F"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c>
          <w:tcPr>
            <w:tcW w:w="892" w:type="dxa"/>
            <w:tcBorders>
              <w:top w:val="nil"/>
              <w:left w:val="nil"/>
              <w:bottom w:val="nil"/>
              <w:right w:val="nil"/>
            </w:tcBorders>
            <w:shd w:val="clear" w:color="auto" w:fill="auto"/>
            <w:noWrap/>
            <w:vAlign w:val="center"/>
            <w:hideMark/>
          </w:tcPr>
          <w:p w14:paraId="41A1325A"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c>
          <w:tcPr>
            <w:tcW w:w="1063" w:type="dxa"/>
            <w:tcBorders>
              <w:top w:val="nil"/>
              <w:left w:val="nil"/>
              <w:bottom w:val="nil"/>
              <w:right w:val="nil"/>
            </w:tcBorders>
            <w:shd w:val="clear" w:color="auto" w:fill="auto"/>
            <w:noWrap/>
            <w:vAlign w:val="center"/>
            <w:hideMark/>
          </w:tcPr>
          <w:p w14:paraId="601582EE"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c>
          <w:tcPr>
            <w:tcW w:w="1063" w:type="dxa"/>
            <w:tcBorders>
              <w:top w:val="nil"/>
              <w:left w:val="nil"/>
              <w:bottom w:val="nil"/>
              <w:right w:val="nil"/>
            </w:tcBorders>
            <w:shd w:val="clear" w:color="auto" w:fill="auto"/>
            <w:noWrap/>
            <w:vAlign w:val="center"/>
            <w:hideMark/>
          </w:tcPr>
          <w:p w14:paraId="344CD54E"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c>
          <w:tcPr>
            <w:tcW w:w="1063" w:type="dxa"/>
            <w:tcBorders>
              <w:top w:val="nil"/>
              <w:left w:val="nil"/>
              <w:bottom w:val="nil"/>
              <w:right w:val="nil"/>
            </w:tcBorders>
            <w:shd w:val="clear" w:color="auto" w:fill="auto"/>
            <w:noWrap/>
            <w:vAlign w:val="center"/>
            <w:hideMark/>
          </w:tcPr>
          <w:p w14:paraId="029FD9F2"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r>
      <w:tr w:rsidR="00BA0D82" w:rsidRPr="0005691D" w14:paraId="4E8F03D8" w14:textId="77777777" w:rsidTr="001A5653">
        <w:trPr>
          <w:trHeight w:val="465"/>
        </w:trPr>
        <w:tc>
          <w:tcPr>
            <w:tcW w:w="10800" w:type="dxa"/>
            <w:gridSpan w:val="9"/>
            <w:tcBorders>
              <w:top w:val="single" w:sz="4" w:space="0" w:color="auto"/>
              <w:left w:val="nil"/>
              <w:bottom w:val="single" w:sz="4" w:space="0" w:color="auto"/>
              <w:right w:val="nil"/>
            </w:tcBorders>
            <w:shd w:val="clear" w:color="auto" w:fill="auto"/>
            <w:noWrap/>
            <w:vAlign w:val="bottom"/>
            <w:hideMark/>
          </w:tcPr>
          <w:p w14:paraId="3A54495B" w14:textId="77777777" w:rsidR="00BA0D82" w:rsidRPr="0005691D" w:rsidRDefault="00BA0D82" w:rsidP="00BA0D82">
            <w:pPr>
              <w:pStyle w:val="Heading2"/>
              <w:numPr>
                <w:ilvl w:val="0"/>
                <w:numId w:val="0"/>
              </w:numPr>
              <w:rPr>
                <w:rFonts w:eastAsia="Times New Roman"/>
              </w:rPr>
            </w:pPr>
            <w:bookmarkStart w:id="257" w:name="_Toc27143218"/>
            <w:bookmarkStart w:id="258" w:name="_Toc28011517"/>
            <w:r w:rsidRPr="0005691D">
              <w:rPr>
                <w:rFonts w:eastAsia="Times New Roman"/>
              </w:rPr>
              <w:t>North Carolina General and Blind</w:t>
            </w:r>
            <w:bookmarkEnd w:id="257"/>
            <w:bookmarkEnd w:id="258"/>
          </w:p>
        </w:tc>
      </w:tr>
      <w:tr w:rsidR="00BA0D82" w:rsidRPr="0005691D" w14:paraId="59DF6E55" w14:textId="77777777" w:rsidTr="001A5653">
        <w:trPr>
          <w:trHeight w:val="1305"/>
        </w:trPr>
        <w:tc>
          <w:tcPr>
            <w:tcW w:w="2506" w:type="dxa"/>
            <w:tcBorders>
              <w:top w:val="nil"/>
              <w:left w:val="single" w:sz="4" w:space="0" w:color="auto"/>
              <w:bottom w:val="single" w:sz="4" w:space="0" w:color="auto"/>
              <w:right w:val="single" w:sz="4" w:space="0" w:color="auto"/>
            </w:tcBorders>
            <w:shd w:val="clear" w:color="000000" w:fill="B4C6E7"/>
            <w:vAlign w:val="bottom"/>
            <w:hideMark/>
          </w:tcPr>
          <w:p w14:paraId="5F9362DD" w14:textId="77777777" w:rsidR="00BA0D82" w:rsidRPr="0005691D" w:rsidRDefault="00BA0D82" w:rsidP="001A5653">
            <w:pPr>
              <w:spacing w:after="0" w:line="240" w:lineRule="auto"/>
              <w:jc w:val="right"/>
              <w:rPr>
                <w:rFonts w:ascii="Calibri" w:eastAsia="Times New Roman" w:hAnsi="Calibri" w:cs="Calibri"/>
                <w:b/>
                <w:bCs/>
                <w:color w:val="000000"/>
                <w:szCs w:val="28"/>
              </w:rPr>
            </w:pPr>
            <w:r w:rsidRPr="0005691D">
              <w:rPr>
                <w:rFonts w:ascii="Calibri" w:eastAsia="Times New Roman" w:hAnsi="Calibri" w:cs="Calibri"/>
                <w:b/>
                <w:bCs/>
                <w:color w:val="000000"/>
                <w:szCs w:val="28"/>
              </w:rPr>
              <w:t>Area</w:t>
            </w:r>
          </w:p>
        </w:tc>
        <w:tc>
          <w:tcPr>
            <w:tcW w:w="1165" w:type="dxa"/>
            <w:tcBorders>
              <w:top w:val="nil"/>
              <w:left w:val="nil"/>
              <w:bottom w:val="single" w:sz="4" w:space="0" w:color="auto"/>
              <w:right w:val="single" w:sz="4" w:space="0" w:color="auto"/>
            </w:tcBorders>
            <w:shd w:val="clear" w:color="000000" w:fill="B4C6E7"/>
            <w:vAlign w:val="bottom"/>
            <w:hideMark/>
          </w:tcPr>
          <w:p w14:paraId="3444999E"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of Total Activities</w:t>
            </w:r>
          </w:p>
        </w:tc>
        <w:tc>
          <w:tcPr>
            <w:tcW w:w="1254" w:type="dxa"/>
            <w:tcBorders>
              <w:top w:val="nil"/>
              <w:left w:val="nil"/>
              <w:bottom w:val="single" w:sz="4" w:space="0" w:color="auto"/>
              <w:right w:val="single" w:sz="4" w:space="0" w:color="auto"/>
            </w:tcBorders>
            <w:shd w:val="clear" w:color="000000" w:fill="B4C6E7"/>
            <w:vAlign w:val="bottom"/>
            <w:hideMark/>
          </w:tcPr>
          <w:p w14:paraId="46C61A5D"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Average Progress on Activities (%)</w:t>
            </w:r>
          </w:p>
        </w:tc>
        <w:tc>
          <w:tcPr>
            <w:tcW w:w="897" w:type="dxa"/>
            <w:tcBorders>
              <w:top w:val="nil"/>
              <w:left w:val="nil"/>
              <w:bottom w:val="single" w:sz="4" w:space="0" w:color="auto"/>
              <w:right w:val="single" w:sz="4" w:space="0" w:color="auto"/>
            </w:tcBorders>
            <w:shd w:val="clear" w:color="000000" w:fill="B4C6E7"/>
            <w:vAlign w:val="bottom"/>
            <w:hideMark/>
          </w:tcPr>
          <w:p w14:paraId="38EE4511"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Outputs</w:t>
            </w:r>
          </w:p>
        </w:tc>
        <w:tc>
          <w:tcPr>
            <w:tcW w:w="897" w:type="dxa"/>
            <w:tcBorders>
              <w:top w:val="nil"/>
              <w:left w:val="nil"/>
              <w:bottom w:val="single" w:sz="4" w:space="0" w:color="auto"/>
              <w:right w:val="single" w:sz="4" w:space="0" w:color="auto"/>
            </w:tcBorders>
            <w:shd w:val="clear" w:color="000000" w:fill="B4C6E7"/>
            <w:vAlign w:val="bottom"/>
            <w:hideMark/>
          </w:tcPr>
          <w:p w14:paraId="27DC6A81"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Outputs Met</w:t>
            </w:r>
          </w:p>
        </w:tc>
        <w:tc>
          <w:tcPr>
            <w:tcW w:w="892" w:type="dxa"/>
            <w:tcBorders>
              <w:top w:val="nil"/>
              <w:left w:val="nil"/>
              <w:bottom w:val="single" w:sz="4" w:space="0" w:color="auto"/>
              <w:right w:val="single" w:sz="4" w:space="0" w:color="auto"/>
            </w:tcBorders>
            <w:shd w:val="clear" w:color="000000" w:fill="B4C6E7"/>
            <w:vAlign w:val="bottom"/>
            <w:hideMark/>
          </w:tcPr>
          <w:p w14:paraId="4DEE9BB9"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Outputs Met</w:t>
            </w:r>
          </w:p>
        </w:tc>
        <w:tc>
          <w:tcPr>
            <w:tcW w:w="1063" w:type="dxa"/>
            <w:tcBorders>
              <w:top w:val="nil"/>
              <w:left w:val="nil"/>
              <w:bottom w:val="single" w:sz="4" w:space="0" w:color="auto"/>
              <w:right w:val="single" w:sz="4" w:space="0" w:color="auto"/>
            </w:tcBorders>
            <w:shd w:val="clear" w:color="000000" w:fill="B4C6E7"/>
            <w:vAlign w:val="bottom"/>
            <w:hideMark/>
          </w:tcPr>
          <w:p w14:paraId="55D8DF46"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Short-Term Outcomes</w:t>
            </w:r>
          </w:p>
        </w:tc>
        <w:tc>
          <w:tcPr>
            <w:tcW w:w="1063" w:type="dxa"/>
            <w:tcBorders>
              <w:top w:val="nil"/>
              <w:left w:val="nil"/>
              <w:bottom w:val="single" w:sz="4" w:space="0" w:color="auto"/>
              <w:right w:val="single" w:sz="4" w:space="0" w:color="auto"/>
            </w:tcBorders>
            <w:shd w:val="clear" w:color="000000" w:fill="B4C6E7"/>
            <w:vAlign w:val="bottom"/>
            <w:hideMark/>
          </w:tcPr>
          <w:p w14:paraId="7BFA5CD0"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Short-Term Outcomes Met</w:t>
            </w:r>
          </w:p>
        </w:tc>
        <w:tc>
          <w:tcPr>
            <w:tcW w:w="1063" w:type="dxa"/>
            <w:tcBorders>
              <w:top w:val="nil"/>
              <w:left w:val="nil"/>
              <w:bottom w:val="single" w:sz="4" w:space="0" w:color="auto"/>
              <w:right w:val="single" w:sz="4" w:space="0" w:color="auto"/>
            </w:tcBorders>
            <w:shd w:val="clear" w:color="000000" w:fill="B4C6E7"/>
            <w:vAlign w:val="bottom"/>
            <w:hideMark/>
          </w:tcPr>
          <w:p w14:paraId="4EC79657"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%Short-Term Outcomes Achieved</w:t>
            </w:r>
          </w:p>
        </w:tc>
      </w:tr>
      <w:tr w:rsidR="00BA0D82" w:rsidRPr="0005691D" w14:paraId="44A1C9F1" w14:textId="77777777" w:rsidTr="001A5653">
        <w:trPr>
          <w:trHeight w:val="300"/>
        </w:trPr>
        <w:tc>
          <w:tcPr>
            <w:tcW w:w="2506" w:type="dxa"/>
            <w:tcBorders>
              <w:top w:val="nil"/>
              <w:left w:val="single" w:sz="4" w:space="0" w:color="auto"/>
              <w:bottom w:val="single" w:sz="4" w:space="0" w:color="auto"/>
              <w:right w:val="single" w:sz="4" w:space="0" w:color="auto"/>
            </w:tcBorders>
            <w:shd w:val="clear" w:color="000000" w:fill="B4C6E7"/>
            <w:noWrap/>
            <w:vAlign w:val="center"/>
            <w:hideMark/>
          </w:tcPr>
          <w:p w14:paraId="6B988DD7" w14:textId="77777777" w:rsidR="00BA0D82" w:rsidRPr="0005691D" w:rsidRDefault="00BA0D82" w:rsidP="001A5653">
            <w:pPr>
              <w:spacing w:after="0" w:line="240" w:lineRule="auto"/>
              <w:jc w:val="right"/>
              <w:rPr>
                <w:rFonts w:ascii="Calibri" w:eastAsia="Times New Roman" w:hAnsi="Calibri" w:cs="Calibri"/>
                <w:b/>
                <w:bCs/>
                <w:color w:val="000000"/>
              </w:rPr>
            </w:pPr>
            <w:r w:rsidRPr="0005691D">
              <w:rPr>
                <w:rFonts w:ascii="Calibri" w:eastAsia="Times New Roman" w:hAnsi="Calibri" w:cs="Calibri"/>
                <w:b/>
                <w:bCs/>
                <w:color w:val="000000"/>
              </w:rPr>
              <w:t>Pre-ETS</w:t>
            </w:r>
          </w:p>
        </w:tc>
        <w:tc>
          <w:tcPr>
            <w:tcW w:w="1165" w:type="dxa"/>
            <w:tcBorders>
              <w:top w:val="nil"/>
              <w:left w:val="nil"/>
              <w:bottom w:val="single" w:sz="4" w:space="0" w:color="auto"/>
              <w:right w:val="single" w:sz="4" w:space="0" w:color="auto"/>
            </w:tcBorders>
            <w:shd w:val="clear" w:color="000000" w:fill="FFFFFF"/>
            <w:noWrap/>
            <w:vAlign w:val="center"/>
            <w:hideMark/>
          </w:tcPr>
          <w:p w14:paraId="56865E93"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7</w:t>
            </w:r>
          </w:p>
        </w:tc>
        <w:tc>
          <w:tcPr>
            <w:tcW w:w="1254" w:type="dxa"/>
            <w:tcBorders>
              <w:top w:val="nil"/>
              <w:left w:val="nil"/>
              <w:bottom w:val="single" w:sz="4" w:space="0" w:color="auto"/>
              <w:right w:val="single" w:sz="4" w:space="0" w:color="auto"/>
            </w:tcBorders>
            <w:shd w:val="clear" w:color="000000" w:fill="FFFFFF"/>
            <w:noWrap/>
            <w:vAlign w:val="center"/>
            <w:hideMark/>
          </w:tcPr>
          <w:p w14:paraId="7BE715C6"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82%</w:t>
            </w:r>
          </w:p>
        </w:tc>
        <w:tc>
          <w:tcPr>
            <w:tcW w:w="897" w:type="dxa"/>
            <w:tcBorders>
              <w:top w:val="nil"/>
              <w:left w:val="nil"/>
              <w:bottom w:val="single" w:sz="4" w:space="0" w:color="auto"/>
              <w:right w:val="single" w:sz="4" w:space="0" w:color="auto"/>
            </w:tcBorders>
            <w:shd w:val="clear" w:color="000000" w:fill="FFFFFF"/>
            <w:noWrap/>
            <w:vAlign w:val="center"/>
            <w:hideMark/>
          </w:tcPr>
          <w:p w14:paraId="6B3B4E1B"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7</w:t>
            </w:r>
          </w:p>
        </w:tc>
        <w:tc>
          <w:tcPr>
            <w:tcW w:w="897" w:type="dxa"/>
            <w:tcBorders>
              <w:top w:val="nil"/>
              <w:left w:val="nil"/>
              <w:bottom w:val="single" w:sz="4" w:space="0" w:color="auto"/>
              <w:right w:val="single" w:sz="4" w:space="0" w:color="auto"/>
            </w:tcBorders>
            <w:shd w:val="clear" w:color="000000" w:fill="FFFFFF"/>
            <w:noWrap/>
            <w:vAlign w:val="center"/>
            <w:hideMark/>
          </w:tcPr>
          <w:p w14:paraId="5D304157"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4</w:t>
            </w:r>
          </w:p>
        </w:tc>
        <w:tc>
          <w:tcPr>
            <w:tcW w:w="892" w:type="dxa"/>
            <w:tcBorders>
              <w:top w:val="nil"/>
              <w:left w:val="nil"/>
              <w:bottom w:val="single" w:sz="4" w:space="0" w:color="auto"/>
              <w:right w:val="single" w:sz="4" w:space="0" w:color="auto"/>
            </w:tcBorders>
            <w:shd w:val="clear" w:color="000000" w:fill="FFFFFF"/>
            <w:noWrap/>
            <w:vAlign w:val="center"/>
            <w:hideMark/>
          </w:tcPr>
          <w:p w14:paraId="1F47973A"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57%</w:t>
            </w:r>
          </w:p>
        </w:tc>
        <w:tc>
          <w:tcPr>
            <w:tcW w:w="1063" w:type="dxa"/>
            <w:tcBorders>
              <w:top w:val="nil"/>
              <w:left w:val="nil"/>
              <w:bottom w:val="single" w:sz="4" w:space="0" w:color="auto"/>
              <w:right w:val="single" w:sz="4" w:space="0" w:color="auto"/>
            </w:tcBorders>
            <w:shd w:val="clear" w:color="000000" w:fill="FFFFFF"/>
            <w:noWrap/>
            <w:vAlign w:val="center"/>
            <w:hideMark/>
          </w:tcPr>
          <w:p w14:paraId="18813FC6"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3</w:t>
            </w:r>
          </w:p>
        </w:tc>
        <w:tc>
          <w:tcPr>
            <w:tcW w:w="1063" w:type="dxa"/>
            <w:tcBorders>
              <w:top w:val="nil"/>
              <w:left w:val="nil"/>
              <w:bottom w:val="single" w:sz="4" w:space="0" w:color="auto"/>
              <w:right w:val="single" w:sz="4" w:space="0" w:color="auto"/>
            </w:tcBorders>
            <w:shd w:val="clear" w:color="000000" w:fill="FFFFFF"/>
            <w:noWrap/>
            <w:vAlign w:val="center"/>
            <w:hideMark/>
          </w:tcPr>
          <w:p w14:paraId="31784F25"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0</w:t>
            </w:r>
          </w:p>
        </w:tc>
        <w:tc>
          <w:tcPr>
            <w:tcW w:w="1063" w:type="dxa"/>
            <w:tcBorders>
              <w:top w:val="nil"/>
              <w:left w:val="nil"/>
              <w:bottom w:val="single" w:sz="4" w:space="0" w:color="auto"/>
              <w:right w:val="single" w:sz="4" w:space="0" w:color="auto"/>
            </w:tcBorders>
            <w:shd w:val="clear" w:color="000000" w:fill="FFFFFF"/>
            <w:noWrap/>
            <w:vAlign w:val="center"/>
            <w:hideMark/>
          </w:tcPr>
          <w:p w14:paraId="6F810B77"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0%</w:t>
            </w:r>
          </w:p>
        </w:tc>
      </w:tr>
      <w:tr w:rsidR="00BA0D82" w:rsidRPr="0005691D" w14:paraId="4E57E8FB" w14:textId="77777777" w:rsidTr="001A5653">
        <w:trPr>
          <w:trHeight w:val="300"/>
        </w:trPr>
        <w:tc>
          <w:tcPr>
            <w:tcW w:w="2506" w:type="dxa"/>
            <w:tcBorders>
              <w:top w:val="nil"/>
              <w:left w:val="single" w:sz="4" w:space="0" w:color="auto"/>
              <w:bottom w:val="single" w:sz="4" w:space="0" w:color="auto"/>
              <w:right w:val="single" w:sz="4" w:space="0" w:color="auto"/>
            </w:tcBorders>
            <w:shd w:val="clear" w:color="000000" w:fill="B4C6E7"/>
            <w:noWrap/>
            <w:vAlign w:val="center"/>
            <w:hideMark/>
          </w:tcPr>
          <w:p w14:paraId="0DCD0A2E" w14:textId="77777777" w:rsidR="00BA0D82" w:rsidRPr="0005691D" w:rsidRDefault="00BA0D82" w:rsidP="001A5653">
            <w:pPr>
              <w:spacing w:after="0" w:line="240" w:lineRule="auto"/>
              <w:jc w:val="right"/>
              <w:rPr>
                <w:rFonts w:ascii="Calibri" w:eastAsia="Times New Roman" w:hAnsi="Calibri" w:cs="Calibri"/>
                <w:b/>
                <w:bCs/>
                <w:color w:val="000000"/>
              </w:rPr>
            </w:pPr>
            <w:r w:rsidRPr="0005691D">
              <w:rPr>
                <w:rFonts w:ascii="Calibri" w:eastAsia="Times New Roman" w:hAnsi="Calibri" w:cs="Calibri"/>
                <w:b/>
                <w:bCs/>
                <w:color w:val="000000"/>
              </w:rPr>
              <w:t>Workforce Integration</w:t>
            </w:r>
          </w:p>
        </w:tc>
        <w:tc>
          <w:tcPr>
            <w:tcW w:w="1165" w:type="dxa"/>
            <w:tcBorders>
              <w:top w:val="nil"/>
              <w:left w:val="nil"/>
              <w:bottom w:val="single" w:sz="4" w:space="0" w:color="auto"/>
              <w:right w:val="single" w:sz="4" w:space="0" w:color="auto"/>
            </w:tcBorders>
            <w:shd w:val="clear" w:color="000000" w:fill="D9E2F3"/>
            <w:noWrap/>
            <w:vAlign w:val="center"/>
            <w:hideMark/>
          </w:tcPr>
          <w:p w14:paraId="0E0C4235"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4</w:t>
            </w:r>
          </w:p>
        </w:tc>
        <w:tc>
          <w:tcPr>
            <w:tcW w:w="1254" w:type="dxa"/>
            <w:tcBorders>
              <w:top w:val="nil"/>
              <w:left w:val="nil"/>
              <w:bottom w:val="single" w:sz="4" w:space="0" w:color="auto"/>
              <w:right w:val="single" w:sz="4" w:space="0" w:color="auto"/>
            </w:tcBorders>
            <w:shd w:val="clear" w:color="000000" w:fill="D9E2F3"/>
            <w:noWrap/>
            <w:vAlign w:val="center"/>
            <w:hideMark/>
          </w:tcPr>
          <w:p w14:paraId="0754A746"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63%</w:t>
            </w:r>
          </w:p>
        </w:tc>
        <w:tc>
          <w:tcPr>
            <w:tcW w:w="897" w:type="dxa"/>
            <w:tcBorders>
              <w:top w:val="nil"/>
              <w:left w:val="nil"/>
              <w:bottom w:val="single" w:sz="4" w:space="0" w:color="auto"/>
              <w:right w:val="single" w:sz="4" w:space="0" w:color="auto"/>
            </w:tcBorders>
            <w:shd w:val="clear" w:color="000000" w:fill="D9E2F3"/>
            <w:noWrap/>
            <w:vAlign w:val="center"/>
            <w:hideMark/>
          </w:tcPr>
          <w:p w14:paraId="55A1EEDC"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4</w:t>
            </w:r>
          </w:p>
        </w:tc>
        <w:tc>
          <w:tcPr>
            <w:tcW w:w="897" w:type="dxa"/>
            <w:tcBorders>
              <w:top w:val="nil"/>
              <w:left w:val="nil"/>
              <w:bottom w:val="single" w:sz="4" w:space="0" w:color="auto"/>
              <w:right w:val="single" w:sz="4" w:space="0" w:color="auto"/>
            </w:tcBorders>
            <w:shd w:val="clear" w:color="000000" w:fill="D9E2F3"/>
            <w:noWrap/>
            <w:vAlign w:val="center"/>
            <w:hideMark/>
          </w:tcPr>
          <w:p w14:paraId="4055643C"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2</w:t>
            </w:r>
          </w:p>
        </w:tc>
        <w:tc>
          <w:tcPr>
            <w:tcW w:w="892" w:type="dxa"/>
            <w:tcBorders>
              <w:top w:val="nil"/>
              <w:left w:val="nil"/>
              <w:bottom w:val="single" w:sz="4" w:space="0" w:color="auto"/>
              <w:right w:val="single" w:sz="4" w:space="0" w:color="auto"/>
            </w:tcBorders>
            <w:shd w:val="clear" w:color="000000" w:fill="D9E2F3"/>
            <w:noWrap/>
            <w:vAlign w:val="center"/>
            <w:hideMark/>
          </w:tcPr>
          <w:p w14:paraId="26F3245F"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50%</w:t>
            </w:r>
          </w:p>
        </w:tc>
        <w:tc>
          <w:tcPr>
            <w:tcW w:w="1063" w:type="dxa"/>
            <w:tcBorders>
              <w:top w:val="nil"/>
              <w:left w:val="nil"/>
              <w:bottom w:val="single" w:sz="4" w:space="0" w:color="auto"/>
              <w:right w:val="single" w:sz="4" w:space="0" w:color="auto"/>
            </w:tcBorders>
            <w:shd w:val="clear" w:color="000000" w:fill="D9E2F3"/>
            <w:noWrap/>
            <w:vAlign w:val="center"/>
            <w:hideMark/>
          </w:tcPr>
          <w:p w14:paraId="58C70A6E"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w:t>
            </w:r>
          </w:p>
        </w:tc>
        <w:tc>
          <w:tcPr>
            <w:tcW w:w="1063" w:type="dxa"/>
            <w:tcBorders>
              <w:top w:val="nil"/>
              <w:left w:val="nil"/>
              <w:bottom w:val="single" w:sz="4" w:space="0" w:color="auto"/>
              <w:right w:val="single" w:sz="4" w:space="0" w:color="auto"/>
            </w:tcBorders>
            <w:shd w:val="clear" w:color="000000" w:fill="D9E2F3"/>
            <w:noWrap/>
            <w:vAlign w:val="center"/>
            <w:hideMark/>
          </w:tcPr>
          <w:p w14:paraId="66E80775"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0</w:t>
            </w:r>
          </w:p>
        </w:tc>
        <w:tc>
          <w:tcPr>
            <w:tcW w:w="1063" w:type="dxa"/>
            <w:tcBorders>
              <w:top w:val="nil"/>
              <w:left w:val="nil"/>
              <w:bottom w:val="single" w:sz="4" w:space="0" w:color="auto"/>
              <w:right w:val="single" w:sz="4" w:space="0" w:color="auto"/>
            </w:tcBorders>
            <w:shd w:val="clear" w:color="000000" w:fill="D9E2F3"/>
            <w:noWrap/>
            <w:vAlign w:val="center"/>
            <w:hideMark/>
          </w:tcPr>
          <w:p w14:paraId="6E730A1D"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0%</w:t>
            </w:r>
          </w:p>
        </w:tc>
      </w:tr>
      <w:tr w:rsidR="00BA0D82" w:rsidRPr="0005691D" w14:paraId="3DA17EA7" w14:textId="77777777" w:rsidTr="001A5653">
        <w:trPr>
          <w:trHeight w:val="300"/>
        </w:trPr>
        <w:tc>
          <w:tcPr>
            <w:tcW w:w="2506" w:type="dxa"/>
            <w:tcBorders>
              <w:top w:val="nil"/>
              <w:left w:val="single" w:sz="4" w:space="0" w:color="auto"/>
              <w:bottom w:val="single" w:sz="4" w:space="0" w:color="auto"/>
              <w:right w:val="single" w:sz="4" w:space="0" w:color="auto"/>
            </w:tcBorders>
            <w:shd w:val="clear" w:color="000000" w:fill="B4C6E7"/>
            <w:noWrap/>
            <w:vAlign w:val="center"/>
            <w:hideMark/>
          </w:tcPr>
          <w:p w14:paraId="1D91B522" w14:textId="77777777" w:rsidR="00BA0D82" w:rsidRPr="0005691D" w:rsidRDefault="00BA0D82" w:rsidP="001A5653">
            <w:pPr>
              <w:spacing w:after="0" w:line="240" w:lineRule="auto"/>
              <w:jc w:val="right"/>
              <w:rPr>
                <w:rFonts w:ascii="Calibri" w:eastAsia="Times New Roman" w:hAnsi="Calibri" w:cs="Calibri"/>
                <w:b/>
                <w:bCs/>
                <w:color w:val="000000"/>
              </w:rPr>
            </w:pPr>
            <w:r w:rsidRPr="0005691D">
              <w:rPr>
                <w:rFonts w:ascii="Calibri" w:eastAsia="Times New Roman" w:hAnsi="Calibri" w:cs="Calibri"/>
                <w:b/>
                <w:bCs/>
                <w:color w:val="000000"/>
              </w:rPr>
              <w:t>Common Performance Measures</w:t>
            </w:r>
          </w:p>
        </w:tc>
        <w:tc>
          <w:tcPr>
            <w:tcW w:w="1165" w:type="dxa"/>
            <w:tcBorders>
              <w:top w:val="nil"/>
              <w:left w:val="nil"/>
              <w:bottom w:val="single" w:sz="4" w:space="0" w:color="auto"/>
              <w:right w:val="single" w:sz="4" w:space="0" w:color="auto"/>
            </w:tcBorders>
            <w:shd w:val="clear" w:color="000000" w:fill="FFFFFF"/>
            <w:noWrap/>
            <w:vAlign w:val="center"/>
            <w:hideMark/>
          </w:tcPr>
          <w:p w14:paraId="79DEABEB"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5</w:t>
            </w:r>
          </w:p>
        </w:tc>
        <w:tc>
          <w:tcPr>
            <w:tcW w:w="1254" w:type="dxa"/>
            <w:tcBorders>
              <w:top w:val="nil"/>
              <w:left w:val="nil"/>
              <w:bottom w:val="single" w:sz="4" w:space="0" w:color="auto"/>
              <w:right w:val="single" w:sz="4" w:space="0" w:color="auto"/>
            </w:tcBorders>
            <w:shd w:val="clear" w:color="000000" w:fill="FFFFFF"/>
            <w:noWrap/>
            <w:vAlign w:val="center"/>
            <w:hideMark/>
          </w:tcPr>
          <w:p w14:paraId="6E765D04"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40%</w:t>
            </w:r>
          </w:p>
        </w:tc>
        <w:tc>
          <w:tcPr>
            <w:tcW w:w="897" w:type="dxa"/>
            <w:tcBorders>
              <w:top w:val="nil"/>
              <w:left w:val="nil"/>
              <w:bottom w:val="single" w:sz="4" w:space="0" w:color="auto"/>
              <w:right w:val="single" w:sz="4" w:space="0" w:color="auto"/>
            </w:tcBorders>
            <w:shd w:val="clear" w:color="000000" w:fill="FFFFFF"/>
            <w:noWrap/>
            <w:vAlign w:val="center"/>
            <w:hideMark/>
          </w:tcPr>
          <w:p w14:paraId="4DDB4C07"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5</w:t>
            </w:r>
          </w:p>
        </w:tc>
        <w:tc>
          <w:tcPr>
            <w:tcW w:w="897" w:type="dxa"/>
            <w:tcBorders>
              <w:top w:val="nil"/>
              <w:left w:val="nil"/>
              <w:bottom w:val="single" w:sz="4" w:space="0" w:color="auto"/>
              <w:right w:val="single" w:sz="4" w:space="0" w:color="auto"/>
            </w:tcBorders>
            <w:shd w:val="clear" w:color="000000" w:fill="FFFFFF"/>
            <w:noWrap/>
            <w:vAlign w:val="center"/>
            <w:hideMark/>
          </w:tcPr>
          <w:p w14:paraId="71007FD5"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0</w:t>
            </w:r>
          </w:p>
        </w:tc>
        <w:tc>
          <w:tcPr>
            <w:tcW w:w="892" w:type="dxa"/>
            <w:tcBorders>
              <w:top w:val="nil"/>
              <w:left w:val="nil"/>
              <w:bottom w:val="single" w:sz="4" w:space="0" w:color="auto"/>
              <w:right w:val="single" w:sz="4" w:space="0" w:color="auto"/>
            </w:tcBorders>
            <w:shd w:val="clear" w:color="000000" w:fill="FFFFFF"/>
            <w:noWrap/>
            <w:vAlign w:val="center"/>
            <w:hideMark/>
          </w:tcPr>
          <w:p w14:paraId="3B34FFAC"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0%</w:t>
            </w:r>
          </w:p>
        </w:tc>
        <w:tc>
          <w:tcPr>
            <w:tcW w:w="1063" w:type="dxa"/>
            <w:tcBorders>
              <w:top w:val="nil"/>
              <w:left w:val="nil"/>
              <w:bottom w:val="single" w:sz="4" w:space="0" w:color="auto"/>
              <w:right w:val="single" w:sz="4" w:space="0" w:color="auto"/>
            </w:tcBorders>
            <w:shd w:val="clear" w:color="000000" w:fill="FFFFFF"/>
            <w:noWrap/>
            <w:vAlign w:val="center"/>
            <w:hideMark/>
          </w:tcPr>
          <w:p w14:paraId="7B413589"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3</w:t>
            </w:r>
          </w:p>
        </w:tc>
        <w:tc>
          <w:tcPr>
            <w:tcW w:w="1063" w:type="dxa"/>
            <w:tcBorders>
              <w:top w:val="nil"/>
              <w:left w:val="nil"/>
              <w:bottom w:val="single" w:sz="4" w:space="0" w:color="auto"/>
              <w:right w:val="single" w:sz="4" w:space="0" w:color="auto"/>
            </w:tcBorders>
            <w:shd w:val="clear" w:color="000000" w:fill="FFFFFF"/>
            <w:noWrap/>
            <w:vAlign w:val="center"/>
            <w:hideMark/>
          </w:tcPr>
          <w:p w14:paraId="0FAFB0A0"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w:t>
            </w:r>
          </w:p>
        </w:tc>
        <w:tc>
          <w:tcPr>
            <w:tcW w:w="1063" w:type="dxa"/>
            <w:tcBorders>
              <w:top w:val="nil"/>
              <w:left w:val="nil"/>
              <w:bottom w:val="single" w:sz="4" w:space="0" w:color="auto"/>
              <w:right w:val="single" w:sz="4" w:space="0" w:color="auto"/>
            </w:tcBorders>
            <w:shd w:val="clear" w:color="000000" w:fill="FFFFFF"/>
            <w:noWrap/>
            <w:vAlign w:val="center"/>
            <w:hideMark/>
          </w:tcPr>
          <w:p w14:paraId="6217944F"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33%</w:t>
            </w:r>
          </w:p>
        </w:tc>
      </w:tr>
      <w:tr w:rsidR="00BA0D82" w:rsidRPr="0005691D" w14:paraId="00E42B7D" w14:textId="77777777" w:rsidTr="001A5653">
        <w:trPr>
          <w:trHeight w:val="300"/>
        </w:trPr>
        <w:tc>
          <w:tcPr>
            <w:tcW w:w="2506" w:type="dxa"/>
            <w:tcBorders>
              <w:top w:val="nil"/>
              <w:left w:val="nil"/>
              <w:bottom w:val="nil"/>
              <w:right w:val="nil"/>
            </w:tcBorders>
            <w:shd w:val="clear" w:color="auto" w:fill="auto"/>
            <w:noWrap/>
            <w:vAlign w:val="center"/>
            <w:hideMark/>
          </w:tcPr>
          <w:p w14:paraId="7784B258" w14:textId="77777777" w:rsidR="00BA0D82" w:rsidRPr="0005691D" w:rsidRDefault="00BA0D82" w:rsidP="001A5653">
            <w:pPr>
              <w:spacing w:after="0" w:line="240" w:lineRule="auto"/>
              <w:jc w:val="center"/>
              <w:rPr>
                <w:rFonts w:ascii="Calibri" w:eastAsia="Times New Roman" w:hAnsi="Calibri" w:cs="Calibri"/>
                <w:color w:val="000000"/>
              </w:rPr>
            </w:pPr>
          </w:p>
        </w:tc>
        <w:tc>
          <w:tcPr>
            <w:tcW w:w="1165" w:type="dxa"/>
            <w:tcBorders>
              <w:top w:val="nil"/>
              <w:left w:val="nil"/>
              <w:bottom w:val="nil"/>
              <w:right w:val="nil"/>
            </w:tcBorders>
            <w:shd w:val="clear" w:color="auto" w:fill="auto"/>
            <w:noWrap/>
            <w:vAlign w:val="center"/>
            <w:hideMark/>
          </w:tcPr>
          <w:p w14:paraId="38BAC677" w14:textId="77777777" w:rsidR="00BA0D82" w:rsidRPr="0005691D" w:rsidRDefault="00BA0D82" w:rsidP="001A5653">
            <w:pPr>
              <w:spacing w:after="0" w:line="240" w:lineRule="auto"/>
              <w:jc w:val="right"/>
              <w:rPr>
                <w:rFonts w:ascii="Times New Roman" w:eastAsia="Times New Roman" w:hAnsi="Times New Roman" w:cs="Times New Roman"/>
                <w:sz w:val="20"/>
                <w:szCs w:val="20"/>
              </w:rPr>
            </w:pPr>
          </w:p>
        </w:tc>
        <w:tc>
          <w:tcPr>
            <w:tcW w:w="1254" w:type="dxa"/>
            <w:tcBorders>
              <w:top w:val="nil"/>
              <w:left w:val="nil"/>
              <w:bottom w:val="nil"/>
              <w:right w:val="nil"/>
            </w:tcBorders>
            <w:shd w:val="clear" w:color="auto" w:fill="auto"/>
            <w:noWrap/>
            <w:vAlign w:val="center"/>
            <w:hideMark/>
          </w:tcPr>
          <w:p w14:paraId="705C9DAB"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c>
          <w:tcPr>
            <w:tcW w:w="897" w:type="dxa"/>
            <w:tcBorders>
              <w:top w:val="nil"/>
              <w:left w:val="nil"/>
              <w:bottom w:val="nil"/>
              <w:right w:val="nil"/>
            </w:tcBorders>
            <w:shd w:val="clear" w:color="auto" w:fill="auto"/>
            <w:noWrap/>
            <w:vAlign w:val="center"/>
            <w:hideMark/>
          </w:tcPr>
          <w:p w14:paraId="2C198C2E"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c>
          <w:tcPr>
            <w:tcW w:w="897" w:type="dxa"/>
            <w:tcBorders>
              <w:top w:val="nil"/>
              <w:left w:val="nil"/>
              <w:bottom w:val="nil"/>
              <w:right w:val="nil"/>
            </w:tcBorders>
            <w:shd w:val="clear" w:color="auto" w:fill="auto"/>
            <w:noWrap/>
            <w:vAlign w:val="center"/>
            <w:hideMark/>
          </w:tcPr>
          <w:p w14:paraId="6B237948"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c>
          <w:tcPr>
            <w:tcW w:w="892" w:type="dxa"/>
            <w:tcBorders>
              <w:top w:val="nil"/>
              <w:left w:val="nil"/>
              <w:bottom w:val="nil"/>
              <w:right w:val="nil"/>
            </w:tcBorders>
            <w:shd w:val="clear" w:color="auto" w:fill="auto"/>
            <w:noWrap/>
            <w:vAlign w:val="center"/>
            <w:hideMark/>
          </w:tcPr>
          <w:p w14:paraId="4AF09E51"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c>
          <w:tcPr>
            <w:tcW w:w="1063" w:type="dxa"/>
            <w:tcBorders>
              <w:top w:val="nil"/>
              <w:left w:val="nil"/>
              <w:bottom w:val="nil"/>
              <w:right w:val="nil"/>
            </w:tcBorders>
            <w:shd w:val="clear" w:color="auto" w:fill="auto"/>
            <w:noWrap/>
            <w:vAlign w:val="center"/>
            <w:hideMark/>
          </w:tcPr>
          <w:p w14:paraId="0BF65748"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c>
          <w:tcPr>
            <w:tcW w:w="1063" w:type="dxa"/>
            <w:tcBorders>
              <w:top w:val="nil"/>
              <w:left w:val="nil"/>
              <w:bottom w:val="nil"/>
              <w:right w:val="nil"/>
            </w:tcBorders>
            <w:shd w:val="clear" w:color="auto" w:fill="auto"/>
            <w:noWrap/>
            <w:vAlign w:val="center"/>
            <w:hideMark/>
          </w:tcPr>
          <w:p w14:paraId="047F0E12"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c>
          <w:tcPr>
            <w:tcW w:w="1063" w:type="dxa"/>
            <w:tcBorders>
              <w:top w:val="nil"/>
              <w:left w:val="nil"/>
              <w:bottom w:val="nil"/>
              <w:right w:val="nil"/>
            </w:tcBorders>
            <w:shd w:val="clear" w:color="auto" w:fill="auto"/>
            <w:noWrap/>
            <w:vAlign w:val="center"/>
            <w:hideMark/>
          </w:tcPr>
          <w:p w14:paraId="194B82C3"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r>
      <w:tr w:rsidR="00BA0D82" w:rsidRPr="0005691D" w14:paraId="5DA9F9ED" w14:textId="77777777" w:rsidTr="001A5653">
        <w:trPr>
          <w:trHeight w:val="465"/>
        </w:trPr>
        <w:tc>
          <w:tcPr>
            <w:tcW w:w="10800" w:type="dxa"/>
            <w:gridSpan w:val="9"/>
            <w:tcBorders>
              <w:top w:val="single" w:sz="4" w:space="0" w:color="auto"/>
              <w:left w:val="nil"/>
              <w:bottom w:val="single" w:sz="4" w:space="0" w:color="auto"/>
              <w:right w:val="nil"/>
            </w:tcBorders>
            <w:shd w:val="clear" w:color="auto" w:fill="auto"/>
            <w:noWrap/>
            <w:vAlign w:val="bottom"/>
            <w:hideMark/>
          </w:tcPr>
          <w:p w14:paraId="4C651A2C" w14:textId="77777777" w:rsidR="00BA0D82" w:rsidRPr="0005691D" w:rsidRDefault="00BA0D82" w:rsidP="00BA0D82">
            <w:pPr>
              <w:pStyle w:val="Heading2"/>
              <w:numPr>
                <w:ilvl w:val="0"/>
                <w:numId w:val="0"/>
              </w:numPr>
              <w:rPr>
                <w:rFonts w:eastAsia="Times New Roman"/>
              </w:rPr>
            </w:pPr>
            <w:bookmarkStart w:id="259" w:name="_Toc27143219"/>
            <w:bookmarkStart w:id="260" w:name="_Toc28011518"/>
            <w:r w:rsidRPr="0005691D">
              <w:rPr>
                <w:rFonts w:eastAsia="Times New Roman"/>
              </w:rPr>
              <w:lastRenderedPageBreak/>
              <w:t>Oregon General</w:t>
            </w:r>
            <w:bookmarkEnd w:id="259"/>
            <w:bookmarkEnd w:id="260"/>
          </w:p>
        </w:tc>
      </w:tr>
      <w:tr w:rsidR="00BA0D82" w:rsidRPr="0005691D" w14:paraId="3F63CAEE" w14:textId="77777777" w:rsidTr="001A5653">
        <w:trPr>
          <w:trHeight w:val="1305"/>
        </w:trPr>
        <w:tc>
          <w:tcPr>
            <w:tcW w:w="2506" w:type="dxa"/>
            <w:tcBorders>
              <w:top w:val="nil"/>
              <w:left w:val="single" w:sz="4" w:space="0" w:color="auto"/>
              <w:bottom w:val="single" w:sz="4" w:space="0" w:color="auto"/>
              <w:right w:val="single" w:sz="4" w:space="0" w:color="auto"/>
            </w:tcBorders>
            <w:shd w:val="clear" w:color="000000" w:fill="B4C6E7"/>
            <w:vAlign w:val="bottom"/>
            <w:hideMark/>
          </w:tcPr>
          <w:p w14:paraId="5CE5ECA3" w14:textId="77777777" w:rsidR="00BA0D82" w:rsidRPr="0005691D" w:rsidRDefault="00BA0D82" w:rsidP="001A5653">
            <w:pPr>
              <w:spacing w:after="0" w:line="240" w:lineRule="auto"/>
              <w:jc w:val="right"/>
              <w:rPr>
                <w:rFonts w:ascii="Calibri" w:eastAsia="Times New Roman" w:hAnsi="Calibri" w:cs="Calibri"/>
                <w:b/>
                <w:bCs/>
                <w:color w:val="000000"/>
                <w:szCs w:val="28"/>
              </w:rPr>
            </w:pPr>
            <w:r w:rsidRPr="0005691D">
              <w:rPr>
                <w:rFonts w:ascii="Calibri" w:eastAsia="Times New Roman" w:hAnsi="Calibri" w:cs="Calibri"/>
                <w:b/>
                <w:bCs/>
                <w:color w:val="000000"/>
                <w:szCs w:val="28"/>
              </w:rPr>
              <w:t>Area</w:t>
            </w:r>
          </w:p>
        </w:tc>
        <w:tc>
          <w:tcPr>
            <w:tcW w:w="1165" w:type="dxa"/>
            <w:tcBorders>
              <w:top w:val="nil"/>
              <w:left w:val="nil"/>
              <w:bottom w:val="single" w:sz="4" w:space="0" w:color="auto"/>
              <w:right w:val="single" w:sz="4" w:space="0" w:color="auto"/>
            </w:tcBorders>
            <w:shd w:val="clear" w:color="000000" w:fill="B4C6E7"/>
            <w:vAlign w:val="bottom"/>
            <w:hideMark/>
          </w:tcPr>
          <w:p w14:paraId="7BB4067F"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of Total Activities</w:t>
            </w:r>
          </w:p>
        </w:tc>
        <w:tc>
          <w:tcPr>
            <w:tcW w:w="1254" w:type="dxa"/>
            <w:tcBorders>
              <w:top w:val="nil"/>
              <w:left w:val="nil"/>
              <w:bottom w:val="single" w:sz="4" w:space="0" w:color="auto"/>
              <w:right w:val="single" w:sz="4" w:space="0" w:color="auto"/>
            </w:tcBorders>
            <w:shd w:val="clear" w:color="000000" w:fill="B4C6E7"/>
            <w:vAlign w:val="bottom"/>
            <w:hideMark/>
          </w:tcPr>
          <w:p w14:paraId="446A3BCF"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Average Progress on Activities (%)</w:t>
            </w:r>
          </w:p>
        </w:tc>
        <w:tc>
          <w:tcPr>
            <w:tcW w:w="897" w:type="dxa"/>
            <w:tcBorders>
              <w:top w:val="nil"/>
              <w:left w:val="nil"/>
              <w:bottom w:val="single" w:sz="4" w:space="0" w:color="auto"/>
              <w:right w:val="single" w:sz="4" w:space="0" w:color="auto"/>
            </w:tcBorders>
            <w:shd w:val="clear" w:color="000000" w:fill="B4C6E7"/>
            <w:vAlign w:val="bottom"/>
            <w:hideMark/>
          </w:tcPr>
          <w:p w14:paraId="3A854FD6"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Outputs</w:t>
            </w:r>
          </w:p>
        </w:tc>
        <w:tc>
          <w:tcPr>
            <w:tcW w:w="897" w:type="dxa"/>
            <w:tcBorders>
              <w:top w:val="nil"/>
              <w:left w:val="nil"/>
              <w:bottom w:val="single" w:sz="4" w:space="0" w:color="auto"/>
              <w:right w:val="single" w:sz="4" w:space="0" w:color="auto"/>
            </w:tcBorders>
            <w:shd w:val="clear" w:color="000000" w:fill="B4C6E7"/>
            <w:vAlign w:val="bottom"/>
            <w:hideMark/>
          </w:tcPr>
          <w:p w14:paraId="2754A434"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Outputs Met</w:t>
            </w:r>
          </w:p>
        </w:tc>
        <w:tc>
          <w:tcPr>
            <w:tcW w:w="892" w:type="dxa"/>
            <w:tcBorders>
              <w:top w:val="nil"/>
              <w:left w:val="nil"/>
              <w:bottom w:val="single" w:sz="4" w:space="0" w:color="auto"/>
              <w:right w:val="single" w:sz="4" w:space="0" w:color="auto"/>
            </w:tcBorders>
            <w:shd w:val="clear" w:color="000000" w:fill="B4C6E7"/>
            <w:vAlign w:val="bottom"/>
            <w:hideMark/>
          </w:tcPr>
          <w:p w14:paraId="752C2219"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Outputs Met</w:t>
            </w:r>
          </w:p>
        </w:tc>
        <w:tc>
          <w:tcPr>
            <w:tcW w:w="1063" w:type="dxa"/>
            <w:tcBorders>
              <w:top w:val="nil"/>
              <w:left w:val="nil"/>
              <w:bottom w:val="single" w:sz="4" w:space="0" w:color="auto"/>
              <w:right w:val="single" w:sz="4" w:space="0" w:color="auto"/>
            </w:tcBorders>
            <w:shd w:val="clear" w:color="000000" w:fill="B4C6E7"/>
            <w:vAlign w:val="bottom"/>
            <w:hideMark/>
          </w:tcPr>
          <w:p w14:paraId="392516AA"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Short-Term Outcomes</w:t>
            </w:r>
          </w:p>
        </w:tc>
        <w:tc>
          <w:tcPr>
            <w:tcW w:w="1063" w:type="dxa"/>
            <w:tcBorders>
              <w:top w:val="nil"/>
              <w:left w:val="nil"/>
              <w:bottom w:val="single" w:sz="4" w:space="0" w:color="auto"/>
              <w:right w:val="single" w:sz="4" w:space="0" w:color="auto"/>
            </w:tcBorders>
            <w:shd w:val="clear" w:color="000000" w:fill="B4C6E7"/>
            <w:vAlign w:val="bottom"/>
            <w:hideMark/>
          </w:tcPr>
          <w:p w14:paraId="5EE33BB7"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Short-Term Outcomes Met</w:t>
            </w:r>
          </w:p>
        </w:tc>
        <w:tc>
          <w:tcPr>
            <w:tcW w:w="1063" w:type="dxa"/>
            <w:tcBorders>
              <w:top w:val="nil"/>
              <w:left w:val="nil"/>
              <w:bottom w:val="single" w:sz="4" w:space="0" w:color="auto"/>
              <w:right w:val="single" w:sz="4" w:space="0" w:color="auto"/>
            </w:tcBorders>
            <w:shd w:val="clear" w:color="000000" w:fill="B4C6E7"/>
            <w:vAlign w:val="bottom"/>
            <w:hideMark/>
          </w:tcPr>
          <w:p w14:paraId="4E76D204"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%Short-Term Outcomes Achieved</w:t>
            </w:r>
          </w:p>
        </w:tc>
      </w:tr>
      <w:tr w:rsidR="00BA0D82" w:rsidRPr="0005691D" w14:paraId="345313B7" w14:textId="77777777" w:rsidTr="001A5653">
        <w:trPr>
          <w:trHeight w:val="300"/>
        </w:trPr>
        <w:tc>
          <w:tcPr>
            <w:tcW w:w="2506" w:type="dxa"/>
            <w:tcBorders>
              <w:top w:val="nil"/>
              <w:left w:val="single" w:sz="4" w:space="0" w:color="auto"/>
              <w:bottom w:val="single" w:sz="4" w:space="0" w:color="auto"/>
              <w:right w:val="single" w:sz="4" w:space="0" w:color="auto"/>
            </w:tcBorders>
            <w:shd w:val="clear" w:color="000000" w:fill="B4C6E7"/>
            <w:noWrap/>
            <w:vAlign w:val="center"/>
            <w:hideMark/>
          </w:tcPr>
          <w:p w14:paraId="726CE061" w14:textId="77777777" w:rsidR="00BA0D82" w:rsidRPr="0005691D" w:rsidRDefault="00BA0D82" w:rsidP="001A5653">
            <w:pPr>
              <w:spacing w:after="0" w:line="240" w:lineRule="auto"/>
              <w:jc w:val="right"/>
              <w:rPr>
                <w:rFonts w:ascii="Calibri" w:eastAsia="Times New Roman" w:hAnsi="Calibri" w:cs="Calibri"/>
                <w:b/>
                <w:bCs/>
                <w:color w:val="000000"/>
              </w:rPr>
            </w:pPr>
            <w:r w:rsidRPr="0005691D">
              <w:rPr>
                <w:rFonts w:ascii="Calibri" w:eastAsia="Times New Roman" w:hAnsi="Calibri" w:cs="Calibri"/>
                <w:b/>
                <w:bCs/>
                <w:color w:val="000000"/>
              </w:rPr>
              <w:t>Business Engagement</w:t>
            </w:r>
          </w:p>
        </w:tc>
        <w:tc>
          <w:tcPr>
            <w:tcW w:w="1165" w:type="dxa"/>
            <w:tcBorders>
              <w:top w:val="nil"/>
              <w:left w:val="nil"/>
              <w:bottom w:val="single" w:sz="4" w:space="0" w:color="auto"/>
              <w:right w:val="single" w:sz="4" w:space="0" w:color="auto"/>
            </w:tcBorders>
            <w:shd w:val="clear" w:color="000000" w:fill="FFFFFF"/>
            <w:noWrap/>
            <w:vAlign w:val="center"/>
            <w:hideMark/>
          </w:tcPr>
          <w:p w14:paraId="55E8D3DC"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5</w:t>
            </w:r>
          </w:p>
        </w:tc>
        <w:tc>
          <w:tcPr>
            <w:tcW w:w="1254" w:type="dxa"/>
            <w:tcBorders>
              <w:top w:val="nil"/>
              <w:left w:val="nil"/>
              <w:bottom w:val="single" w:sz="4" w:space="0" w:color="auto"/>
              <w:right w:val="single" w:sz="4" w:space="0" w:color="auto"/>
            </w:tcBorders>
            <w:shd w:val="clear" w:color="000000" w:fill="FFFFFF"/>
            <w:noWrap/>
            <w:vAlign w:val="center"/>
            <w:hideMark/>
          </w:tcPr>
          <w:p w14:paraId="60148B0B"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30%</w:t>
            </w:r>
          </w:p>
        </w:tc>
        <w:tc>
          <w:tcPr>
            <w:tcW w:w="897" w:type="dxa"/>
            <w:tcBorders>
              <w:top w:val="nil"/>
              <w:left w:val="nil"/>
              <w:bottom w:val="single" w:sz="4" w:space="0" w:color="auto"/>
              <w:right w:val="single" w:sz="4" w:space="0" w:color="auto"/>
            </w:tcBorders>
            <w:shd w:val="clear" w:color="000000" w:fill="FFFFFF"/>
            <w:noWrap/>
            <w:vAlign w:val="center"/>
            <w:hideMark/>
          </w:tcPr>
          <w:p w14:paraId="0F2702F6"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5</w:t>
            </w:r>
          </w:p>
        </w:tc>
        <w:tc>
          <w:tcPr>
            <w:tcW w:w="897" w:type="dxa"/>
            <w:tcBorders>
              <w:top w:val="nil"/>
              <w:left w:val="nil"/>
              <w:bottom w:val="single" w:sz="4" w:space="0" w:color="auto"/>
              <w:right w:val="single" w:sz="4" w:space="0" w:color="auto"/>
            </w:tcBorders>
            <w:shd w:val="clear" w:color="000000" w:fill="FFFFFF"/>
            <w:noWrap/>
            <w:vAlign w:val="center"/>
            <w:hideMark/>
          </w:tcPr>
          <w:p w14:paraId="66A9424D"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0</w:t>
            </w:r>
          </w:p>
        </w:tc>
        <w:tc>
          <w:tcPr>
            <w:tcW w:w="892" w:type="dxa"/>
            <w:tcBorders>
              <w:top w:val="nil"/>
              <w:left w:val="nil"/>
              <w:bottom w:val="single" w:sz="4" w:space="0" w:color="auto"/>
              <w:right w:val="single" w:sz="4" w:space="0" w:color="auto"/>
            </w:tcBorders>
            <w:shd w:val="clear" w:color="000000" w:fill="FFFFFF"/>
            <w:noWrap/>
            <w:vAlign w:val="center"/>
            <w:hideMark/>
          </w:tcPr>
          <w:p w14:paraId="066160E3"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0%</w:t>
            </w:r>
          </w:p>
        </w:tc>
        <w:tc>
          <w:tcPr>
            <w:tcW w:w="1063" w:type="dxa"/>
            <w:tcBorders>
              <w:top w:val="nil"/>
              <w:left w:val="nil"/>
              <w:bottom w:val="single" w:sz="4" w:space="0" w:color="auto"/>
              <w:right w:val="single" w:sz="4" w:space="0" w:color="auto"/>
            </w:tcBorders>
            <w:shd w:val="clear" w:color="000000" w:fill="FFFFFF"/>
            <w:noWrap/>
            <w:vAlign w:val="center"/>
            <w:hideMark/>
          </w:tcPr>
          <w:p w14:paraId="60CEA0EE"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4</w:t>
            </w:r>
          </w:p>
        </w:tc>
        <w:tc>
          <w:tcPr>
            <w:tcW w:w="1063" w:type="dxa"/>
            <w:tcBorders>
              <w:top w:val="nil"/>
              <w:left w:val="nil"/>
              <w:bottom w:val="single" w:sz="4" w:space="0" w:color="auto"/>
              <w:right w:val="single" w:sz="4" w:space="0" w:color="auto"/>
            </w:tcBorders>
            <w:shd w:val="clear" w:color="000000" w:fill="FFFFFF"/>
            <w:noWrap/>
            <w:vAlign w:val="center"/>
            <w:hideMark/>
          </w:tcPr>
          <w:p w14:paraId="7200BAB3"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0</w:t>
            </w:r>
          </w:p>
        </w:tc>
        <w:tc>
          <w:tcPr>
            <w:tcW w:w="1063" w:type="dxa"/>
            <w:tcBorders>
              <w:top w:val="nil"/>
              <w:left w:val="nil"/>
              <w:bottom w:val="single" w:sz="4" w:space="0" w:color="auto"/>
              <w:right w:val="single" w:sz="4" w:space="0" w:color="auto"/>
            </w:tcBorders>
            <w:shd w:val="clear" w:color="000000" w:fill="FFFFFF"/>
            <w:noWrap/>
            <w:vAlign w:val="center"/>
            <w:hideMark/>
          </w:tcPr>
          <w:p w14:paraId="210768FA"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0%</w:t>
            </w:r>
          </w:p>
        </w:tc>
      </w:tr>
      <w:tr w:rsidR="00BA0D82" w:rsidRPr="0005691D" w14:paraId="564B8DBF" w14:textId="77777777" w:rsidTr="001A5653">
        <w:trPr>
          <w:trHeight w:val="300"/>
        </w:trPr>
        <w:tc>
          <w:tcPr>
            <w:tcW w:w="2506" w:type="dxa"/>
            <w:tcBorders>
              <w:top w:val="nil"/>
              <w:left w:val="nil"/>
              <w:bottom w:val="nil"/>
              <w:right w:val="nil"/>
            </w:tcBorders>
            <w:shd w:val="clear" w:color="auto" w:fill="auto"/>
            <w:noWrap/>
            <w:vAlign w:val="bottom"/>
            <w:hideMark/>
          </w:tcPr>
          <w:p w14:paraId="72282599" w14:textId="77777777" w:rsidR="00BA0D82" w:rsidRPr="0005691D" w:rsidRDefault="00BA0D82" w:rsidP="001A5653">
            <w:pPr>
              <w:spacing w:after="0" w:line="240" w:lineRule="auto"/>
              <w:jc w:val="center"/>
              <w:rPr>
                <w:rFonts w:ascii="Calibri" w:eastAsia="Times New Roman" w:hAnsi="Calibri" w:cs="Calibri"/>
                <w:color w:val="000000"/>
              </w:rPr>
            </w:pPr>
          </w:p>
        </w:tc>
        <w:tc>
          <w:tcPr>
            <w:tcW w:w="1165" w:type="dxa"/>
            <w:tcBorders>
              <w:top w:val="nil"/>
              <w:left w:val="nil"/>
              <w:bottom w:val="nil"/>
              <w:right w:val="nil"/>
            </w:tcBorders>
            <w:shd w:val="clear" w:color="auto" w:fill="auto"/>
            <w:noWrap/>
            <w:vAlign w:val="center"/>
            <w:hideMark/>
          </w:tcPr>
          <w:p w14:paraId="093761C9" w14:textId="77777777" w:rsidR="00BA0D82" w:rsidRPr="0005691D" w:rsidRDefault="00BA0D82" w:rsidP="001A5653">
            <w:pPr>
              <w:spacing w:after="0" w:line="240" w:lineRule="auto"/>
              <w:rPr>
                <w:rFonts w:ascii="Times New Roman" w:eastAsia="Times New Roman" w:hAnsi="Times New Roman" w:cs="Times New Roman"/>
                <w:sz w:val="20"/>
                <w:szCs w:val="20"/>
              </w:rPr>
            </w:pPr>
          </w:p>
        </w:tc>
        <w:tc>
          <w:tcPr>
            <w:tcW w:w="1254" w:type="dxa"/>
            <w:tcBorders>
              <w:top w:val="nil"/>
              <w:left w:val="nil"/>
              <w:bottom w:val="nil"/>
              <w:right w:val="nil"/>
            </w:tcBorders>
            <w:shd w:val="clear" w:color="auto" w:fill="auto"/>
            <w:noWrap/>
            <w:vAlign w:val="center"/>
            <w:hideMark/>
          </w:tcPr>
          <w:p w14:paraId="2CAF1198"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c>
          <w:tcPr>
            <w:tcW w:w="897" w:type="dxa"/>
            <w:tcBorders>
              <w:top w:val="nil"/>
              <w:left w:val="nil"/>
              <w:bottom w:val="nil"/>
              <w:right w:val="nil"/>
            </w:tcBorders>
            <w:shd w:val="clear" w:color="auto" w:fill="auto"/>
            <w:noWrap/>
            <w:vAlign w:val="center"/>
            <w:hideMark/>
          </w:tcPr>
          <w:p w14:paraId="5342C930"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c>
          <w:tcPr>
            <w:tcW w:w="897" w:type="dxa"/>
            <w:tcBorders>
              <w:top w:val="nil"/>
              <w:left w:val="nil"/>
              <w:bottom w:val="nil"/>
              <w:right w:val="nil"/>
            </w:tcBorders>
            <w:shd w:val="clear" w:color="auto" w:fill="auto"/>
            <w:noWrap/>
            <w:vAlign w:val="center"/>
            <w:hideMark/>
          </w:tcPr>
          <w:p w14:paraId="442D0F87"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c>
          <w:tcPr>
            <w:tcW w:w="892" w:type="dxa"/>
            <w:tcBorders>
              <w:top w:val="nil"/>
              <w:left w:val="nil"/>
              <w:bottom w:val="nil"/>
              <w:right w:val="nil"/>
            </w:tcBorders>
            <w:shd w:val="clear" w:color="auto" w:fill="auto"/>
            <w:noWrap/>
            <w:vAlign w:val="center"/>
            <w:hideMark/>
          </w:tcPr>
          <w:p w14:paraId="0FB986C3"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c>
          <w:tcPr>
            <w:tcW w:w="1063" w:type="dxa"/>
            <w:tcBorders>
              <w:top w:val="nil"/>
              <w:left w:val="nil"/>
              <w:bottom w:val="nil"/>
              <w:right w:val="nil"/>
            </w:tcBorders>
            <w:shd w:val="clear" w:color="auto" w:fill="auto"/>
            <w:noWrap/>
            <w:vAlign w:val="center"/>
            <w:hideMark/>
          </w:tcPr>
          <w:p w14:paraId="5B739CB6"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c>
          <w:tcPr>
            <w:tcW w:w="1063" w:type="dxa"/>
            <w:tcBorders>
              <w:top w:val="nil"/>
              <w:left w:val="nil"/>
              <w:bottom w:val="nil"/>
              <w:right w:val="nil"/>
            </w:tcBorders>
            <w:shd w:val="clear" w:color="auto" w:fill="auto"/>
            <w:noWrap/>
            <w:vAlign w:val="center"/>
            <w:hideMark/>
          </w:tcPr>
          <w:p w14:paraId="7D4FE2F5"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c>
          <w:tcPr>
            <w:tcW w:w="1063" w:type="dxa"/>
            <w:tcBorders>
              <w:top w:val="nil"/>
              <w:left w:val="nil"/>
              <w:bottom w:val="nil"/>
              <w:right w:val="nil"/>
            </w:tcBorders>
            <w:shd w:val="clear" w:color="auto" w:fill="auto"/>
            <w:noWrap/>
            <w:vAlign w:val="center"/>
            <w:hideMark/>
          </w:tcPr>
          <w:p w14:paraId="7CC2BFF8"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r>
      <w:tr w:rsidR="00BA0D82" w:rsidRPr="0005691D" w14:paraId="5BD4F4C2" w14:textId="77777777" w:rsidTr="001A5653">
        <w:trPr>
          <w:trHeight w:val="465"/>
        </w:trPr>
        <w:tc>
          <w:tcPr>
            <w:tcW w:w="10800" w:type="dxa"/>
            <w:gridSpan w:val="9"/>
            <w:tcBorders>
              <w:top w:val="single" w:sz="4" w:space="0" w:color="auto"/>
              <w:left w:val="nil"/>
              <w:bottom w:val="single" w:sz="4" w:space="0" w:color="auto"/>
              <w:right w:val="nil"/>
            </w:tcBorders>
            <w:shd w:val="clear" w:color="auto" w:fill="auto"/>
            <w:noWrap/>
            <w:vAlign w:val="bottom"/>
            <w:hideMark/>
          </w:tcPr>
          <w:p w14:paraId="2B89AD95" w14:textId="77777777" w:rsidR="00BA0D82" w:rsidRPr="0005691D" w:rsidRDefault="00BA0D82" w:rsidP="00BA0D82">
            <w:pPr>
              <w:pStyle w:val="Heading2"/>
              <w:numPr>
                <w:ilvl w:val="0"/>
                <w:numId w:val="0"/>
              </w:numPr>
              <w:rPr>
                <w:rFonts w:eastAsia="Times New Roman"/>
              </w:rPr>
            </w:pPr>
            <w:bookmarkStart w:id="261" w:name="_Toc27143220"/>
            <w:bookmarkStart w:id="262" w:name="_Toc28011519"/>
            <w:r w:rsidRPr="0005691D">
              <w:rPr>
                <w:rFonts w:eastAsia="Times New Roman"/>
              </w:rPr>
              <w:t>Puerto Rico Combined</w:t>
            </w:r>
            <w:bookmarkEnd w:id="261"/>
            <w:bookmarkEnd w:id="262"/>
          </w:p>
        </w:tc>
      </w:tr>
      <w:tr w:rsidR="00BA0D82" w:rsidRPr="0005691D" w14:paraId="7223120F" w14:textId="77777777" w:rsidTr="001A5653">
        <w:trPr>
          <w:trHeight w:val="1305"/>
        </w:trPr>
        <w:tc>
          <w:tcPr>
            <w:tcW w:w="2506" w:type="dxa"/>
            <w:tcBorders>
              <w:top w:val="nil"/>
              <w:left w:val="single" w:sz="4" w:space="0" w:color="auto"/>
              <w:bottom w:val="single" w:sz="4" w:space="0" w:color="auto"/>
              <w:right w:val="single" w:sz="4" w:space="0" w:color="auto"/>
            </w:tcBorders>
            <w:shd w:val="clear" w:color="000000" w:fill="B4C6E7"/>
            <w:vAlign w:val="bottom"/>
            <w:hideMark/>
          </w:tcPr>
          <w:p w14:paraId="13BEA932" w14:textId="77777777" w:rsidR="00BA0D82" w:rsidRPr="0005691D" w:rsidRDefault="00BA0D82" w:rsidP="001A5653">
            <w:pPr>
              <w:spacing w:after="0" w:line="240" w:lineRule="auto"/>
              <w:jc w:val="right"/>
              <w:rPr>
                <w:rFonts w:ascii="Calibri" w:eastAsia="Times New Roman" w:hAnsi="Calibri" w:cs="Calibri"/>
                <w:b/>
                <w:bCs/>
                <w:color w:val="000000"/>
                <w:szCs w:val="28"/>
              </w:rPr>
            </w:pPr>
            <w:r w:rsidRPr="0005691D">
              <w:rPr>
                <w:rFonts w:ascii="Calibri" w:eastAsia="Times New Roman" w:hAnsi="Calibri" w:cs="Calibri"/>
                <w:b/>
                <w:bCs/>
                <w:color w:val="000000"/>
                <w:szCs w:val="28"/>
              </w:rPr>
              <w:t>Area</w:t>
            </w:r>
          </w:p>
        </w:tc>
        <w:tc>
          <w:tcPr>
            <w:tcW w:w="1165" w:type="dxa"/>
            <w:tcBorders>
              <w:top w:val="nil"/>
              <w:left w:val="nil"/>
              <w:bottom w:val="single" w:sz="4" w:space="0" w:color="auto"/>
              <w:right w:val="single" w:sz="4" w:space="0" w:color="auto"/>
            </w:tcBorders>
            <w:shd w:val="clear" w:color="000000" w:fill="B4C6E7"/>
            <w:vAlign w:val="bottom"/>
            <w:hideMark/>
          </w:tcPr>
          <w:p w14:paraId="146D9A2A"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of Total Activities</w:t>
            </w:r>
          </w:p>
        </w:tc>
        <w:tc>
          <w:tcPr>
            <w:tcW w:w="1254" w:type="dxa"/>
            <w:tcBorders>
              <w:top w:val="nil"/>
              <w:left w:val="nil"/>
              <w:bottom w:val="single" w:sz="4" w:space="0" w:color="auto"/>
              <w:right w:val="single" w:sz="4" w:space="0" w:color="auto"/>
            </w:tcBorders>
            <w:shd w:val="clear" w:color="000000" w:fill="B4C6E7"/>
            <w:vAlign w:val="bottom"/>
            <w:hideMark/>
          </w:tcPr>
          <w:p w14:paraId="4BBFFD2C"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Average Progress on Activities (%)</w:t>
            </w:r>
          </w:p>
        </w:tc>
        <w:tc>
          <w:tcPr>
            <w:tcW w:w="897" w:type="dxa"/>
            <w:tcBorders>
              <w:top w:val="nil"/>
              <w:left w:val="nil"/>
              <w:bottom w:val="single" w:sz="4" w:space="0" w:color="auto"/>
              <w:right w:val="single" w:sz="4" w:space="0" w:color="auto"/>
            </w:tcBorders>
            <w:shd w:val="clear" w:color="000000" w:fill="B4C6E7"/>
            <w:vAlign w:val="bottom"/>
            <w:hideMark/>
          </w:tcPr>
          <w:p w14:paraId="1F605881"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Outputs</w:t>
            </w:r>
          </w:p>
        </w:tc>
        <w:tc>
          <w:tcPr>
            <w:tcW w:w="897" w:type="dxa"/>
            <w:tcBorders>
              <w:top w:val="nil"/>
              <w:left w:val="nil"/>
              <w:bottom w:val="single" w:sz="4" w:space="0" w:color="auto"/>
              <w:right w:val="single" w:sz="4" w:space="0" w:color="auto"/>
            </w:tcBorders>
            <w:shd w:val="clear" w:color="000000" w:fill="B4C6E7"/>
            <w:vAlign w:val="bottom"/>
            <w:hideMark/>
          </w:tcPr>
          <w:p w14:paraId="4E300655"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Outputs Met</w:t>
            </w:r>
          </w:p>
        </w:tc>
        <w:tc>
          <w:tcPr>
            <w:tcW w:w="892" w:type="dxa"/>
            <w:tcBorders>
              <w:top w:val="nil"/>
              <w:left w:val="nil"/>
              <w:bottom w:val="single" w:sz="4" w:space="0" w:color="auto"/>
              <w:right w:val="single" w:sz="4" w:space="0" w:color="auto"/>
            </w:tcBorders>
            <w:shd w:val="clear" w:color="000000" w:fill="B4C6E7"/>
            <w:vAlign w:val="bottom"/>
            <w:hideMark/>
          </w:tcPr>
          <w:p w14:paraId="236FD0EF"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Outputs Met</w:t>
            </w:r>
          </w:p>
        </w:tc>
        <w:tc>
          <w:tcPr>
            <w:tcW w:w="1063" w:type="dxa"/>
            <w:tcBorders>
              <w:top w:val="nil"/>
              <w:left w:val="nil"/>
              <w:bottom w:val="single" w:sz="4" w:space="0" w:color="auto"/>
              <w:right w:val="single" w:sz="4" w:space="0" w:color="auto"/>
            </w:tcBorders>
            <w:shd w:val="clear" w:color="000000" w:fill="B4C6E7"/>
            <w:vAlign w:val="bottom"/>
            <w:hideMark/>
          </w:tcPr>
          <w:p w14:paraId="13AF2370"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Short-Term Outcomes</w:t>
            </w:r>
          </w:p>
        </w:tc>
        <w:tc>
          <w:tcPr>
            <w:tcW w:w="1063" w:type="dxa"/>
            <w:tcBorders>
              <w:top w:val="nil"/>
              <w:left w:val="nil"/>
              <w:bottom w:val="single" w:sz="4" w:space="0" w:color="auto"/>
              <w:right w:val="single" w:sz="4" w:space="0" w:color="auto"/>
            </w:tcBorders>
            <w:shd w:val="clear" w:color="000000" w:fill="B4C6E7"/>
            <w:vAlign w:val="bottom"/>
            <w:hideMark/>
          </w:tcPr>
          <w:p w14:paraId="40EF4585"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Short-Term Outcomes Met</w:t>
            </w:r>
          </w:p>
        </w:tc>
        <w:tc>
          <w:tcPr>
            <w:tcW w:w="1063" w:type="dxa"/>
            <w:tcBorders>
              <w:top w:val="nil"/>
              <w:left w:val="nil"/>
              <w:bottom w:val="single" w:sz="4" w:space="0" w:color="auto"/>
              <w:right w:val="single" w:sz="4" w:space="0" w:color="auto"/>
            </w:tcBorders>
            <w:shd w:val="clear" w:color="000000" w:fill="B4C6E7"/>
            <w:vAlign w:val="bottom"/>
            <w:hideMark/>
          </w:tcPr>
          <w:p w14:paraId="364AE43F"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%Short-Term Outcomes Achieved</w:t>
            </w:r>
          </w:p>
        </w:tc>
      </w:tr>
      <w:tr w:rsidR="00BA0D82" w:rsidRPr="0005691D" w14:paraId="6F1F76D4" w14:textId="77777777" w:rsidTr="001A5653">
        <w:trPr>
          <w:trHeight w:val="300"/>
        </w:trPr>
        <w:tc>
          <w:tcPr>
            <w:tcW w:w="2506" w:type="dxa"/>
            <w:tcBorders>
              <w:top w:val="nil"/>
              <w:left w:val="single" w:sz="4" w:space="0" w:color="auto"/>
              <w:bottom w:val="single" w:sz="4" w:space="0" w:color="auto"/>
              <w:right w:val="single" w:sz="4" w:space="0" w:color="auto"/>
            </w:tcBorders>
            <w:shd w:val="clear" w:color="000000" w:fill="B4C6E7"/>
            <w:noWrap/>
            <w:vAlign w:val="center"/>
            <w:hideMark/>
          </w:tcPr>
          <w:p w14:paraId="4678CD19" w14:textId="77777777" w:rsidR="00BA0D82" w:rsidRPr="0005691D" w:rsidRDefault="00BA0D82" w:rsidP="001A5653">
            <w:pPr>
              <w:spacing w:after="0" w:line="240" w:lineRule="auto"/>
              <w:jc w:val="right"/>
              <w:rPr>
                <w:rFonts w:ascii="Calibri" w:eastAsia="Times New Roman" w:hAnsi="Calibri" w:cs="Calibri"/>
                <w:b/>
                <w:bCs/>
                <w:color w:val="000000"/>
              </w:rPr>
            </w:pPr>
            <w:r w:rsidRPr="0005691D">
              <w:rPr>
                <w:rFonts w:ascii="Calibri" w:eastAsia="Times New Roman" w:hAnsi="Calibri" w:cs="Calibri"/>
                <w:b/>
                <w:bCs/>
                <w:color w:val="000000"/>
              </w:rPr>
              <w:t>Pre-ETS</w:t>
            </w:r>
          </w:p>
        </w:tc>
        <w:tc>
          <w:tcPr>
            <w:tcW w:w="1165" w:type="dxa"/>
            <w:tcBorders>
              <w:top w:val="nil"/>
              <w:left w:val="nil"/>
              <w:bottom w:val="single" w:sz="4" w:space="0" w:color="auto"/>
              <w:right w:val="single" w:sz="4" w:space="0" w:color="auto"/>
            </w:tcBorders>
            <w:shd w:val="clear" w:color="000000" w:fill="FFFFFF"/>
            <w:noWrap/>
            <w:vAlign w:val="center"/>
            <w:hideMark/>
          </w:tcPr>
          <w:p w14:paraId="23611778"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7</w:t>
            </w:r>
          </w:p>
        </w:tc>
        <w:tc>
          <w:tcPr>
            <w:tcW w:w="1254" w:type="dxa"/>
            <w:tcBorders>
              <w:top w:val="nil"/>
              <w:left w:val="nil"/>
              <w:bottom w:val="single" w:sz="4" w:space="0" w:color="auto"/>
              <w:right w:val="single" w:sz="4" w:space="0" w:color="auto"/>
            </w:tcBorders>
            <w:shd w:val="clear" w:color="000000" w:fill="FFFFFF"/>
            <w:noWrap/>
            <w:vAlign w:val="center"/>
            <w:hideMark/>
          </w:tcPr>
          <w:p w14:paraId="5ECE12D6"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36%</w:t>
            </w:r>
          </w:p>
        </w:tc>
        <w:tc>
          <w:tcPr>
            <w:tcW w:w="897" w:type="dxa"/>
            <w:tcBorders>
              <w:top w:val="nil"/>
              <w:left w:val="nil"/>
              <w:bottom w:val="single" w:sz="4" w:space="0" w:color="auto"/>
              <w:right w:val="single" w:sz="4" w:space="0" w:color="auto"/>
            </w:tcBorders>
            <w:shd w:val="clear" w:color="000000" w:fill="FFFFFF"/>
            <w:noWrap/>
            <w:vAlign w:val="center"/>
            <w:hideMark/>
          </w:tcPr>
          <w:p w14:paraId="22B57715"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7</w:t>
            </w:r>
          </w:p>
        </w:tc>
        <w:tc>
          <w:tcPr>
            <w:tcW w:w="897" w:type="dxa"/>
            <w:tcBorders>
              <w:top w:val="nil"/>
              <w:left w:val="nil"/>
              <w:bottom w:val="single" w:sz="4" w:space="0" w:color="auto"/>
              <w:right w:val="single" w:sz="4" w:space="0" w:color="auto"/>
            </w:tcBorders>
            <w:shd w:val="clear" w:color="000000" w:fill="FFFFFF"/>
            <w:noWrap/>
            <w:vAlign w:val="center"/>
            <w:hideMark/>
          </w:tcPr>
          <w:p w14:paraId="26A62437"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w:t>
            </w:r>
          </w:p>
        </w:tc>
        <w:tc>
          <w:tcPr>
            <w:tcW w:w="892" w:type="dxa"/>
            <w:tcBorders>
              <w:top w:val="nil"/>
              <w:left w:val="nil"/>
              <w:bottom w:val="single" w:sz="4" w:space="0" w:color="auto"/>
              <w:right w:val="single" w:sz="4" w:space="0" w:color="auto"/>
            </w:tcBorders>
            <w:shd w:val="clear" w:color="000000" w:fill="FFFFFF"/>
            <w:noWrap/>
            <w:vAlign w:val="center"/>
            <w:hideMark/>
          </w:tcPr>
          <w:p w14:paraId="4EC825AD"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14%</w:t>
            </w:r>
          </w:p>
        </w:tc>
        <w:tc>
          <w:tcPr>
            <w:tcW w:w="1063" w:type="dxa"/>
            <w:tcBorders>
              <w:top w:val="nil"/>
              <w:left w:val="nil"/>
              <w:bottom w:val="single" w:sz="4" w:space="0" w:color="auto"/>
              <w:right w:val="single" w:sz="4" w:space="0" w:color="auto"/>
            </w:tcBorders>
            <w:shd w:val="clear" w:color="000000" w:fill="FFFFFF"/>
            <w:noWrap/>
            <w:vAlign w:val="center"/>
            <w:hideMark/>
          </w:tcPr>
          <w:p w14:paraId="6F5A3390"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2</w:t>
            </w:r>
          </w:p>
        </w:tc>
        <w:tc>
          <w:tcPr>
            <w:tcW w:w="1063" w:type="dxa"/>
            <w:tcBorders>
              <w:top w:val="nil"/>
              <w:left w:val="nil"/>
              <w:bottom w:val="single" w:sz="4" w:space="0" w:color="auto"/>
              <w:right w:val="single" w:sz="4" w:space="0" w:color="auto"/>
            </w:tcBorders>
            <w:shd w:val="clear" w:color="000000" w:fill="FFFFFF"/>
            <w:noWrap/>
            <w:vAlign w:val="center"/>
            <w:hideMark/>
          </w:tcPr>
          <w:p w14:paraId="727913B8"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0</w:t>
            </w:r>
          </w:p>
        </w:tc>
        <w:tc>
          <w:tcPr>
            <w:tcW w:w="1063" w:type="dxa"/>
            <w:tcBorders>
              <w:top w:val="nil"/>
              <w:left w:val="nil"/>
              <w:bottom w:val="single" w:sz="4" w:space="0" w:color="auto"/>
              <w:right w:val="single" w:sz="4" w:space="0" w:color="auto"/>
            </w:tcBorders>
            <w:shd w:val="clear" w:color="000000" w:fill="FFFFFF"/>
            <w:noWrap/>
            <w:vAlign w:val="center"/>
            <w:hideMark/>
          </w:tcPr>
          <w:p w14:paraId="29F67627"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0%</w:t>
            </w:r>
          </w:p>
        </w:tc>
      </w:tr>
      <w:tr w:rsidR="00BA0D82" w:rsidRPr="0005691D" w14:paraId="12CC3B31" w14:textId="77777777" w:rsidTr="001A5653">
        <w:trPr>
          <w:trHeight w:val="300"/>
        </w:trPr>
        <w:tc>
          <w:tcPr>
            <w:tcW w:w="2506" w:type="dxa"/>
            <w:tcBorders>
              <w:top w:val="nil"/>
              <w:left w:val="nil"/>
              <w:bottom w:val="nil"/>
              <w:right w:val="nil"/>
            </w:tcBorders>
            <w:shd w:val="clear" w:color="auto" w:fill="auto"/>
            <w:noWrap/>
            <w:vAlign w:val="bottom"/>
            <w:hideMark/>
          </w:tcPr>
          <w:p w14:paraId="251E99DB" w14:textId="77777777" w:rsidR="00BA0D82" w:rsidRPr="0005691D" w:rsidRDefault="00BA0D82" w:rsidP="001A5653">
            <w:pPr>
              <w:spacing w:after="0" w:line="240" w:lineRule="auto"/>
              <w:jc w:val="center"/>
              <w:rPr>
                <w:rFonts w:ascii="Calibri" w:eastAsia="Times New Roman" w:hAnsi="Calibri" w:cs="Calibri"/>
                <w:color w:val="000000"/>
              </w:rPr>
            </w:pPr>
          </w:p>
        </w:tc>
        <w:tc>
          <w:tcPr>
            <w:tcW w:w="1165" w:type="dxa"/>
            <w:tcBorders>
              <w:top w:val="nil"/>
              <w:left w:val="nil"/>
              <w:bottom w:val="nil"/>
              <w:right w:val="nil"/>
            </w:tcBorders>
            <w:shd w:val="clear" w:color="auto" w:fill="auto"/>
            <w:noWrap/>
            <w:vAlign w:val="center"/>
            <w:hideMark/>
          </w:tcPr>
          <w:p w14:paraId="22011D55" w14:textId="77777777" w:rsidR="00BA0D82" w:rsidRPr="0005691D" w:rsidRDefault="00BA0D82" w:rsidP="001A5653">
            <w:pPr>
              <w:spacing w:after="0" w:line="240" w:lineRule="auto"/>
              <w:rPr>
                <w:rFonts w:ascii="Times New Roman" w:eastAsia="Times New Roman" w:hAnsi="Times New Roman" w:cs="Times New Roman"/>
                <w:sz w:val="20"/>
                <w:szCs w:val="20"/>
              </w:rPr>
            </w:pPr>
          </w:p>
        </w:tc>
        <w:tc>
          <w:tcPr>
            <w:tcW w:w="1254" w:type="dxa"/>
            <w:tcBorders>
              <w:top w:val="nil"/>
              <w:left w:val="nil"/>
              <w:bottom w:val="nil"/>
              <w:right w:val="nil"/>
            </w:tcBorders>
            <w:shd w:val="clear" w:color="auto" w:fill="auto"/>
            <w:noWrap/>
            <w:vAlign w:val="center"/>
            <w:hideMark/>
          </w:tcPr>
          <w:p w14:paraId="1FCF1741"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c>
          <w:tcPr>
            <w:tcW w:w="897" w:type="dxa"/>
            <w:tcBorders>
              <w:top w:val="nil"/>
              <w:left w:val="nil"/>
              <w:bottom w:val="nil"/>
              <w:right w:val="nil"/>
            </w:tcBorders>
            <w:shd w:val="clear" w:color="auto" w:fill="auto"/>
            <w:noWrap/>
            <w:vAlign w:val="center"/>
            <w:hideMark/>
          </w:tcPr>
          <w:p w14:paraId="66BBD621"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c>
          <w:tcPr>
            <w:tcW w:w="897" w:type="dxa"/>
            <w:tcBorders>
              <w:top w:val="nil"/>
              <w:left w:val="nil"/>
              <w:bottom w:val="nil"/>
              <w:right w:val="nil"/>
            </w:tcBorders>
            <w:shd w:val="clear" w:color="auto" w:fill="auto"/>
            <w:noWrap/>
            <w:vAlign w:val="center"/>
            <w:hideMark/>
          </w:tcPr>
          <w:p w14:paraId="4F128EB2"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c>
          <w:tcPr>
            <w:tcW w:w="892" w:type="dxa"/>
            <w:tcBorders>
              <w:top w:val="nil"/>
              <w:left w:val="nil"/>
              <w:bottom w:val="nil"/>
              <w:right w:val="nil"/>
            </w:tcBorders>
            <w:shd w:val="clear" w:color="auto" w:fill="auto"/>
            <w:noWrap/>
            <w:vAlign w:val="center"/>
            <w:hideMark/>
          </w:tcPr>
          <w:p w14:paraId="15F93349"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c>
          <w:tcPr>
            <w:tcW w:w="1063" w:type="dxa"/>
            <w:tcBorders>
              <w:top w:val="nil"/>
              <w:left w:val="nil"/>
              <w:bottom w:val="nil"/>
              <w:right w:val="nil"/>
            </w:tcBorders>
            <w:shd w:val="clear" w:color="auto" w:fill="auto"/>
            <w:noWrap/>
            <w:vAlign w:val="center"/>
            <w:hideMark/>
          </w:tcPr>
          <w:p w14:paraId="14312B39"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c>
          <w:tcPr>
            <w:tcW w:w="1063" w:type="dxa"/>
            <w:tcBorders>
              <w:top w:val="nil"/>
              <w:left w:val="nil"/>
              <w:bottom w:val="nil"/>
              <w:right w:val="nil"/>
            </w:tcBorders>
            <w:shd w:val="clear" w:color="auto" w:fill="auto"/>
            <w:noWrap/>
            <w:vAlign w:val="center"/>
            <w:hideMark/>
          </w:tcPr>
          <w:p w14:paraId="3D53E9EC"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c>
          <w:tcPr>
            <w:tcW w:w="1063" w:type="dxa"/>
            <w:tcBorders>
              <w:top w:val="nil"/>
              <w:left w:val="nil"/>
              <w:bottom w:val="nil"/>
              <w:right w:val="nil"/>
            </w:tcBorders>
            <w:shd w:val="clear" w:color="auto" w:fill="auto"/>
            <w:noWrap/>
            <w:vAlign w:val="center"/>
            <w:hideMark/>
          </w:tcPr>
          <w:p w14:paraId="5741CFC2"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r>
      <w:tr w:rsidR="00BA0D82" w:rsidRPr="0005691D" w14:paraId="1348AB9D" w14:textId="77777777" w:rsidTr="001A5653">
        <w:trPr>
          <w:trHeight w:val="465"/>
        </w:trPr>
        <w:tc>
          <w:tcPr>
            <w:tcW w:w="10800" w:type="dxa"/>
            <w:gridSpan w:val="9"/>
            <w:tcBorders>
              <w:top w:val="single" w:sz="4" w:space="0" w:color="auto"/>
              <w:left w:val="nil"/>
              <w:bottom w:val="single" w:sz="4" w:space="0" w:color="auto"/>
              <w:right w:val="nil"/>
            </w:tcBorders>
            <w:shd w:val="clear" w:color="auto" w:fill="auto"/>
            <w:noWrap/>
            <w:vAlign w:val="bottom"/>
            <w:hideMark/>
          </w:tcPr>
          <w:p w14:paraId="7BF8CFCB" w14:textId="77777777" w:rsidR="00BA0D82" w:rsidRPr="0005691D" w:rsidRDefault="00BA0D82" w:rsidP="00BA0D82">
            <w:pPr>
              <w:pStyle w:val="Heading2"/>
              <w:numPr>
                <w:ilvl w:val="0"/>
                <w:numId w:val="0"/>
              </w:numPr>
              <w:rPr>
                <w:rFonts w:eastAsia="Times New Roman"/>
              </w:rPr>
            </w:pPr>
            <w:bookmarkStart w:id="263" w:name="_Toc27143221"/>
            <w:bookmarkStart w:id="264" w:name="_Toc28011520"/>
            <w:r w:rsidRPr="0005691D">
              <w:rPr>
                <w:rFonts w:eastAsia="Times New Roman"/>
              </w:rPr>
              <w:t>Rhode Island Combined</w:t>
            </w:r>
            <w:bookmarkEnd w:id="263"/>
            <w:bookmarkEnd w:id="264"/>
          </w:p>
        </w:tc>
      </w:tr>
      <w:tr w:rsidR="00BA0D82" w:rsidRPr="0005691D" w14:paraId="2A7AE78B" w14:textId="77777777" w:rsidTr="001A5653">
        <w:trPr>
          <w:trHeight w:val="1305"/>
        </w:trPr>
        <w:tc>
          <w:tcPr>
            <w:tcW w:w="2506" w:type="dxa"/>
            <w:tcBorders>
              <w:top w:val="nil"/>
              <w:left w:val="single" w:sz="4" w:space="0" w:color="auto"/>
              <w:bottom w:val="single" w:sz="4" w:space="0" w:color="auto"/>
              <w:right w:val="single" w:sz="4" w:space="0" w:color="auto"/>
            </w:tcBorders>
            <w:shd w:val="clear" w:color="000000" w:fill="B4C6E7"/>
            <w:vAlign w:val="bottom"/>
            <w:hideMark/>
          </w:tcPr>
          <w:p w14:paraId="65EC6C17" w14:textId="77777777" w:rsidR="00BA0D82" w:rsidRPr="0005691D" w:rsidRDefault="00BA0D82" w:rsidP="001A5653">
            <w:pPr>
              <w:spacing w:after="0" w:line="240" w:lineRule="auto"/>
              <w:jc w:val="right"/>
              <w:rPr>
                <w:rFonts w:ascii="Calibri" w:eastAsia="Times New Roman" w:hAnsi="Calibri" w:cs="Calibri"/>
                <w:b/>
                <w:bCs/>
                <w:color w:val="000000"/>
                <w:szCs w:val="28"/>
              </w:rPr>
            </w:pPr>
            <w:r w:rsidRPr="0005691D">
              <w:rPr>
                <w:rFonts w:ascii="Calibri" w:eastAsia="Times New Roman" w:hAnsi="Calibri" w:cs="Calibri"/>
                <w:b/>
                <w:bCs/>
                <w:color w:val="000000"/>
                <w:szCs w:val="28"/>
              </w:rPr>
              <w:t>Area</w:t>
            </w:r>
          </w:p>
        </w:tc>
        <w:tc>
          <w:tcPr>
            <w:tcW w:w="1165" w:type="dxa"/>
            <w:tcBorders>
              <w:top w:val="nil"/>
              <w:left w:val="nil"/>
              <w:bottom w:val="single" w:sz="4" w:space="0" w:color="auto"/>
              <w:right w:val="single" w:sz="4" w:space="0" w:color="auto"/>
            </w:tcBorders>
            <w:shd w:val="clear" w:color="000000" w:fill="B4C6E7"/>
            <w:vAlign w:val="bottom"/>
            <w:hideMark/>
          </w:tcPr>
          <w:p w14:paraId="39FBA831"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of Total Activities</w:t>
            </w:r>
          </w:p>
        </w:tc>
        <w:tc>
          <w:tcPr>
            <w:tcW w:w="1254" w:type="dxa"/>
            <w:tcBorders>
              <w:top w:val="nil"/>
              <w:left w:val="nil"/>
              <w:bottom w:val="single" w:sz="4" w:space="0" w:color="auto"/>
              <w:right w:val="single" w:sz="4" w:space="0" w:color="auto"/>
            </w:tcBorders>
            <w:shd w:val="clear" w:color="000000" w:fill="B4C6E7"/>
            <w:vAlign w:val="bottom"/>
            <w:hideMark/>
          </w:tcPr>
          <w:p w14:paraId="0670209E"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Average Progress on Activities (%)</w:t>
            </w:r>
          </w:p>
        </w:tc>
        <w:tc>
          <w:tcPr>
            <w:tcW w:w="897" w:type="dxa"/>
            <w:tcBorders>
              <w:top w:val="nil"/>
              <w:left w:val="nil"/>
              <w:bottom w:val="single" w:sz="4" w:space="0" w:color="auto"/>
              <w:right w:val="single" w:sz="4" w:space="0" w:color="auto"/>
            </w:tcBorders>
            <w:shd w:val="clear" w:color="000000" w:fill="B4C6E7"/>
            <w:vAlign w:val="bottom"/>
            <w:hideMark/>
          </w:tcPr>
          <w:p w14:paraId="16A00573"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Outputs</w:t>
            </w:r>
          </w:p>
        </w:tc>
        <w:tc>
          <w:tcPr>
            <w:tcW w:w="897" w:type="dxa"/>
            <w:tcBorders>
              <w:top w:val="nil"/>
              <w:left w:val="nil"/>
              <w:bottom w:val="single" w:sz="4" w:space="0" w:color="auto"/>
              <w:right w:val="single" w:sz="4" w:space="0" w:color="auto"/>
            </w:tcBorders>
            <w:shd w:val="clear" w:color="000000" w:fill="B4C6E7"/>
            <w:vAlign w:val="bottom"/>
            <w:hideMark/>
          </w:tcPr>
          <w:p w14:paraId="13FDBB29"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Outputs Met</w:t>
            </w:r>
          </w:p>
        </w:tc>
        <w:tc>
          <w:tcPr>
            <w:tcW w:w="892" w:type="dxa"/>
            <w:tcBorders>
              <w:top w:val="nil"/>
              <w:left w:val="nil"/>
              <w:bottom w:val="single" w:sz="4" w:space="0" w:color="auto"/>
              <w:right w:val="single" w:sz="4" w:space="0" w:color="auto"/>
            </w:tcBorders>
            <w:shd w:val="clear" w:color="000000" w:fill="B4C6E7"/>
            <w:vAlign w:val="bottom"/>
            <w:hideMark/>
          </w:tcPr>
          <w:p w14:paraId="0801D815"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Outputs Met</w:t>
            </w:r>
          </w:p>
        </w:tc>
        <w:tc>
          <w:tcPr>
            <w:tcW w:w="1063" w:type="dxa"/>
            <w:tcBorders>
              <w:top w:val="nil"/>
              <w:left w:val="nil"/>
              <w:bottom w:val="single" w:sz="4" w:space="0" w:color="auto"/>
              <w:right w:val="single" w:sz="4" w:space="0" w:color="auto"/>
            </w:tcBorders>
            <w:shd w:val="clear" w:color="000000" w:fill="B4C6E7"/>
            <w:vAlign w:val="bottom"/>
            <w:hideMark/>
          </w:tcPr>
          <w:p w14:paraId="49CB5C58"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Short-Term Outcomes</w:t>
            </w:r>
          </w:p>
        </w:tc>
        <w:tc>
          <w:tcPr>
            <w:tcW w:w="1063" w:type="dxa"/>
            <w:tcBorders>
              <w:top w:val="nil"/>
              <w:left w:val="nil"/>
              <w:bottom w:val="single" w:sz="4" w:space="0" w:color="auto"/>
              <w:right w:val="single" w:sz="4" w:space="0" w:color="auto"/>
            </w:tcBorders>
            <w:shd w:val="clear" w:color="000000" w:fill="B4C6E7"/>
            <w:vAlign w:val="bottom"/>
            <w:hideMark/>
          </w:tcPr>
          <w:p w14:paraId="19A27716"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Short-Term Outcomes Met</w:t>
            </w:r>
          </w:p>
        </w:tc>
        <w:tc>
          <w:tcPr>
            <w:tcW w:w="1063" w:type="dxa"/>
            <w:tcBorders>
              <w:top w:val="nil"/>
              <w:left w:val="nil"/>
              <w:bottom w:val="single" w:sz="4" w:space="0" w:color="auto"/>
              <w:right w:val="single" w:sz="4" w:space="0" w:color="auto"/>
            </w:tcBorders>
            <w:shd w:val="clear" w:color="000000" w:fill="B4C6E7"/>
            <w:vAlign w:val="bottom"/>
            <w:hideMark/>
          </w:tcPr>
          <w:p w14:paraId="08BF35AD"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%Short-Term Outcomes Achieved</w:t>
            </w:r>
          </w:p>
        </w:tc>
      </w:tr>
      <w:tr w:rsidR="00BA0D82" w:rsidRPr="0005691D" w14:paraId="323EA676" w14:textId="77777777" w:rsidTr="001A5653">
        <w:trPr>
          <w:trHeight w:val="300"/>
        </w:trPr>
        <w:tc>
          <w:tcPr>
            <w:tcW w:w="2506" w:type="dxa"/>
            <w:tcBorders>
              <w:top w:val="nil"/>
              <w:left w:val="single" w:sz="4" w:space="0" w:color="auto"/>
              <w:bottom w:val="single" w:sz="4" w:space="0" w:color="auto"/>
              <w:right w:val="single" w:sz="4" w:space="0" w:color="auto"/>
            </w:tcBorders>
            <w:shd w:val="clear" w:color="000000" w:fill="B4C6E7"/>
            <w:noWrap/>
            <w:vAlign w:val="center"/>
            <w:hideMark/>
          </w:tcPr>
          <w:p w14:paraId="48119417" w14:textId="77777777" w:rsidR="00BA0D82" w:rsidRPr="0005691D" w:rsidRDefault="00BA0D82" w:rsidP="001A5653">
            <w:pPr>
              <w:spacing w:after="0" w:line="240" w:lineRule="auto"/>
              <w:jc w:val="right"/>
              <w:rPr>
                <w:rFonts w:ascii="Calibri" w:eastAsia="Times New Roman" w:hAnsi="Calibri" w:cs="Calibri"/>
                <w:b/>
                <w:bCs/>
                <w:color w:val="000000"/>
              </w:rPr>
            </w:pPr>
            <w:r w:rsidRPr="0005691D">
              <w:rPr>
                <w:rFonts w:ascii="Calibri" w:eastAsia="Times New Roman" w:hAnsi="Calibri" w:cs="Calibri"/>
                <w:b/>
                <w:bCs/>
                <w:color w:val="000000"/>
              </w:rPr>
              <w:t>Pre-ETS</w:t>
            </w:r>
          </w:p>
        </w:tc>
        <w:tc>
          <w:tcPr>
            <w:tcW w:w="1165" w:type="dxa"/>
            <w:tcBorders>
              <w:top w:val="nil"/>
              <w:left w:val="nil"/>
              <w:bottom w:val="single" w:sz="4" w:space="0" w:color="auto"/>
              <w:right w:val="single" w:sz="4" w:space="0" w:color="auto"/>
            </w:tcBorders>
            <w:shd w:val="clear" w:color="000000" w:fill="FFFFFF"/>
            <w:noWrap/>
            <w:vAlign w:val="center"/>
            <w:hideMark/>
          </w:tcPr>
          <w:p w14:paraId="656B12F7"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8</w:t>
            </w:r>
          </w:p>
        </w:tc>
        <w:tc>
          <w:tcPr>
            <w:tcW w:w="1254" w:type="dxa"/>
            <w:tcBorders>
              <w:top w:val="nil"/>
              <w:left w:val="nil"/>
              <w:bottom w:val="single" w:sz="4" w:space="0" w:color="auto"/>
              <w:right w:val="single" w:sz="4" w:space="0" w:color="auto"/>
            </w:tcBorders>
            <w:shd w:val="clear" w:color="000000" w:fill="FFFFFF"/>
            <w:noWrap/>
            <w:vAlign w:val="center"/>
            <w:hideMark/>
          </w:tcPr>
          <w:p w14:paraId="57C37B0D"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100%</w:t>
            </w:r>
          </w:p>
        </w:tc>
        <w:tc>
          <w:tcPr>
            <w:tcW w:w="897" w:type="dxa"/>
            <w:tcBorders>
              <w:top w:val="nil"/>
              <w:left w:val="nil"/>
              <w:bottom w:val="single" w:sz="4" w:space="0" w:color="auto"/>
              <w:right w:val="single" w:sz="4" w:space="0" w:color="auto"/>
            </w:tcBorders>
            <w:shd w:val="clear" w:color="000000" w:fill="FFFFFF"/>
            <w:noWrap/>
            <w:vAlign w:val="center"/>
            <w:hideMark/>
          </w:tcPr>
          <w:p w14:paraId="01547C17"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8</w:t>
            </w:r>
          </w:p>
        </w:tc>
        <w:tc>
          <w:tcPr>
            <w:tcW w:w="897" w:type="dxa"/>
            <w:tcBorders>
              <w:top w:val="nil"/>
              <w:left w:val="nil"/>
              <w:bottom w:val="single" w:sz="4" w:space="0" w:color="auto"/>
              <w:right w:val="single" w:sz="4" w:space="0" w:color="auto"/>
            </w:tcBorders>
            <w:shd w:val="clear" w:color="000000" w:fill="FFFFFF"/>
            <w:noWrap/>
            <w:vAlign w:val="center"/>
            <w:hideMark/>
          </w:tcPr>
          <w:p w14:paraId="21293415"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8</w:t>
            </w:r>
          </w:p>
        </w:tc>
        <w:tc>
          <w:tcPr>
            <w:tcW w:w="892" w:type="dxa"/>
            <w:tcBorders>
              <w:top w:val="nil"/>
              <w:left w:val="nil"/>
              <w:bottom w:val="single" w:sz="4" w:space="0" w:color="auto"/>
              <w:right w:val="single" w:sz="4" w:space="0" w:color="auto"/>
            </w:tcBorders>
            <w:shd w:val="clear" w:color="000000" w:fill="FFFFFF"/>
            <w:noWrap/>
            <w:vAlign w:val="center"/>
            <w:hideMark/>
          </w:tcPr>
          <w:p w14:paraId="44BFC62C"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100%</w:t>
            </w:r>
          </w:p>
        </w:tc>
        <w:tc>
          <w:tcPr>
            <w:tcW w:w="1063" w:type="dxa"/>
            <w:tcBorders>
              <w:top w:val="nil"/>
              <w:left w:val="nil"/>
              <w:bottom w:val="single" w:sz="4" w:space="0" w:color="auto"/>
              <w:right w:val="single" w:sz="4" w:space="0" w:color="auto"/>
            </w:tcBorders>
            <w:shd w:val="clear" w:color="000000" w:fill="FFFFFF"/>
            <w:noWrap/>
            <w:vAlign w:val="center"/>
            <w:hideMark/>
          </w:tcPr>
          <w:p w14:paraId="0C226256"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4</w:t>
            </w:r>
          </w:p>
        </w:tc>
        <w:tc>
          <w:tcPr>
            <w:tcW w:w="1063" w:type="dxa"/>
            <w:tcBorders>
              <w:top w:val="nil"/>
              <w:left w:val="nil"/>
              <w:bottom w:val="single" w:sz="4" w:space="0" w:color="auto"/>
              <w:right w:val="single" w:sz="4" w:space="0" w:color="auto"/>
            </w:tcBorders>
            <w:shd w:val="clear" w:color="000000" w:fill="FFFFFF"/>
            <w:noWrap/>
            <w:vAlign w:val="center"/>
            <w:hideMark/>
          </w:tcPr>
          <w:p w14:paraId="1E233F08"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3</w:t>
            </w:r>
          </w:p>
        </w:tc>
        <w:tc>
          <w:tcPr>
            <w:tcW w:w="1063" w:type="dxa"/>
            <w:tcBorders>
              <w:top w:val="nil"/>
              <w:left w:val="nil"/>
              <w:bottom w:val="single" w:sz="4" w:space="0" w:color="auto"/>
              <w:right w:val="single" w:sz="4" w:space="0" w:color="auto"/>
            </w:tcBorders>
            <w:shd w:val="clear" w:color="000000" w:fill="FFFFFF"/>
            <w:noWrap/>
            <w:vAlign w:val="center"/>
            <w:hideMark/>
          </w:tcPr>
          <w:p w14:paraId="4935DBD0"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75%</w:t>
            </w:r>
          </w:p>
        </w:tc>
      </w:tr>
      <w:tr w:rsidR="00BA0D82" w:rsidRPr="0005691D" w14:paraId="67D863B6" w14:textId="77777777" w:rsidTr="001A5653">
        <w:trPr>
          <w:trHeight w:val="300"/>
        </w:trPr>
        <w:tc>
          <w:tcPr>
            <w:tcW w:w="2506" w:type="dxa"/>
            <w:tcBorders>
              <w:top w:val="nil"/>
              <w:left w:val="single" w:sz="4" w:space="0" w:color="auto"/>
              <w:bottom w:val="single" w:sz="4" w:space="0" w:color="auto"/>
              <w:right w:val="single" w:sz="4" w:space="0" w:color="auto"/>
            </w:tcBorders>
            <w:shd w:val="clear" w:color="000000" w:fill="B4C6E7"/>
            <w:noWrap/>
            <w:vAlign w:val="center"/>
            <w:hideMark/>
          </w:tcPr>
          <w:p w14:paraId="2884C5ED" w14:textId="77777777" w:rsidR="00BA0D82" w:rsidRPr="0005691D" w:rsidRDefault="00BA0D82" w:rsidP="001A5653">
            <w:pPr>
              <w:spacing w:after="0" w:line="240" w:lineRule="auto"/>
              <w:jc w:val="right"/>
              <w:rPr>
                <w:rFonts w:ascii="Calibri" w:eastAsia="Times New Roman" w:hAnsi="Calibri" w:cs="Calibri"/>
                <w:b/>
                <w:bCs/>
                <w:color w:val="000000"/>
              </w:rPr>
            </w:pPr>
            <w:r w:rsidRPr="0005691D">
              <w:rPr>
                <w:rFonts w:ascii="Calibri" w:eastAsia="Times New Roman" w:hAnsi="Calibri" w:cs="Calibri"/>
                <w:b/>
                <w:bCs/>
                <w:color w:val="000000"/>
              </w:rPr>
              <w:t>Workforce Integration</w:t>
            </w:r>
          </w:p>
        </w:tc>
        <w:tc>
          <w:tcPr>
            <w:tcW w:w="1165" w:type="dxa"/>
            <w:tcBorders>
              <w:top w:val="nil"/>
              <w:left w:val="nil"/>
              <w:bottom w:val="single" w:sz="4" w:space="0" w:color="auto"/>
              <w:right w:val="single" w:sz="4" w:space="0" w:color="auto"/>
            </w:tcBorders>
            <w:shd w:val="clear" w:color="000000" w:fill="D9E2F3"/>
            <w:noWrap/>
            <w:vAlign w:val="center"/>
            <w:hideMark/>
          </w:tcPr>
          <w:p w14:paraId="08A9CC66"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2</w:t>
            </w:r>
          </w:p>
        </w:tc>
        <w:tc>
          <w:tcPr>
            <w:tcW w:w="1254" w:type="dxa"/>
            <w:tcBorders>
              <w:top w:val="nil"/>
              <w:left w:val="nil"/>
              <w:bottom w:val="single" w:sz="4" w:space="0" w:color="auto"/>
              <w:right w:val="single" w:sz="4" w:space="0" w:color="auto"/>
            </w:tcBorders>
            <w:shd w:val="clear" w:color="000000" w:fill="D9E2F3"/>
            <w:noWrap/>
            <w:vAlign w:val="center"/>
            <w:hideMark/>
          </w:tcPr>
          <w:p w14:paraId="75131A7A"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100%</w:t>
            </w:r>
          </w:p>
        </w:tc>
        <w:tc>
          <w:tcPr>
            <w:tcW w:w="897" w:type="dxa"/>
            <w:tcBorders>
              <w:top w:val="nil"/>
              <w:left w:val="nil"/>
              <w:bottom w:val="single" w:sz="4" w:space="0" w:color="auto"/>
              <w:right w:val="single" w:sz="4" w:space="0" w:color="auto"/>
            </w:tcBorders>
            <w:shd w:val="clear" w:color="000000" w:fill="D9E2F3"/>
            <w:noWrap/>
            <w:vAlign w:val="center"/>
            <w:hideMark/>
          </w:tcPr>
          <w:p w14:paraId="78EBA7B6"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2</w:t>
            </w:r>
          </w:p>
        </w:tc>
        <w:tc>
          <w:tcPr>
            <w:tcW w:w="897" w:type="dxa"/>
            <w:tcBorders>
              <w:top w:val="nil"/>
              <w:left w:val="nil"/>
              <w:bottom w:val="single" w:sz="4" w:space="0" w:color="auto"/>
              <w:right w:val="single" w:sz="4" w:space="0" w:color="auto"/>
            </w:tcBorders>
            <w:shd w:val="clear" w:color="000000" w:fill="D9E2F3"/>
            <w:noWrap/>
            <w:vAlign w:val="center"/>
            <w:hideMark/>
          </w:tcPr>
          <w:p w14:paraId="038DF8D1"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2</w:t>
            </w:r>
          </w:p>
        </w:tc>
        <w:tc>
          <w:tcPr>
            <w:tcW w:w="892" w:type="dxa"/>
            <w:tcBorders>
              <w:top w:val="nil"/>
              <w:left w:val="nil"/>
              <w:bottom w:val="single" w:sz="4" w:space="0" w:color="auto"/>
              <w:right w:val="single" w:sz="4" w:space="0" w:color="auto"/>
            </w:tcBorders>
            <w:shd w:val="clear" w:color="000000" w:fill="D9E2F3"/>
            <w:noWrap/>
            <w:vAlign w:val="center"/>
            <w:hideMark/>
          </w:tcPr>
          <w:p w14:paraId="788F1B9A"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100%</w:t>
            </w:r>
          </w:p>
        </w:tc>
        <w:tc>
          <w:tcPr>
            <w:tcW w:w="1063" w:type="dxa"/>
            <w:tcBorders>
              <w:top w:val="nil"/>
              <w:left w:val="nil"/>
              <w:bottom w:val="single" w:sz="4" w:space="0" w:color="auto"/>
              <w:right w:val="single" w:sz="4" w:space="0" w:color="auto"/>
            </w:tcBorders>
            <w:shd w:val="clear" w:color="000000" w:fill="D9E2F3"/>
            <w:noWrap/>
            <w:vAlign w:val="center"/>
            <w:hideMark/>
          </w:tcPr>
          <w:p w14:paraId="2522CD32"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0</w:t>
            </w:r>
          </w:p>
        </w:tc>
        <w:tc>
          <w:tcPr>
            <w:tcW w:w="1063" w:type="dxa"/>
            <w:tcBorders>
              <w:top w:val="nil"/>
              <w:left w:val="nil"/>
              <w:bottom w:val="single" w:sz="4" w:space="0" w:color="auto"/>
              <w:right w:val="single" w:sz="4" w:space="0" w:color="auto"/>
            </w:tcBorders>
            <w:shd w:val="clear" w:color="000000" w:fill="D9E2F3"/>
            <w:noWrap/>
            <w:vAlign w:val="center"/>
            <w:hideMark/>
          </w:tcPr>
          <w:p w14:paraId="4326C085"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0</w:t>
            </w:r>
          </w:p>
        </w:tc>
        <w:tc>
          <w:tcPr>
            <w:tcW w:w="1063" w:type="dxa"/>
            <w:tcBorders>
              <w:top w:val="nil"/>
              <w:left w:val="nil"/>
              <w:bottom w:val="single" w:sz="4" w:space="0" w:color="auto"/>
              <w:right w:val="single" w:sz="4" w:space="0" w:color="auto"/>
            </w:tcBorders>
            <w:shd w:val="clear" w:color="000000" w:fill="D9E2F3"/>
            <w:noWrap/>
            <w:vAlign w:val="center"/>
            <w:hideMark/>
          </w:tcPr>
          <w:p w14:paraId="40B4817D"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 </w:t>
            </w:r>
          </w:p>
        </w:tc>
      </w:tr>
      <w:tr w:rsidR="00BA0D82" w:rsidRPr="0005691D" w14:paraId="150320D2" w14:textId="77777777" w:rsidTr="001A5653">
        <w:trPr>
          <w:trHeight w:val="300"/>
        </w:trPr>
        <w:tc>
          <w:tcPr>
            <w:tcW w:w="2506" w:type="dxa"/>
            <w:tcBorders>
              <w:top w:val="nil"/>
              <w:left w:val="single" w:sz="4" w:space="0" w:color="auto"/>
              <w:bottom w:val="single" w:sz="4" w:space="0" w:color="auto"/>
              <w:right w:val="single" w:sz="4" w:space="0" w:color="auto"/>
            </w:tcBorders>
            <w:shd w:val="clear" w:color="000000" w:fill="B4C6E7"/>
            <w:noWrap/>
            <w:vAlign w:val="center"/>
            <w:hideMark/>
          </w:tcPr>
          <w:p w14:paraId="73762C02" w14:textId="77777777" w:rsidR="00BA0D82" w:rsidRPr="0005691D" w:rsidRDefault="00BA0D82" w:rsidP="001A5653">
            <w:pPr>
              <w:spacing w:after="0" w:line="240" w:lineRule="auto"/>
              <w:jc w:val="right"/>
              <w:rPr>
                <w:rFonts w:ascii="Calibri" w:eastAsia="Times New Roman" w:hAnsi="Calibri" w:cs="Calibri"/>
                <w:b/>
                <w:bCs/>
                <w:color w:val="000000"/>
              </w:rPr>
            </w:pPr>
            <w:r w:rsidRPr="0005691D">
              <w:rPr>
                <w:rFonts w:ascii="Calibri" w:eastAsia="Times New Roman" w:hAnsi="Calibri" w:cs="Calibri"/>
                <w:b/>
                <w:bCs/>
                <w:color w:val="000000"/>
              </w:rPr>
              <w:t>Common Performance Measures</w:t>
            </w:r>
          </w:p>
        </w:tc>
        <w:tc>
          <w:tcPr>
            <w:tcW w:w="1165" w:type="dxa"/>
            <w:tcBorders>
              <w:top w:val="nil"/>
              <w:left w:val="nil"/>
              <w:bottom w:val="single" w:sz="4" w:space="0" w:color="auto"/>
              <w:right w:val="single" w:sz="4" w:space="0" w:color="auto"/>
            </w:tcBorders>
            <w:shd w:val="clear" w:color="000000" w:fill="FFFFFF"/>
            <w:noWrap/>
            <w:vAlign w:val="center"/>
            <w:hideMark/>
          </w:tcPr>
          <w:p w14:paraId="17834257"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5</w:t>
            </w:r>
          </w:p>
        </w:tc>
        <w:tc>
          <w:tcPr>
            <w:tcW w:w="1254" w:type="dxa"/>
            <w:tcBorders>
              <w:top w:val="nil"/>
              <w:left w:val="nil"/>
              <w:bottom w:val="single" w:sz="4" w:space="0" w:color="auto"/>
              <w:right w:val="single" w:sz="4" w:space="0" w:color="auto"/>
            </w:tcBorders>
            <w:shd w:val="clear" w:color="000000" w:fill="FFFFFF"/>
            <w:noWrap/>
            <w:vAlign w:val="center"/>
            <w:hideMark/>
          </w:tcPr>
          <w:p w14:paraId="2194AF97"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50%</w:t>
            </w:r>
          </w:p>
        </w:tc>
        <w:tc>
          <w:tcPr>
            <w:tcW w:w="897" w:type="dxa"/>
            <w:tcBorders>
              <w:top w:val="nil"/>
              <w:left w:val="nil"/>
              <w:bottom w:val="single" w:sz="4" w:space="0" w:color="auto"/>
              <w:right w:val="single" w:sz="4" w:space="0" w:color="auto"/>
            </w:tcBorders>
            <w:shd w:val="clear" w:color="000000" w:fill="FFFFFF"/>
            <w:noWrap/>
            <w:vAlign w:val="center"/>
            <w:hideMark/>
          </w:tcPr>
          <w:p w14:paraId="6020FF3B"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5</w:t>
            </w:r>
          </w:p>
        </w:tc>
        <w:tc>
          <w:tcPr>
            <w:tcW w:w="897" w:type="dxa"/>
            <w:tcBorders>
              <w:top w:val="nil"/>
              <w:left w:val="nil"/>
              <w:bottom w:val="single" w:sz="4" w:space="0" w:color="auto"/>
              <w:right w:val="single" w:sz="4" w:space="0" w:color="auto"/>
            </w:tcBorders>
            <w:shd w:val="clear" w:color="000000" w:fill="FFFFFF"/>
            <w:noWrap/>
            <w:vAlign w:val="center"/>
            <w:hideMark/>
          </w:tcPr>
          <w:p w14:paraId="6CEC704B"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2</w:t>
            </w:r>
          </w:p>
        </w:tc>
        <w:tc>
          <w:tcPr>
            <w:tcW w:w="892" w:type="dxa"/>
            <w:tcBorders>
              <w:top w:val="nil"/>
              <w:left w:val="nil"/>
              <w:bottom w:val="single" w:sz="4" w:space="0" w:color="auto"/>
              <w:right w:val="single" w:sz="4" w:space="0" w:color="auto"/>
            </w:tcBorders>
            <w:shd w:val="clear" w:color="000000" w:fill="FFFFFF"/>
            <w:noWrap/>
            <w:vAlign w:val="center"/>
            <w:hideMark/>
          </w:tcPr>
          <w:p w14:paraId="459CE2BC"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40%</w:t>
            </w:r>
          </w:p>
        </w:tc>
        <w:tc>
          <w:tcPr>
            <w:tcW w:w="1063" w:type="dxa"/>
            <w:tcBorders>
              <w:top w:val="nil"/>
              <w:left w:val="nil"/>
              <w:bottom w:val="single" w:sz="4" w:space="0" w:color="auto"/>
              <w:right w:val="single" w:sz="4" w:space="0" w:color="auto"/>
            </w:tcBorders>
            <w:shd w:val="clear" w:color="000000" w:fill="FFFFFF"/>
            <w:noWrap/>
            <w:vAlign w:val="center"/>
            <w:hideMark/>
          </w:tcPr>
          <w:p w14:paraId="2EB318F2"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w:t>
            </w:r>
          </w:p>
        </w:tc>
        <w:tc>
          <w:tcPr>
            <w:tcW w:w="1063" w:type="dxa"/>
            <w:tcBorders>
              <w:top w:val="nil"/>
              <w:left w:val="nil"/>
              <w:bottom w:val="single" w:sz="4" w:space="0" w:color="auto"/>
              <w:right w:val="single" w:sz="4" w:space="0" w:color="auto"/>
            </w:tcBorders>
            <w:shd w:val="clear" w:color="000000" w:fill="FFFFFF"/>
            <w:noWrap/>
            <w:vAlign w:val="center"/>
            <w:hideMark/>
          </w:tcPr>
          <w:p w14:paraId="27D0BCCE"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w:t>
            </w:r>
          </w:p>
        </w:tc>
        <w:tc>
          <w:tcPr>
            <w:tcW w:w="1063" w:type="dxa"/>
            <w:tcBorders>
              <w:top w:val="nil"/>
              <w:left w:val="nil"/>
              <w:bottom w:val="single" w:sz="4" w:space="0" w:color="auto"/>
              <w:right w:val="single" w:sz="4" w:space="0" w:color="auto"/>
            </w:tcBorders>
            <w:shd w:val="clear" w:color="000000" w:fill="FFFFFF"/>
            <w:noWrap/>
            <w:vAlign w:val="center"/>
            <w:hideMark/>
          </w:tcPr>
          <w:p w14:paraId="0DE7E9DB"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100%</w:t>
            </w:r>
          </w:p>
        </w:tc>
      </w:tr>
      <w:tr w:rsidR="00BA0D82" w:rsidRPr="0005691D" w14:paraId="11260704" w14:textId="77777777" w:rsidTr="001A5653">
        <w:trPr>
          <w:trHeight w:val="300"/>
        </w:trPr>
        <w:tc>
          <w:tcPr>
            <w:tcW w:w="2506" w:type="dxa"/>
            <w:tcBorders>
              <w:top w:val="nil"/>
              <w:left w:val="single" w:sz="4" w:space="0" w:color="auto"/>
              <w:bottom w:val="single" w:sz="4" w:space="0" w:color="auto"/>
              <w:right w:val="single" w:sz="4" w:space="0" w:color="auto"/>
            </w:tcBorders>
            <w:shd w:val="clear" w:color="000000" w:fill="B4C6E7"/>
            <w:noWrap/>
            <w:vAlign w:val="center"/>
            <w:hideMark/>
          </w:tcPr>
          <w:p w14:paraId="340EDCD9" w14:textId="77777777" w:rsidR="00BA0D82" w:rsidRPr="0005691D" w:rsidRDefault="00BA0D82" w:rsidP="001A5653">
            <w:pPr>
              <w:spacing w:after="0" w:line="240" w:lineRule="auto"/>
              <w:jc w:val="right"/>
              <w:rPr>
                <w:rFonts w:ascii="Calibri" w:eastAsia="Times New Roman" w:hAnsi="Calibri" w:cs="Calibri"/>
                <w:b/>
                <w:bCs/>
                <w:color w:val="000000"/>
              </w:rPr>
            </w:pPr>
            <w:r w:rsidRPr="0005691D">
              <w:rPr>
                <w:rFonts w:ascii="Calibri" w:eastAsia="Times New Roman" w:hAnsi="Calibri" w:cs="Calibri"/>
                <w:b/>
                <w:bCs/>
                <w:color w:val="000000"/>
              </w:rPr>
              <w:t>Business Engagement</w:t>
            </w:r>
          </w:p>
        </w:tc>
        <w:tc>
          <w:tcPr>
            <w:tcW w:w="1165" w:type="dxa"/>
            <w:tcBorders>
              <w:top w:val="nil"/>
              <w:left w:val="nil"/>
              <w:bottom w:val="single" w:sz="4" w:space="0" w:color="auto"/>
              <w:right w:val="single" w:sz="4" w:space="0" w:color="auto"/>
            </w:tcBorders>
            <w:shd w:val="clear" w:color="000000" w:fill="D9E2F3"/>
            <w:noWrap/>
            <w:vAlign w:val="center"/>
            <w:hideMark/>
          </w:tcPr>
          <w:p w14:paraId="393B5264"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3</w:t>
            </w:r>
          </w:p>
        </w:tc>
        <w:tc>
          <w:tcPr>
            <w:tcW w:w="1254" w:type="dxa"/>
            <w:tcBorders>
              <w:top w:val="nil"/>
              <w:left w:val="nil"/>
              <w:bottom w:val="single" w:sz="4" w:space="0" w:color="auto"/>
              <w:right w:val="single" w:sz="4" w:space="0" w:color="auto"/>
            </w:tcBorders>
            <w:shd w:val="clear" w:color="000000" w:fill="D9E2F3"/>
            <w:noWrap/>
            <w:vAlign w:val="center"/>
            <w:hideMark/>
          </w:tcPr>
          <w:p w14:paraId="33D48CD6"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25%</w:t>
            </w:r>
          </w:p>
        </w:tc>
        <w:tc>
          <w:tcPr>
            <w:tcW w:w="897" w:type="dxa"/>
            <w:tcBorders>
              <w:top w:val="nil"/>
              <w:left w:val="nil"/>
              <w:bottom w:val="single" w:sz="4" w:space="0" w:color="auto"/>
              <w:right w:val="single" w:sz="4" w:space="0" w:color="auto"/>
            </w:tcBorders>
            <w:shd w:val="clear" w:color="000000" w:fill="D9E2F3"/>
            <w:noWrap/>
            <w:vAlign w:val="center"/>
            <w:hideMark/>
          </w:tcPr>
          <w:p w14:paraId="7C2BC4A8"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3</w:t>
            </w:r>
          </w:p>
        </w:tc>
        <w:tc>
          <w:tcPr>
            <w:tcW w:w="897" w:type="dxa"/>
            <w:tcBorders>
              <w:top w:val="nil"/>
              <w:left w:val="nil"/>
              <w:bottom w:val="single" w:sz="4" w:space="0" w:color="auto"/>
              <w:right w:val="single" w:sz="4" w:space="0" w:color="auto"/>
            </w:tcBorders>
            <w:shd w:val="clear" w:color="000000" w:fill="D9E2F3"/>
            <w:noWrap/>
            <w:vAlign w:val="center"/>
            <w:hideMark/>
          </w:tcPr>
          <w:p w14:paraId="362455D8"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0</w:t>
            </w:r>
          </w:p>
        </w:tc>
        <w:tc>
          <w:tcPr>
            <w:tcW w:w="892" w:type="dxa"/>
            <w:tcBorders>
              <w:top w:val="nil"/>
              <w:left w:val="nil"/>
              <w:bottom w:val="single" w:sz="4" w:space="0" w:color="auto"/>
              <w:right w:val="single" w:sz="4" w:space="0" w:color="auto"/>
            </w:tcBorders>
            <w:shd w:val="clear" w:color="000000" w:fill="D9E2F3"/>
            <w:noWrap/>
            <w:vAlign w:val="center"/>
            <w:hideMark/>
          </w:tcPr>
          <w:p w14:paraId="2AFE2034"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0%</w:t>
            </w:r>
          </w:p>
        </w:tc>
        <w:tc>
          <w:tcPr>
            <w:tcW w:w="1063" w:type="dxa"/>
            <w:tcBorders>
              <w:top w:val="nil"/>
              <w:left w:val="nil"/>
              <w:bottom w:val="single" w:sz="4" w:space="0" w:color="auto"/>
              <w:right w:val="single" w:sz="4" w:space="0" w:color="auto"/>
            </w:tcBorders>
            <w:shd w:val="clear" w:color="000000" w:fill="D9E2F3"/>
            <w:noWrap/>
            <w:vAlign w:val="center"/>
            <w:hideMark/>
          </w:tcPr>
          <w:p w14:paraId="72263178"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w:t>
            </w:r>
          </w:p>
        </w:tc>
        <w:tc>
          <w:tcPr>
            <w:tcW w:w="1063" w:type="dxa"/>
            <w:tcBorders>
              <w:top w:val="nil"/>
              <w:left w:val="nil"/>
              <w:bottom w:val="single" w:sz="4" w:space="0" w:color="auto"/>
              <w:right w:val="single" w:sz="4" w:space="0" w:color="auto"/>
            </w:tcBorders>
            <w:shd w:val="clear" w:color="000000" w:fill="D9E2F3"/>
            <w:noWrap/>
            <w:vAlign w:val="center"/>
            <w:hideMark/>
          </w:tcPr>
          <w:p w14:paraId="3E44CCD8"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0</w:t>
            </w:r>
          </w:p>
        </w:tc>
        <w:tc>
          <w:tcPr>
            <w:tcW w:w="1063" w:type="dxa"/>
            <w:tcBorders>
              <w:top w:val="nil"/>
              <w:left w:val="nil"/>
              <w:bottom w:val="single" w:sz="4" w:space="0" w:color="auto"/>
              <w:right w:val="single" w:sz="4" w:space="0" w:color="auto"/>
            </w:tcBorders>
            <w:shd w:val="clear" w:color="000000" w:fill="D9E2F3"/>
            <w:noWrap/>
            <w:vAlign w:val="center"/>
            <w:hideMark/>
          </w:tcPr>
          <w:p w14:paraId="707344DF"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0%</w:t>
            </w:r>
          </w:p>
        </w:tc>
      </w:tr>
      <w:tr w:rsidR="00BA0D82" w:rsidRPr="0005691D" w14:paraId="0EE55A43" w14:textId="77777777" w:rsidTr="001A5653">
        <w:trPr>
          <w:trHeight w:val="300"/>
        </w:trPr>
        <w:tc>
          <w:tcPr>
            <w:tcW w:w="2506" w:type="dxa"/>
            <w:tcBorders>
              <w:top w:val="nil"/>
              <w:left w:val="single" w:sz="4" w:space="0" w:color="auto"/>
              <w:bottom w:val="single" w:sz="4" w:space="0" w:color="auto"/>
              <w:right w:val="single" w:sz="4" w:space="0" w:color="auto"/>
            </w:tcBorders>
            <w:shd w:val="clear" w:color="000000" w:fill="B4C6E7"/>
            <w:noWrap/>
            <w:vAlign w:val="center"/>
            <w:hideMark/>
          </w:tcPr>
          <w:p w14:paraId="7AE7DC6C" w14:textId="77777777" w:rsidR="00BA0D82" w:rsidRPr="0005691D" w:rsidRDefault="00BA0D82" w:rsidP="001A5653">
            <w:pPr>
              <w:spacing w:after="0" w:line="240" w:lineRule="auto"/>
              <w:jc w:val="right"/>
              <w:rPr>
                <w:rFonts w:ascii="Calibri" w:eastAsia="Times New Roman" w:hAnsi="Calibri" w:cs="Calibri"/>
                <w:b/>
                <w:bCs/>
                <w:color w:val="000000"/>
              </w:rPr>
            </w:pPr>
            <w:r w:rsidRPr="0005691D">
              <w:rPr>
                <w:rFonts w:ascii="Calibri" w:eastAsia="Times New Roman" w:hAnsi="Calibri" w:cs="Calibri"/>
                <w:b/>
                <w:bCs/>
                <w:color w:val="000000"/>
              </w:rPr>
              <w:t>The Career Index Plus (TCI+) and LMI</w:t>
            </w:r>
          </w:p>
        </w:tc>
        <w:tc>
          <w:tcPr>
            <w:tcW w:w="1165" w:type="dxa"/>
            <w:tcBorders>
              <w:top w:val="nil"/>
              <w:left w:val="nil"/>
              <w:bottom w:val="single" w:sz="4" w:space="0" w:color="auto"/>
              <w:right w:val="single" w:sz="4" w:space="0" w:color="auto"/>
            </w:tcBorders>
            <w:shd w:val="clear" w:color="000000" w:fill="FFFFFF"/>
            <w:noWrap/>
            <w:vAlign w:val="center"/>
            <w:hideMark/>
          </w:tcPr>
          <w:p w14:paraId="2C000F60"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w:t>
            </w:r>
          </w:p>
        </w:tc>
        <w:tc>
          <w:tcPr>
            <w:tcW w:w="1254" w:type="dxa"/>
            <w:tcBorders>
              <w:top w:val="nil"/>
              <w:left w:val="nil"/>
              <w:bottom w:val="single" w:sz="4" w:space="0" w:color="auto"/>
              <w:right w:val="single" w:sz="4" w:space="0" w:color="auto"/>
            </w:tcBorders>
            <w:shd w:val="clear" w:color="000000" w:fill="FFFFFF"/>
            <w:noWrap/>
            <w:vAlign w:val="center"/>
            <w:hideMark/>
          </w:tcPr>
          <w:p w14:paraId="195A9E55"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25%</w:t>
            </w:r>
          </w:p>
        </w:tc>
        <w:tc>
          <w:tcPr>
            <w:tcW w:w="897" w:type="dxa"/>
            <w:tcBorders>
              <w:top w:val="nil"/>
              <w:left w:val="nil"/>
              <w:bottom w:val="single" w:sz="4" w:space="0" w:color="auto"/>
              <w:right w:val="single" w:sz="4" w:space="0" w:color="auto"/>
            </w:tcBorders>
            <w:shd w:val="clear" w:color="000000" w:fill="FFFFFF"/>
            <w:noWrap/>
            <w:vAlign w:val="center"/>
            <w:hideMark/>
          </w:tcPr>
          <w:p w14:paraId="4478EF28"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w:t>
            </w:r>
          </w:p>
        </w:tc>
        <w:tc>
          <w:tcPr>
            <w:tcW w:w="897" w:type="dxa"/>
            <w:tcBorders>
              <w:top w:val="nil"/>
              <w:left w:val="nil"/>
              <w:bottom w:val="single" w:sz="4" w:space="0" w:color="auto"/>
              <w:right w:val="single" w:sz="4" w:space="0" w:color="auto"/>
            </w:tcBorders>
            <w:shd w:val="clear" w:color="000000" w:fill="FFFFFF"/>
            <w:noWrap/>
            <w:vAlign w:val="center"/>
            <w:hideMark/>
          </w:tcPr>
          <w:p w14:paraId="6E7BA7EC"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0</w:t>
            </w:r>
          </w:p>
        </w:tc>
        <w:tc>
          <w:tcPr>
            <w:tcW w:w="892" w:type="dxa"/>
            <w:tcBorders>
              <w:top w:val="nil"/>
              <w:left w:val="nil"/>
              <w:bottom w:val="single" w:sz="4" w:space="0" w:color="auto"/>
              <w:right w:val="single" w:sz="4" w:space="0" w:color="auto"/>
            </w:tcBorders>
            <w:shd w:val="clear" w:color="000000" w:fill="FFFFFF"/>
            <w:noWrap/>
            <w:vAlign w:val="center"/>
            <w:hideMark/>
          </w:tcPr>
          <w:p w14:paraId="18E5F323"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0%</w:t>
            </w:r>
          </w:p>
        </w:tc>
        <w:tc>
          <w:tcPr>
            <w:tcW w:w="1063" w:type="dxa"/>
            <w:tcBorders>
              <w:top w:val="nil"/>
              <w:left w:val="nil"/>
              <w:bottom w:val="single" w:sz="4" w:space="0" w:color="auto"/>
              <w:right w:val="single" w:sz="4" w:space="0" w:color="auto"/>
            </w:tcBorders>
            <w:shd w:val="clear" w:color="000000" w:fill="FFFFFF"/>
            <w:noWrap/>
            <w:vAlign w:val="center"/>
            <w:hideMark/>
          </w:tcPr>
          <w:p w14:paraId="48AD367E"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0</w:t>
            </w:r>
          </w:p>
        </w:tc>
        <w:tc>
          <w:tcPr>
            <w:tcW w:w="1063" w:type="dxa"/>
            <w:tcBorders>
              <w:top w:val="nil"/>
              <w:left w:val="nil"/>
              <w:bottom w:val="single" w:sz="4" w:space="0" w:color="auto"/>
              <w:right w:val="single" w:sz="4" w:space="0" w:color="auto"/>
            </w:tcBorders>
            <w:shd w:val="clear" w:color="000000" w:fill="FFFFFF"/>
            <w:noWrap/>
            <w:vAlign w:val="center"/>
            <w:hideMark/>
          </w:tcPr>
          <w:p w14:paraId="38106321"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0</w:t>
            </w:r>
          </w:p>
        </w:tc>
        <w:tc>
          <w:tcPr>
            <w:tcW w:w="1063" w:type="dxa"/>
            <w:tcBorders>
              <w:top w:val="nil"/>
              <w:left w:val="nil"/>
              <w:bottom w:val="single" w:sz="4" w:space="0" w:color="auto"/>
              <w:right w:val="single" w:sz="4" w:space="0" w:color="auto"/>
            </w:tcBorders>
            <w:shd w:val="clear" w:color="000000" w:fill="FFFFFF"/>
            <w:noWrap/>
            <w:vAlign w:val="center"/>
            <w:hideMark/>
          </w:tcPr>
          <w:p w14:paraId="67B7BD48"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 </w:t>
            </w:r>
          </w:p>
        </w:tc>
      </w:tr>
      <w:tr w:rsidR="00BA0D82" w:rsidRPr="0005691D" w14:paraId="7F297992" w14:textId="77777777" w:rsidTr="001A5653">
        <w:trPr>
          <w:trHeight w:val="300"/>
        </w:trPr>
        <w:tc>
          <w:tcPr>
            <w:tcW w:w="2506" w:type="dxa"/>
            <w:tcBorders>
              <w:top w:val="nil"/>
              <w:left w:val="nil"/>
              <w:bottom w:val="nil"/>
              <w:right w:val="nil"/>
            </w:tcBorders>
            <w:shd w:val="clear" w:color="auto" w:fill="auto"/>
            <w:noWrap/>
            <w:vAlign w:val="bottom"/>
            <w:hideMark/>
          </w:tcPr>
          <w:p w14:paraId="0FC46D6C" w14:textId="77777777" w:rsidR="00BA0D82" w:rsidRPr="0005691D" w:rsidRDefault="00BA0D82" w:rsidP="001A5653">
            <w:pPr>
              <w:spacing w:after="0" w:line="240" w:lineRule="auto"/>
              <w:jc w:val="center"/>
              <w:rPr>
                <w:rFonts w:ascii="Calibri" w:eastAsia="Times New Roman" w:hAnsi="Calibri" w:cs="Calibri"/>
                <w:color w:val="000000"/>
              </w:rPr>
            </w:pPr>
          </w:p>
        </w:tc>
        <w:tc>
          <w:tcPr>
            <w:tcW w:w="1165" w:type="dxa"/>
            <w:tcBorders>
              <w:top w:val="nil"/>
              <w:left w:val="nil"/>
              <w:bottom w:val="nil"/>
              <w:right w:val="nil"/>
            </w:tcBorders>
            <w:shd w:val="clear" w:color="auto" w:fill="auto"/>
            <w:noWrap/>
            <w:vAlign w:val="center"/>
            <w:hideMark/>
          </w:tcPr>
          <w:p w14:paraId="7DA67ABC" w14:textId="77777777" w:rsidR="00BA0D82" w:rsidRPr="0005691D" w:rsidRDefault="00BA0D82" w:rsidP="001A5653">
            <w:pPr>
              <w:spacing w:after="0" w:line="240" w:lineRule="auto"/>
              <w:rPr>
                <w:rFonts w:ascii="Times New Roman" w:eastAsia="Times New Roman" w:hAnsi="Times New Roman" w:cs="Times New Roman"/>
                <w:sz w:val="20"/>
                <w:szCs w:val="20"/>
              </w:rPr>
            </w:pPr>
          </w:p>
        </w:tc>
        <w:tc>
          <w:tcPr>
            <w:tcW w:w="1254" w:type="dxa"/>
            <w:tcBorders>
              <w:top w:val="nil"/>
              <w:left w:val="nil"/>
              <w:bottom w:val="nil"/>
              <w:right w:val="nil"/>
            </w:tcBorders>
            <w:shd w:val="clear" w:color="auto" w:fill="auto"/>
            <w:noWrap/>
            <w:vAlign w:val="center"/>
            <w:hideMark/>
          </w:tcPr>
          <w:p w14:paraId="76BF6878"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c>
          <w:tcPr>
            <w:tcW w:w="897" w:type="dxa"/>
            <w:tcBorders>
              <w:top w:val="nil"/>
              <w:left w:val="nil"/>
              <w:bottom w:val="nil"/>
              <w:right w:val="nil"/>
            </w:tcBorders>
            <w:shd w:val="clear" w:color="auto" w:fill="auto"/>
            <w:noWrap/>
            <w:vAlign w:val="center"/>
            <w:hideMark/>
          </w:tcPr>
          <w:p w14:paraId="2817AC45"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c>
          <w:tcPr>
            <w:tcW w:w="897" w:type="dxa"/>
            <w:tcBorders>
              <w:top w:val="nil"/>
              <w:left w:val="nil"/>
              <w:bottom w:val="nil"/>
              <w:right w:val="nil"/>
            </w:tcBorders>
            <w:shd w:val="clear" w:color="auto" w:fill="auto"/>
            <w:noWrap/>
            <w:vAlign w:val="center"/>
            <w:hideMark/>
          </w:tcPr>
          <w:p w14:paraId="2F38A377"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c>
          <w:tcPr>
            <w:tcW w:w="892" w:type="dxa"/>
            <w:tcBorders>
              <w:top w:val="nil"/>
              <w:left w:val="nil"/>
              <w:bottom w:val="nil"/>
              <w:right w:val="nil"/>
            </w:tcBorders>
            <w:shd w:val="clear" w:color="auto" w:fill="auto"/>
            <w:noWrap/>
            <w:vAlign w:val="center"/>
            <w:hideMark/>
          </w:tcPr>
          <w:p w14:paraId="2AE3E240"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c>
          <w:tcPr>
            <w:tcW w:w="1063" w:type="dxa"/>
            <w:tcBorders>
              <w:top w:val="nil"/>
              <w:left w:val="nil"/>
              <w:bottom w:val="nil"/>
              <w:right w:val="nil"/>
            </w:tcBorders>
            <w:shd w:val="clear" w:color="auto" w:fill="auto"/>
            <w:noWrap/>
            <w:vAlign w:val="center"/>
            <w:hideMark/>
          </w:tcPr>
          <w:p w14:paraId="036B78CF"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c>
          <w:tcPr>
            <w:tcW w:w="1063" w:type="dxa"/>
            <w:tcBorders>
              <w:top w:val="nil"/>
              <w:left w:val="nil"/>
              <w:bottom w:val="nil"/>
              <w:right w:val="nil"/>
            </w:tcBorders>
            <w:shd w:val="clear" w:color="auto" w:fill="auto"/>
            <w:noWrap/>
            <w:vAlign w:val="center"/>
            <w:hideMark/>
          </w:tcPr>
          <w:p w14:paraId="4D066295"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c>
          <w:tcPr>
            <w:tcW w:w="1063" w:type="dxa"/>
            <w:tcBorders>
              <w:top w:val="nil"/>
              <w:left w:val="nil"/>
              <w:bottom w:val="nil"/>
              <w:right w:val="nil"/>
            </w:tcBorders>
            <w:shd w:val="clear" w:color="auto" w:fill="auto"/>
            <w:noWrap/>
            <w:vAlign w:val="center"/>
            <w:hideMark/>
          </w:tcPr>
          <w:p w14:paraId="0900CF9D"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r>
      <w:tr w:rsidR="00BA0D82" w:rsidRPr="0005691D" w14:paraId="613AD833" w14:textId="77777777" w:rsidTr="001A5653">
        <w:trPr>
          <w:trHeight w:val="465"/>
        </w:trPr>
        <w:tc>
          <w:tcPr>
            <w:tcW w:w="10800" w:type="dxa"/>
            <w:gridSpan w:val="9"/>
            <w:tcBorders>
              <w:top w:val="single" w:sz="4" w:space="0" w:color="auto"/>
              <w:left w:val="nil"/>
              <w:bottom w:val="single" w:sz="4" w:space="0" w:color="auto"/>
              <w:right w:val="nil"/>
            </w:tcBorders>
            <w:shd w:val="clear" w:color="auto" w:fill="auto"/>
            <w:noWrap/>
            <w:vAlign w:val="bottom"/>
            <w:hideMark/>
          </w:tcPr>
          <w:p w14:paraId="7529D770" w14:textId="77777777" w:rsidR="00BA0D82" w:rsidRPr="0005691D" w:rsidRDefault="00BA0D82" w:rsidP="00BA0D82">
            <w:pPr>
              <w:pStyle w:val="Heading2"/>
              <w:numPr>
                <w:ilvl w:val="0"/>
                <w:numId w:val="0"/>
              </w:numPr>
              <w:rPr>
                <w:rFonts w:eastAsia="Times New Roman"/>
              </w:rPr>
            </w:pPr>
            <w:bookmarkStart w:id="265" w:name="_Toc27143222"/>
            <w:bookmarkStart w:id="266" w:name="_Toc28011521"/>
            <w:r w:rsidRPr="0005691D">
              <w:rPr>
                <w:rFonts w:eastAsia="Times New Roman"/>
              </w:rPr>
              <w:t>South Carolina Blind</w:t>
            </w:r>
            <w:bookmarkEnd w:id="265"/>
            <w:bookmarkEnd w:id="266"/>
          </w:p>
        </w:tc>
      </w:tr>
      <w:tr w:rsidR="00BA0D82" w:rsidRPr="0005691D" w14:paraId="2B227F07" w14:textId="77777777" w:rsidTr="001A5653">
        <w:trPr>
          <w:trHeight w:val="1305"/>
        </w:trPr>
        <w:tc>
          <w:tcPr>
            <w:tcW w:w="2506" w:type="dxa"/>
            <w:tcBorders>
              <w:top w:val="nil"/>
              <w:left w:val="single" w:sz="4" w:space="0" w:color="auto"/>
              <w:bottom w:val="single" w:sz="4" w:space="0" w:color="auto"/>
              <w:right w:val="single" w:sz="4" w:space="0" w:color="auto"/>
            </w:tcBorders>
            <w:shd w:val="clear" w:color="000000" w:fill="B4C6E7"/>
            <w:vAlign w:val="bottom"/>
            <w:hideMark/>
          </w:tcPr>
          <w:p w14:paraId="298507C0" w14:textId="77777777" w:rsidR="00BA0D82" w:rsidRPr="0005691D" w:rsidRDefault="00BA0D82" w:rsidP="001A5653">
            <w:pPr>
              <w:spacing w:after="0" w:line="240" w:lineRule="auto"/>
              <w:jc w:val="right"/>
              <w:rPr>
                <w:rFonts w:ascii="Calibri" w:eastAsia="Times New Roman" w:hAnsi="Calibri" w:cs="Calibri"/>
                <w:b/>
                <w:bCs/>
                <w:color w:val="000000"/>
                <w:szCs w:val="28"/>
              </w:rPr>
            </w:pPr>
            <w:r w:rsidRPr="0005691D">
              <w:rPr>
                <w:rFonts w:ascii="Calibri" w:eastAsia="Times New Roman" w:hAnsi="Calibri" w:cs="Calibri"/>
                <w:b/>
                <w:bCs/>
                <w:color w:val="000000"/>
                <w:szCs w:val="28"/>
              </w:rPr>
              <w:t>Area</w:t>
            </w:r>
          </w:p>
        </w:tc>
        <w:tc>
          <w:tcPr>
            <w:tcW w:w="1165" w:type="dxa"/>
            <w:tcBorders>
              <w:top w:val="nil"/>
              <w:left w:val="nil"/>
              <w:bottom w:val="single" w:sz="4" w:space="0" w:color="auto"/>
              <w:right w:val="single" w:sz="4" w:space="0" w:color="auto"/>
            </w:tcBorders>
            <w:shd w:val="clear" w:color="000000" w:fill="B4C6E7"/>
            <w:vAlign w:val="bottom"/>
            <w:hideMark/>
          </w:tcPr>
          <w:p w14:paraId="6F8727D0"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of Total Activities</w:t>
            </w:r>
          </w:p>
        </w:tc>
        <w:tc>
          <w:tcPr>
            <w:tcW w:w="1254" w:type="dxa"/>
            <w:tcBorders>
              <w:top w:val="nil"/>
              <w:left w:val="nil"/>
              <w:bottom w:val="single" w:sz="4" w:space="0" w:color="auto"/>
              <w:right w:val="single" w:sz="4" w:space="0" w:color="auto"/>
            </w:tcBorders>
            <w:shd w:val="clear" w:color="000000" w:fill="B4C6E7"/>
            <w:vAlign w:val="bottom"/>
            <w:hideMark/>
          </w:tcPr>
          <w:p w14:paraId="2F0F5950"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Average Progress on Activities (%)</w:t>
            </w:r>
          </w:p>
        </w:tc>
        <w:tc>
          <w:tcPr>
            <w:tcW w:w="897" w:type="dxa"/>
            <w:tcBorders>
              <w:top w:val="nil"/>
              <w:left w:val="nil"/>
              <w:bottom w:val="single" w:sz="4" w:space="0" w:color="auto"/>
              <w:right w:val="single" w:sz="4" w:space="0" w:color="auto"/>
            </w:tcBorders>
            <w:shd w:val="clear" w:color="000000" w:fill="B4C6E7"/>
            <w:vAlign w:val="bottom"/>
            <w:hideMark/>
          </w:tcPr>
          <w:p w14:paraId="7AE22A8D"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Outputs</w:t>
            </w:r>
          </w:p>
        </w:tc>
        <w:tc>
          <w:tcPr>
            <w:tcW w:w="897" w:type="dxa"/>
            <w:tcBorders>
              <w:top w:val="nil"/>
              <w:left w:val="nil"/>
              <w:bottom w:val="single" w:sz="4" w:space="0" w:color="auto"/>
              <w:right w:val="single" w:sz="4" w:space="0" w:color="auto"/>
            </w:tcBorders>
            <w:shd w:val="clear" w:color="000000" w:fill="B4C6E7"/>
            <w:vAlign w:val="bottom"/>
            <w:hideMark/>
          </w:tcPr>
          <w:p w14:paraId="518750EB"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Outputs Met</w:t>
            </w:r>
          </w:p>
        </w:tc>
        <w:tc>
          <w:tcPr>
            <w:tcW w:w="892" w:type="dxa"/>
            <w:tcBorders>
              <w:top w:val="nil"/>
              <w:left w:val="nil"/>
              <w:bottom w:val="single" w:sz="4" w:space="0" w:color="auto"/>
              <w:right w:val="single" w:sz="4" w:space="0" w:color="auto"/>
            </w:tcBorders>
            <w:shd w:val="clear" w:color="000000" w:fill="B4C6E7"/>
            <w:vAlign w:val="bottom"/>
            <w:hideMark/>
          </w:tcPr>
          <w:p w14:paraId="4F381E36"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Outputs Met</w:t>
            </w:r>
          </w:p>
        </w:tc>
        <w:tc>
          <w:tcPr>
            <w:tcW w:w="1063" w:type="dxa"/>
            <w:tcBorders>
              <w:top w:val="nil"/>
              <w:left w:val="nil"/>
              <w:bottom w:val="single" w:sz="4" w:space="0" w:color="auto"/>
              <w:right w:val="single" w:sz="4" w:space="0" w:color="auto"/>
            </w:tcBorders>
            <w:shd w:val="clear" w:color="000000" w:fill="B4C6E7"/>
            <w:vAlign w:val="bottom"/>
            <w:hideMark/>
          </w:tcPr>
          <w:p w14:paraId="36EBEB77"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Short-Term Outcomes</w:t>
            </w:r>
          </w:p>
        </w:tc>
        <w:tc>
          <w:tcPr>
            <w:tcW w:w="1063" w:type="dxa"/>
            <w:tcBorders>
              <w:top w:val="nil"/>
              <w:left w:val="nil"/>
              <w:bottom w:val="single" w:sz="4" w:space="0" w:color="auto"/>
              <w:right w:val="single" w:sz="4" w:space="0" w:color="auto"/>
            </w:tcBorders>
            <w:shd w:val="clear" w:color="000000" w:fill="B4C6E7"/>
            <w:vAlign w:val="bottom"/>
            <w:hideMark/>
          </w:tcPr>
          <w:p w14:paraId="13B4F2A6"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Short-Term Outcomes Met</w:t>
            </w:r>
          </w:p>
        </w:tc>
        <w:tc>
          <w:tcPr>
            <w:tcW w:w="1063" w:type="dxa"/>
            <w:tcBorders>
              <w:top w:val="nil"/>
              <w:left w:val="nil"/>
              <w:bottom w:val="single" w:sz="4" w:space="0" w:color="auto"/>
              <w:right w:val="single" w:sz="4" w:space="0" w:color="auto"/>
            </w:tcBorders>
            <w:shd w:val="clear" w:color="000000" w:fill="B4C6E7"/>
            <w:vAlign w:val="bottom"/>
            <w:hideMark/>
          </w:tcPr>
          <w:p w14:paraId="1FCD898C"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%Short-Term Outcomes Achieved</w:t>
            </w:r>
          </w:p>
        </w:tc>
      </w:tr>
      <w:tr w:rsidR="00BA0D82" w:rsidRPr="0005691D" w14:paraId="1CE5C859" w14:textId="77777777" w:rsidTr="001A5653">
        <w:trPr>
          <w:trHeight w:val="300"/>
        </w:trPr>
        <w:tc>
          <w:tcPr>
            <w:tcW w:w="2506" w:type="dxa"/>
            <w:tcBorders>
              <w:top w:val="nil"/>
              <w:left w:val="single" w:sz="4" w:space="0" w:color="auto"/>
              <w:bottom w:val="single" w:sz="4" w:space="0" w:color="auto"/>
              <w:right w:val="single" w:sz="4" w:space="0" w:color="auto"/>
            </w:tcBorders>
            <w:shd w:val="clear" w:color="000000" w:fill="B4C6E7"/>
            <w:noWrap/>
            <w:vAlign w:val="center"/>
            <w:hideMark/>
          </w:tcPr>
          <w:p w14:paraId="656FE7BD" w14:textId="77777777" w:rsidR="00BA0D82" w:rsidRPr="0005691D" w:rsidRDefault="00BA0D82" w:rsidP="001A5653">
            <w:pPr>
              <w:spacing w:after="0" w:line="240" w:lineRule="auto"/>
              <w:jc w:val="right"/>
              <w:rPr>
                <w:rFonts w:ascii="Calibri" w:eastAsia="Times New Roman" w:hAnsi="Calibri" w:cs="Calibri"/>
                <w:b/>
                <w:bCs/>
                <w:color w:val="000000"/>
              </w:rPr>
            </w:pPr>
            <w:r w:rsidRPr="0005691D">
              <w:rPr>
                <w:rFonts w:ascii="Calibri" w:eastAsia="Times New Roman" w:hAnsi="Calibri" w:cs="Calibri"/>
                <w:b/>
                <w:bCs/>
                <w:color w:val="000000"/>
              </w:rPr>
              <w:t>Pre-ETS</w:t>
            </w:r>
          </w:p>
        </w:tc>
        <w:tc>
          <w:tcPr>
            <w:tcW w:w="1165" w:type="dxa"/>
            <w:tcBorders>
              <w:top w:val="nil"/>
              <w:left w:val="nil"/>
              <w:bottom w:val="single" w:sz="4" w:space="0" w:color="auto"/>
              <w:right w:val="single" w:sz="4" w:space="0" w:color="auto"/>
            </w:tcBorders>
            <w:shd w:val="clear" w:color="000000" w:fill="FFFFFF"/>
            <w:noWrap/>
            <w:vAlign w:val="center"/>
            <w:hideMark/>
          </w:tcPr>
          <w:p w14:paraId="111A2058"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4</w:t>
            </w:r>
          </w:p>
        </w:tc>
        <w:tc>
          <w:tcPr>
            <w:tcW w:w="1254" w:type="dxa"/>
            <w:tcBorders>
              <w:top w:val="nil"/>
              <w:left w:val="nil"/>
              <w:bottom w:val="single" w:sz="4" w:space="0" w:color="auto"/>
              <w:right w:val="single" w:sz="4" w:space="0" w:color="auto"/>
            </w:tcBorders>
            <w:shd w:val="clear" w:color="000000" w:fill="FFFFFF"/>
            <w:noWrap/>
            <w:vAlign w:val="center"/>
            <w:hideMark/>
          </w:tcPr>
          <w:p w14:paraId="32578BEA"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6%</w:t>
            </w:r>
          </w:p>
        </w:tc>
        <w:tc>
          <w:tcPr>
            <w:tcW w:w="897" w:type="dxa"/>
            <w:tcBorders>
              <w:top w:val="nil"/>
              <w:left w:val="nil"/>
              <w:bottom w:val="single" w:sz="4" w:space="0" w:color="auto"/>
              <w:right w:val="single" w:sz="4" w:space="0" w:color="auto"/>
            </w:tcBorders>
            <w:shd w:val="clear" w:color="000000" w:fill="FFFFFF"/>
            <w:noWrap/>
            <w:vAlign w:val="center"/>
            <w:hideMark/>
          </w:tcPr>
          <w:p w14:paraId="639F4F78"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4</w:t>
            </w:r>
          </w:p>
        </w:tc>
        <w:tc>
          <w:tcPr>
            <w:tcW w:w="897" w:type="dxa"/>
            <w:tcBorders>
              <w:top w:val="nil"/>
              <w:left w:val="nil"/>
              <w:bottom w:val="single" w:sz="4" w:space="0" w:color="auto"/>
              <w:right w:val="single" w:sz="4" w:space="0" w:color="auto"/>
            </w:tcBorders>
            <w:shd w:val="clear" w:color="000000" w:fill="FFFFFF"/>
            <w:noWrap/>
            <w:vAlign w:val="center"/>
            <w:hideMark/>
          </w:tcPr>
          <w:p w14:paraId="71B8A906"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0</w:t>
            </w:r>
          </w:p>
        </w:tc>
        <w:tc>
          <w:tcPr>
            <w:tcW w:w="892" w:type="dxa"/>
            <w:tcBorders>
              <w:top w:val="nil"/>
              <w:left w:val="nil"/>
              <w:bottom w:val="single" w:sz="4" w:space="0" w:color="auto"/>
              <w:right w:val="single" w:sz="4" w:space="0" w:color="auto"/>
            </w:tcBorders>
            <w:shd w:val="clear" w:color="000000" w:fill="FFFFFF"/>
            <w:noWrap/>
            <w:vAlign w:val="center"/>
            <w:hideMark/>
          </w:tcPr>
          <w:p w14:paraId="543943BD"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0%</w:t>
            </w:r>
          </w:p>
        </w:tc>
        <w:tc>
          <w:tcPr>
            <w:tcW w:w="1063" w:type="dxa"/>
            <w:tcBorders>
              <w:top w:val="nil"/>
              <w:left w:val="nil"/>
              <w:bottom w:val="single" w:sz="4" w:space="0" w:color="auto"/>
              <w:right w:val="single" w:sz="4" w:space="0" w:color="auto"/>
            </w:tcBorders>
            <w:shd w:val="clear" w:color="000000" w:fill="FFFFFF"/>
            <w:noWrap/>
            <w:vAlign w:val="center"/>
            <w:hideMark/>
          </w:tcPr>
          <w:p w14:paraId="33E88D8A"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3</w:t>
            </w:r>
          </w:p>
        </w:tc>
        <w:tc>
          <w:tcPr>
            <w:tcW w:w="1063" w:type="dxa"/>
            <w:tcBorders>
              <w:top w:val="nil"/>
              <w:left w:val="nil"/>
              <w:bottom w:val="single" w:sz="4" w:space="0" w:color="auto"/>
              <w:right w:val="single" w:sz="4" w:space="0" w:color="auto"/>
            </w:tcBorders>
            <w:shd w:val="clear" w:color="000000" w:fill="FFFFFF"/>
            <w:noWrap/>
            <w:vAlign w:val="center"/>
            <w:hideMark/>
          </w:tcPr>
          <w:p w14:paraId="7B8AC5D7"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0</w:t>
            </w:r>
          </w:p>
        </w:tc>
        <w:tc>
          <w:tcPr>
            <w:tcW w:w="1063" w:type="dxa"/>
            <w:tcBorders>
              <w:top w:val="nil"/>
              <w:left w:val="nil"/>
              <w:bottom w:val="single" w:sz="4" w:space="0" w:color="auto"/>
              <w:right w:val="single" w:sz="4" w:space="0" w:color="auto"/>
            </w:tcBorders>
            <w:shd w:val="clear" w:color="000000" w:fill="FFFFFF"/>
            <w:noWrap/>
            <w:vAlign w:val="center"/>
            <w:hideMark/>
          </w:tcPr>
          <w:p w14:paraId="15D4B9BA"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0%</w:t>
            </w:r>
          </w:p>
        </w:tc>
      </w:tr>
      <w:tr w:rsidR="00BA0D82" w:rsidRPr="0005691D" w14:paraId="1765CAF5" w14:textId="77777777" w:rsidTr="001A5653">
        <w:trPr>
          <w:trHeight w:val="300"/>
        </w:trPr>
        <w:tc>
          <w:tcPr>
            <w:tcW w:w="2506" w:type="dxa"/>
            <w:tcBorders>
              <w:top w:val="nil"/>
              <w:left w:val="single" w:sz="4" w:space="0" w:color="auto"/>
              <w:bottom w:val="single" w:sz="4" w:space="0" w:color="auto"/>
              <w:right w:val="single" w:sz="4" w:space="0" w:color="auto"/>
            </w:tcBorders>
            <w:shd w:val="clear" w:color="000000" w:fill="B4C6E7"/>
            <w:noWrap/>
            <w:vAlign w:val="center"/>
            <w:hideMark/>
          </w:tcPr>
          <w:p w14:paraId="3643C584" w14:textId="77777777" w:rsidR="00BA0D82" w:rsidRPr="0005691D" w:rsidRDefault="00BA0D82" w:rsidP="001A5653">
            <w:pPr>
              <w:spacing w:after="0" w:line="240" w:lineRule="auto"/>
              <w:jc w:val="right"/>
              <w:rPr>
                <w:rFonts w:ascii="Calibri" w:eastAsia="Times New Roman" w:hAnsi="Calibri" w:cs="Calibri"/>
                <w:b/>
                <w:bCs/>
                <w:color w:val="000000"/>
              </w:rPr>
            </w:pPr>
            <w:r w:rsidRPr="0005691D">
              <w:rPr>
                <w:rFonts w:ascii="Calibri" w:eastAsia="Times New Roman" w:hAnsi="Calibri" w:cs="Calibri"/>
                <w:b/>
                <w:bCs/>
                <w:color w:val="000000"/>
              </w:rPr>
              <w:t>The Career Index Plus (TCI+) and LMI</w:t>
            </w:r>
          </w:p>
        </w:tc>
        <w:tc>
          <w:tcPr>
            <w:tcW w:w="1165" w:type="dxa"/>
            <w:tcBorders>
              <w:top w:val="nil"/>
              <w:left w:val="nil"/>
              <w:bottom w:val="single" w:sz="4" w:space="0" w:color="auto"/>
              <w:right w:val="single" w:sz="4" w:space="0" w:color="auto"/>
            </w:tcBorders>
            <w:shd w:val="clear" w:color="000000" w:fill="D9E2F3"/>
            <w:noWrap/>
            <w:vAlign w:val="center"/>
            <w:hideMark/>
          </w:tcPr>
          <w:p w14:paraId="60FD21DB"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3</w:t>
            </w:r>
          </w:p>
        </w:tc>
        <w:tc>
          <w:tcPr>
            <w:tcW w:w="1254" w:type="dxa"/>
            <w:tcBorders>
              <w:top w:val="nil"/>
              <w:left w:val="nil"/>
              <w:bottom w:val="single" w:sz="4" w:space="0" w:color="auto"/>
              <w:right w:val="single" w:sz="4" w:space="0" w:color="auto"/>
            </w:tcBorders>
            <w:shd w:val="clear" w:color="000000" w:fill="D9E2F3"/>
            <w:noWrap/>
            <w:vAlign w:val="center"/>
            <w:hideMark/>
          </w:tcPr>
          <w:p w14:paraId="6A08C4A5"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100%</w:t>
            </w:r>
          </w:p>
        </w:tc>
        <w:tc>
          <w:tcPr>
            <w:tcW w:w="897" w:type="dxa"/>
            <w:tcBorders>
              <w:top w:val="nil"/>
              <w:left w:val="nil"/>
              <w:bottom w:val="single" w:sz="4" w:space="0" w:color="auto"/>
              <w:right w:val="single" w:sz="4" w:space="0" w:color="auto"/>
            </w:tcBorders>
            <w:shd w:val="clear" w:color="000000" w:fill="D9E2F3"/>
            <w:noWrap/>
            <w:vAlign w:val="center"/>
            <w:hideMark/>
          </w:tcPr>
          <w:p w14:paraId="6D6CD1F8"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3</w:t>
            </w:r>
          </w:p>
        </w:tc>
        <w:tc>
          <w:tcPr>
            <w:tcW w:w="897" w:type="dxa"/>
            <w:tcBorders>
              <w:top w:val="nil"/>
              <w:left w:val="nil"/>
              <w:bottom w:val="single" w:sz="4" w:space="0" w:color="auto"/>
              <w:right w:val="single" w:sz="4" w:space="0" w:color="auto"/>
            </w:tcBorders>
            <w:shd w:val="clear" w:color="000000" w:fill="D9E2F3"/>
            <w:noWrap/>
            <w:vAlign w:val="center"/>
            <w:hideMark/>
          </w:tcPr>
          <w:p w14:paraId="02C003BE"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3</w:t>
            </w:r>
          </w:p>
        </w:tc>
        <w:tc>
          <w:tcPr>
            <w:tcW w:w="892" w:type="dxa"/>
            <w:tcBorders>
              <w:top w:val="nil"/>
              <w:left w:val="nil"/>
              <w:bottom w:val="single" w:sz="4" w:space="0" w:color="auto"/>
              <w:right w:val="single" w:sz="4" w:space="0" w:color="auto"/>
            </w:tcBorders>
            <w:shd w:val="clear" w:color="000000" w:fill="D9E2F3"/>
            <w:noWrap/>
            <w:vAlign w:val="center"/>
            <w:hideMark/>
          </w:tcPr>
          <w:p w14:paraId="1B5C5230"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100%</w:t>
            </w:r>
          </w:p>
        </w:tc>
        <w:tc>
          <w:tcPr>
            <w:tcW w:w="1063" w:type="dxa"/>
            <w:tcBorders>
              <w:top w:val="nil"/>
              <w:left w:val="nil"/>
              <w:bottom w:val="single" w:sz="4" w:space="0" w:color="auto"/>
              <w:right w:val="single" w:sz="4" w:space="0" w:color="auto"/>
            </w:tcBorders>
            <w:shd w:val="clear" w:color="000000" w:fill="D9E2F3"/>
            <w:noWrap/>
            <w:vAlign w:val="center"/>
            <w:hideMark/>
          </w:tcPr>
          <w:p w14:paraId="3FC9BDD4"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2</w:t>
            </w:r>
          </w:p>
        </w:tc>
        <w:tc>
          <w:tcPr>
            <w:tcW w:w="1063" w:type="dxa"/>
            <w:tcBorders>
              <w:top w:val="nil"/>
              <w:left w:val="nil"/>
              <w:bottom w:val="single" w:sz="4" w:space="0" w:color="auto"/>
              <w:right w:val="single" w:sz="4" w:space="0" w:color="auto"/>
            </w:tcBorders>
            <w:shd w:val="clear" w:color="000000" w:fill="D9E2F3"/>
            <w:noWrap/>
            <w:vAlign w:val="center"/>
            <w:hideMark/>
          </w:tcPr>
          <w:p w14:paraId="398435F3"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2</w:t>
            </w:r>
          </w:p>
        </w:tc>
        <w:tc>
          <w:tcPr>
            <w:tcW w:w="1063" w:type="dxa"/>
            <w:tcBorders>
              <w:top w:val="nil"/>
              <w:left w:val="nil"/>
              <w:bottom w:val="single" w:sz="4" w:space="0" w:color="auto"/>
              <w:right w:val="single" w:sz="4" w:space="0" w:color="auto"/>
            </w:tcBorders>
            <w:shd w:val="clear" w:color="000000" w:fill="D9E2F3"/>
            <w:noWrap/>
            <w:vAlign w:val="center"/>
            <w:hideMark/>
          </w:tcPr>
          <w:p w14:paraId="20166D24"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100%</w:t>
            </w:r>
          </w:p>
        </w:tc>
      </w:tr>
      <w:tr w:rsidR="00BA0D82" w:rsidRPr="0005691D" w14:paraId="42782F0D" w14:textId="77777777" w:rsidTr="001A5653">
        <w:trPr>
          <w:trHeight w:val="300"/>
        </w:trPr>
        <w:tc>
          <w:tcPr>
            <w:tcW w:w="2506" w:type="dxa"/>
            <w:tcBorders>
              <w:top w:val="nil"/>
              <w:left w:val="single" w:sz="4" w:space="0" w:color="auto"/>
              <w:bottom w:val="single" w:sz="4" w:space="0" w:color="auto"/>
              <w:right w:val="single" w:sz="4" w:space="0" w:color="auto"/>
            </w:tcBorders>
            <w:shd w:val="clear" w:color="000000" w:fill="B4C6E7"/>
            <w:noWrap/>
            <w:vAlign w:val="center"/>
            <w:hideMark/>
          </w:tcPr>
          <w:p w14:paraId="3727DA6B" w14:textId="77777777" w:rsidR="00BA0D82" w:rsidRPr="0005691D" w:rsidRDefault="00BA0D82" w:rsidP="001A5653">
            <w:pPr>
              <w:spacing w:after="0" w:line="240" w:lineRule="auto"/>
              <w:jc w:val="right"/>
              <w:rPr>
                <w:rFonts w:ascii="Calibri" w:eastAsia="Times New Roman" w:hAnsi="Calibri" w:cs="Calibri"/>
                <w:b/>
                <w:bCs/>
                <w:color w:val="000000"/>
              </w:rPr>
            </w:pPr>
            <w:r w:rsidRPr="0005691D">
              <w:rPr>
                <w:rFonts w:ascii="Calibri" w:eastAsia="Times New Roman" w:hAnsi="Calibri" w:cs="Calibri"/>
                <w:b/>
                <w:bCs/>
                <w:color w:val="000000"/>
              </w:rPr>
              <w:t>Customized Employment</w:t>
            </w:r>
          </w:p>
        </w:tc>
        <w:tc>
          <w:tcPr>
            <w:tcW w:w="1165" w:type="dxa"/>
            <w:tcBorders>
              <w:top w:val="nil"/>
              <w:left w:val="nil"/>
              <w:bottom w:val="single" w:sz="4" w:space="0" w:color="auto"/>
              <w:right w:val="single" w:sz="4" w:space="0" w:color="auto"/>
            </w:tcBorders>
            <w:shd w:val="clear" w:color="000000" w:fill="FFFFFF"/>
            <w:noWrap/>
            <w:vAlign w:val="center"/>
            <w:hideMark/>
          </w:tcPr>
          <w:p w14:paraId="0EF3044E"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4</w:t>
            </w:r>
          </w:p>
        </w:tc>
        <w:tc>
          <w:tcPr>
            <w:tcW w:w="1254" w:type="dxa"/>
            <w:tcBorders>
              <w:top w:val="nil"/>
              <w:left w:val="nil"/>
              <w:bottom w:val="single" w:sz="4" w:space="0" w:color="auto"/>
              <w:right w:val="single" w:sz="4" w:space="0" w:color="auto"/>
            </w:tcBorders>
            <w:shd w:val="clear" w:color="000000" w:fill="FFFFFF"/>
            <w:noWrap/>
            <w:vAlign w:val="center"/>
            <w:hideMark/>
          </w:tcPr>
          <w:p w14:paraId="1BF8D81D"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63%</w:t>
            </w:r>
          </w:p>
        </w:tc>
        <w:tc>
          <w:tcPr>
            <w:tcW w:w="897" w:type="dxa"/>
            <w:tcBorders>
              <w:top w:val="nil"/>
              <w:left w:val="nil"/>
              <w:bottom w:val="single" w:sz="4" w:space="0" w:color="auto"/>
              <w:right w:val="single" w:sz="4" w:space="0" w:color="auto"/>
            </w:tcBorders>
            <w:shd w:val="clear" w:color="000000" w:fill="FFFFFF"/>
            <w:noWrap/>
            <w:vAlign w:val="center"/>
            <w:hideMark/>
          </w:tcPr>
          <w:p w14:paraId="348797B8"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4</w:t>
            </w:r>
          </w:p>
        </w:tc>
        <w:tc>
          <w:tcPr>
            <w:tcW w:w="897" w:type="dxa"/>
            <w:tcBorders>
              <w:top w:val="nil"/>
              <w:left w:val="nil"/>
              <w:bottom w:val="single" w:sz="4" w:space="0" w:color="auto"/>
              <w:right w:val="single" w:sz="4" w:space="0" w:color="auto"/>
            </w:tcBorders>
            <w:shd w:val="clear" w:color="000000" w:fill="FFFFFF"/>
            <w:noWrap/>
            <w:vAlign w:val="center"/>
            <w:hideMark/>
          </w:tcPr>
          <w:p w14:paraId="50D436C0"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2</w:t>
            </w:r>
          </w:p>
        </w:tc>
        <w:tc>
          <w:tcPr>
            <w:tcW w:w="892" w:type="dxa"/>
            <w:tcBorders>
              <w:top w:val="nil"/>
              <w:left w:val="nil"/>
              <w:bottom w:val="single" w:sz="4" w:space="0" w:color="auto"/>
              <w:right w:val="single" w:sz="4" w:space="0" w:color="auto"/>
            </w:tcBorders>
            <w:shd w:val="clear" w:color="000000" w:fill="FFFFFF"/>
            <w:noWrap/>
            <w:vAlign w:val="center"/>
            <w:hideMark/>
          </w:tcPr>
          <w:p w14:paraId="78453378"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50%</w:t>
            </w:r>
          </w:p>
        </w:tc>
        <w:tc>
          <w:tcPr>
            <w:tcW w:w="1063" w:type="dxa"/>
            <w:tcBorders>
              <w:top w:val="nil"/>
              <w:left w:val="nil"/>
              <w:bottom w:val="single" w:sz="4" w:space="0" w:color="auto"/>
              <w:right w:val="single" w:sz="4" w:space="0" w:color="auto"/>
            </w:tcBorders>
            <w:shd w:val="clear" w:color="000000" w:fill="FFFFFF"/>
            <w:noWrap/>
            <w:vAlign w:val="center"/>
            <w:hideMark/>
          </w:tcPr>
          <w:p w14:paraId="11D48CFD"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4</w:t>
            </w:r>
          </w:p>
        </w:tc>
        <w:tc>
          <w:tcPr>
            <w:tcW w:w="1063" w:type="dxa"/>
            <w:tcBorders>
              <w:top w:val="nil"/>
              <w:left w:val="nil"/>
              <w:bottom w:val="single" w:sz="4" w:space="0" w:color="auto"/>
              <w:right w:val="single" w:sz="4" w:space="0" w:color="auto"/>
            </w:tcBorders>
            <w:shd w:val="clear" w:color="000000" w:fill="FFFFFF"/>
            <w:noWrap/>
            <w:vAlign w:val="center"/>
            <w:hideMark/>
          </w:tcPr>
          <w:p w14:paraId="22318C45"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2</w:t>
            </w:r>
          </w:p>
        </w:tc>
        <w:tc>
          <w:tcPr>
            <w:tcW w:w="1063" w:type="dxa"/>
            <w:tcBorders>
              <w:top w:val="nil"/>
              <w:left w:val="nil"/>
              <w:bottom w:val="single" w:sz="4" w:space="0" w:color="auto"/>
              <w:right w:val="single" w:sz="4" w:space="0" w:color="auto"/>
            </w:tcBorders>
            <w:shd w:val="clear" w:color="000000" w:fill="FFFFFF"/>
            <w:noWrap/>
            <w:vAlign w:val="center"/>
            <w:hideMark/>
          </w:tcPr>
          <w:p w14:paraId="61DEFC0B"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50%</w:t>
            </w:r>
          </w:p>
        </w:tc>
      </w:tr>
      <w:tr w:rsidR="00BA0D82" w:rsidRPr="0005691D" w14:paraId="0C71B080" w14:textId="77777777" w:rsidTr="001A5653">
        <w:trPr>
          <w:trHeight w:val="300"/>
        </w:trPr>
        <w:tc>
          <w:tcPr>
            <w:tcW w:w="2506" w:type="dxa"/>
            <w:tcBorders>
              <w:top w:val="nil"/>
              <w:left w:val="nil"/>
              <w:bottom w:val="nil"/>
              <w:right w:val="nil"/>
            </w:tcBorders>
            <w:shd w:val="clear" w:color="auto" w:fill="auto"/>
            <w:noWrap/>
            <w:vAlign w:val="bottom"/>
            <w:hideMark/>
          </w:tcPr>
          <w:p w14:paraId="17B1E5A2" w14:textId="77777777" w:rsidR="00BA0D82" w:rsidRPr="0005691D" w:rsidRDefault="00BA0D82" w:rsidP="001A5653">
            <w:pPr>
              <w:spacing w:after="0" w:line="240" w:lineRule="auto"/>
              <w:rPr>
                <w:rFonts w:ascii="Calibri" w:eastAsia="Times New Roman" w:hAnsi="Calibri" w:cs="Calibri"/>
                <w:color w:val="000000"/>
              </w:rPr>
            </w:pPr>
            <w:r w:rsidRPr="0005691D">
              <w:rPr>
                <w:rFonts w:ascii="Calibri" w:eastAsia="Times New Roman" w:hAnsi="Calibri" w:cs="Calibri"/>
                <w:color w:val="000000"/>
              </w:rPr>
              <w:t> </w:t>
            </w:r>
          </w:p>
        </w:tc>
        <w:tc>
          <w:tcPr>
            <w:tcW w:w="1165" w:type="dxa"/>
            <w:tcBorders>
              <w:top w:val="nil"/>
              <w:left w:val="nil"/>
              <w:bottom w:val="nil"/>
              <w:right w:val="nil"/>
            </w:tcBorders>
            <w:shd w:val="clear" w:color="auto" w:fill="auto"/>
            <w:noWrap/>
            <w:vAlign w:val="center"/>
            <w:hideMark/>
          </w:tcPr>
          <w:p w14:paraId="1EC33E83"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 </w:t>
            </w:r>
          </w:p>
        </w:tc>
        <w:tc>
          <w:tcPr>
            <w:tcW w:w="1254" w:type="dxa"/>
            <w:tcBorders>
              <w:top w:val="nil"/>
              <w:left w:val="nil"/>
              <w:bottom w:val="nil"/>
              <w:right w:val="nil"/>
            </w:tcBorders>
            <w:shd w:val="clear" w:color="auto" w:fill="auto"/>
            <w:noWrap/>
            <w:vAlign w:val="center"/>
            <w:hideMark/>
          </w:tcPr>
          <w:p w14:paraId="4341E615"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 </w:t>
            </w:r>
          </w:p>
        </w:tc>
        <w:tc>
          <w:tcPr>
            <w:tcW w:w="897" w:type="dxa"/>
            <w:tcBorders>
              <w:top w:val="nil"/>
              <w:left w:val="nil"/>
              <w:bottom w:val="nil"/>
              <w:right w:val="nil"/>
            </w:tcBorders>
            <w:shd w:val="clear" w:color="auto" w:fill="auto"/>
            <w:noWrap/>
            <w:vAlign w:val="center"/>
            <w:hideMark/>
          </w:tcPr>
          <w:p w14:paraId="522479D6"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 </w:t>
            </w:r>
          </w:p>
        </w:tc>
        <w:tc>
          <w:tcPr>
            <w:tcW w:w="897" w:type="dxa"/>
            <w:tcBorders>
              <w:top w:val="nil"/>
              <w:left w:val="nil"/>
              <w:bottom w:val="nil"/>
              <w:right w:val="nil"/>
            </w:tcBorders>
            <w:shd w:val="clear" w:color="auto" w:fill="auto"/>
            <w:noWrap/>
            <w:vAlign w:val="center"/>
            <w:hideMark/>
          </w:tcPr>
          <w:p w14:paraId="5C62E826"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 </w:t>
            </w:r>
          </w:p>
        </w:tc>
        <w:tc>
          <w:tcPr>
            <w:tcW w:w="892" w:type="dxa"/>
            <w:tcBorders>
              <w:top w:val="nil"/>
              <w:left w:val="nil"/>
              <w:bottom w:val="nil"/>
              <w:right w:val="nil"/>
            </w:tcBorders>
            <w:shd w:val="clear" w:color="auto" w:fill="auto"/>
            <w:noWrap/>
            <w:vAlign w:val="center"/>
            <w:hideMark/>
          </w:tcPr>
          <w:p w14:paraId="5970D8BD"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 </w:t>
            </w:r>
          </w:p>
        </w:tc>
        <w:tc>
          <w:tcPr>
            <w:tcW w:w="1063" w:type="dxa"/>
            <w:tcBorders>
              <w:top w:val="nil"/>
              <w:left w:val="nil"/>
              <w:bottom w:val="nil"/>
              <w:right w:val="nil"/>
            </w:tcBorders>
            <w:shd w:val="clear" w:color="auto" w:fill="auto"/>
            <w:noWrap/>
            <w:vAlign w:val="center"/>
            <w:hideMark/>
          </w:tcPr>
          <w:p w14:paraId="5937A9D1"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 </w:t>
            </w:r>
          </w:p>
        </w:tc>
        <w:tc>
          <w:tcPr>
            <w:tcW w:w="1063" w:type="dxa"/>
            <w:tcBorders>
              <w:top w:val="nil"/>
              <w:left w:val="nil"/>
              <w:bottom w:val="nil"/>
              <w:right w:val="nil"/>
            </w:tcBorders>
            <w:shd w:val="clear" w:color="auto" w:fill="auto"/>
            <w:noWrap/>
            <w:vAlign w:val="center"/>
            <w:hideMark/>
          </w:tcPr>
          <w:p w14:paraId="477AAAFD"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 </w:t>
            </w:r>
          </w:p>
        </w:tc>
        <w:tc>
          <w:tcPr>
            <w:tcW w:w="1063" w:type="dxa"/>
            <w:tcBorders>
              <w:top w:val="nil"/>
              <w:left w:val="nil"/>
              <w:bottom w:val="nil"/>
              <w:right w:val="nil"/>
            </w:tcBorders>
            <w:shd w:val="clear" w:color="auto" w:fill="auto"/>
            <w:noWrap/>
            <w:vAlign w:val="center"/>
            <w:hideMark/>
          </w:tcPr>
          <w:p w14:paraId="47FE939C"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 </w:t>
            </w:r>
          </w:p>
        </w:tc>
      </w:tr>
    </w:tbl>
    <w:p w14:paraId="2F5B64C2" w14:textId="77777777" w:rsidR="00BC793A" w:rsidRDefault="00BC793A">
      <w:bookmarkStart w:id="267" w:name="_Toc27143223"/>
      <w:r>
        <w:rPr>
          <w:b/>
        </w:rPr>
        <w:br w:type="page"/>
      </w:r>
    </w:p>
    <w:tbl>
      <w:tblPr>
        <w:tblW w:w="10800" w:type="dxa"/>
        <w:tblInd w:w="-5" w:type="dxa"/>
        <w:tblLook w:val="04A0" w:firstRow="1" w:lastRow="0" w:firstColumn="1" w:lastColumn="0" w:noHBand="0" w:noVBand="1"/>
      </w:tblPr>
      <w:tblGrid>
        <w:gridCol w:w="2506"/>
        <w:gridCol w:w="1165"/>
        <w:gridCol w:w="1254"/>
        <w:gridCol w:w="897"/>
        <w:gridCol w:w="897"/>
        <w:gridCol w:w="892"/>
        <w:gridCol w:w="1063"/>
        <w:gridCol w:w="1063"/>
        <w:gridCol w:w="1063"/>
      </w:tblGrid>
      <w:tr w:rsidR="00BA0D82" w:rsidRPr="0005691D" w14:paraId="3609CDDD" w14:textId="77777777" w:rsidTr="00BC793A">
        <w:trPr>
          <w:trHeight w:val="465"/>
        </w:trPr>
        <w:tc>
          <w:tcPr>
            <w:tcW w:w="10800" w:type="dxa"/>
            <w:gridSpan w:val="9"/>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008CD667" w14:textId="0F223BC3" w:rsidR="00BA0D82" w:rsidRPr="0005691D" w:rsidRDefault="00BA0D82" w:rsidP="00BA0D82">
            <w:pPr>
              <w:pStyle w:val="Heading2"/>
              <w:numPr>
                <w:ilvl w:val="0"/>
                <w:numId w:val="0"/>
              </w:numPr>
              <w:rPr>
                <w:rFonts w:eastAsia="Times New Roman"/>
              </w:rPr>
            </w:pPr>
            <w:bookmarkStart w:id="268" w:name="_Toc28011522"/>
            <w:r w:rsidRPr="0005691D">
              <w:rPr>
                <w:rFonts w:eastAsia="Times New Roman"/>
              </w:rPr>
              <w:lastRenderedPageBreak/>
              <w:t>Texas Combined</w:t>
            </w:r>
            <w:bookmarkEnd w:id="267"/>
            <w:bookmarkEnd w:id="268"/>
          </w:p>
        </w:tc>
      </w:tr>
      <w:tr w:rsidR="00BA0D82" w:rsidRPr="0005691D" w14:paraId="5D817515" w14:textId="77777777" w:rsidTr="00BC793A">
        <w:trPr>
          <w:trHeight w:val="1305"/>
        </w:trPr>
        <w:tc>
          <w:tcPr>
            <w:tcW w:w="2506" w:type="dxa"/>
            <w:tcBorders>
              <w:top w:val="nil"/>
              <w:left w:val="single" w:sz="4" w:space="0" w:color="auto"/>
              <w:bottom w:val="single" w:sz="4" w:space="0" w:color="auto"/>
              <w:right w:val="single" w:sz="4" w:space="0" w:color="auto"/>
            </w:tcBorders>
            <w:shd w:val="clear" w:color="000000" w:fill="B4C6E7"/>
            <w:vAlign w:val="bottom"/>
            <w:hideMark/>
          </w:tcPr>
          <w:p w14:paraId="312B63B7" w14:textId="77777777" w:rsidR="00BA0D82" w:rsidRPr="0005691D" w:rsidRDefault="00BA0D82" w:rsidP="001A5653">
            <w:pPr>
              <w:spacing w:after="0" w:line="240" w:lineRule="auto"/>
              <w:jc w:val="right"/>
              <w:rPr>
                <w:rFonts w:ascii="Calibri" w:eastAsia="Times New Roman" w:hAnsi="Calibri" w:cs="Calibri"/>
                <w:b/>
                <w:bCs/>
                <w:color w:val="000000"/>
                <w:szCs w:val="28"/>
              </w:rPr>
            </w:pPr>
            <w:r w:rsidRPr="0005691D">
              <w:rPr>
                <w:rFonts w:ascii="Calibri" w:eastAsia="Times New Roman" w:hAnsi="Calibri" w:cs="Calibri"/>
                <w:b/>
                <w:bCs/>
                <w:color w:val="000000"/>
                <w:szCs w:val="28"/>
              </w:rPr>
              <w:t>Area</w:t>
            </w:r>
          </w:p>
        </w:tc>
        <w:tc>
          <w:tcPr>
            <w:tcW w:w="1165" w:type="dxa"/>
            <w:tcBorders>
              <w:top w:val="nil"/>
              <w:left w:val="nil"/>
              <w:bottom w:val="single" w:sz="4" w:space="0" w:color="auto"/>
              <w:right w:val="single" w:sz="4" w:space="0" w:color="auto"/>
            </w:tcBorders>
            <w:shd w:val="clear" w:color="000000" w:fill="B4C6E7"/>
            <w:vAlign w:val="bottom"/>
            <w:hideMark/>
          </w:tcPr>
          <w:p w14:paraId="689D2CE8"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of Total Activities</w:t>
            </w:r>
          </w:p>
        </w:tc>
        <w:tc>
          <w:tcPr>
            <w:tcW w:w="1254" w:type="dxa"/>
            <w:tcBorders>
              <w:top w:val="nil"/>
              <w:left w:val="nil"/>
              <w:bottom w:val="single" w:sz="4" w:space="0" w:color="auto"/>
              <w:right w:val="single" w:sz="4" w:space="0" w:color="auto"/>
            </w:tcBorders>
            <w:shd w:val="clear" w:color="000000" w:fill="B4C6E7"/>
            <w:vAlign w:val="bottom"/>
            <w:hideMark/>
          </w:tcPr>
          <w:p w14:paraId="70D0C0C8"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Average Progress on Activities (%)</w:t>
            </w:r>
          </w:p>
        </w:tc>
        <w:tc>
          <w:tcPr>
            <w:tcW w:w="897" w:type="dxa"/>
            <w:tcBorders>
              <w:top w:val="nil"/>
              <w:left w:val="nil"/>
              <w:bottom w:val="single" w:sz="4" w:space="0" w:color="auto"/>
              <w:right w:val="single" w:sz="4" w:space="0" w:color="auto"/>
            </w:tcBorders>
            <w:shd w:val="clear" w:color="000000" w:fill="B4C6E7"/>
            <w:vAlign w:val="bottom"/>
            <w:hideMark/>
          </w:tcPr>
          <w:p w14:paraId="1380A634"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Outputs</w:t>
            </w:r>
          </w:p>
        </w:tc>
        <w:tc>
          <w:tcPr>
            <w:tcW w:w="897" w:type="dxa"/>
            <w:tcBorders>
              <w:top w:val="nil"/>
              <w:left w:val="nil"/>
              <w:bottom w:val="single" w:sz="4" w:space="0" w:color="auto"/>
              <w:right w:val="single" w:sz="4" w:space="0" w:color="auto"/>
            </w:tcBorders>
            <w:shd w:val="clear" w:color="000000" w:fill="B4C6E7"/>
            <w:vAlign w:val="bottom"/>
            <w:hideMark/>
          </w:tcPr>
          <w:p w14:paraId="4974E1F2"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Outputs Met</w:t>
            </w:r>
          </w:p>
        </w:tc>
        <w:tc>
          <w:tcPr>
            <w:tcW w:w="892" w:type="dxa"/>
            <w:tcBorders>
              <w:top w:val="nil"/>
              <w:left w:val="nil"/>
              <w:bottom w:val="single" w:sz="4" w:space="0" w:color="auto"/>
              <w:right w:val="single" w:sz="4" w:space="0" w:color="auto"/>
            </w:tcBorders>
            <w:shd w:val="clear" w:color="000000" w:fill="B4C6E7"/>
            <w:vAlign w:val="bottom"/>
            <w:hideMark/>
          </w:tcPr>
          <w:p w14:paraId="240CDE94"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Outputs Met</w:t>
            </w:r>
          </w:p>
        </w:tc>
        <w:tc>
          <w:tcPr>
            <w:tcW w:w="1063" w:type="dxa"/>
            <w:tcBorders>
              <w:top w:val="nil"/>
              <w:left w:val="nil"/>
              <w:bottom w:val="single" w:sz="4" w:space="0" w:color="auto"/>
              <w:right w:val="single" w:sz="4" w:space="0" w:color="auto"/>
            </w:tcBorders>
            <w:shd w:val="clear" w:color="000000" w:fill="B4C6E7"/>
            <w:vAlign w:val="bottom"/>
            <w:hideMark/>
          </w:tcPr>
          <w:p w14:paraId="1CC38931"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Short-Term Outcomes</w:t>
            </w:r>
          </w:p>
        </w:tc>
        <w:tc>
          <w:tcPr>
            <w:tcW w:w="1063" w:type="dxa"/>
            <w:tcBorders>
              <w:top w:val="nil"/>
              <w:left w:val="nil"/>
              <w:bottom w:val="single" w:sz="4" w:space="0" w:color="auto"/>
              <w:right w:val="single" w:sz="4" w:space="0" w:color="auto"/>
            </w:tcBorders>
            <w:shd w:val="clear" w:color="000000" w:fill="B4C6E7"/>
            <w:vAlign w:val="bottom"/>
            <w:hideMark/>
          </w:tcPr>
          <w:p w14:paraId="1472E3D6"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Short-Term Outcomes Met</w:t>
            </w:r>
          </w:p>
        </w:tc>
        <w:tc>
          <w:tcPr>
            <w:tcW w:w="1063" w:type="dxa"/>
            <w:tcBorders>
              <w:top w:val="nil"/>
              <w:left w:val="nil"/>
              <w:bottom w:val="single" w:sz="4" w:space="0" w:color="auto"/>
              <w:right w:val="single" w:sz="4" w:space="0" w:color="auto"/>
            </w:tcBorders>
            <w:shd w:val="clear" w:color="000000" w:fill="B4C6E7"/>
            <w:vAlign w:val="bottom"/>
            <w:hideMark/>
          </w:tcPr>
          <w:p w14:paraId="169B43B7"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%Short-Term Outcomes Achieved</w:t>
            </w:r>
          </w:p>
        </w:tc>
      </w:tr>
      <w:tr w:rsidR="00BA0D82" w:rsidRPr="0005691D" w14:paraId="0E8E6B79" w14:textId="77777777" w:rsidTr="00BC793A">
        <w:trPr>
          <w:trHeight w:val="300"/>
        </w:trPr>
        <w:tc>
          <w:tcPr>
            <w:tcW w:w="2506" w:type="dxa"/>
            <w:tcBorders>
              <w:top w:val="nil"/>
              <w:left w:val="single" w:sz="4" w:space="0" w:color="auto"/>
              <w:bottom w:val="single" w:sz="4" w:space="0" w:color="auto"/>
              <w:right w:val="single" w:sz="4" w:space="0" w:color="auto"/>
            </w:tcBorders>
            <w:shd w:val="clear" w:color="000000" w:fill="B4C6E7"/>
            <w:noWrap/>
            <w:vAlign w:val="center"/>
            <w:hideMark/>
          </w:tcPr>
          <w:p w14:paraId="4A7589E9" w14:textId="77777777" w:rsidR="00BA0D82" w:rsidRPr="0005691D" w:rsidRDefault="00BA0D82" w:rsidP="001A5653">
            <w:pPr>
              <w:spacing w:after="0" w:line="240" w:lineRule="auto"/>
              <w:jc w:val="right"/>
              <w:rPr>
                <w:rFonts w:ascii="Calibri" w:eastAsia="Times New Roman" w:hAnsi="Calibri" w:cs="Calibri"/>
                <w:b/>
                <w:bCs/>
                <w:color w:val="000000"/>
              </w:rPr>
            </w:pPr>
            <w:r w:rsidRPr="0005691D">
              <w:rPr>
                <w:rFonts w:ascii="Calibri" w:eastAsia="Times New Roman" w:hAnsi="Calibri" w:cs="Calibri"/>
                <w:b/>
                <w:bCs/>
                <w:color w:val="000000"/>
              </w:rPr>
              <w:t>Customized Employment</w:t>
            </w:r>
          </w:p>
        </w:tc>
        <w:tc>
          <w:tcPr>
            <w:tcW w:w="1165" w:type="dxa"/>
            <w:tcBorders>
              <w:top w:val="nil"/>
              <w:left w:val="nil"/>
              <w:bottom w:val="single" w:sz="4" w:space="0" w:color="auto"/>
              <w:right w:val="single" w:sz="4" w:space="0" w:color="auto"/>
            </w:tcBorders>
            <w:shd w:val="clear" w:color="000000" w:fill="FFFFFF"/>
            <w:noWrap/>
            <w:vAlign w:val="center"/>
            <w:hideMark/>
          </w:tcPr>
          <w:p w14:paraId="1A387CF9"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6</w:t>
            </w:r>
          </w:p>
        </w:tc>
        <w:tc>
          <w:tcPr>
            <w:tcW w:w="1254" w:type="dxa"/>
            <w:tcBorders>
              <w:top w:val="nil"/>
              <w:left w:val="nil"/>
              <w:bottom w:val="single" w:sz="4" w:space="0" w:color="auto"/>
              <w:right w:val="single" w:sz="4" w:space="0" w:color="auto"/>
            </w:tcBorders>
            <w:shd w:val="clear" w:color="000000" w:fill="FFFFFF"/>
            <w:noWrap/>
            <w:vAlign w:val="center"/>
            <w:hideMark/>
          </w:tcPr>
          <w:p w14:paraId="041F2152"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38%</w:t>
            </w:r>
          </w:p>
        </w:tc>
        <w:tc>
          <w:tcPr>
            <w:tcW w:w="897" w:type="dxa"/>
            <w:tcBorders>
              <w:top w:val="nil"/>
              <w:left w:val="nil"/>
              <w:bottom w:val="single" w:sz="4" w:space="0" w:color="auto"/>
              <w:right w:val="single" w:sz="4" w:space="0" w:color="auto"/>
            </w:tcBorders>
            <w:shd w:val="clear" w:color="000000" w:fill="FFFFFF"/>
            <w:noWrap/>
            <w:vAlign w:val="center"/>
            <w:hideMark/>
          </w:tcPr>
          <w:p w14:paraId="394DF77E"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6</w:t>
            </w:r>
          </w:p>
        </w:tc>
        <w:tc>
          <w:tcPr>
            <w:tcW w:w="897" w:type="dxa"/>
            <w:tcBorders>
              <w:top w:val="nil"/>
              <w:left w:val="nil"/>
              <w:bottom w:val="single" w:sz="4" w:space="0" w:color="auto"/>
              <w:right w:val="single" w:sz="4" w:space="0" w:color="auto"/>
            </w:tcBorders>
            <w:shd w:val="clear" w:color="000000" w:fill="FFFFFF"/>
            <w:noWrap/>
            <w:vAlign w:val="center"/>
            <w:hideMark/>
          </w:tcPr>
          <w:p w14:paraId="7F1C7928"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0</w:t>
            </w:r>
          </w:p>
        </w:tc>
        <w:tc>
          <w:tcPr>
            <w:tcW w:w="892" w:type="dxa"/>
            <w:tcBorders>
              <w:top w:val="nil"/>
              <w:left w:val="nil"/>
              <w:bottom w:val="single" w:sz="4" w:space="0" w:color="auto"/>
              <w:right w:val="single" w:sz="4" w:space="0" w:color="auto"/>
            </w:tcBorders>
            <w:shd w:val="clear" w:color="000000" w:fill="FFFFFF"/>
            <w:noWrap/>
            <w:vAlign w:val="center"/>
            <w:hideMark/>
          </w:tcPr>
          <w:p w14:paraId="0260F250"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0%</w:t>
            </w:r>
          </w:p>
        </w:tc>
        <w:tc>
          <w:tcPr>
            <w:tcW w:w="1063" w:type="dxa"/>
            <w:tcBorders>
              <w:top w:val="nil"/>
              <w:left w:val="nil"/>
              <w:bottom w:val="single" w:sz="4" w:space="0" w:color="auto"/>
              <w:right w:val="single" w:sz="4" w:space="0" w:color="auto"/>
            </w:tcBorders>
            <w:shd w:val="clear" w:color="000000" w:fill="FFFFFF"/>
            <w:noWrap/>
            <w:vAlign w:val="center"/>
            <w:hideMark/>
          </w:tcPr>
          <w:p w14:paraId="5C3CA76D"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5</w:t>
            </w:r>
          </w:p>
        </w:tc>
        <w:tc>
          <w:tcPr>
            <w:tcW w:w="1063" w:type="dxa"/>
            <w:tcBorders>
              <w:top w:val="nil"/>
              <w:left w:val="nil"/>
              <w:bottom w:val="single" w:sz="4" w:space="0" w:color="auto"/>
              <w:right w:val="single" w:sz="4" w:space="0" w:color="auto"/>
            </w:tcBorders>
            <w:shd w:val="clear" w:color="000000" w:fill="FFFFFF"/>
            <w:noWrap/>
            <w:vAlign w:val="center"/>
            <w:hideMark/>
          </w:tcPr>
          <w:p w14:paraId="1DEFDB91"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w:t>
            </w:r>
          </w:p>
        </w:tc>
        <w:tc>
          <w:tcPr>
            <w:tcW w:w="1063" w:type="dxa"/>
            <w:tcBorders>
              <w:top w:val="nil"/>
              <w:left w:val="nil"/>
              <w:bottom w:val="single" w:sz="4" w:space="0" w:color="auto"/>
              <w:right w:val="single" w:sz="4" w:space="0" w:color="auto"/>
            </w:tcBorders>
            <w:shd w:val="clear" w:color="000000" w:fill="FFFFFF"/>
            <w:noWrap/>
            <w:vAlign w:val="center"/>
            <w:hideMark/>
          </w:tcPr>
          <w:p w14:paraId="15C7016D"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20%</w:t>
            </w:r>
          </w:p>
        </w:tc>
      </w:tr>
      <w:tr w:rsidR="00BA0D82" w:rsidRPr="0005691D" w14:paraId="39F48A46" w14:textId="77777777" w:rsidTr="00BC793A">
        <w:trPr>
          <w:trHeight w:val="300"/>
        </w:trPr>
        <w:tc>
          <w:tcPr>
            <w:tcW w:w="2506" w:type="dxa"/>
            <w:tcBorders>
              <w:top w:val="nil"/>
              <w:left w:val="nil"/>
              <w:bottom w:val="nil"/>
              <w:right w:val="nil"/>
            </w:tcBorders>
            <w:shd w:val="clear" w:color="auto" w:fill="auto"/>
            <w:noWrap/>
            <w:vAlign w:val="bottom"/>
            <w:hideMark/>
          </w:tcPr>
          <w:p w14:paraId="08BDAF44" w14:textId="77777777" w:rsidR="00BA0D82" w:rsidRPr="0005691D" w:rsidRDefault="00BA0D82" w:rsidP="001A5653">
            <w:pPr>
              <w:spacing w:after="0" w:line="240" w:lineRule="auto"/>
              <w:jc w:val="center"/>
              <w:rPr>
                <w:rFonts w:ascii="Calibri" w:eastAsia="Times New Roman" w:hAnsi="Calibri" w:cs="Calibri"/>
                <w:color w:val="000000"/>
              </w:rPr>
            </w:pPr>
          </w:p>
        </w:tc>
        <w:tc>
          <w:tcPr>
            <w:tcW w:w="1165" w:type="dxa"/>
            <w:tcBorders>
              <w:top w:val="nil"/>
              <w:left w:val="nil"/>
              <w:bottom w:val="nil"/>
              <w:right w:val="nil"/>
            </w:tcBorders>
            <w:shd w:val="clear" w:color="auto" w:fill="auto"/>
            <w:noWrap/>
            <w:vAlign w:val="center"/>
            <w:hideMark/>
          </w:tcPr>
          <w:p w14:paraId="6FF980EB" w14:textId="77777777" w:rsidR="00BA0D82" w:rsidRPr="0005691D" w:rsidRDefault="00BA0D82" w:rsidP="001A5653">
            <w:pPr>
              <w:spacing w:after="0" w:line="240" w:lineRule="auto"/>
              <w:rPr>
                <w:rFonts w:ascii="Times New Roman" w:eastAsia="Times New Roman" w:hAnsi="Times New Roman" w:cs="Times New Roman"/>
                <w:sz w:val="20"/>
                <w:szCs w:val="20"/>
              </w:rPr>
            </w:pPr>
          </w:p>
        </w:tc>
        <w:tc>
          <w:tcPr>
            <w:tcW w:w="1254" w:type="dxa"/>
            <w:tcBorders>
              <w:top w:val="nil"/>
              <w:left w:val="nil"/>
              <w:bottom w:val="nil"/>
              <w:right w:val="nil"/>
            </w:tcBorders>
            <w:shd w:val="clear" w:color="auto" w:fill="auto"/>
            <w:noWrap/>
            <w:vAlign w:val="center"/>
            <w:hideMark/>
          </w:tcPr>
          <w:p w14:paraId="51D3A092"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c>
          <w:tcPr>
            <w:tcW w:w="897" w:type="dxa"/>
            <w:tcBorders>
              <w:top w:val="nil"/>
              <w:left w:val="nil"/>
              <w:bottom w:val="nil"/>
              <w:right w:val="nil"/>
            </w:tcBorders>
            <w:shd w:val="clear" w:color="auto" w:fill="auto"/>
            <w:noWrap/>
            <w:vAlign w:val="center"/>
            <w:hideMark/>
          </w:tcPr>
          <w:p w14:paraId="3EC3DBC7"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c>
          <w:tcPr>
            <w:tcW w:w="897" w:type="dxa"/>
            <w:tcBorders>
              <w:top w:val="nil"/>
              <w:left w:val="nil"/>
              <w:bottom w:val="nil"/>
              <w:right w:val="nil"/>
            </w:tcBorders>
            <w:shd w:val="clear" w:color="auto" w:fill="auto"/>
            <w:noWrap/>
            <w:vAlign w:val="center"/>
            <w:hideMark/>
          </w:tcPr>
          <w:p w14:paraId="7AD339DB"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c>
          <w:tcPr>
            <w:tcW w:w="892" w:type="dxa"/>
            <w:tcBorders>
              <w:top w:val="nil"/>
              <w:left w:val="nil"/>
              <w:bottom w:val="nil"/>
              <w:right w:val="nil"/>
            </w:tcBorders>
            <w:shd w:val="clear" w:color="auto" w:fill="auto"/>
            <w:noWrap/>
            <w:vAlign w:val="center"/>
            <w:hideMark/>
          </w:tcPr>
          <w:p w14:paraId="145F7B3A"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c>
          <w:tcPr>
            <w:tcW w:w="1063" w:type="dxa"/>
            <w:tcBorders>
              <w:top w:val="nil"/>
              <w:left w:val="nil"/>
              <w:bottom w:val="nil"/>
              <w:right w:val="nil"/>
            </w:tcBorders>
            <w:shd w:val="clear" w:color="auto" w:fill="auto"/>
            <w:noWrap/>
            <w:vAlign w:val="center"/>
            <w:hideMark/>
          </w:tcPr>
          <w:p w14:paraId="2E070C81"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c>
          <w:tcPr>
            <w:tcW w:w="1063" w:type="dxa"/>
            <w:tcBorders>
              <w:top w:val="nil"/>
              <w:left w:val="nil"/>
              <w:bottom w:val="nil"/>
              <w:right w:val="nil"/>
            </w:tcBorders>
            <w:shd w:val="clear" w:color="auto" w:fill="auto"/>
            <w:noWrap/>
            <w:vAlign w:val="center"/>
            <w:hideMark/>
          </w:tcPr>
          <w:p w14:paraId="5F777FB0"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c>
          <w:tcPr>
            <w:tcW w:w="1063" w:type="dxa"/>
            <w:tcBorders>
              <w:top w:val="nil"/>
              <w:left w:val="nil"/>
              <w:bottom w:val="nil"/>
              <w:right w:val="nil"/>
            </w:tcBorders>
            <w:shd w:val="clear" w:color="auto" w:fill="auto"/>
            <w:noWrap/>
            <w:vAlign w:val="center"/>
            <w:hideMark/>
          </w:tcPr>
          <w:p w14:paraId="066A6014"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r>
      <w:tr w:rsidR="00BA0D82" w:rsidRPr="0005691D" w14:paraId="6BDF4C68" w14:textId="77777777" w:rsidTr="00BC793A">
        <w:trPr>
          <w:trHeight w:val="465"/>
        </w:trPr>
        <w:tc>
          <w:tcPr>
            <w:tcW w:w="10800" w:type="dxa"/>
            <w:gridSpan w:val="9"/>
            <w:tcBorders>
              <w:top w:val="single" w:sz="4" w:space="0" w:color="auto"/>
              <w:left w:val="nil"/>
              <w:bottom w:val="single" w:sz="4" w:space="0" w:color="auto"/>
              <w:right w:val="nil"/>
            </w:tcBorders>
            <w:shd w:val="clear" w:color="auto" w:fill="auto"/>
            <w:noWrap/>
            <w:vAlign w:val="bottom"/>
            <w:hideMark/>
          </w:tcPr>
          <w:p w14:paraId="7569834E" w14:textId="77777777" w:rsidR="00BA0D82" w:rsidRPr="0005691D" w:rsidRDefault="00BA0D82" w:rsidP="00BA0D82">
            <w:pPr>
              <w:pStyle w:val="Heading2"/>
              <w:numPr>
                <w:ilvl w:val="0"/>
                <w:numId w:val="0"/>
              </w:numPr>
              <w:rPr>
                <w:rFonts w:eastAsia="Times New Roman"/>
              </w:rPr>
            </w:pPr>
            <w:bookmarkStart w:id="269" w:name="_Toc27143224"/>
            <w:bookmarkStart w:id="270" w:name="_Toc28011523"/>
            <w:r w:rsidRPr="0005691D">
              <w:rPr>
                <w:rFonts w:eastAsia="Times New Roman"/>
              </w:rPr>
              <w:t>Utah Combined</w:t>
            </w:r>
            <w:bookmarkEnd w:id="269"/>
            <w:bookmarkEnd w:id="270"/>
          </w:p>
        </w:tc>
      </w:tr>
      <w:tr w:rsidR="00BA0D82" w:rsidRPr="0005691D" w14:paraId="7E9A8CB6" w14:textId="77777777" w:rsidTr="00BC793A">
        <w:trPr>
          <w:trHeight w:val="1305"/>
        </w:trPr>
        <w:tc>
          <w:tcPr>
            <w:tcW w:w="2506" w:type="dxa"/>
            <w:tcBorders>
              <w:top w:val="nil"/>
              <w:left w:val="single" w:sz="4" w:space="0" w:color="auto"/>
              <w:bottom w:val="single" w:sz="4" w:space="0" w:color="auto"/>
              <w:right w:val="single" w:sz="4" w:space="0" w:color="auto"/>
            </w:tcBorders>
            <w:shd w:val="clear" w:color="000000" w:fill="B4C6E7"/>
            <w:vAlign w:val="bottom"/>
            <w:hideMark/>
          </w:tcPr>
          <w:p w14:paraId="70832265" w14:textId="77777777" w:rsidR="00BA0D82" w:rsidRPr="0005691D" w:rsidRDefault="00BA0D82" w:rsidP="001A5653">
            <w:pPr>
              <w:spacing w:after="0" w:line="240" w:lineRule="auto"/>
              <w:jc w:val="right"/>
              <w:rPr>
                <w:rFonts w:ascii="Calibri" w:eastAsia="Times New Roman" w:hAnsi="Calibri" w:cs="Calibri"/>
                <w:b/>
                <w:bCs/>
                <w:color w:val="000000"/>
                <w:szCs w:val="28"/>
              </w:rPr>
            </w:pPr>
            <w:r w:rsidRPr="0005691D">
              <w:rPr>
                <w:rFonts w:ascii="Calibri" w:eastAsia="Times New Roman" w:hAnsi="Calibri" w:cs="Calibri"/>
                <w:b/>
                <w:bCs/>
                <w:color w:val="000000"/>
                <w:szCs w:val="28"/>
              </w:rPr>
              <w:t>Area</w:t>
            </w:r>
          </w:p>
        </w:tc>
        <w:tc>
          <w:tcPr>
            <w:tcW w:w="1165" w:type="dxa"/>
            <w:tcBorders>
              <w:top w:val="nil"/>
              <w:left w:val="nil"/>
              <w:bottom w:val="single" w:sz="4" w:space="0" w:color="auto"/>
              <w:right w:val="single" w:sz="4" w:space="0" w:color="auto"/>
            </w:tcBorders>
            <w:shd w:val="clear" w:color="000000" w:fill="B4C6E7"/>
            <w:vAlign w:val="bottom"/>
            <w:hideMark/>
          </w:tcPr>
          <w:p w14:paraId="71CB7D31"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of Total Activities</w:t>
            </w:r>
          </w:p>
        </w:tc>
        <w:tc>
          <w:tcPr>
            <w:tcW w:w="1254" w:type="dxa"/>
            <w:tcBorders>
              <w:top w:val="nil"/>
              <w:left w:val="nil"/>
              <w:bottom w:val="single" w:sz="4" w:space="0" w:color="auto"/>
              <w:right w:val="single" w:sz="4" w:space="0" w:color="auto"/>
            </w:tcBorders>
            <w:shd w:val="clear" w:color="000000" w:fill="B4C6E7"/>
            <w:vAlign w:val="bottom"/>
            <w:hideMark/>
          </w:tcPr>
          <w:p w14:paraId="268EAE6C"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Average Progress on Activities (%)</w:t>
            </w:r>
          </w:p>
        </w:tc>
        <w:tc>
          <w:tcPr>
            <w:tcW w:w="897" w:type="dxa"/>
            <w:tcBorders>
              <w:top w:val="nil"/>
              <w:left w:val="nil"/>
              <w:bottom w:val="single" w:sz="4" w:space="0" w:color="auto"/>
              <w:right w:val="single" w:sz="4" w:space="0" w:color="auto"/>
            </w:tcBorders>
            <w:shd w:val="clear" w:color="000000" w:fill="B4C6E7"/>
            <w:vAlign w:val="bottom"/>
            <w:hideMark/>
          </w:tcPr>
          <w:p w14:paraId="4AC6352F"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Outputs</w:t>
            </w:r>
          </w:p>
        </w:tc>
        <w:tc>
          <w:tcPr>
            <w:tcW w:w="897" w:type="dxa"/>
            <w:tcBorders>
              <w:top w:val="nil"/>
              <w:left w:val="nil"/>
              <w:bottom w:val="single" w:sz="4" w:space="0" w:color="auto"/>
              <w:right w:val="single" w:sz="4" w:space="0" w:color="auto"/>
            </w:tcBorders>
            <w:shd w:val="clear" w:color="000000" w:fill="B4C6E7"/>
            <w:vAlign w:val="bottom"/>
            <w:hideMark/>
          </w:tcPr>
          <w:p w14:paraId="30F31EA5"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Outputs Met</w:t>
            </w:r>
          </w:p>
        </w:tc>
        <w:tc>
          <w:tcPr>
            <w:tcW w:w="892" w:type="dxa"/>
            <w:tcBorders>
              <w:top w:val="nil"/>
              <w:left w:val="nil"/>
              <w:bottom w:val="single" w:sz="4" w:space="0" w:color="auto"/>
              <w:right w:val="single" w:sz="4" w:space="0" w:color="auto"/>
            </w:tcBorders>
            <w:shd w:val="clear" w:color="000000" w:fill="B4C6E7"/>
            <w:vAlign w:val="bottom"/>
            <w:hideMark/>
          </w:tcPr>
          <w:p w14:paraId="79EB8039"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Outputs Met</w:t>
            </w:r>
          </w:p>
        </w:tc>
        <w:tc>
          <w:tcPr>
            <w:tcW w:w="1063" w:type="dxa"/>
            <w:tcBorders>
              <w:top w:val="nil"/>
              <w:left w:val="nil"/>
              <w:bottom w:val="single" w:sz="4" w:space="0" w:color="auto"/>
              <w:right w:val="single" w:sz="4" w:space="0" w:color="auto"/>
            </w:tcBorders>
            <w:shd w:val="clear" w:color="000000" w:fill="B4C6E7"/>
            <w:vAlign w:val="bottom"/>
            <w:hideMark/>
          </w:tcPr>
          <w:p w14:paraId="5AA2F434"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Short-Term Outcomes</w:t>
            </w:r>
          </w:p>
        </w:tc>
        <w:tc>
          <w:tcPr>
            <w:tcW w:w="1063" w:type="dxa"/>
            <w:tcBorders>
              <w:top w:val="nil"/>
              <w:left w:val="nil"/>
              <w:bottom w:val="single" w:sz="4" w:space="0" w:color="auto"/>
              <w:right w:val="single" w:sz="4" w:space="0" w:color="auto"/>
            </w:tcBorders>
            <w:shd w:val="clear" w:color="000000" w:fill="B4C6E7"/>
            <w:vAlign w:val="bottom"/>
            <w:hideMark/>
          </w:tcPr>
          <w:p w14:paraId="387F6581"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Short-Term Outcomes Met</w:t>
            </w:r>
          </w:p>
        </w:tc>
        <w:tc>
          <w:tcPr>
            <w:tcW w:w="1063" w:type="dxa"/>
            <w:tcBorders>
              <w:top w:val="nil"/>
              <w:left w:val="nil"/>
              <w:bottom w:val="single" w:sz="4" w:space="0" w:color="auto"/>
              <w:right w:val="single" w:sz="4" w:space="0" w:color="auto"/>
            </w:tcBorders>
            <w:shd w:val="clear" w:color="000000" w:fill="B4C6E7"/>
            <w:vAlign w:val="bottom"/>
            <w:hideMark/>
          </w:tcPr>
          <w:p w14:paraId="0A65CDF3"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%Short-Term Outcomes Achieved</w:t>
            </w:r>
          </w:p>
        </w:tc>
      </w:tr>
      <w:tr w:rsidR="00BA0D82" w:rsidRPr="0005691D" w14:paraId="7BDE9C0B" w14:textId="77777777" w:rsidTr="00BC793A">
        <w:trPr>
          <w:trHeight w:val="300"/>
        </w:trPr>
        <w:tc>
          <w:tcPr>
            <w:tcW w:w="2506" w:type="dxa"/>
            <w:tcBorders>
              <w:top w:val="nil"/>
              <w:left w:val="single" w:sz="4" w:space="0" w:color="auto"/>
              <w:bottom w:val="single" w:sz="4" w:space="0" w:color="auto"/>
              <w:right w:val="single" w:sz="4" w:space="0" w:color="auto"/>
            </w:tcBorders>
            <w:shd w:val="clear" w:color="000000" w:fill="B4C6E7"/>
            <w:noWrap/>
            <w:vAlign w:val="center"/>
            <w:hideMark/>
          </w:tcPr>
          <w:p w14:paraId="0A150D1E" w14:textId="77777777" w:rsidR="00BA0D82" w:rsidRPr="0005691D" w:rsidRDefault="00BA0D82" w:rsidP="001A5653">
            <w:pPr>
              <w:spacing w:after="0" w:line="240" w:lineRule="auto"/>
              <w:jc w:val="right"/>
              <w:rPr>
                <w:rFonts w:ascii="Calibri" w:eastAsia="Times New Roman" w:hAnsi="Calibri" w:cs="Calibri"/>
                <w:b/>
                <w:bCs/>
                <w:color w:val="000000"/>
              </w:rPr>
            </w:pPr>
            <w:r w:rsidRPr="0005691D">
              <w:rPr>
                <w:rFonts w:ascii="Calibri" w:eastAsia="Times New Roman" w:hAnsi="Calibri" w:cs="Calibri"/>
                <w:b/>
                <w:bCs/>
                <w:color w:val="000000"/>
              </w:rPr>
              <w:t>Pre-ETS</w:t>
            </w:r>
          </w:p>
        </w:tc>
        <w:tc>
          <w:tcPr>
            <w:tcW w:w="1165" w:type="dxa"/>
            <w:tcBorders>
              <w:top w:val="nil"/>
              <w:left w:val="nil"/>
              <w:bottom w:val="single" w:sz="4" w:space="0" w:color="auto"/>
              <w:right w:val="single" w:sz="4" w:space="0" w:color="auto"/>
            </w:tcBorders>
            <w:shd w:val="clear" w:color="000000" w:fill="FFFFFF"/>
            <w:noWrap/>
            <w:vAlign w:val="center"/>
            <w:hideMark/>
          </w:tcPr>
          <w:p w14:paraId="64A4FA0F"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8</w:t>
            </w:r>
          </w:p>
        </w:tc>
        <w:tc>
          <w:tcPr>
            <w:tcW w:w="1254" w:type="dxa"/>
            <w:tcBorders>
              <w:top w:val="nil"/>
              <w:left w:val="nil"/>
              <w:bottom w:val="single" w:sz="4" w:space="0" w:color="auto"/>
              <w:right w:val="single" w:sz="4" w:space="0" w:color="auto"/>
            </w:tcBorders>
            <w:shd w:val="clear" w:color="000000" w:fill="FFFFFF"/>
            <w:noWrap/>
            <w:vAlign w:val="center"/>
            <w:hideMark/>
          </w:tcPr>
          <w:p w14:paraId="2819FA33"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59%</w:t>
            </w:r>
          </w:p>
        </w:tc>
        <w:tc>
          <w:tcPr>
            <w:tcW w:w="897" w:type="dxa"/>
            <w:tcBorders>
              <w:top w:val="nil"/>
              <w:left w:val="nil"/>
              <w:bottom w:val="single" w:sz="4" w:space="0" w:color="auto"/>
              <w:right w:val="single" w:sz="4" w:space="0" w:color="auto"/>
            </w:tcBorders>
            <w:shd w:val="clear" w:color="000000" w:fill="FFFFFF"/>
            <w:noWrap/>
            <w:vAlign w:val="center"/>
            <w:hideMark/>
          </w:tcPr>
          <w:p w14:paraId="07A04DD3"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8</w:t>
            </w:r>
          </w:p>
        </w:tc>
        <w:tc>
          <w:tcPr>
            <w:tcW w:w="897" w:type="dxa"/>
            <w:tcBorders>
              <w:top w:val="nil"/>
              <w:left w:val="nil"/>
              <w:bottom w:val="single" w:sz="4" w:space="0" w:color="auto"/>
              <w:right w:val="single" w:sz="4" w:space="0" w:color="auto"/>
            </w:tcBorders>
            <w:shd w:val="clear" w:color="000000" w:fill="FFFFFF"/>
            <w:noWrap/>
            <w:vAlign w:val="center"/>
            <w:hideMark/>
          </w:tcPr>
          <w:p w14:paraId="2BD63C38"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4</w:t>
            </w:r>
          </w:p>
        </w:tc>
        <w:tc>
          <w:tcPr>
            <w:tcW w:w="892" w:type="dxa"/>
            <w:tcBorders>
              <w:top w:val="nil"/>
              <w:left w:val="nil"/>
              <w:bottom w:val="single" w:sz="4" w:space="0" w:color="auto"/>
              <w:right w:val="single" w:sz="4" w:space="0" w:color="auto"/>
            </w:tcBorders>
            <w:shd w:val="clear" w:color="000000" w:fill="FFFFFF"/>
            <w:noWrap/>
            <w:vAlign w:val="center"/>
            <w:hideMark/>
          </w:tcPr>
          <w:p w14:paraId="54D0FC65"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50%</w:t>
            </w:r>
          </w:p>
        </w:tc>
        <w:tc>
          <w:tcPr>
            <w:tcW w:w="1063" w:type="dxa"/>
            <w:tcBorders>
              <w:top w:val="nil"/>
              <w:left w:val="nil"/>
              <w:bottom w:val="single" w:sz="4" w:space="0" w:color="auto"/>
              <w:right w:val="single" w:sz="4" w:space="0" w:color="auto"/>
            </w:tcBorders>
            <w:shd w:val="clear" w:color="000000" w:fill="FFFFFF"/>
            <w:noWrap/>
            <w:vAlign w:val="center"/>
            <w:hideMark/>
          </w:tcPr>
          <w:p w14:paraId="706F968A"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4</w:t>
            </w:r>
          </w:p>
        </w:tc>
        <w:tc>
          <w:tcPr>
            <w:tcW w:w="1063" w:type="dxa"/>
            <w:tcBorders>
              <w:top w:val="nil"/>
              <w:left w:val="nil"/>
              <w:bottom w:val="single" w:sz="4" w:space="0" w:color="auto"/>
              <w:right w:val="single" w:sz="4" w:space="0" w:color="auto"/>
            </w:tcBorders>
            <w:shd w:val="clear" w:color="000000" w:fill="FFFFFF"/>
            <w:noWrap/>
            <w:vAlign w:val="center"/>
            <w:hideMark/>
          </w:tcPr>
          <w:p w14:paraId="03EF22E6"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2</w:t>
            </w:r>
          </w:p>
        </w:tc>
        <w:tc>
          <w:tcPr>
            <w:tcW w:w="1063" w:type="dxa"/>
            <w:tcBorders>
              <w:top w:val="nil"/>
              <w:left w:val="nil"/>
              <w:bottom w:val="single" w:sz="4" w:space="0" w:color="auto"/>
              <w:right w:val="single" w:sz="4" w:space="0" w:color="auto"/>
            </w:tcBorders>
            <w:shd w:val="clear" w:color="000000" w:fill="FFFFFF"/>
            <w:noWrap/>
            <w:vAlign w:val="center"/>
            <w:hideMark/>
          </w:tcPr>
          <w:p w14:paraId="081A814A"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50%</w:t>
            </w:r>
          </w:p>
        </w:tc>
      </w:tr>
      <w:tr w:rsidR="00BA0D82" w:rsidRPr="0005691D" w14:paraId="19009022" w14:textId="77777777" w:rsidTr="00BC793A">
        <w:trPr>
          <w:trHeight w:val="300"/>
        </w:trPr>
        <w:tc>
          <w:tcPr>
            <w:tcW w:w="2506" w:type="dxa"/>
            <w:tcBorders>
              <w:top w:val="nil"/>
              <w:left w:val="single" w:sz="4" w:space="0" w:color="auto"/>
              <w:bottom w:val="single" w:sz="4" w:space="0" w:color="auto"/>
              <w:right w:val="single" w:sz="4" w:space="0" w:color="auto"/>
            </w:tcBorders>
            <w:shd w:val="clear" w:color="000000" w:fill="B4C6E7"/>
            <w:noWrap/>
            <w:vAlign w:val="center"/>
            <w:hideMark/>
          </w:tcPr>
          <w:p w14:paraId="261539A0" w14:textId="77777777" w:rsidR="00BA0D82" w:rsidRPr="0005691D" w:rsidRDefault="00BA0D82" w:rsidP="001A5653">
            <w:pPr>
              <w:spacing w:after="0" w:line="240" w:lineRule="auto"/>
              <w:jc w:val="right"/>
              <w:rPr>
                <w:rFonts w:ascii="Calibri" w:eastAsia="Times New Roman" w:hAnsi="Calibri" w:cs="Calibri"/>
                <w:b/>
                <w:bCs/>
                <w:color w:val="000000"/>
              </w:rPr>
            </w:pPr>
            <w:r w:rsidRPr="0005691D">
              <w:rPr>
                <w:rFonts w:ascii="Calibri" w:eastAsia="Times New Roman" w:hAnsi="Calibri" w:cs="Calibri"/>
                <w:b/>
                <w:bCs/>
                <w:color w:val="000000"/>
              </w:rPr>
              <w:t>Common Performance Measures</w:t>
            </w:r>
          </w:p>
        </w:tc>
        <w:tc>
          <w:tcPr>
            <w:tcW w:w="1165" w:type="dxa"/>
            <w:tcBorders>
              <w:top w:val="nil"/>
              <w:left w:val="nil"/>
              <w:bottom w:val="single" w:sz="4" w:space="0" w:color="auto"/>
              <w:right w:val="single" w:sz="4" w:space="0" w:color="auto"/>
            </w:tcBorders>
            <w:shd w:val="clear" w:color="000000" w:fill="FFFFFF"/>
            <w:noWrap/>
            <w:vAlign w:val="center"/>
            <w:hideMark/>
          </w:tcPr>
          <w:p w14:paraId="17506AB2"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6</w:t>
            </w:r>
          </w:p>
        </w:tc>
        <w:tc>
          <w:tcPr>
            <w:tcW w:w="1254" w:type="dxa"/>
            <w:tcBorders>
              <w:top w:val="nil"/>
              <w:left w:val="nil"/>
              <w:bottom w:val="single" w:sz="4" w:space="0" w:color="auto"/>
              <w:right w:val="single" w:sz="4" w:space="0" w:color="auto"/>
            </w:tcBorders>
            <w:shd w:val="clear" w:color="000000" w:fill="FFFFFF"/>
            <w:noWrap/>
            <w:vAlign w:val="center"/>
            <w:hideMark/>
          </w:tcPr>
          <w:p w14:paraId="0319F1A7"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63%</w:t>
            </w:r>
          </w:p>
        </w:tc>
        <w:tc>
          <w:tcPr>
            <w:tcW w:w="897" w:type="dxa"/>
            <w:tcBorders>
              <w:top w:val="nil"/>
              <w:left w:val="nil"/>
              <w:bottom w:val="single" w:sz="4" w:space="0" w:color="auto"/>
              <w:right w:val="single" w:sz="4" w:space="0" w:color="auto"/>
            </w:tcBorders>
            <w:shd w:val="clear" w:color="000000" w:fill="FFFFFF"/>
            <w:noWrap/>
            <w:vAlign w:val="center"/>
            <w:hideMark/>
          </w:tcPr>
          <w:p w14:paraId="155855FC"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6</w:t>
            </w:r>
          </w:p>
        </w:tc>
        <w:tc>
          <w:tcPr>
            <w:tcW w:w="897" w:type="dxa"/>
            <w:tcBorders>
              <w:top w:val="nil"/>
              <w:left w:val="nil"/>
              <w:bottom w:val="single" w:sz="4" w:space="0" w:color="auto"/>
              <w:right w:val="single" w:sz="4" w:space="0" w:color="auto"/>
            </w:tcBorders>
            <w:shd w:val="clear" w:color="000000" w:fill="FFFFFF"/>
            <w:noWrap/>
            <w:vAlign w:val="center"/>
            <w:hideMark/>
          </w:tcPr>
          <w:p w14:paraId="78E74E82"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2</w:t>
            </w:r>
          </w:p>
        </w:tc>
        <w:tc>
          <w:tcPr>
            <w:tcW w:w="892" w:type="dxa"/>
            <w:tcBorders>
              <w:top w:val="nil"/>
              <w:left w:val="nil"/>
              <w:bottom w:val="single" w:sz="4" w:space="0" w:color="auto"/>
              <w:right w:val="single" w:sz="4" w:space="0" w:color="auto"/>
            </w:tcBorders>
            <w:shd w:val="clear" w:color="000000" w:fill="FFFFFF"/>
            <w:noWrap/>
            <w:vAlign w:val="center"/>
            <w:hideMark/>
          </w:tcPr>
          <w:p w14:paraId="5CBBB747"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33%</w:t>
            </w:r>
          </w:p>
        </w:tc>
        <w:tc>
          <w:tcPr>
            <w:tcW w:w="1063" w:type="dxa"/>
            <w:tcBorders>
              <w:top w:val="nil"/>
              <w:left w:val="nil"/>
              <w:bottom w:val="single" w:sz="4" w:space="0" w:color="auto"/>
              <w:right w:val="single" w:sz="4" w:space="0" w:color="auto"/>
            </w:tcBorders>
            <w:shd w:val="clear" w:color="000000" w:fill="FFFFFF"/>
            <w:noWrap/>
            <w:vAlign w:val="center"/>
            <w:hideMark/>
          </w:tcPr>
          <w:p w14:paraId="287307EB"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2</w:t>
            </w:r>
          </w:p>
        </w:tc>
        <w:tc>
          <w:tcPr>
            <w:tcW w:w="1063" w:type="dxa"/>
            <w:tcBorders>
              <w:top w:val="nil"/>
              <w:left w:val="nil"/>
              <w:bottom w:val="single" w:sz="4" w:space="0" w:color="auto"/>
              <w:right w:val="single" w:sz="4" w:space="0" w:color="auto"/>
            </w:tcBorders>
            <w:shd w:val="clear" w:color="000000" w:fill="FFFFFF"/>
            <w:noWrap/>
            <w:vAlign w:val="center"/>
            <w:hideMark/>
          </w:tcPr>
          <w:p w14:paraId="60039624"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2</w:t>
            </w:r>
          </w:p>
        </w:tc>
        <w:tc>
          <w:tcPr>
            <w:tcW w:w="1063" w:type="dxa"/>
            <w:tcBorders>
              <w:top w:val="nil"/>
              <w:left w:val="nil"/>
              <w:bottom w:val="single" w:sz="4" w:space="0" w:color="auto"/>
              <w:right w:val="single" w:sz="4" w:space="0" w:color="auto"/>
            </w:tcBorders>
            <w:shd w:val="clear" w:color="000000" w:fill="FFFFFF"/>
            <w:noWrap/>
            <w:vAlign w:val="center"/>
            <w:hideMark/>
          </w:tcPr>
          <w:p w14:paraId="04A3BFC5"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100%</w:t>
            </w:r>
          </w:p>
        </w:tc>
      </w:tr>
      <w:tr w:rsidR="00BA0D82" w:rsidRPr="0005691D" w14:paraId="4AEBDE43" w14:textId="77777777" w:rsidTr="00BC793A">
        <w:trPr>
          <w:trHeight w:val="300"/>
        </w:trPr>
        <w:tc>
          <w:tcPr>
            <w:tcW w:w="2506" w:type="dxa"/>
            <w:tcBorders>
              <w:top w:val="nil"/>
              <w:left w:val="single" w:sz="4" w:space="0" w:color="auto"/>
              <w:bottom w:val="single" w:sz="4" w:space="0" w:color="auto"/>
              <w:right w:val="single" w:sz="4" w:space="0" w:color="auto"/>
            </w:tcBorders>
            <w:shd w:val="clear" w:color="000000" w:fill="B4C6E7"/>
            <w:noWrap/>
            <w:vAlign w:val="center"/>
            <w:hideMark/>
          </w:tcPr>
          <w:p w14:paraId="45A6183B" w14:textId="77777777" w:rsidR="00BA0D82" w:rsidRPr="0005691D" w:rsidRDefault="00BA0D82" w:rsidP="001A5653">
            <w:pPr>
              <w:spacing w:after="0" w:line="240" w:lineRule="auto"/>
              <w:jc w:val="right"/>
              <w:rPr>
                <w:rFonts w:ascii="Calibri" w:eastAsia="Times New Roman" w:hAnsi="Calibri" w:cs="Calibri"/>
                <w:b/>
                <w:bCs/>
                <w:color w:val="000000"/>
              </w:rPr>
            </w:pPr>
            <w:r w:rsidRPr="0005691D">
              <w:rPr>
                <w:rFonts w:ascii="Calibri" w:eastAsia="Times New Roman" w:hAnsi="Calibri" w:cs="Calibri"/>
                <w:b/>
                <w:bCs/>
                <w:color w:val="000000"/>
              </w:rPr>
              <w:t>Supported Employment</w:t>
            </w:r>
          </w:p>
        </w:tc>
        <w:tc>
          <w:tcPr>
            <w:tcW w:w="1165" w:type="dxa"/>
            <w:tcBorders>
              <w:top w:val="nil"/>
              <w:left w:val="nil"/>
              <w:bottom w:val="single" w:sz="4" w:space="0" w:color="auto"/>
              <w:right w:val="single" w:sz="4" w:space="0" w:color="auto"/>
            </w:tcBorders>
            <w:shd w:val="clear" w:color="000000" w:fill="FFFFFF"/>
            <w:noWrap/>
            <w:vAlign w:val="center"/>
            <w:hideMark/>
          </w:tcPr>
          <w:p w14:paraId="0FFC6BE6"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w:t>
            </w:r>
          </w:p>
        </w:tc>
        <w:tc>
          <w:tcPr>
            <w:tcW w:w="1254" w:type="dxa"/>
            <w:tcBorders>
              <w:top w:val="nil"/>
              <w:left w:val="nil"/>
              <w:bottom w:val="single" w:sz="4" w:space="0" w:color="auto"/>
              <w:right w:val="single" w:sz="4" w:space="0" w:color="auto"/>
            </w:tcBorders>
            <w:shd w:val="clear" w:color="000000" w:fill="FFFFFF"/>
            <w:noWrap/>
            <w:vAlign w:val="center"/>
            <w:hideMark/>
          </w:tcPr>
          <w:p w14:paraId="61C40F93"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75%</w:t>
            </w:r>
          </w:p>
        </w:tc>
        <w:tc>
          <w:tcPr>
            <w:tcW w:w="897" w:type="dxa"/>
            <w:tcBorders>
              <w:top w:val="nil"/>
              <w:left w:val="nil"/>
              <w:bottom w:val="single" w:sz="4" w:space="0" w:color="auto"/>
              <w:right w:val="single" w:sz="4" w:space="0" w:color="auto"/>
            </w:tcBorders>
            <w:shd w:val="clear" w:color="000000" w:fill="FFFFFF"/>
            <w:noWrap/>
            <w:vAlign w:val="center"/>
            <w:hideMark/>
          </w:tcPr>
          <w:p w14:paraId="39965D02"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w:t>
            </w:r>
          </w:p>
        </w:tc>
        <w:tc>
          <w:tcPr>
            <w:tcW w:w="897" w:type="dxa"/>
            <w:tcBorders>
              <w:top w:val="nil"/>
              <w:left w:val="nil"/>
              <w:bottom w:val="single" w:sz="4" w:space="0" w:color="auto"/>
              <w:right w:val="single" w:sz="4" w:space="0" w:color="auto"/>
            </w:tcBorders>
            <w:shd w:val="clear" w:color="000000" w:fill="FFFFFF"/>
            <w:noWrap/>
            <w:vAlign w:val="center"/>
            <w:hideMark/>
          </w:tcPr>
          <w:p w14:paraId="587AF110"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0</w:t>
            </w:r>
          </w:p>
        </w:tc>
        <w:tc>
          <w:tcPr>
            <w:tcW w:w="892" w:type="dxa"/>
            <w:tcBorders>
              <w:top w:val="nil"/>
              <w:left w:val="nil"/>
              <w:bottom w:val="single" w:sz="4" w:space="0" w:color="auto"/>
              <w:right w:val="single" w:sz="4" w:space="0" w:color="auto"/>
            </w:tcBorders>
            <w:shd w:val="clear" w:color="000000" w:fill="FFFFFF"/>
            <w:noWrap/>
            <w:vAlign w:val="center"/>
            <w:hideMark/>
          </w:tcPr>
          <w:p w14:paraId="7F7EDCC2"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0%</w:t>
            </w:r>
          </w:p>
        </w:tc>
        <w:tc>
          <w:tcPr>
            <w:tcW w:w="1063" w:type="dxa"/>
            <w:tcBorders>
              <w:top w:val="nil"/>
              <w:left w:val="nil"/>
              <w:bottom w:val="single" w:sz="4" w:space="0" w:color="auto"/>
              <w:right w:val="single" w:sz="4" w:space="0" w:color="auto"/>
            </w:tcBorders>
            <w:shd w:val="clear" w:color="000000" w:fill="FFFFFF"/>
            <w:noWrap/>
            <w:vAlign w:val="center"/>
            <w:hideMark/>
          </w:tcPr>
          <w:p w14:paraId="40E7F889"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w:t>
            </w:r>
          </w:p>
        </w:tc>
        <w:tc>
          <w:tcPr>
            <w:tcW w:w="1063" w:type="dxa"/>
            <w:tcBorders>
              <w:top w:val="nil"/>
              <w:left w:val="nil"/>
              <w:bottom w:val="single" w:sz="4" w:space="0" w:color="auto"/>
              <w:right w:val="single" w:sz="4" w:space="0" w:color="auto"/>
            </w:tcBorders>
            <w:shd w:val="clear" w:color="000000" w:fill="FFFFFF"/>
            <w:noWrap/>
            <w:vAlign w:val="center"/>
            <w:hideMark/>
          </w:tcPr>
          <w:p w14:paraId="1E367591"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0</w:t>
            </w:r>
          </w:p>
        </w:tc>
        <w:tc>
          <w:tcPr>
            <w:tcW w:w="1063" w:type="dxa"/>
            <w:tcBorders>
              <w:top w:val="nil"/>
              <w:left w:val="nil"/>
              <w:bottom w:val="single" w:sz="4" w:space="0" w:color="auto"/>
              <w:right w:val="single" w:sz="4" w:space="0" w:color="auto"/>
            </w:tcBorders>
            <w:shd w:val="clear" w:color="000000" w:fill="FFFFFF"/>
            <w:noWrap/>
            <w:vAlign w:val="center"/>
            <w:hideMark/>
          </w:tcPr>
          <w:p w14:paraId="2A48EE54"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0%</w:t>
            </w:r>
          </w:p>
        </w:tc>
      </w:tr>
      <w:tr w:rsidR="00BA0D82" w:rsidRPr="0005691D" w14:paraId="4C6B9A7F" w14:textId="77777777" w:rsidTr="00BC793A">
        <w:trPr>
          <w:trHeight w:val="300"/>
        </w:trPr>
        <w:tc>
          <w:tcPr>
            <w:tcW w:w="2506" w:type="dxa"/>
            <w:tcBorders>
              <w:top w:val="nil"/>
              <w:left w:val="nil"/>
              <w:bottom w:val="nil"/>
              <w:right w:val="nil"/>
            </w:tcBorders>
            <w:shd w:val="clear" w:color="auto" w:fill="auto"/>
            <w:noWrap/>
            <w:vAlign w:val="bottom"/>
            <w:hideMark/>
          </w:tcPr>
          <w:p w14:paraId="55BA90B2" w14:textId="77777777" w:rsidR="00BA0D82" w:rsidRPr="0005691D" w:rsidRDefault="00BA0D82" w:rsidP="001A5653">
            <w:pPr>
              <w:spacing w:after="0" w:line="240" w:lineRule="auto"/>
              <w:jc w:val="center"/>
              <w:rPr>
                <w:rFonts w:ascii="Calibri" w:eastAsia="Times New Roman" w:hAnsi="Calibri" w:cs="Calibri"/>
                <w:color w:val="000000"/>
              </w:rPr>
            </w:pPr>
          </w:p>
        </w:tc>
        <w:tc>
          <w:tcPr>
            <w:tcW w:w="1165" w:type="dxa"/>
            <w:tcBorders>
              <w:top w:val="nil"/>
              <w:left w:val="nil"/>
              <w:bottom w:val="nil"/>
              <w:right w:val="nil"/>
            </w:tcBorders>
            <w:shd w:val="clear" w:color="auto" w:fill="auto"/>
            <w:noWrap/>
            <w:vAlign w:val="center"/>
            <w:hideMark/>
          </w:tcPr>
          <w:p w14:paraId="714DED21" w14:textId="77777777" w:rsidR="00BA0D82" w:rsidRPr="0005691D" w:rsidRDefault="00BA0D82" w:rsidP="001A5653">
            <w:pPr>
              <w:spacing w:after="0" w:line="240" w:lineRule="auto"/>
              <w:rPr>
                <w:rFonts w:ascii="Times New Roman" w:eastAsia="Times New Roman" w:hAnsi="Times New Roman" w:cs="Times New Roman"/>
                <w:sz w:val="20"/>
                <w:szCs w:val="20"/>
              </w:rPr>
            </w:pPr>
          </w:p>
        </w:tc>
        <w:tc>
          <w:tcPr>
            <w:tcW w:w="1254" w:type="dxa"/>
            <w:tcBorders>
              <w:top w:val="nil"/>
              <w:left w:val="nil"/>
              <w:bottom w:val="nil"/>
              <w:right w:val="nil"/>
            </w:tcBorders>
            <w:shd w:val="clear" w:color="auto" w:fill="auto"/>
            <w:noWrap/>
            <w:vAlign w:val="center"/>
            <w:hideMark/>
          </w:tcPr>
          <w:p w14:paraId="558EFD7A"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c>
          <w:tcPr>
            <w:tcW w:w="897" w:type="dxa"/>
            <w:tcBorders>
              <w:top w:val="nil"/>
              <w:left w:val="nil"/>
              <w:bottom w:val="nil"/>
              <w:right w:val="nil"/>
            </w:tcBorders>
            <w:shd w:val="clear" w:color="auto" w:fill="auto"/>
            <w:noWrap/>
            <w:vAlign w:val="center"/>
            <w:hideMark/>
          </w:tcPr>
          <w:p w14:paraId="699F2023"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c>
          <w:tcPr>
            <w:tcW w:w="897" w:type="dxa"/>
            <w:tcBorders>
              <w:top w:val="nil"/>
              <w:left w:val="nil"/>
              <w:bottom w:val="nil"/>
              <w:right w:val="nil"/>
            </w:tcBorders>
            <w:shd w:val="clear" w:color="auto" w:fill="auto"/>
            <w:noWrap/>
            <w:vAlign w:val="center"/>
            <w:hideMark/>
          </w:tcPr>
          <w:p w14:paraId="18A0D15C"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c>
          <w:tcPr>
            <w:tcW w:w="892" w:type="dxa"/>
            <w:tcBorders>
              <w:top w:val="nil"/>
              <w:left w:val="nil"/>
              <w:bottom w:val="nil"/>
              <w:right w:val="nil"/>
            </w:tcBorders>
            <w:shd w:val="clear" w:color="auto" w:fill="auto"/>
            <w:noWrap/>
            <w:vAlign w:val="center"/>
            <w:hideMark/>
          </w:tcPr>
          <w:p w14:paraId="6C8C6673"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c>
          <w:tcPr>
            <w:tcW w:w="1063" w:type="dxa"/>
            <w:tcBorders>
              <w:top w:val="nil"/>
              <w:left w:val="nil"/>
              <w:bottom w:val="nil"/>
              <w:right w:val="nil"/>
            </w:tcBorders>
            <w:shd w:val="clear" w:color="auto" w:fill="auto"/>
            <w:noWrap/>
            <w:vAlign w:val="center"/>
            <w:hideMark/>
          </w:tcPr>
          <w:p w14:paraId="6143342C"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c>
          <w:tcPr>
            <w:tcW w:w="1063" w:type="dxa"/>
            <w:tcBorders>
              <w:top w:val="nil"/>
              <w:left w:val="nil"/>
              <w:bottom w:val="nil"/>
              <w:right w:val="nil"/>
            </w:tcBorders>
            <w:shd w:val="clear" w:color="auto" w:fill="auto"/>
            <w:noWrap/>
            <w:vAlign w:val="center"/>
            <w:hideMark/>
          </w:tcPr>
          <w:p w14:paraId="6A35797D"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c>
          <w:tcPr>
            <w:tcW w:w="1063" w:type="dxa"/>
            <w:tcBorders>
              <w:top w:val="nil"/>
              <w:left w:val="nil"/>
              <w:bottom w:val="nil"/>
              <w:right w:val="nil"/>
            </w:tcBorders>
            <w:shd w:val="clear" w:color="auto" w:fill="auto"/>
            <w:noWrap/>
            <w:vAlign w:val="center"/>
            <w:hideMark/>
          </w:tcPr>
          <w:p w14:paraId="208293C4"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r>
      <w:tr w:rsidR="00BA0D82" w:rsidRPr="0005691D" w14:paraId="0A57B89B" w14:textId="77777777" w:rsidTr="00BC793A">
        <w:trPr>
          <w:trHeight w:val="465"/>
        </w:trPr>
        <w:tc>
          <w:tcPr>
            <w:tcW w:w="10800" w:type="dxa"/>
            <w:gridSpan w:val="9"/>
            <w:tcBorders>
              <w:top w:val="single" w:sz="4" w:space="0" w:color="auto"/>
              <w:left w:val="nil"/>
              <w:bottom w:val="single" w:sz="4" w:space="0" w:color="auto"/>
              <w:right w:val="nil"/>
            </w:tcBorders>
            <w:shd w:val="clear" w:color="auto" w:fill="auto"/>
            <w:noWrap/>
            <w:vAlign w:val="bottom"/>
            <w:hideMark/>
          </w:tcPr>
          <w:p w14:paraId="5712E13D" w14:textId="77777777" w:rsidR="00BA0D82" w:rsidRPr="0005691D" w:rsidRDefault="00BA0D82" w:rsidP="00BA0D82">
            <w:pPr>
              <w:pStyle w:val="Heading2"/>
              <w:numPr>
                <w:ilvl w:val="0"/>
                <w:numId w:val="0"/>
              </w:numPr>
              <w:rPr>
                <w:rFonts w:eastAsia="Times New Roman"/>
              </w:rPr>
            </w:pPr>
            <w:bookmarkStart w:id="271" w:name="_Toc27143225"/>
            <w:bookmarkStart w:id="272" w:name="_Toc28011524"/>
            <w:r w:rsidRPr="0005691D">
              <w:rPr>
                <w:rFonts w:eastAsia="Times New Roman"/>
              </w:rPr>
              <w:t>Virgin Islands Combined</w:t>
            </w:r>
            <w:bookmarkEnd w:id="271"/>
            <w:bookmarkEnd w:id="272"/>
          </w:p>
        </w:tc>
      </w:tr>
      <w:tr w:rsidR="00BA0D82" w:rsidRPr="0005691D" w14:paraId="06012DEC" w14:textId="77777777" w:rsidTr="00BC793A">
        <w:trPr>
          <w:trHeight w:val="1305"/>
        </w:trPr>
        <w:tc>
          <w:tcPr>
            <w:tcW w:w="2506" w:type="dxa"/>
            <w:tcBorders>
              <w:top w:val="nil"/>
              <w:left w:val="single" w:sz="4" w:space="0" w:color="auto"/>
              <w:bottom w:val="single" w:sz="4" w:space="0" w:color="auto"/>
              <w:right w:val="single" w:sz="4" w:space="0" w:color="auto"/>
            </w:tcBorders>
            <w:shd w:val="clear" w:color="000000" w:fill="B4C6E7"/>
            <w:vAlign w:val="bottom"/>
            <w:hideMark/>
          </w:tcPr>
          <w:p w14:paraId="6251C4CF" w14:textId="77777777" w:rsidR="00BA0D82" w:rsidRPr="0005691D" w:rsidRDefault="00BA0D82" w:rsidP="001A5653">
            <w:pPr>
              <w:spacing w:after="0" w:line="240" w:lineRule="auto"/>
              <w:jc w:val="right"/>
              <w:rPr>
                <w:rFonts w:ascii="Calibri" w:eastAsia="Times New Roman" w:hAnsi="Calibri" w:cs="Calibri"/>
                <w:b/>
                <w:bCs/>
                <w:color w:val="000000"/>
                <w:szCs w:val="28"/>
              </w:rPr>
            </w:pPr>
            <w:r w:rsidRPr="0005691D">
              <w:rPr>
                <w:rFonts w:ascii="Calibri" w:eastAsia="Times New Roman" w:hAnsi="Calibri" w:cs="Calibri"/>
                <w:b/>
                <w:bCs/>
                <w:color w:val="000000"/>
                <w:szCs w:val="28"/>
              </w:rPr>
              <w:t>Area</w:t>
            </w:r>
          </w:p>
        </w:tc>
        <w:tc>
          <w:tcPr>
            <w:tcW w:w="1165" w:type="dxa"/>
            <w:tcBorders>
              <w:top w:val="nil"/>
              <w:left w:val="nil"/>
              <w:bottom w:val="single" w:sz="4" w:space="0" w:color="auto"/>
              <w:right w:val="single" w:sz="4" w:space="0" w:color="auto"/>
            </w:tcBorders>
            <w:shd w:val="clear" w:color="000000" w:fill="B4C6E7"/>
            <w:vAlign w:val="bottom"/>
            <w:hideMark/>
          </w:tcPr>
          <w:p w14:paraId="75F8235F"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of Total Activities</w:t>
            </w:r>
          </w:p>
        </w:tc>
        <w:tc>
          <w:tcPr>
            <w:tcW w:w="1254" w:type="dxa"/>
            <w:tcBorders>
              <w:top w:val="nil"/>
              <w:left w:val="nil"/>
              <w:bottom w:val="single" w:sz="4" w:space="0" w:color="auto"/>
              <w:right w:val="single" w:sz="4" w:space="0" w:color="auto"/>
            </w:tcBorders>
            <w:shd w:val="clear" w:color="000000" w:fill="B4C6E7"/>
            <w:vAlign w:val="bottom"/>
            <w:hideMark/>
          </w:tcPr>
          <w:p w14:paraId="4B71DC1C"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Average Progress on Activities (%)</w:t>
            </w:r>
          </w:p>
        </w:tc>
        <w:tc>
          <w:tcPr>
            <w:tcW w:w="897" w:type="dxa"/>
            <w:tcBorders>
              <w:top w:val="nil"/>
              <w:left w:val="nil"/>
              <w:bottom w:val="single" w:sz="4" w:space="0" w:color="auto"/>
              <w:right w:val="single" w:sz="4" w:space="0" w:color="auto"/>
            </w:tcBorders>
            <w:shd w:val="clear" w:color="000000" w:fill="B4C6E7"/>
            <w:vAlign w:val="bottom"/>
            <w:hideMark/>
          </w:tcPr>
          <w:p w14:paraId="6A160DE3"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Outputs</w:t>
            </w:r>
          </w:p>
        </w:tc>
        <w:tc>
          <w:tcPr>
            <w:tcW w:w="897" w:type="dxa"/>
            <w:tcBorders>
              <w:top w:val="nil"/>
              <w:left w:val="nil"/>
              <w:bottom w:val="single" w:sz="4" w:space="0" w:color="auto"/>
              <w:right w:val="single" w:sz="4" w:space="0" w:color="auto"/>
            </w:tcBorders>
            <w:shd w:val="clear" w:color="000000" w:fill="B4C6E7"/>
            <w:vAlign w:val="bottom"/>
            <w:hideMark/>
          </w:tcPr>
          <w:p w14:paraId="6B1FB6FF"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Outputs Met</w:t>
            </w:r>
          </w:p>
        </w:tc>
        <w:tc>
          <w:tcPr>
            <w:tcW w:w="892" w:type="dxa"/>
            <w:tcBorders>
              <w:top w:val="nil"/>
              <w:left w:val="nil"/>
              <w:bottom w:val="single" w:sz="4" w:space="0" w:color="auto"/>
              <w:right w:val="single" w:sz="4" w:space="0" w:color="auto"/>
            </w:tcBorders>
            <w:shd w:val="clear" w:color="000000" w:fill="B4C6E7"/>
            <w:vAlign w:val="bottom"/>
            <w:hideMark/>
          </w:tcPr>
          <w:p w14:paraId="3ABC464E"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Outputs Met</w:t>
            </w:r>
          </w:p>
        </w:tc>
        <w:tc>
          <w:tcPr>
            <w:tcW w:w="1063" w:type="dxa"/>
            <w:tcBorders>
              <w:top w:val="nil"/>
              <w:left w:val="nil"/>
              <w:bottom w:val="single" w:sz="4" w:space="0" w:color="auto"/>
              <w:right w:val="single" w:sz="4" w:space="0" w:color="auto"/>
            </w:tcBorders>
            <w:shd w:val="clear" w:color="000000" w:fill="B4C6E7"/>
            <w:vAlign w:val="bottom"/>
            <w:hideMark/>
          </w:tcPr>
          <w:p w14:paraId="63E1E6F1"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Short-Term Outcomes</w:t>
            </w:r>
          </w:p>
        </w:tc>
        <w:tc>
          <w:tcPr>
            <w:tcW w:w="1063" w:type="dxa"/>
            <w:tcBorders>
              <w:top w:val="nil"/>
              <w:left w:val="nil"/>
              <w:bottom w:val="single" w:sz="4" w:space="0" w:color="auto"/>
              <w:right w:val="single" w:sz="4" w:space="0" w:color="auto"/>
            </w:tcBorders>
            <w:shd w:val="clear" w:color="000000" w:fill="B4C6E7"/>
            <w:vAlign w:val="bottom"/>
            <w:hideMark/>
          </w:tcPr>
          <w:p w14:paraId="6C6585C3"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Short-Term Outcomes Met</w:t>
            </w:r>
          </w:p>
        </w:tc>
        <w:tc>
          <w:tcPr>
            <w:tcW w:w="1063" w:type="dxa"/>
            <w:tcBorders>
              <w:top w:val="nil"/>
              <w:left w:val="nil"/>
              <w:bottom w:val="single" w:sz="4" w:space="0" w:color="auto"/>
              <w:right w:val="single" w:sz="4" w:space="0" w:color="auto"/>
            </w:tcBorders>
            <w:shd w:val="clear" w:color="000000" w:fill="B4C6E7"/>
            <w:vAlign w:val="bottom"/>
            <w:hideMark/>
          </w:tcPr>
          <w:p w14:paraId="0DC97E5B"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%Short-Term Outcomes Achieved</w:t>
            </w:r>
          </w:p>
        </w:tc>
      </w:tr>
      <w:tr w:rsidR="00BA0D82" w:rsidRPr="0005691D" w14:paraId="19BCC087" w14:textId="77777777" w:rsidTr="00BC793A">
        <w:trPr>
          <w:trHeight w:val="300"/>
        </w:trPr>
        <w:tc>
          <w:tcPr>
            <w:tcW w:w="2506" w:type="dxa"/>
            <w:tcBorders>
              <w:top w:val="nil"/>
              <w:left w:val="single" w:sz="4" w:space="0" w:color="auto"/>
              <w:bottom w:val="single" w:sz="4" w:space="0" w:color="auto"/>
              <w:right w:val="single" w:sz="4" w:space="0" w:color="auto"/>
            </w:tcBorders>
            <w:shd w:val="clear" w:color="000000" w:fill="B4C6E7"/>
            <w:noWrap/>
            <w:vAlign w:val="center"/>
            <w:hideMark/>
          </w:tcPr>
          <w:p w14:paraId="764B676F" w14:textId="77777777" w:rsidR="00BA0D82" w:rsidRPr="0005691D" w:rsidRDefault="00BA0D82" w:rsidP="001A5653">
            <w:pPr>
              <w:spacing w:after="0" w:line="240" w:lineRule="auto"/>
              <w:jc w:val="right"/>
              <w:rPr>
                <w:rFonts w:ascii="Calibri" w:eastAsia="Times New Roman" w:hAnsi="Calibri" w:cs="Calibri"/>
                <w:b/>
                <w:bCs/>
                <w:color w:val="000000"/>
              </w:rPr>
            </w:pPr>
            <w:r w:rsidRPr="0005691D">
              <w:rPr>
                <w:rFonts w:ascii="Calibri" w:eastAsia="Times New Roman" w:hAnsi="Calibri" w:cs="Calibri"/>
                <w:b/>
                <w:bCs/>
                <w:color w:val="000000"/>
              </w:rPr>
              <w:t>Pre-ETS</w:t>
            </w:r>
          </w:p>
        </w:tc>
        <w:tc>
          <w:tcPr>
            <w:tcW w:w="1165" w:type="dxa"/>
            <w:tcBorders>
              <w:top w:val="nil"/>
              <w:left w:val="nil"/>
              <w:bottom w:val="single" w:sz="4" w:space="0" w:color="auto"/>
              <w:right w:val="single" w:sz="4" w:space="0" w:color="auto"/>
            </w:tcBorders>
            <w:shd w:val="clear" w:color="000000" w:fill="FFFFFF"/>
            <w:noWrap/>
            <w:vAlign w:val="center"/>
            <w:hideMark/>
          </w:tcPr>
          <w:p w14:paraId="45CC1013"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6</w:t>
            </w:r>
          </w:p>
        </w:tc>
        <w:tc>
          <w:tcPr>
            <w:tcW w:w="1254" w:type="dxa"/>
            <w:tcBorders>
              <w:top w:val="nil"/>
              <w:left w:val="nil"/>
              <w:bottom w:val="single" w:sz="4" w:space="0" w:color="auto"/>
              <w:right w:val="single" w:sz="4" w:space="0" w:color="auto"/>
            </w:tcBorders>
            <w:shd w:val="clear" w:color="000000" w:fill="FFFFFF"/>
            <w:noWrap/>
            <w:vAlign w:val="center"/>
            <w:hideMark/>
          </w:tcPr>
          <w:p w14:paraId="40918165"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29%</w:t>
            </w:r>
          </w:p>
        </w:tc>
        <w:tc>
          <w:tcPr>
            <w:tcW w:w="897" w:type="dxa"/>
            <w:tcBorders>
              <w:top w:val="nil"/>
              <w:left w:val="nil"/>
              <w:bottom w:val="single" w:sz="4" w:space="0" w:color="auto"/>
              <w:right w:val="single" w:sz="4" w:space="0" w:color="auto"/>
            </w:tcBorders>
            <w:shd w:val="clear" w:color="000000" w:fill="FFFFFF"/>
            <w:noWrap/>
            <w:vAlign w:val="center"/>
            <w:hideMark/>
          </w:tcPr>
          <w:p w14:paraId="291DC706"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6</w:t>
            </w:r>
          </w:p>
        </w:tc>
        <w:tc>
          <w:tcPr>
            <w:tcW w:w="897" w:type="dxa"/>
            <w:tcBorders>
              <w:top w:val="nil"/>
              <w:left w:val="nil"/>
              <w:bottom w:val="single" w:sz="4" w:space="0" w:color="auto"/>
              <w:right w:val="single" w:sz="4" w:space="0" w:color="auto"/>
            </w:tcBorders>
            <w:shd w:val="clear" w:color="000000" w:fill="FFFFFF"/>
            <w:noWrap/>
            <w:vAlign w:val="center"/>
            <w:hideMark/>
          </w:tcPr>
          <w:p w14:paraId="76690805"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w:t>
            </w:r>
          </w:p>
        </w:tc>
        <w:tc>
          <w:tcPr>
            <w:tcW w:w="892" w:type="dxa"/>
            <w:tcBorders>
              <w:top w:val="nil"/>
              <w:left w:val="nil"/>
              <w:bottom w:val="single" w:sz="4" w:space="0" w:color="auto"/>
              <w:right w:val="single" w:sz="4" w:space="0" w:color="auto"/>
            </w:tcBorders>
            <w:shd w:val="clear" w:color="000000" w:fill="FFFFFF"/>
            <w:noWrap/>
            <w:vAlign w:val="center"/>
            <w:hideMark/>
          </w:tcPr>
          <w:p w14:paraId="366595AA"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17%</w:t>
            </w:r>
          </w:p>
        </w:tc>
        <w:tc>
          <w:tcPr>
            <w:tcW w:w="1063" w:type="dxa"/>
            <w:tcBorders>
              <w:top w:val="nil"/>
              <w:left w:val="nil"/>
              <w:bottom w:val="single" w:sz="4" w:space="0" w:color="auto"/>
              <w:right w:val="single" w:sz="4" w:space="0" w:color="auto"/>
            </w:tcBorders>
            <w:shd w:val="clear" w:color="000000" w:fill="FFFFFF"/>
            <w:noWrap/>
            <w:vAlign w:val="center"/>
            <w:hideMark/>
          </w:tcPr>
          <w:p w14:paraId="722B5952"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3</w:t>
            </w:r>
          </w:p>
        </w:tc>
        <w:tc>
          <w:tcPr>
            <w:tcW w:w="1063" w:type="dxa"/>
            <w:tcBorders>
              <w:top w:val="nil"/>
              <w:left w:val="nil"/>
              <w:bottom w:val="single" w:sz="4" w:space="0" w:color="auto"/>
              <w:right w:val="single" w:sz="4" w:space="0" w:color="auto"/>
            </w:tcBorders>
            <w:shd w:val="clear" w:color="000000" w:fill="FFFFFF"/>
            <w:noWrap/>
            <w:vAlign w:val="center"/>
            <w:hideMark/>
          </w:tcPr>
          <w:p w14:paraId="040E9255"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0</w:t>
            </w:r>
          </w:p>
        </w:tc>
        <w:tc>
          <w:tcPr>
            <w:tcW w:w="1063" w:type="dxa"/>
            <w:tcBorders>
              <w:top w:val="nil"/>
              <w:left w:val="nil"/>
              <w:bottom w:val="single" w:sz="4" w:space="0" w:color="auto"/>
              <w:right w:val="single" w:sz="4" w:space="0" w:color="auto"/>
            </w:tcBorders>
            <w:shd w:val="clear" w:color="000000" w:fill="FFFFFF"/>
            <w:noWrap/>
            <w:vAlign w:val="center"/>
            <w:hideMark/>
          </w:tcPr>
          <w:p w14:paraId="3E107DF4"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0%</w:t>
            </w:r>
          </w:p>
        </w:tc>
      </w:tr>
      <w:tr w:rsidR="00BA0D82" w:rsidRPr="0005691D" w14:paraId="68229279" w14:textId="77777777" w:rsidTr="00BC793A">
        <w:trPr>
          <w:trHeight w:val="300"/>
        </w:trPr>
        <w:tc>
          <w:tcPr>
            <w:tcW w:w="2506" w:type="dxa"/>
            <w:tcBorders>
              <w:top w:val="nil"/>
              <w:left w:val="single" w:sz="4" w:space="0" w:color="auto"/>
              <w:bottom w:val="single" w:sz="4" w:space="0" w:color="auto"/>
              <w:right w:val="single" w:sz="4" w:space="0" w:color="auto"/>
            </w:tcBorders>
            <w:shd w:val="clear" w:color="000000" w:fill="B4C6E7"/>
            <w:noWrap/>
            <w:vAlign w:val="center"/>
            <w:hideMark/>
          </w:tcPr>
          <w:p w14:paraId="7932A812" w14:textId="77777777" w:rsidR="00BA0D82" w:rsidRPr="0005691D" w:rsidRDefault="00BA0D82" w:rsidP="001A5653">
            <w:pPr>
              <w:spacing w:after="0" w:line="240" w:lineRule="auto"/>
              <w:jc w:val="right"/>
              <w:rPr>
                <w:rFonts w:ascii="Calibri" w:eastAsia="Times New Roman" w:hAnsi="Calibri" w:cs="Calibri"/>
                <w:b/>
                <w:bCs/>
                <w:color w:val="000000"/>
              </w:rPr>
            </w:pPr>
            <w:r w:rsidRPr="0005691D">
              <w:rPr>
                <w:rFonts w:ascii="Calibri" w:eastAsia="Times New Roman" w:hAnsi="Calibri" w:cs="Calibri"/>
                <w:b/>
                <w:bCs/>
                <w:color w:val="000000"/>
              </w:rPr>
              <w:t>Workforce Integration</w:t>
            </w:r>
          </w:p>
        </w:tc>
        <w:tc>
          <w:tcPr>
            <w:tcW w:w="1165" w:type="dxa"/>
            <w:tcBorders>
              <w:top w:val="nil"/>
              <w:left w:val="nil"/>
              <w:bottom w:val="single" w:sz="4" w:space="0" w:color="auto"/>
              <w:right w:val="single" w:sz="4" w:space="0" w:color="auto"/>
            </w:tcBorders>
            <w:shd w:val="clear" w:color="000000" w:fill="D9E2F3"/>
            <w:noWrap/>
            <w:vAlign w:val="center"/>
            <w:hideMark/>
          </w:tcPr>
          <w:p w14:paraId="2766C11D"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w:t>
            </w:r>
          </w:p>
        </w:tc>
        <w:tc>
          <w:tcPr>
            <w:tcW w:w="1254" w:type="dxa"/>
            <w:tcBorders>
              <w:top w:val="nil"/>
              <w:left w:val="nil"/>
              <w:bottom w:val="single" w:sz="4" w:space="0" w:color="auto"/>
              <w:right w:val="single" w:sz="4" w:space="0" w:color="auto"/>
            </w:tcBorders>
            <w:shd w:val="clear" w:color="000000" w:fill="D9E2F3"/>
            <w:noWrap/>
            <w:vAlign w:val="center"/>
            <w:hideMark/>
          </w:tcPr>
          <w:p w14:paraId="2C0B31B4"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25%</w:t>
            </w:r>
          </w:p>
        </w:tc>
        <w:tc>
          <w:tcPr>
            <w:tcW w:w="897" w:type="dxa"/>
            <w:tcBorders>
              <w:top w:val="nil"/>
              <w:left w:val="nil"/>
              <w:bottom w:val="single" w:sz="4" w:space="0" w:color="auto"/>
              <w:right w:val="single" w:sz="4" w:space="0" w:color="auto"/>
            </w:tcBorders>
            <w:shd w:val="clear" w:color="000000" w:fill="D9E2F3"/>
            <w:noWrap/>
            <w:vAlign w:val="center"/>
            <w:hideMark/>
          </w:tcPr>
          <w:p w14:paraId="447E9AC3"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w:t>
            </w:r>
          </w:p>
        </w:tc>
        <w:tc>
          <w:tcPr>
            <w:tcW w:w="897" w:type="dxa"/>
            <w:tcBorders>
              <w:top w:val="nil"/>
              <w:left w:val="nil"/>
              <w:bottom w:val="single" w:sz="4" w:space="0" w:color="auto"/>
              <w:right w:val="single" w:sz="4" w:space="0" w:color="auto"/>
            </w:tcBorders>
            <w:shd w:val="clear" w:color="000000" w:fill="D9E2F3"/>
            <w:noWrap/>
            <w:vAlign w:val="center"/>
            <w:hideMark/>
          </w:tcPr>
          <w:p w14:paraId="4803F28C"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0</w:t>
            </w:r>
          </w:p>
        </w:tc>
        <w:tc>
          <w:tcPr>
            <w:tcW w:w="892" w:type="dxa"/>
            <w:tcBorders>
              <w:top w:val="nil"/>
              <w:left w:val="nil"/>
              <w:bottom w:val="single" w:sz="4" w:space="0" w:color="auto"/>
              <w:right w:val="single" w:sz="4" w:space="0" w:color="auto"/>
            </w:tcBorders>
            <w:shd w:val="clear" w:color="000000" w:fill="D9E2F3"/>
            <w:noWrap/>
            <w:vAlign w:val="center"/>
            <w:hideMark/>
          </w:tcPr>
          <w:p w14:paraId="5A7CB82E"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0%</w:t>
            </w:r>
          </w:p>
        </w:tc>
        <w:tc>
          <w:tcPr>
            <w:tcW w:w="1063" w:type="dxa"/>
            <w:tcBorders>
              <w:top w:val="nil"/>
              <w:left w:val="nil"/>
              <w:bottom w:val="single" w:sz="4" w:space="0" w:color="auto"/>
              <w:right w:val="single" w:sz="4" w:space="0" w:color="auto"/>
            </w:tcBorders>
            <w:shd w:val="clear" w:color="000000" w:fill="D9E2F3"/>
            <w:noWrap/>
            <w:vAlign w:val="center"/>
            <w:hideMark/>
          </w:tcPr>
          <w:p w14:paraId="7DB295F2"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w:t>
            </w:r>
          </w:p>
        </w:tc>
        <w:tc>
          <w:tcPr>
            <w:tcW w:w="1063" w:type="dxa"/>
            <w:tcBorders>
              <w:top w:val="nil"/>
              <w:left w:val="nil"/>
              <w:bottom w:val="single" w:sz="4" w:space="0" w:color="auto"/>
              <w:right w:val="single" w:sz="4" w:space="0" w:color="auto"/>
            </w:tcBorders>
            <w:shd w:val="clear" w:color="000000" w:fill="D9E2F3"/>
            <w:noWrap/>
            <w:vAlign w:val="center"/>
            <w:hideMark/>
          </w:tcPr>
          <w:p w14:paraId="472F71EE"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0</w:t>
            </w:r>
          </w:p>
        </w:tc>
        <w:tc>
          <w:tcPr>
            <w:tcW w:w="1063" w:type="dxa"/>
            <w:tcBorders>
              <w:top w:val="nil"/>
              <w:left w:val="nil"/>
              <w:bottom w:val="single" w:sz="4" w:space="0" w:color="auto"/>
              <w:right w:val="single" w:sz="4" w:space="0" w:color="auto"/>
            </w:tcBorders>
            <w:shd w:val="clear" w:color="000000" w:fill="D9E2F3"/>
            <w:noWrap/>
            <w:vAlign w:val="center"/>
            <w:hideMark/>
          </w:tcPr>
          <w:p w14:paraId="02328B9C"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0%</w:t>
            </w:r>
          </w:p>
        </w:tc>
      </w:tr>
      <w:tr w:rsidR="00BA0D82" w:rsidRPr="0005691D" w14:paraId="43A82A4D" w14:textId="77777777" w:rsidTr="00BC793A">
        <w:trPr>
          <w:trHeight w:val="300"/>
        </w:trPr>
        <w:tc>
          <w:tcPr>
            <w:tcW w:w="2506" w:type="dxa"/>
            <w:tcBorders>
              <w:top w:val="nil"/>
              <w:left w:val="single" w:sz="4" w:space="0" w:color="auto"/>
              <w:bottom w:val="single" w:sz="4" w:space="0" w:color="auto"/>
              <w:right w:val="single" w:sz="4" w:space="0" w:color="auto"/>
            </w:tcBorders>
            <w:shd w:val="clear" w:color="000000" w:fill="B4C6E7"/>
            <w:noWrap/>
            <w:vAlign w:val="center"/>
            <w:hideMark/>
          </w:tcPr>
          <w:p w14:paraId="115A0BA5" w14:textId="77777777" w:rsidR="00BA0D82" w:rsidRPr="0005691D" w:rsidRDefault="00BA0D82" w:rsidP="001A5653">
            <w:pPr>
              <w:spacing w:after="0" w:line="240" w:lineRule="auto"/>
              <w:jc w:val="right"/>
              <w:rPr>
                <w:rFonts w:ascii="Calibri" w:eastAsia="Times New Roman" w:hAnsi="Calibri" w:cs="Calibri"/>
                <w:b/>
                <w:bCs/>
                <w:color w:val="000000"/>
              </w:rPr>
            </w:pPr>
            <w:r w:rsidRPr="0005691D">
              <w:rPr>
                <w:rFonts w:ascii="Calibri" w:eastAsia="Times New Roman" w:hAnsi="Calibri" w:cs="Calibri"/>
                <w:b/>
                <w:bCs/>
                <w:color w:val="000000"/>
              </w:rPr>
              <w:t>Common Performance Measures</w:t>
            </w:r>
          </w:p>
        </w:tc>
        <w:tc>
          <w:tcPr>
            <w:tcW w:w="1165" w:type="dxa"/>
            <w:tcBorders>
              <w:top w:val="nil"/>
              <w:left w:val="nil"/>
              <w:bottom w:val="single" w:sz="4" w:space="0" w:color="auto"/>
              <w:right w:val="single" w:sz="4" w:space="0" w:color="auto"/>
            </w:tcBorders>
            <w:shd w:val="clear" w:color="000000" w:fill="FFFFFF"/>
            <w:noWrap/>
            <w:vAlign w:val="center"/>
            <w:hideMark/>
          </w:tcPr>
          <w:p w14:paraId="467D81B2"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4</w:t>
            </w:r>
          </w:p>
        </w:tc>
        <w:tc>
          <w:tcPr>
            <w:tcW w:w="1254" w:type="dxa"/>
            <w:tcBorders>
              <w:top w:val="nil"/>
              <w:left w:val="nil"/>
              <w:bottom w:val="single" w:sz="4" w:space="0" w:color="auto"/>
              <w:right w:val="single" w:sz="4" w:space="0" w:color="auto"/>
            </w:tcBorders>
            <w:shd w:val="clear" w:color="000000" w:fill="FFFFFF"/>
            <w:noWrap/>
            <w:vAlign w:val="center"/>
            <w:hideMark/>
          </w:tcPr>
          <w:p w14:paraId="57E571D0"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19%</w:t>
            </w:r>
          </w:p>
        </w:tc>
        <w:tc>
          <w:tcPr>
            <w:tcW w:w="897" w:type="dxa"/>
            <w:tcBorders>
              <w:top w:val="nil"/>
              <w:left w:val="nil"/>
              <w:bottom w:val="single" w:sz="4" w:space="0" w:color="auto"/>
              <w:right w:val="single" w:sz="4" w:space="0" w:color="auto"/>
            </w:tcBorders>
            <w:shd w:val="clear" w:color="000000" w:fill="FFFFFF"/>
            <w:noWrap/>
            <w:vAlign w:val="center"/>
            <w:hideMark/>
          </w:tcPr>
          <w:p w14:paraId="184C24D6"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4</w:t>
            </w:r>
          </w:p>
        </w:tc>
        <w:tc>
          <w:tcPr>
            <w:tcW w:w="897" w:type="dxa"/>
            <w:tcBorders>
              <w:top w:val="nil"/>
              <w:left w:val="nil"/>
              <w:bottom w:val="single" w:sz="4" w:space="0" w:color="auto"/>
              <w:right w:val="single" w:sz="4" w:space="0" w:color="auto"/>
            </w:tcBorders>
            <w:shd w:val="clear" w:color="000000" w:fill="FFFFFF"/>
            <w:noWrap/>
            <w:vAlign w:val="center"/>
            <w:hideMark/>
          </w:tcPr>
          <w:p w14:paraId="3C2DEB47"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0</w:t>
            </w:r>
          </w:p>
        </w:tc>
        <w:tc>
          <w:tcPr>
            <w:tcW w:w="892" w:type="dxa"/>
            <w:tcBorders>
              <w:top w:val="nil"/>
              <w:left w:val="nil"/>
              <w:bottom w:val="single" w:sz="4" w:space="0" w:color="auto"/>
              <w:right w:val="single" w:sz="4" w:space="0" w:color="auto"/>
            </w:tcBorders>
            <w:shd w:val="clear" w:color="000000" w:fill="FFFFFF"/>
            <w:noWrap/>
            <w:vAlign w:val="center"/>
            <w:hideMark/>
          </w:tcPr>
          <w:p w14:paraId="48A7CBD9"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0%</w:t>
            </w:r>
          </w:p>
        </w:tc>
        <w:tc>
          <w:tcPr>
            <w:tcW w:w="1063" w:type="dxa"/>
            <w:tcBorders>
              <w:top w:val="nil"/>
              <w:left w:val="nil"/>
              <w:bottom w:val="single" w:sz="4" w:space="0" w:color="auto"/>
              <w:right w:val="single" w:sz="4" w:space="0" w:color="auto"/>
            </w:tcBorders>
            <w:shd w:val="clear" w:color="000000" w:fill="FFFFFF"/>
            <w:noWrap/>
            <w:vAlign w:val="center"/>
            <w:hideMark/>
          </w:tcPr>
          <w:p w14:paraId="6844217E"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2</w:t>
            </w:r>
          </w:p>
        </w:tc>
        <w:tc>
          <w:tcPr>
            <w:tcW w:w="1063" w:type="dxa"/>
            <w:tcBorders>
              <w:top w:val="nil"/>
              <w:left w:val="nil"/>
              <w:bottom w:val="single" w:sz="4" w:space="0" w:color="auto"/>
              <w:right w:val="single" w:sz="4" w:space="0" w:color="auto"/>
            </w:tcBorders>
            <w:shd w:val="clear" w:color="000000" w:fill="FFFFFF"/>
            <w:noWrap/>
            <w:vAlign w:val="center"/>
            <w:hideMark/>
          </w:tcPr>
          <w:p w14:paraId="18C5BA90"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0</w:t>
            </w:r>
          </w:p>
        </w:tc>
        <w:tc>
          <w:tcPr>
            <w:tcW w:w="1063" w:type="dxa"/>
            <w:tcBorders>
              <w:top w:val="nil"/>
              <w:left w:val="nil"/>
              <w:bottom w:val="single" w:sz="4" w:space="0" w:color="auto"/>
              <w:right w:val="single" w:sz="4" w:space="0" w:color="auto"/>
            </w:tcBorders>
            <w:shd w:val="clear" w:color="000000" w:fill="FFFFFF"/>
            <w:noWrap/>
            <w:vAlign w:val="center"/>
            <w:hideMark/>
          </w:tcPr>
          <w:p w14:paraId="7492ED57"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0%</w:t>
            </w:r>
          </w:p>
        </w:tc>
      </w:tr>
      <w:tr w:rsidR="00BA0D82" w:rsidRPr="0005691D" w14:paraId="540F403C" w14:textId="77777777" w:rsidTr="00BC793A">
        <w:trPr>
          <w:trHeight w:val="300"/>
        </w:trPr>
        <w:tc>
          <w:tcPr>
            <w:tcW w:w="2506" w:type="dxa"/>
            <w:tcBorders>
              <w:top w:val="nil"/>
              <w:left w:val="single" w:sz="4" w:space="0" w:color="auto"/>
              <w:bottom w:val="single" w:sz="4" w:space="0" w:color="auto"/>
              <w:right w:val="single" w:sz="4" w:space="0" w:color="auto"/>
            </w:tcBorders>
            <w:shd w:val="clear" w:color="000000" w:fill="B4C6E7"/>
            <w:noWrap/>
            <w:vAlign w:val="center"/>
            <w:hideMark/>
          </w:tcPr>
          <w:p w14:paraId="256BA404" w14:textId="77777777" w:rsidR="00BA0D82" w:rsidRPr="0005691D" w:rsidRDefault="00BA0D82" w:rsidP="001A5653">
            <w:pPr>
              <w:spacing w:after="0" w:line="240" w:lineRule="auto"/>
              <w:jc w:val="right"/>
              <w:rPr>
                <w:rFonts w:ascii="Calibri" w:eastAsia="Times New Roman" w:hAnsi="Calibri" w:cs="Calibri"/>
                <w:b/>
                <w:bCs/>
                <w:color w:val="000000"/>
              </w:rPr>
            </w:pPr>
            <w:r w:rsidRPr="0005691D">
              <w:rPr>
                <w:rFonts w:ascii="Calibri" w:eastAsia="Times New Roman" w:hAnsi="Calibri" w:cs="Calibri"/>
                <w:b/>
                <w:bCs/>
                <w:color w:val="000000"/>
              </w:rPr>
              <w:t>Supported Employment</w:t>
            </w:r>
          </w:p>
        </w:tc>
        <w:tc>
          <w:tcPr>
            <w:tcW w:w="1165" w:type="dxa"/>
            <w:tcBorders>
              <w:top w:val="nil"/>
              <w:left w:val="nil"/>
              <w:bottom w:val="single" w:sz="4" w:space="0" w:color="auto"/>
              <w:right w:val="single" w:sz="4" w:space="0" w:color="auto"/>
            </w:tcBorders>
            <w:shd w:val="clear" w:color="000000" w:fill="D9E2F3"/>
            <w:noWrap/>
            <w:vAlign w:val="center"/>
            <w:hideMark/>
          </w:tcPr>
          <w:p w14:paraId="2D7FF157"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w:t>
            </w:r>
          </w:p>
        </w:tc>
        <w:tc>
          <w:tcPr>
            <w:tcW w:w="1254" w:type="dxa"/>
            <w:tcBorders>
              <w:top w:val="nil"/>
              <w:left w:val="nil"/>
              <w:bottom w:val="single" w:sz="4" w:space="0" w:color="auto"/>
              <w:right w:val="single" w:sz="4" w:space="0" w:color="auto"/>
            </w:tcBorders>
            <w:shd w:val="clear" w:color="000000" w:fill="D9E2F3"/>
            <w:noWrap/>
            <w:vAlign w:val="center"/>
            <w:hideMark/>
          </w:tcPr>
          <w:p w14:paraId="205A5FD0"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25%</w:t>
            </w:r>
          </w:p>
        </w:tc>
        <w:tc>
          <w:tcPr>
            <w:tcW w:w="897" w:type="dxa"/>
            <w:tcBorders>
              <w:top w:val="nil"/>
              <w:left w:val="nil"/>
              <w:bottom w:val="single" w:sz="4" w:space="0" w:color="auto"/>
              <w:right w:val="single" w:sz="4" w:space="0" w:color="auto"/>
            </w:tcBorders>
            <w:shd w:val="clear" w:color="000000" w:fill="D9E2F3"/>
            <w:noWrap/>
            <w:vAlign w:val="center"/>
            <w:hideMark/>
          </w:tcPr>
          <w:p w14:paraId="461A73CC"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w:t>
            </w:r>
          </w:p>
        </w:tc>
        <w:tc>
          <w:tcPr>
            <w:tcW w:w="897" w:type="dxa"/>
            <w:tcBorders>
              <w:top w:val="nil"/>
              <w:left w:val="nil"/>
              <w:bottom w:val="single" w:sz="4" w:space="0" w:color="auto"/>
              <w:right w:val="single" w:sz="4" w:space="0" w:color="auto"/>
            </w:tcBorders>
            <w:shd w:val="clear" w:color="000000" w:fill="D9E2F3"/>
            <w:noWrap/>
            <w:vAlign w:val="center"/>
            <w:hideMark/>
          </w:tcPr>
          <w:p w14:paraId="7FD92CA7"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0</w:t>
            </w:r>
          </w:p>
        </w:tc>
        <w:tc>
          <w:tcPr>
            <w:tcW w:w="892" w:type="dxa"/>
            <w:tcBorders>
              <w:top w:val="nil"/>
              <w:left w:val="nil"/>
              <w:bottom w:val="single" w:sz="4" w:space="0" w:color="auto"/>
              <w:right w:val="single" w:sz="4" w:space="0" w:color="auto"/>
            </w:tcBorders>
            <w:shd w:val="clear" w:color="000000" w:fill="D9E2F3"/>
            <w:noWrap/>
            <w:vAlign w:val="center"/>
            <w:hideMark/>
          </w:tcPr>
          <w:p w14:paraId="4992F0D0"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0%</w:t>
            </w:r>
          </w:p>
        </w:tc>
        <w:tc>
          <w:tcPr>
            <w:tcW w:w="1063" w:type="dxa"/>
            <w:tcBorders>
              <w:top w:val="nil"/>
              <w:left w:val="nil"/>
              <w:bottom w:val="single" w:sz="4" w:space="0" w:color="auto"/>
              <w:right w:val="single" w:sz="4" w:space="0" w:color="auto"/>
            </w:tcBorders>
            <w:shd w:val="clear" w:color="000000" w:fill="D9E2F3"/>
            <w:noWrap/>
            <w:vAlign w:val="center"/>
            <w:hideMark/>
          </w:tcPr>
          <w:p w14:paraId="252D3601"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0</w:t>
            </w:r>
          </w:p>
        </w:tc>
        <w:tc>
          <w:tcPr>
            <w:tcW w:w="1063" w:type="dxa"/>
            <w:tcBorders>
              <w:top w:val="nil"/>
              <w:left w:val="nil"/>
              <w:bottom w:val="single" w:sz="4" w:space="0" w:color="auto"/>
              <w:right w:val="single" w:sz="4" w:space="0" w:color="auto"/>
            </w:tcBorders>
            <w:shd w:val="clear" w:color="000000" w:fill="D9E2F3"/>
            <w:noWrap/>
            <w:vAlign w:val="center"/>
            <w:hideMark/>
          </w:tcPr>
          <w:p w14:paraId="527D810E"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0</w:t>
            </w:r>
          </w:p>
        </w:tc>
        <w:tc>
          <w:tcPr>
            <w:tcW w:w="1063" w:type="dxa"/>
            <w:tcBorders>
              <w:top w:val="nil"/>
              <w:left w:val="nil"/>
              <w:bottom w:val="single" w:sz="4" w:space="0" w:color="auto"/>
              <w:right w:val="single" w:sz="4" w:space="0" w:color="auto"/>
            </w:tcBorders>
            <w:shd w:val="clear" w:color="000000" w:fill="D9E2F3"/>
            <w:noWrap/>
            <w:vAlign w:val="center"/>
            <w:hideMark/>
          </w:tcPr>
          <w:p w14:paraId="33CCD4DF"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 </w:t>
            </w:r>
          </w:p>
        </w:tc>
      </w:tr>
      <w:tr w:rsidR="00BA0D82" w:rsidRPr="0005691D" w14:paraId="546E1E9E" w14:textId="77777777" w:rsidTr="00BC793A">
        <w:trPr>
          <w:trHeight w:val="300"/>
        </w:trPr>
        <w:tc>
          <w:tcPr>
            <w:tcW w:w="2506" w:type="dxa"/>
            <w:tcBorders>
              <w:top w:val="nil"/>
              <w:left w:val="nil"/>
              <w:bottom w:val="nil"/>
              <w:right w:val="nil"/>
            </w:tcBorders>
            <w:shd w:val="clear" w:color="auto" w:fill="auto"/>
            <w:noWrap/>
            <w:vAlign w:val="bottom"/>
            <w:hideMark/>
          </w:tcPr>
          <w:p w14:paraId="682013BD" w14:textId="77777777" w:rsidR="00BA0D82" w:rsidRPr="0005691D" w:rsidRDefault="00BA0D82" w:rsidP="001A5653">
            <w:pPr>
              <w:spacing w:after="0" w:line="240" w:lineRule="auto"/>
              <w:jc w:val="center"/>
              <w:rPr>
                <w:rFonts w:ascii="Calibri" w:eastAsia="Times New Roman" w:hAnsi="Calibri" w:cs="Calibri"/>
                <w:color w:val="000000"/>
              </w:rPr>
            </w:pPr>
          </w:p>
        </w:tc>
        <w:tc>
          <w:tcPr>
            <w:tcW w:w="1165" w:type="dxa"/>
            <w:tcBorders>
              <w:top w:val="nil"/>
              <w:left w:val="nil"/>
              <w:bottom w:val="nil"/>
              <w:right w:val="nil"/>
            </w:tcBorders>
            <w:shd w:val="clear" w:color="auto" w:fill="auto"/>
            <w:noWrap/>
            <w:vAlign w:val="center"/>
            <w:hideMark/>
          </w:tcPr>
          <w:p w14:paraId="31A2209D" w14:textId="77777777" w:rsidR="00BA0D82" w:rsidRPr="0005691D" w:rsidRDefault="00BA0D82" w:rsidP="001A5653">
            <w:pPr>
              <w:spacing w:after="0" w:line="240" w:lineRule="auto"/>
              <w:rPr>
                <w:rFonts w:ascii="Times New Roman" w:eastAsia="Times New Roman" w:hAnsi="Times New Roman" w:cs="Times New Roman"/>
                <w:sz w:val="20"/>
                <w:szCs w:val="20"/>
              </w:rPr>
            </w:pPr>
          </w:p>
        </w:tc>
        <w:tc>
          <w:tcPr>
            <w:tcW w:w="1254" w:type="dxa"/>
            <w:tcBorders>
              <w:top w:val="nil"/>
              <w:left w:val="nil"/>
              <w:bottom w:val="nil"/>
              <w:right w:val="nil"/>
            </w:tcBorders>
            <w:shd w:val="clear" w:color="auto" w:fill="auto"/>
            <w:noWrap/>
            <w:vAlign w:val="center"/>
            <w:hideMark/>
          </w:tcPr>
          <w:p w14:paraId="33C9F08A"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c>
          <w:tcPr>
            <w:tcW w:w="897" w:type="dxa"/>
            <w:tcBorders>
              <w:top w:val="nil"/>
              <w:left w:val="nil"/>
              <w:bottom w:val="nil"/>
              <w:right w:val="nil"/>
            </w:tcBorders>
            <w:shd w:val="clear" w:color="auto" w:fill="auto"/>
            <w:noWrap/>
            <w:vAlign w:val="center"/>
            <w:hideMark/>
          </w:tcPr>
          <w:p w14:paraId="651DBF3D"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c>
          <w:tcPr>
            <w:tcW w:w="897" w:type="dxa"/>
            <w:tcBorders>
              <w:top w:val="nil"/>
              <w:left w:val="nil"/>
              <w:bottom w:val="nil"/>
              <w:right w:val="nil"/>
            </w:tcBorders>
            <w:shd w:val="clear" w:color="auto" w:fill="auto"/>
            <w:noWrap/>
            <w:vAlign w:val="center"/>
            <w:hideMark/>
          </w:tcPr>
          <w:p w14:paraId="413E7096"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c>
          <w:tcPr>
            <w:tcW w:w="892" w:type="dxa"/>
            <w:tcBorders>
              <w:top w:val="nil"/>
              <w:left w:val="nil"/>
              <w:bottom w:val="nil"/>
              <w:right w:val="nil"/>
            </w:tcBorders>
            <w:shd w:val="clear" w:color="auto" w:fill="auto"/>
            <w:noWrap/>
            <w:vAlign w:val="center"/>
            <w:hideMark/>
          </w:tcPr>
          <w:p w14:paraId="1371F3C6"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c>
          <w:tcPr>
            <w:tcW w:w="1063" w:type="dxa"/>
            <w:tcBorders>
              <w:top w:val="nil"/>
              <w:left w:val="nil"/>
              <w:bottom w:val="nil"/>
              <w:right w:val="nil"/>
            </w:tcBorders>
            <w:shd w:val="clear" w:color="auto" w:fill="auto"/>
            <w:noWrap/>
            <w:vAlign w:val="center"/>
            <w:hideMark/>
          </w:tcPr>
          <w:p w14:paraId="15A1BF22"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c>
          <w:tcPr>
            <w:tcW w:w="1063" w:type="dxa"/>
            <w:tcBorders>
              <w:top w:val="nil"/>
              <w:left w:val="nil"/>
              <w:bottom w:val="nil"/>
              <w:right w:val="nil"/>
            </w:tcBorders>
            <w:shd w:val="clear" w:color="auto" w:fill="auto"/>
            <w:noWrap/>
            <w:vAlign w:val="center"/>
            <w:hideMark/>
          </w:tcPr>
          <w:p w14:paraId="792E4AC6"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c>
          <w:tcPr>
            <w:tcW w:w="1063" w:type="dxa"/>
            <w:tcBorders>
              <w:top w:val="nil"/>
              <w:left w:val="nil"/>
              <w:bottom w:val="nil"/>
              <w:right w:val="nil"/>
            </w:tcBorders>
            <w:shd w:val="clear" w:color="auto" w:fill="auto"/>
            <w:noWrap/>
            <w:vAlign w:val="center"/>
            <w:hideMark/>
          </w:tcPr>
          <w:p w14:paraId="7FF77C72"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r>
      <w:tr w:rsidR="00BA0D82" w:rsidRPr="0005691D" w14:paraId="5F02EC2C" w14:textId="77777777" w:rsidTr="00BC793A">
        <w:trPr>
          <w:trHeight w:val="465"/>
        </w:trPr>
        <w:tc>
          <w:tcPr>
            <w:tcW w:w="10800" w:type="dxa"/>
            <w:gridSpan w:val="9"/>
            <w:tcBorders>
              <w:top w:val="single" w:sz="4" w:space="0" w:color="auto"/>
              <w:left w:val="nil"/>
              <w:bottom w:val="single" w:sz="4" w:space="0" w:color="auto"/>
              <w:right w:val="nil"/>
            </w:tcBorders>
            <w:shd w:val="clear" w:color="auto" w:fill="auto"/>
            <w:noWrap/>
            <w:vAlign w:val="bottom"/>
            <w:hideMark/>
          </w:tcPr>
          <w:p w14:paraId="1F998152" w14:textId="77777777" w:rsidR="00BA0D82" w:rsidRPr="0005691D" w:rsidRDefault="00BA0D82" w:rsidP="00BA0D82">
            <w:pPr>
              <w:pStyle w:val="Heading2"/>
              <w:numPr>
                <w:ilvl w:val="0"/>
                <w:numId w:val="0"/>
              </w:numPr>
              <w:rPr>
                <w:rFonts w:eastAsia="Times New Roman"/>
              </w:rPr>
            </w:pPr>
            <w:bookmarkStart w:id="273" w:name="_Toc27143226"/>
            <w:bookmarkStart w:id="274" w:name="_Toc28011525"/>
            <w:r w:rsidRPr="0005691D">
              <w:rPr>
                <w:rFonts w:eastAsia="Times New Roman"/>
              </w:rPr>
              <w:t>Virginia Blind</w:t>
            </w:r>
            <w:bookmarkEnd w:id="273"/>
            <w:bookmarkEnd w:id="274"/>
          </w:p>
        </w:tc>
      </w:tr>
      <w:tr w:rsidR="00BA0D82" w:rsidRPr="0005691D" w14:paraId="574D7545" w14:textId="77777777" w:rsidTr="00BC793A">
        <w:trPr>
          <w:trHeight w:val="1305"/>
        </w:trPr>
        <w:tc>
          <w:tcPr>
            <w:tcW w:w="2506" w:type="dxa"/>
            <w:tcBorders>
              <w:top w:val="nil"/>
              <w:left w:val="single" w:sz="4" w:space="0" w:color="auto"/>
              <w:bottom w:val="single" w:sz="4" w:space="0" w:color="auto"/>
              <w:right w:val="single" w:sz="4" w:space="0" w:color="auto"/>
            </w:tcBorders>
            <w:shd w:val="clear" w:color="000000" w:fill="B4C6E7"/>
            <w:vAlign w:val="bottom"/>
            <w:hideMark/>
          </w:tcPr>
          <w:p w14:paraId="0E2B3578" w14:textId="77777777" w:rsidR="00BA0D82" w:rsidRPr="0005691D" w:rsidRDefault="00BA0D82" w:rsidP="001A5653">
            <w:pPr>
              <w:spacing w:after="0" w:line="240" w:lineRule="auto"/>
              <w:jc w:val="right"/>
              <w:rPr>
                <w:rFonts w:ascii="Calibri" w:eastAsia="Times New Roman" w:hAnsi="Calibri" w:cs="Calibri"/>
                <w:b/>
                <w:bCs/>
                <w:color w:val="000000"/>
                <w:szCs w:val="28"/>
              </w:rPr>
            </w:pPr>
            <w:r w:rsidRPr="0005691D">
              <w:rPr>
                <w:rFonts w:ascii="Calibri" w:eastAsia="Times New Roman" w:hAnsi="Calibri" w:cs="Calibri"/>
                <w:b/>
                <w:bCs/>
                <w:color w:val="000000"/>
                <w:szCs w:val="28"/>
              </w:rPr>
              <w:t>Area</w:t>
            </w:r>
          </w:p>
        </w:tc>
        <w:tc>
          <w:tcPr>
            <w:tcW w:w="1165" w:type="dxa"/>
            <w:tcBorders>
              <w:top w:val="nil"/>
              <w:left w:val="nil"/>
              <w:bottom w:val="single" w:sz="4" w:space="0" w:color="auto"/>
              <w:right w:val="single" w:sz="4" w:space="0" w:color="auto"/>
            </w:tcBorders>
            <w:shd w:val="clear" w:color="000000" w:fill="B4C6E7"/>
            <w:vAlign w:val="bottom"/>
            <w:hideMark/>
          </w:tcPr>
          <w:p w14:paraId="2AAEFC22"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of Total Activities</w:t>
            </w:r>
          </w:p>
        </w:tc>
        <w:tc>
          <w:tcPr>
            <w:tcW w:w="1254" w:type="dxa"/>
            <w:tcBorders>
              <w:top w:val="nil"/>
              <w:left w:val="nil"/>
              <w:bottom w:val="single" w:sz="4" w:space="0" w:color="auto"/>
              <w:right w:val="single" w:sz="4" w:space="0" w:color="auto"/>
            </w:tcBorders>
            <w:shd w:val="clear" w:color="000000" w:fill="B4C6E7"/>
            <w:vAlign w:val="bottom"/>
            <w:hideMark/>
          </w:tcPr>
          <w:p w14:paraId="160B7F64"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Average Progress on Activities (%)</w:t>
            </w:r>
          </w:p>
        </w:tc>
        <w:tc>
          <w:tcPr>
            <w:tcW w:w="897" w:type="dxa"/>
            <w:tcBorders>
              <w:top w:val="nil"/>
              <w:left w:val="nil"/>
              <w:bottom w:val="single" w:sz="4" w:space="0" w:color="auto"/>
              <w:right w:val="single" w:sz="4" w:space="0" w:color="auto"/>
            </w:tcBorders>
            <w:shd w:val="clear" w:color="000000" w:fill="B4C6E7"/>
            <w:vAlign w:val="bottom"/>
            <w:hideMark/>
          </w:tcPr>
          <w:p w14:paraId="5222ED67"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Outputs</w:t>
            </w:r>
          </w:p>
        </w:tc>
        <w:tc>
          <w:tcPr>
            <w:tcW w:w="897" w:type="dxa"/>
            <w:tcBorders>
              <w:top w:val="nil"/>
              <w:left w:val="nil"/>
              <w:bottom w:val="single" w:sz="4" w:space="0" w:color="auto"/>
              <w:right w:val="single" w:sz="4" w:space="0" w:color="auto"/>
            </w:tcBorders>
            <w:shd w:val="clear" w:color="000000" w:fill="B4C6E7"/>
            <w:vAlign w:val="bottom"/>
            <w:hideMark/>
          </w:tcPr>
          <w:p w14:paraId="20FA6C99"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Outputs Met</w:t>
            </w:r>
          </w:p>
        </w:tc>
        <w:tc>
          <w:tcPr>
            <w:tcW w:w="892" w:type="dxa"/>
            <w:tcBorders>
              <w:top w:val="nil"/>
              <w:left w:val="nil"/>
              <w:bottom w:val="single" w:sz="4" w:space="0" w:color="auto"/>
              <w:right w:val="single" w:sz="4" w:space="0" w:color="auto"/>
            </w:tcBorders>
            <w:shd w:val="clear" w:color="000000" w:fill="B4C6E7"/>
            <w:vAlign w:val="bottom"/>
            <w:hideMark/>
          </w:tcPr>
          <w:p w14:paraId="4224FDCD"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Outputs Met</w:t>
            </w:r>
          </w:p>
        </w:tc>
        <w:tc>
          <w:tcPr>
            <w:tcW w:w="1063" w:type="dxa"/>
            <w:tcBorders>
              <w:top w:val="nil"/>
              <w:left w:val="nil"/>
              <w:bottom w:val="single" w:sz="4" w:space="0" w:color="auto"/>
              <w:right w:val="single" w:sz="4" w:space="0" w:color="auto"/>
            </w:tcBorders>
            <w:shd w:val="clear" w:color="000000" w:fill="B4C6E7"/>
            <w:vAlign w:val="bottom"/>
            <w:hideMark/>
          </w:tcPr>
          <w:p w14:paraId="2029819C"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Short-Term Outcomes</w:t>
            </w:r>
          </w:p>
        </w:tc>
        <w:tc>
          <w:tcPr>
            <w:tcW w:w="1063" w:type="dxa"/>
            <w:tcBorders>
              <w:top w:val="nil"/>
              <w:left w:val="nil"/>
              <w:bottom w:val="single" w:sz="4" w:space="0" w:color="auto"/>
              <w:right w:val="single" w:sz="4" w:space="0" w:color="auto"/>
            </w:tcBorders>
            <w:shd w:val="clear" w:color="000000" w:fill="B4C6E7"/>
            <w:vAlign w:val="bottom"/>
            <w:hideMark/>
          </w:tcPr>
          <w:p w14:paraId="735DF2DE"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Short-Term Outcomes Met</w:t>
            </w:r>
          </w:p>
        </w:tc>
        <w:tc>
          <w:tcPr>
            <w:tcW w:w="1063" w:type="dxa"/>
            <w:tcBorders>
              <w:top w:val="nil"/>
              <w:left w:val="nil"/>
              <w:bottom w:val="single" w:sz="4" w:space="0" w:color="auto"/>
              <w:right w:val="single" w:sz="4" w:space="0" w:color="auto"/>
            </w:tcBorders>
            <w:shd w:val="clear" w:color="000000" w:fill="B4C6E7"/>
            <w:vAlign w:val="bottom"/>
            <w:hideMark/>
          </w:tcPr>
          <w:p w14:paraId="763B2D80"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%Short-Term Outcomes Achieved</w:t>
            </w:r>
          </w:p>
        </w:tc>
      </w:tr>
      <w:tr w:rsidR="00BA0D82" w:rsidRPr="0005691D" w14:paraId="0147CBDF" w14:textId="77777777" w:rsidTr="00BC793A">
        <w:trPr>
          <w:trHeight w:val="300"/>
        </w:trPr>
        <w:tc>
          <w:tcPr>
            <w:tcW w:w="2506" w:type="dxa"/>
            <w:tcBorders>
              <w:top w:val="nil"/>
              <w:left w:val="single" w:sz="4" w:space="0" w:color="auto"/>
              <w:bottom w:val="single" w:sz="4" w:space="0" w:color="auto"/>
              <w:right w:val="single" w:sz="4" w:space="0" w:color="auto"/>
            </w:tcBorders>
            <w:shd w:val="clear" w:color="000000" w:fill="B4C6E7"/>
            <w:noWrap/>
            <w:vAlign w:val="center"/>
            <w:hideMark/>
          </w:tcPr>
          <w:p w14:paraId="5198B5F3" w14:textId="77777777" w:rsidR="00BA0D82" w:rsidRPr="0005691D" w:rsidRDefault="00BA0D82" w:rsidP="001A5653">
            <w:pPr>
              <w:spacing w:after="0" w:line="240" w:lineRule="auto"/>
              <w:jc w:val="right"/>
              <w:rPr>
                <w:rFonts w:ascii="Calibri" w:eastAsia="Times New Roman" w:hAnsi="Calibri" w:cs="Calibri"/>
                <w:b/>
                <w:bCs/>
                <w:color w:val="000000"/>
              </w:rPr>
            </w:pPr>
            <w:r w:rsidRPr="0005691D">
              <w:rPr>
                <w:rFonts w:ascii="Calibri" w:eastAsia="Times New Roman" w:hAnsi="Calibri" w:cs="Calibri"/>
                <w:b/>
                <w:bCs/>
                <w:color w:val="000000"/>
              </w:rPr>
              <w:t>Pre-ETS</w:t>
            </w:r>
          </w:p>
        </w:tc>
        <w:tc>
          <w:tcPr>
            <w:tcW w:w="1165" w:type="dxa"/>
            <w:tcBorders>
              <w:top w:val="nil"/>
              <w:left w:val="nil"/>
              <w:bottom w:val="single" w:sz="4" w:space="0" w:color="auto"/>
              <w:right w:val="single" w:sz="4" w:space="0" w:color="auto"/>
            </w:tcBorders>
            <w:shd w:val="clear" w:color="000000" w:fill="FFFFFF"/>
            <w:noWrap/>
            <w:vAlign w:val="center"/>
            <w:hideMark/>
          </w:tcPr>
          <w:p w14:paraId="6A891BF8"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7</w:t>
            </w:r>
          </w:p>
        </w:tc>
        <w:tc>
          <w:tcPr>
            <w:tcW w:w="1254" w:type="dxa"/>
            <w:tcBorders>
              <w:top w:val="nil"/>
              <w:left w:val="nil"/>
              <w:bottom w:val="single" w:sz="4" w:space="0" w:color="auto"/>
              <w:right w:val="single" w:sz="4" w:space="0" w:color="auto"/>
            </w:tcBorders>
            <w:shd w:val="clear" w:color="000000" w:fill="FFFFFF"/>
            <w:noWrap/>
            <w:vAlign w:val="center"/>
            <w:hideMark/>
          </w:tcPr>
          <w:p w14:paraId="2902DA21"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75%</w:t>
            </w:r>
          </w:p>
        </w:tc>
        <w:tc>
          <w:tcPr>
            <w:tcW w:w="897" w:type="dxa"/>
            <w:tcBorders>
              <w:top w:val="nil"/>
              <w:left w:val="nil"/>
              <w:bottom w:val="single" w:sz="4" w:space="0" w:color="auto"/>
              <w:right w:val="single" w:sz="4" w:space="0" w:color="auto"/>
            </w:tcBorders>
            <w:shd w:val="clear" w:color="000000" w:fill="FFFFFF"/>
            <w:noWrap/>
            <w:vAlign w:val="center"/>
            <w:hideMark/>
          </w:tcPr>
          <w:p w14:paraId="6D76E014"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7</w:t>
            </w:r>
          </w:p>
        </w:tc>
        <w:tc>
          <w:tcPr>
            <w:tcW w:w="897" w:type="dxa"/>
            <w:tcBorders>
              <w:top w:val="nil"/>
              <w:left w:val="nil"/>
              <w:bottom w:val="single" w:sz="4" w:space="0" w:color="auto"/>
              <w:right w:val="single" w:sz="4" w:space="0" w:color="auto"/>
            </w:tcBorders>
            <w:shd w:val="clear" w:color="000000" w:fill="FFFFFF"/>
            <w:noWrap/>
            <w:vAlign w:val="center"/>
            <w:hideMark/>
          </w:tcPr>
          <w:p w14:paraId="047F5309"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5</w:t>
            </w:r>
          </w:p>
        </w:tc>
        <w:tc>
          <w:tcPr>
            <w:tcW w:w="892" w:type="dxa"/>
            <w:tcBorders>
              <w:top w:val="nil"/>
              <w:left w:val="nil"/>
              <w:bottom w:val="single" w:sz="4" w:space="0" w:color="auto"/>
              <w:right w:val="single" w:sz="4" w:space="0" w:color="auto"/>
            </w:tcBorders>
            <w:shd w:val="clear" w:color="000000" w:fill="FFFFFF"/>
            <w:noWrap/>
            <w:vAlign w:val="center"/>
            <w:hideMark/>
          </w:tcPr>
          <w:p w14:paraId="23A125D0"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71%</w:t>
            </w:r>
          </w:p>
        </w:tc>
        <w:tc>
          <w:tcPr>
            <w:tcW w:w="1063" w:type="dxa"/>
            <w:tcBorders>
              <w:top w:val="nil"/>
              <w:left w:val="nil"/>
              <w:bottom w:val="single" w:sz="4" w:space="0" w:color="auto"/>
              <w:right w:val="single" w:sz="4" w:space="0" w:color="auto"/>
            </w:tcBorders>
            <w:shd w:val="clear" w:color="000000" w:fill="FFFFFF"/>
            <w:noWrap/>
            <w:vAlign w:val="center"/>
            <w:hideMark/>
          </w:tcPr>
          <w:p w14:paraId="7834501C"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4</w:t>
            </w:r>
          </w:p>
        </w:tc>
        <w:tc>
          <w:tcPr>
            <w:tcW w:w="1063" w:type="dxa"/>
            <w:tcBorders>
              <w:top w:val="nil"/>
              <w:left w:val="nil"/>
              <w:bottom w:val="single" w:sz="4" w:space="0" w:color="auto"/>
              <w:right w:val="single" w:sz="4" w:space="0" w:color="auto"/>
            </w:tcBorders>
            <w:shd w:val="clear" w:color="000000" w:fill="FFFFFF"/>
            <w:noWrap/>
            <w:vAlign w:val="center"/>
            <w:hideMark/>
          </w:tcPr>
          <w:p w14:paraId="09F2412E"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w:t>
            </w:r>
          </w:p>
        </w:tc>
        <w:tc>
          <w:tcPr>
            <w:tcW w:w="1063" w:type="dxa"/>
            <w:tcBorders>
              <w:top w:val="nil"/>
              <w:left w:val="nil"/>
              <w:bottom w:val="single" w:sz="4" w:space="0" w:color="auto"/>
              <w:right w:val="single" w:sz="4" w:space="0" w:color="auto"/>
            </w:tcBorders>
            <w:shd w:val="clear" w:color="000000" w:fill="FFFFFF"/>
            <w:noWrap/>
            <w:vAlign w:val="center"/>
            <w:hideMark/>
          </w:tcPr>
          <w:p w14:paraId="2DBB30B1"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25%</w:t>
            </w:r>
          </w:p>
        </w:tc>
      </w:tr>
      <w:tr w:rsidR="00BA0D82" w:rsidRPr="0005691D" w14:paraId="495FA065" w14:textId="77777777" w:rsidTr="00BC793A">
        <w:trPr>
          <w:trHeight w:val="300"/>
        </w:trPr>
        <w:tc>
          <w:tcPr>
            <w:tcW w:w="2506" w:type="dxa"/>
            <w:tcBorders>
              <w:top w:val="nil"/>
              <w:left w:val="nil"/>
              <w:bottom w:val="nil"/>
              <w:right w:val="nil"/>
            </w:tcBorders>
            <w:shd w:val="clear" w:color="auto" w:fill="auto"/>
            <w:noWrap/>
            <w:vAlign w:val="bottom"/>
            <w:hideMark/>
          </w:tcPr>
          <w:p w14:paraId="3A64EE1F" w14:textId="77777777" w:rsidR="00BA0D82" w:rsidRPr="0005691D" w:rsidRDefault="00BA0D82" w:rsidP="001A5653">
            <w:pPr>
              <w:spacing w:after="0" w:line="240" w:lineRule="auto"/>
              <w:jc w:val="center"/>
              <w:rPr>
                <w:rFonts w:ascii="Calibri" w:eastAsia="Times New Roman" w:hAnsi="Calibri" w:cs="Calibri"/>
                <w:color w:val="000000"/>
              </w:rPr>
            </w:pPr>
          </w:p>
        </w:tc>
        <w:tc>
          <w:tcPr>
            <w:tcW w:w="1165" w:type="dxa"/>
            <w:tcBorders>
              <w:top w:val="nil"/>
              <w:left w:val="nil"/>
              <w:bottom w:val="nil"/>
              <w:right w:val="nil"/>
            </w:tcBorders>
            <w:shd w:val="clear" w:color="auto" w:fill="auto"/>
            <w:noWrap/>
            <w:vAlign w:val="center"/>
            <w:hideMark/>
          </w:tcPr>
          <w:p w14:paraId="4D0FF95F" w14:textId="77777777" w:rsidR="00BA0D82" w:rsidRPr="0005691D" w:rsidRDefault="00BA0D82" w:rsidP="001A5653">
            <w:pPr>
              <w:spacing w:after="0" w:line="240" w:lineRule="auto"/>
              <w:rPr>
                <w:rFonts w:ascii="Times New Roman" w:eastAsia="Times New Roman" w:hAnsi="Times New Roman" w:cs="Times New Roman"/>
                <w:sz w:val="20"/>
                <w:szCs w:val="20"/>
              </w:rPr>
            </w:pPr>
          </w:p>
        </w:tc>
        <w:tc>
          <w:tcPr>
            <w:tcW w:w="1254" w:type="dxa"/>
            <w:tcBorders>
              <w:top w:val="nil"/>
              <w:left w:val="nil"/>
              <w:bottom w:val="nil"/>
              <w:right w:val="nil"/>
            </w:tcBorders>
            <w:shd w:val="clear" w:color="auto" w:fill="auto"/>
            <w:noWrap/>
            <w:vAlign w:val="center"/>
            <w:hideMark/>
          </w:tcPr>
          <w:p w14:paraId="78DE9C35"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c>
          <w:tcPr>
            <w:tcW w:w="897" w:type="dxa"/>
            <w:tcBorders>
              <w:top w:val="nil"/>
              <w:left w:val="nil"/>
              <w:bottom w:val="nil"/>
              <w:right w:val="nil"/>
            </w:tcBorders>
            <w:shd w:val="clear" w:color="auto" w:fill="auto"/>
            <w:noWrap/>
            <w:vAlign w:val="center"/>
            <w:hideMark/>
          </w:tcPr>
          <w:p w14:paraId="0F1B9046"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c>
          <w:tcPr>
            <w:tcW w:w="897" w:type="dxa"/>
            <w:tcBorders>
              <w:top w:val="nil"/>
              <w:left w:val="nil"/>
              <w:bottom w:val="nil"/>
              <w:right w:val="nil"/>
            </w:tcBorders>
            <w:shd w:val="clear" w:color="auto" w:fill="auto"/>
            <w:noWrap/>
            <w:vAlign w:val="center"/>
            <w:hideMark/>
          </w:tcPr>
          <w:p w14:paraId="2F7A7A03"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c>
          <w:tcPr>
            <w:tcW w:w="892" w:type="dxa"/>
            <w:tcBorders>
              <w:top w:val="nil"/>
              <w:left w:val="nil"/>
              <w:bottom w:val="nil"/>
              <w:right w:val="nil"/>
            </w:tcBorders>
            <w:shd w:val="clear" w:color="auto" w:fill="auto"/>
            <w:noWrap/>
            <w:vAlign w:val="center"/>
            <w:hideMark/>
          </w:tcPr>
          <w:p w14:paraId="08A7A1DB"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c>
          <w:tcPr>
            <w:tcW w:w="1063" w:type="dxa"/>
            <w:tcBorders>
              <w:top w:val="nil"/>
              <w:left w:val="nil"/>
              <w:bottom w:val="nil"/>
              <w:right w:val="nil"/>
            </w:tcBorders>
            <w:shd w:val="clear" w:color="auto" w:fill="auto"/>
            <w:noWrap/>
            <w:vAlign w:val="center"/>
            <w:hideMark/>
          </w:tcPr>
          <w:p w14:paraId="21F8FD17"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c>
          <w:tcPr>
            <w:tcW w:w="1063" w:type="dxa"/>
            <w:tcBorders>
              <w:top w:val="nil"/>
              <w:left w:val="nil"/>
              <w:bottom w:val="nil"/>
              <w:right w:val="nil"/>
            </w:tcBorders>
            <w:shd w:val="clear" w:color="auto" w:fill="auto"/>
            <w:noWrap/>
            <w:vAlign w:val="center"/>
            <w:hideMark/>
          </w:tcPr>
          <w:p w14:paraId="68122D7A"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c>
          <w:tcPr>
            <w:tcW w:w="1063" w:type="dxa"/>
            <w:tcBorders>
              <w:top w:val="nil"/>
              <w:left w:val="nil"/>
              <w:bottom w:val="nil"/>
              <w:right w:val="nil"/>
            </w:tcBorders>
            <w:shd w:val="clear" w:color="auto" w:fill="auto"/>
            <w:noWrap/>
            <w:vAlign w:val="center"/>
            <w:hideMark/>
          </w:tcPr>
          <w:p w14:paraId="1C677E29"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r>
    </w:tbl>
    <w:p w14:paraId="79717378" w14:textId="77777777" w:rsidR="00BC793A" w:rsidRDefault="00BC793A">
      <w:bookmarkStart w:id="275" w:name="_Toc27143227"/>
      <w:r>
        <w:rPr>
          <w:b/>
        </w:rPr>
        <w:br w:type="page"/>
      </w:r>
    </w:p>
    <w:tbl>
      <w:tblPr>
        <w:tblW w:w="10800" w:type="dxa"/>
        <w:tblLook w:val="04A0" w:firstRow="1" w:lastRow="0" w:firstColumn="1" w:lastColumn="0" w:noHBand="0" w:noVBand="1"/>
      </w:tblPr>
      <w:tblGrid>
        <w:gridCol w:w="2506"/>
        <w:gridCol w:w="1165"/>
        <w:gridCol w:w="1254"/>
        <w:gridCol w:w="897"/>
        <w:gridCol w:w="897"/>
        <w:gridCol w:w="892"/>
        <w:gridCol w:w="1063"/>
        <w:gridCol w:w="1063"/>
        <w:gridCol w:w="1063"/>
      </w:tblGrid>
      <w:tr w:rsidR="00BA0D82" w:rsidRPr="0005691D" w14:paraId="2F223383" w14:textId="77777777" w:rsidTr="00BC793A">
        <w:trPr>
          <w:trHeight w:val="465"/>
        </w:trPr>
        <w:tc>
          <w:tcPr>
            <w:tcW w:w="10800" w:type="dxa"/>
            <w:gridSpan w:val="9"/>
            <w:tcBorders>
              <w:top w:val="single" w:sz="4" w:space="0" w:color="auto"/>
              <w:left w:val="nil"/>
              <w:bottom w:val="single" w:sz="4" w:space="0" w:color="auto"/>
              <w:right w:val="nil"/>
            </w:tcBorders>
            <w:shd w:val="clear" w:color="auto" w:fill="auto"/>
            <w:noWrap/>
            <w:vAlign w:val="bottom"/>
            <w:hideMark/>
          </w:tcPr>
          <w:p w14:paraId="749910B0" w14:textId="519FC5BB" w:rsidR="00BA0D82" w:rsidRPr="0005691D" w:rsidRDefault="00BA0D82" w:rsidP="00BA0D82">
            <w:pPr>
              <w:pStyle w:val="Heading2"/>
              <w:numPr>
                <w:ilvl w:val="0"/>
                <w:numId w:val="0"/>
              </w:numPr>
              <w:rPr>
                <w:rFonts w:eastAsia="Times New Roman"/>
              </w:rPr>
            </w:pPr>
            <w:bookmarkStart w:id="276" w:name="_Toc28011526"/>
            <w:r w:rsidRPr="0005691D">
              <w:rPr>
                <w:rFonts w:eastAsia="Times New Roman"/>
              </w:rPr>
              <w:lastRenderedPageBreak/>
              <w:t>Virginia General</w:t>
            </w:r>
            <w:bookmarkEnd w:id="275"/>
            <w:bookmarkEnd w:id="276"/>
          </w:p>
        </w:tc>
      </w:tr>
      <w:tr w:rsidR="00BA0D82" w:rsidRPr="0005691D" w14:paraId="6162B23F" w14:textId="77777777" w:rsidTr="00BC793A">
        <w:trPr>
          <w:trHeight w:val="1305"/>
        </w:trPr>
        <w:tc>
          <w:tcPr>
            <w:tcW w:w="2506" w:type="dxa"/>
            <w:tcBorders>
              <w:top w:val="nil"/>
              <w:left w:val="single" w:sz="4" w:space="0" w:color="auto"/>
              <w:bottom w:val="single" w:sz="4" w:space="0" w:color="auto"/>
              <w:right w:val="single" w:sz="4" w:space="0" w:color="auto"/>
            </w:tcBorders>
            <w:shd w:val="clear" w:color="000000" w:fill="B4C6E7"/>
            <w:vAlign w:val="bottom"/>
            <w:hideMark/>
          </w:tcPr>
          <w:p w14:paraId="4E1F00EE" w14:textId="77777777" w:rsidR="00BA0D82" w:rsidRPr="0005691D" w:rsidRDefault="00BA0D82" w:rsidP="001A5653">
            <w:pPr>
              <w:spacing w:after="0" w:line="240" w:lineRule="auto"/>
              <w:jc w:val="right"/>
              <w:rPr>
                <w:rFonts w:ascii="Calibri" w:eastAsia="Times New Roman" w:hAnsi="Calibri" w:cs="Calibri"/>
                <w:b/>
                <w:bCs/>
                <w:color w:val="000000"/>
                <w:szCs w:val="28"/>
              </w:rPr>
            </w:pPr>
            <w:r w:rsidRPr="0005691D">
              <w:rPr>
                <w:rFonts w:ascii="Calibri" w:eastAsia="Times New Roman" w:hAnsi="Calibri" w:cs="Calibri"/>
                <w:b/>
                <w:bCs/>
                <w:color w:val="000000"/>
                <w:szCs w:val="28"/>
              </w:rPr>
              <w:t>Area</w:t>
            </w:r>
          </w:p>
        </w:tc>
        <w:tc>
          <w:tcPr>
            <w:tcW w:w="1165" w:type="dxa"/>
            <w:tcBorders>
              <w:top w:val="nil"/>
              <w:left w:val="nil"/>
              <w:bottom w:val="single" w:sz="4" w:space="0" w:color="auto"/>
              <w:right w:val="single" w:sz="4" w:space="0" w:color="auto"/>
            </w:tcBorders>
            <w:shd w:val="clear" w:color="000000" w:fill="B4C6E7"/>
            <w:vAlign w:val="bottom"/>
            <w:hideMark/>
          </w:tcPr>
          <w:p w14:paraId="16738A39"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of Total Activities</w:t>
            </w:r>
          </w:p>
        </w:tc>
        <w:tc>
          <w:tcPr>
            <w:tcW w:w="1254" w:type="dxa"/>
            <w:tcBorders>
              <w:top w:val="nil"/>
              <w:left w:val="nil"/>
              <w:bottom w:val="single" w:sz="4" w:space="0" w:color="auto"/>
              <w:right w:val="single" w:sz="4" w:space="0" w:color="auto"/>
            </w:tcBorders>
            <w:shd w:val="clear" w:color="000000" w:fill="B4C6E7"/>
            <w:vAlign w:val="bottom"/>
            <w:hideMark/>
          </w:tcPr>
          <w:p w14:paraId="698A656D"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Average Progress on Activities (%)</w:t>
            </w:r>
          </w:p>
        </w:tc>
        <w:tc>
          <w:tcPr>
            <w:tcW w:w="897" w:type="dxa"/>
            <w:tcBorders>
              <w:top w:val="nil"/>
              <w:left w:val="nil"/>
              <w:bottom w:val="single" w:sz="4" w:space="0" w:color="auto"/>
              <w:right w:val="single" w:sz="4" w:space="0" w:color="auto"/>
            </w:tcBorders>
            <w:shd w:val="clear" w:color="000000" w:fill="B4C6E7"/>
            <w:vAlign w:val="bottom"/>
            <w:hideMark/>
          </w:tcPr>
          <w:p w14:paraId="7D61F3B1"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Outputs</w:t>
            </w:r>
          </w:p>
        </w:tc>
        <w:tc>
          <w:tcPr>
            <w:tcW w:w="897" w:type="dxa"/>
            <w:tcBorders>
              <w:top w:val="nil"/>
              <w:left w:val="nil"/>
              <w:bottom w:val="single" w:sz="4" w:space="0" w:color="auto"/>
              <w:right w:val="single" w:sz="4" w:space="0" w:color="auto"/>
            </w:tcBorders>
            <w:shd w:val="clear" w:color="000000" w:fill="B4C6E7"/>
            <w:vAlign w:val="bottom"/>
            <w:hideMark/>
          </w:tcPr>
          <w:p w14:paraId="31CEB920"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Outputs Met</w:t>
            </w:r>
          </w:p>
        </w:tc>
        <w:tc>
          <w:tcPr>
            <w:tcW w:w="892" w:type="dxa"/>
            <w:tcBorders>
              <w:top w:val="nil"/>
              <w:left w:val="nil"/>
              <w:bottom w:val="single" w:sz="4" w:space="0" w:color="auto"/>
              <w:right w:val="single" w:sz="4" w:space="0" w:color="auto"/>
            </w:tcBorders>
            <w:shd w:val="clear" w:color="000000" w:fill="B4C6E7"/>
            <w:vAlign w:val="bottom"/>
            <w:hideMark/>
          </w:tcPr>
          <w:p w14:paraId="62A0C2C9"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Outputs Met</w:t>
            </w:r>
          </w:p>
        </w:tc>
        <w:tc>
          <w:tcPr>
            <w:tcW w:w="1063" w:type="dxa"/>
            <w:tcBorders>
              <w:top w:val="nil"/>
              <w:left w:val="nil"/>
              <w:bottom w:val="single" w:sz="4" w:space="0" w:color="auto"/>
              <w:right w:val="single" w:sz="4" w:space="0" w:color="auto"/>
            </w:tcBorders>
            <w:shd w:val="clear" w:color="000000" w:fill="B4C6E7"/>
            <w:vAlign w:val="bottom"/>
            <w:hideMark/>
          </w:tcPr>
          <w:p w14:paraId="4C5D81C5"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Short-Term Outcomes</w:t>
            </w:r>
          </w:p>
        </w:tc>
        <w:tc>
          <w:tcPr>
            <w:tcW w:w="1063" w:type="dxa"/>
            <w:tcBorders>
              <w:top w:val="nil"/>
              <w:left w:val="nil"/>
              <w:bottom w:val="single" w:sz="4" w:space="0" w:color="auto"/>
              <w:right w:val="single" w:sz="4" w:space="0" w:color="auto"/>
            </w:tcBorders>
            <w:shd w:val="clear" w:color="000000" w:fill="B4C6E7"/>
            <w:vAlign w:val="bottom"/>
            <w:hideMark/>
          </w:tcPr>
          <w:p w14:paraId="3A4839DC"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Short-Term Outcomes Met</w:t>
            </w:r>
          </w:p>
        </w:tc>
        <w:tc>
          <w:tcPr>
            <w:tcW w:w="1063" w:type="dxa"/>
            <w:tcBorders>
              <w:top w:val="nil"/>
              <w:left w:val="nil"/>
              <w:bottom w:val="single" w:sz="4" w:space="0" w:color="auto"/>
              <w:right w:val="single" w:sz="4" w:space="0" w:color="auto"/>
            </w:tcBorders>
            <w:shd w:val="clear" w:color="000000" w:fill="B4C6E7"/>
            <w:vAlign w:val="bottom"/>
            <w:hideMark/>
          </w:tcPr>
          <w:p w14:paraId="7FE077D9"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%Short-Term Outcomes Achieved</w:t>
            </w:r>
          </w:p>
        </w:tc>
      </w:tr>
      <w:tr w:rsidR="00BA0D82" w:rsidRPr="0005691D" w14:paraId="7C59443D" w14:textId="77777777" w:rsidTr="00BC793A">
        <w:trPr>
          <w:trHeight w:val="300"/>
        </w:trPr>
        <w:tc>
          <w:tcPr>
            <w:tcW w:w="2506" w:type="dxa"/>
            <w:tcBorders>
              <w:top w:val="nil"/>
              <w:left w:val="single" w:sz="4" w:space="0" w:color="auto"/>
              <w:bottom w:val="single" w:sz="4" w:space="0" w:color="auto"/>
              <w:right w:val="single" w:sz="4" w:space="0" w:color="auto"/>
            </w:tcBorders>
            <w:shd w:val="clear" w:color="000000" w:fill="B4C6E7"/>
            <w:noWrap/>
            <w:vAlign w:val="center"/>
            <w:hideMark/>
          </w:tcPr>
          <w:p w14:paraId="225D02D0" w14:textId="77777777" w:rsidR="00BA0D82" w:rsidRPr="0005691D" w:rsidRDefault="00BA0D82" w:rsidP="001A5653">
            <w:pPr>
              <w:spacing w:after="0" w:line="240" w:lineRule="auto"/>
              <w:jc w:val="right"/>
              <w:rPr>
                <w:rFonts w:ascii="Calibri" w:eastAsia="Times New Roman" w:hAnsi="Calibri" w:cs="Calibri"/>
                <w:b/>
                <w:bCs/>
                <w:color w:val="000000"/>
              </w:rPr>
            </w:pPr>
            <w:r w:rsidRPr="0005691D">
              <w:rPr>
                <w:rFonts w:ascii="Calibri" w:eastAsia="Times New Roman" w:hAnsi="Calibri" w:cs="Calibri"/>
                <w:b/>
                <w:bCs/>
                <w:color w:val="000000"/>
              </w:rPr>
              <w:t>Pre-ETS</w:t>
            </w:r>
          </w:p>
        </w:tc>
        <w:tc>
          <w:tcPr>
            <w:tcW w:w="1165" w:type="dxa"/>
            <w:tcBorders>
              <w:top w:val="nil"/>
              <w:left w:val="nil"/>
              <w:bottom w:val="single" w:sz="4" w:space="0" w:color="auto"/>
              <w:right w:val="single" w:sz="4" w:space="0" w:color="auto"/>
            </w:tcBorders>
            <w:shd w:val="clear" w:color="000000" w:fill="FFFFFF"/>
            <w:noWrap/>
            <w:vAlign w:val="center"/>
            <w:hideMark/>
          </w:tcPr>
          <w:p w14:paraId="6541BCED"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4</w:t>
            </w:r>
          </w:p>
        </w:tc>
        <w:tc>
          <w:tcPr>
            <w:tcW w:w="1254" w:type="dxa"/>
            <w:tcBorders>
              <w:top w:val="nil"/>
              <w:left w:val="nil"/>
              <w:bottom w:val="single" w:sz="4" w:space="0" w:color="auto"/>
              <w:right w:val="single" w:sz="4" w:space="0" w:color="auto"/>
            </w:tcBorders>
            <w:shd w:val="clear" w:color="000000" w:fill="FFFFFF"/>
            <w:noWrap/>
            <w:vAlign w:val="center"/>
            <w:hideMark/>
          </w:tcPr>
          <w:p w14:paraId="25F9C85C"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44%</w:t>
            </w:r>
          </w:p>
        </w:tc>
        <w:tc>
          <w:tcPr>
            <w:tcW w:w="897" w:type="dxa"/>
            <w:tcBorders>
              <w:top w:val="nil"/>
              <w:left w:val="nil"/>
              <w:bottom w:val="single" w:sz="4" w:space="0" w:color="auto"/>
              <w:right w:val="single" w:sz="4" w:space="0" w:color="auto"/>
            </w:tcBorders>
            <w:shd w:val="clear" w:color="000000" w:fill="FFFFFF"/>
            <w:noWrap/>
            <w:vAlign w:val="center"/>
            <w:hideMark/>
          </w:tcPr>
          <w:p w14:paraId="7A88395A"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4</w:t>
            </w:r>
          </w:p>
        </w:tc>
        <w:tc>
          <w:tcPr>
            <w:tcW w:w="897" w:type="dxa"/>
            <w:tcBorders>
              <w:top w:val="nil"/>
              <w:left w:val="nil"/>
              <w:bottom w:val="single" w:sz="4" w:space="0" w:color="auto"/>
              <w:right w:val="single" w:sz="4" w:space="0" w:color="auto"/>
            </w:tcBorders>
            <w:shd w:val="clear" w:color="000000" w:fill="FFFFFF"/>
            <w:noWrap/>
            <w:vAlign w:val="center"/>
            <w:hideMark/>
          </w:tcPr>
          <w:p w14:paraId="570D19EB"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0</w:t>
            </w:r>
          </w:p>
        </w:tc>
        <w:tc>
          <w:tcPr>
            <w:tcW w:w="892" w:type="dxa"/>
            <w:tcBorders>
              <w:top w:val="nil"/>
              <w:left w:val="nil"/>
              <w:bottom w:val="single" w:sz="4" w:space="0" w:color="auto"/>
              <w:right w:val="single" w:sz="4" w:space="0" w:color="auto"/>
            </w:tcBorders>
            <w:shd w:val="clear" w:color="000000" w:fill="FFFFFF"/>
            <w:noWrap/>
            <w:vAlign w:val="center"/>
            <w:hideMark/>
          </w:tcPr>
          <w:p w14:paraId="2CA83FB0"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0%</w:t>
            </w:r>
          </w:p>
        </w:tc>
        <w:tc>
          <w:tcPr>
            <w:tcW w:w="1063" w:type="dxa"/>
            <w:tcBorders>
              <w:top w:val="nil"/>
              <w:left w:val="nil"/>
              <w:bottom w:val="single" w:sz="4" w:space="0" w:color="auto"/>
              <w:right w:val="single" w:sz="4" w:space="0" w:color="auto"/>
            </w:tcBorders>
            <w:shd w:val="clear" w:color="000000" w:fill="FFFFFF"/>
            <w:noWrap/>
            <w:vAlign w:val="center"/>
            <w:hideMark/>
          </w:tcPr>
          <w:p w14:paraId="4DA00B51"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3</w:t>
            </w:r>
          </w:p>
        </w:tc>
        <w:tc>
          <w:tcPr>
            <w:tcW w:w="1063" w:type="dxa"/>
            <w:tcBorders>
              <w:top w:val="nil"/>
              <w:left w:val="nil"/>
              <w:bottom w:val="single" w:sz="4" w:space="0" w:color="auto"/>
              <w:right w:val="single" w:sz="4" w:space="0" w:color="auto"/>
            </w:tcBorders>
            <w:shd w:val="clear" w:color="000000" w:fill="FFFFFF"/>
            <w:noWrap/>
            <w:vAlign w:val="center"/>
            <w:hideMark/>
          </w:tcPr>
          <w:p w14:paraId="0FDF0E1A"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0</w:t>
            </w:r>
          </w:p>
        </w:tc>
        <w:tc>
          <w:tcPr>
            <w:tcW w:w="1063" w:type="dxa"/>
            <w:tcBorders>
              <w:top w:val="nil"/>
              <w:left w:val="nil"/>
              <w:bottom w:val="single" w:sz="4" w:space="0" w:color="auto"/>
              <w:right w:val="single" w:sz="4" w:space="0" w:color="auto"/>
            </w:tcBorders>
            <w:shd w:val="clear" w:color="000000" w:fill="FFFFFF"/>
            <w:noWrap/>
            <w:vAlign w:val="center"/>
            <w:hideMark/>
          </w:tcPr>
          <w:p w14:paraId="7B2CAF98"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0%</w:t>
            </w:r>
          </w:p>
        </w:tc>
      </w:tr>
      <w:tr w:rsidR="00BA0D82" w:rsidRPr="0005691D" w14:paraId="2E7C142B" w14:textId="77777777" w:rsidTr="00BC793A">
        <w:trPr>
          <w:trHeight w:val="300"/>
        </w:trPr>
        <w:tc>
          <w:tcPr>
            <w:tcW w:w="2506" w:type="dxa"/>
            <w:tcBorders>
              <w:top w:val="nil"/>
              <w:left w:val="single" w:sz="4" w:space="0" w:color="auto"/>
              <w:bottom w:val="single" w:sz="4" w:space="0" w:color="auto"/>
              <w:right w:val="single" w:sz="4" w:space="0" w:color="auto"/>
            </w:tcBorders>
            <w:shd w:val="clear" w:color="000000" w:fill="B4C6E7"/>
            <w:noWrap/>
            <w:vAlign w:val="center"/>
            <w:hideMark/>
          </w:tcPr>
          <w:p w14:paraId="079BD944" w14:textId="77777777" w:rsidR="00BA0D82" w:rsidRPr="0005691D" w:rsidRDefault="00BA0D82" w:rsidP="001A5653">
            <w:pPr>
              <w:spacing w:after="0" w:line="240" w:lineRule="auto"/>
              <w:jc w:val="right"/>
              <w:rPr>
                <w:rFonts w:ascii="Calibri" w:eastAsia="Times New Roman" w:hAnsi="Calibri" w:cs="Calibri"/>
                <w:b/>
                <w:bCs/>
                <w:color w:val="000000"/>
              </w:rPr>
            </w:pPr>
            <w:r w:rsidRPr="0005691D">
              <w:rPr>
                <w:rFonts w:ascii="Calibri" w:eastAsia="Times New Roman" w:hAnsi="Calibri" w:cs="Calibri"/>
                <w:b/>
                <w:bCs/>
                <w:color w:val="000000"/>
              </w:rPr>
              <w:t>Peer Mentoring</w:t>
            </w:r>
          </w:p>
        </w:tc>
        <w:tc>
          <w:tcPr>
            <w:tcW w:w="1165" w:type="dxa"/>
            <w:tcBorders>
              <w:top w:val="nil"/>
              <w:left w:val="nil"/>
              <w:bottom w:val="single" w:sz="4" w:space="0" w:color="auto"/>
              <w:right w:val="single" w:sz="4" w:space="0" w:color="auto"/>
            </w:tcBorders>
            <w:shd w:val="clear" w:color="000000" w:fill="D9E2F3"/>
            <w:noWrap/>
            <w:vAlign w:val="center"/>
            <w:hideMark/>
          </w:tcPr>
          <w:p w14:paraId="00EAB7FC"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4</w:t>
            </w:r>
          </w:p>
        </w:tc>
        <w:tc>
          <w:tcPr>
            <w:tcW w:w="1254" w:type="dxa"/>
            <w:tcBorders>
              <w:top w:val="nil"/>
              <w:left w:val="nil"/>
              <w:bottom w:val="single" w:sz="4" w:space="0" w:color="auto"/>
              <w:right w:val="single" w:sz="4" w:space="0" w:color="auto"/>
            </w:tcBorders>
            <w:shd w:val="clear" w:color="000000" w:fill="D9E2F3"/>
            <w:noWrap/>
            <w:vAlign w:val="center"/>
            <w:hideMark/>
          </w:tcPr>
          <w:p w14:paraId="47A0ED74"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85%</w:t>
            </w:r>
          </w:p>
        </w:tc>
        <w:tc>
          <w:tcPr>
            <w:tcW w:w="897" w:type="dxa"/>
            <w:tcBorders>
              <w:top w:val="nil"/>
              <w:left w:val="nil"/>
              <w:bottom w:val="single" w:sz="4" w:space="0" w:color="auto"/>
              <w:right w:val="single" w:sz="4" w:space="0" w:color="auto"/>
            </w:tcBorders>
            <w:shd w:val="clear" w:color="000000" w:fill="D9E2F3"/>
            <w:noWrap/>
            <w:vAlign w:val="center"/>
            <w:hideMark/>
          </w:tcPr>
          <w:p w14:paraId="03C249BF"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4</w:t>
            </w:r>
          </w:p>
        </w:tc>
        <w:tc>
          <w:tcPr>
            <w:tcW w:w="897" w:type="dxa"/>
            <w:tcBorders>
              <w:top w:val="nil"/>
              <w:left w:val="nil"/>
              <w:bottom w:val="single" w:sz="4" w:space="0" w:color="auto"/>
              <w:right w:val="single" w:sz="4" w:space="0" w:color="auto"/>
            </w:tcBorders>
            <w:shd w:val="clear" w:color="000000" w:fill="D9E2F3"/>
            <w:noWrap/>
            <w:vAlign w:val="center"/>
            <w:hideMark/>
          </w:tcPr>
          <w:p w14:paraId="4F93D1B8"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2</w:t>
            </w:r>
          </w:p>
        </w:tc>
        <w:tc>
          <w:tcPr>
            <w:tcW w:w="892" w:type="dxa"/>
            <w:tcBorders>
              <w:top w:val="nil"/>
              <w:left w:val="nil"/>
              <w:bottom w:val="single" w:sz="4" w:space="0" w:color="auto"/>
              <w:right w:val="single" w:sz="4" w:space="0" w:color="auto"/>
            </w:tcBorders>
            <w:shd w:val="clear" w:color="000000" w:fill="D9E2F3"/>
            <w:noWrap/>
            <w:vAlign w:val="center"/>
            <w:hideMark/>
          </w:tcPr>
          <w:p w14:paraId="74E1558F"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50%</w:t>
            </w:r>
          </w:p>
        </w:tc>
        <w:tc>
          <w:tcPr>
            <w:tcW w:w="1063" w:type="dxa"/>
            <w:tcBorders>
              <w:top w:val="nil"/>
              <w:left w:val="nil"/>
              <w:bottom w:val="single" w:sz="4" w:space="0" w:color="auto"/>
              <w:right w:val="single" w:sz="4" w:space="0" w:color="auto"/>
            </w:tcBorders>
            <w:shd w:val="clear" w:color="000000" w:fill="D9E2F3"/>
            <w:noWrap/>
            <w:vAlign w:val="center"/>
            <w:hideMark/>
          </w:tcPr>
          <w:p w14:paraId="039C475D"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3</w:t>
            </w:r>
          </w:p>
        </w:tc>
        <w:tc>
          <w:tcPr>
            <w:tcW w:w="1063" w:type="dxa"/>
            <w:tcBorders>
              <w:top w:val="nil"/>
              <w:left w:val="nil"/>
              <w:bottom w:val="single" w:sz="4" w:space="0" w:color="auto"/>
              <w:right w:val="single" w:sz="4" w:space="0" w:color="auto"/>
            </w:tcBorders>
            <w:shd w:val="clear" w:color="000000" w:fill="D9E2F3"/>
            <w:noWrap/>
            <w:vAlign w:val="center"/>
            <w:hideMark/>
          </w:tcPr>
          <w:p w14:paraId="1D6A6A5E"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0</w:t>
            </w:r>
          </w:p>
        </w:tc>
        <w:tc>
          <w:tcPr>
            <w:tcW w:w="1063" w:type="dxa"/>
            <w:tcBorders>
              <w:top w:val="nil"/>
              <w:left w:val="nil"/>
              <w:bottom w:val="single" w:sz="4" w:space="0" w:color="auto"/>
              <w:right w:val="single" w:sz="4" w:space="0" w:color="auto"/>
            </w:tcBorders>
            <w:shd w:val="clear" w:color="000000" w:fill="D9E2F3"/>
            <w:noWrap/>
            <w:vAlign w:val="center"/>
            <w:hideMark/>
          </w:tcPr>
          <w:p w14:paraId="167F58BD"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0%</w:t>
            </w:r>
          </w:p>
        </w:tc>
      </w:tr>
      <w:tr w:rsidR="00BA0D82" w:rsidRPr="0005691D" w14:paraId="4991433D" w14:textId="77777777" w:rsidTr="00BC793A">
        <w:trPr>
          <w:trHeight w:val="300"/>
        </w:trPr>
        <w:tc>
          <w:tcPr>
            <w:tcW w:w="2506" w:type="dxa"/>
            <w:tcBorders>
              <w:top w:val="nil"/>
              <w:left w:val="nil"/>
              <w:bottom w:val="nil"/>
              <w:right w:val="nil"/>
            </w:tcBorders>
            <w:shd w:val="clear" w:color="auto" w:fill="auto"/>
            <w:noWrap/>
            <w:vAlign w:val="bottom"/>
            <w:hideMark/>
          </w:tcPr>
          <w:p w14:paraId="691E705D" w14:textId="77777777" w:rsidR="00BA0D82" w:rsidRPr="0005691D" w:rsidRDefault="00BA0D82" w:rsidP="001A5653">
            <w:pPr>
              <w:spacing w:after="0" w:line="240" w:lineRule="auto"/>
              <w:jc w:val="center"/>
              <w:rPr>
                <w:rFonts w:ascii="Calibri" w:eastAsia="Times New Roman" w:hAnsi="Calibri" w:cs="Calibri"/>
                <w:color w:val="000000"/>
              </w:rPr>
            </w:pPr>
          </w:p>
        </w:tc>
        <w:tc>
          <w:tcPr>
            <w:tcW w:w="1165" w:type="dxa"/>
            <w:tcBorders>
              <w:top w:val="nil"/>
              <w:left w:val="nil"/>
              <w:bottom w:val="nil"/>
              <w:right w:val="nil"/>
            </w:tcBorders>
            <w:shd w:val="clear" w:color="auto" w:fill="auto"/>
            <w:noWrap/>
            <w:vAlign w:val="center"/>
            <w:hideMark/>
          </w:tcPr>
          <w:p w14:paraId="4FC98935" w14:textId="77777777" w:rsidR="00BA0D82" w:rsidRPr="0005691D" w:rsidRDefault="00BA0D82" w:rsidP="001A5653">
            <w:pPr>
              <w:spacing w:after="0" w:line="240" w:lineRule="auto"/>
              <w:rPr>
                <w:rFonts w:ascii="Times New Roman" w:eastAsia="Times New Roman" w:hAnsi="Times New Roman" w:cs="Times New Roman"/>
                <w:sz w:val="20"/>
                <w:szCs w:val="20"/>
              </w:rPr>
            </w:pPr>
          </w:p>
        </w:tc>
        <w:tc>
          <w:tcPr>
            <w:tcW w:w="1254" w:type="dxa"/>
            <w:tcBorders>
              <w:top w:val="nil"/>
              <w:left w:val="nil"/>
              <w:bottom w:val="nil"/>
              <w:right w:val="nil"/>
            </w:tcBorders>
            <w:shd w:val="clear" w:color="auto" w:fill="auto"/>
            <w:noWrap/>
            <w:vAlign w:val="center"/>
            <w:hideMark/>
          </w:tcPr>
          <w:p w14:paraId="01A1A5E7"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c>
          <w:tcPr>
            <w:tcW w:w="897" w:type="dxa"/>
            <w:tcBorders>
              <w:top w:val="nil"/>
              <w:left w:val="nil"/>
              <w:bottom w:val="nil"/>
              <w:right w:val="nil"/>
            </w:tcBorders>
            <w:shd w:val="clear" w:color="auto" w:fill="auto"/>
            <w:noWrap/>
            <w:vAlign w:val="center"/>
            <w:hideMark/>
          </w:tcPr>
          <w:p w14:paraId="316634C2"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c>
          <w:tcPr>
            <w:tcW w:w="897" w:type="dxa"/>
            <w:tcBorders>
              <w:top w:val="nil"/>
              <w:left w:val="nil"/>
              <w:bottom w:val="nil"/>
              <w:right w:val="nil"/>
            </w:tcBorders>
            <w:shd w:val="clear" w:color="auto" w:fill="auto"/>
            <w:noWrap/>
            <w:vAlign w:val="center"/>
            <w:hideMark/>
          </w:tcPr>
          <w:p w14:paraId="3902C5E7"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c>
          <w:tcPr>
            <w:tcW w:w="892" w:type="dxa"/>
            <w:tcBorders>
              <w:top w:val="nil"/>
              <w:left w:val="nil"/>
              <w:bottom w:val="nil"/>
              <w:right w:val="nil"/>
            </w:tcBorders>
            <w:shd w:val="clear" w:color="auto" w:fill="auto"/>
            <w:noWrap/>
            <w:vAlign w:val="center"/>
            <w:hideMark/>
          </w:tcPr>
          <w:p w14:paraId="3A6F0293"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c>
          <w:tcPr>
            <w:tcW w:w="1063" w:type="dxa"/>
            <w:tcBorders>
              <w:top w:val="nil"/>
              <w:left w:val="nil"/>
              <w:bottom w:val="nil"/>
              <w:right w:val="nil"/>
            </w:tcBorders>
            <w:shd w:val="clear" w:color="auto" w:fill="auto"/>
            <w:noWrap/>
            <w:vAlign w:val="center"/>
            <w:hideMark/>
          </w:tcPr>
          <w:p w14:paraId="4FC2A6DB"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c>
          <w:tcPr>
            <w:tcW w:w="1063" w:type="dxa"/>
            <w:tcBorders>
              <w:top w:val="nil"/>
              <w:left w:val="nil"/>
              <w:bottom w:val="nil"/>
              <w:right w:val="nil"/>
            </w:tcBorders>
            <w:shd w:val="clear" w:color="auto" w:fill="auto"/>
            <w:noWrap/>
            <w:vAlign w:val="center"/>
            <w:hideMark/>
          </w:tcPr>
          <w:p w14:paraId="7987F726"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c>
          <w:tcPr>
            <w:tcW w:w="1063" w:type="dxa"/>
            <w:tcBorders>
              <w:top w:val="nil"/>
              <w:left w:val="nil"/>
              <w:bottom w:val="nil"/>
              <w:right w:val="nil"/>
            </w:tcBorders>
            <w:shd w:val="clear" w:color="auto" w:fill="auto"/>
            <w:noWrap/>
            <w:vAlign w:val="center"/>
            <w:hideMark/>
          </w:tcPr>
          <w:p w14:paraId="7021539B" w14:textId="77777777" w:rsidR="00BA0D82" w:rsidRPr="0005691D" w:rsidRDefault="00BA0D82" w:rsidP="001A5653">
            <w:pPr>
              <w:spacing w:after="0" w:line="240" w:lineRule="auto"/>
              <w:jc w:val="center"/>
              <w:rPr>
                <w:rFonts w:ascii="Times New Roman" w:eastAsia="Times New Roman" w:hAnsi="Times New Roman" w:cs="Times New Roman"/>
                <w:sz w:val="20"/>
                <w:szCs w:val="20"/>
              </w:rPr>
            </w:pPr>
          </w:p>
        </w:tc>
      </w:tr>
      <w:tr w:rsidR="00BA0D82" w:rsidRPr="0005691D" w14:paraId="369897C6" w14:textId="77777777" w:rsidTr="00BC793A">
        <w:trPr>
          <w:trHeight w:val="465"/>
        </w:trPr>
        <w:tc>
          <w:tcPr>
            <w:tcW w:w="10800" w:type="dxa"/>
            <w:gridSpan w:val="9"/>
            <w:tcBorders>
              <w:top w:val="single" w:sz="4" w:space="0" w:color="auto"/>
              <w:left w:val="nil"/>
              <w:bottom w:val="single" w:sz="4" w:space="0" w:color="auto"/>
              <w:right w:val="nil"/>
            </w:tcBorders>
            <w:shd w:val="clear" w:color="auto" w:fill="auto"/>
            <w:noWrap/>
            <w:vAlign w:val="bottom"/>
            <w:hideMark/>
          </w:tcPr>
          <w:p w14:paraId="64CD6495" w14:textId="77777777" w:rsidR="00BA0D82" w:rsidRPr="0005691D" w:rsidRDefault="00BA0D82" w:rsidP="00BA0D82">
            <w:pPr>
              <w:pStyle w:val="Heading2"/>
              <w:numPr>
                <w:ilvl w:val="0"/>
                <w:numId w:val="0"/>
              </w:numPr>
              <w:rPr>
                <w:rFonts w:eastAsia="Times New Roman"/>
              </w:rPr>
            </w:pPr>
            <w:bookmarkStart w:id="277" w:name="_Toc27143228"/>
            <w:bookmarkStart w:id="278" w:name="_Toc28011527"/>
            <w:r w:rsidRPr="0005691D">
              <w:rPr>
                <w:rFonts w:eastAsia="Times New Roman"/>
              </w:rPr>
              <w:t>Washington General</w:t>
            </w:r>
            <w:bookmarkEnd w:id="277"/>
            <w:bookmarkEnd w:id="278"/>
          </w:p>
        </w:tc>
      </w:tr>
      <w:tr w:rsidR="00BA0D82" w:rsidRPr="0005691D" w14:paraId="40B8AAAC" w14:textId="77777777" w:rsidTr="00BC793A">
        <w:trPr>
          <w:trHeight w:val="1305"/>
        </w:trPr>
        <w:tc>
          <w:tcPr>
            <w:tcW w:w="2506" w:type="dxa"/>
            <w:tcBorders>
              <w:top w:val="nil"/>
              <w:left w:val="single" w:sz="4" w:space="0" w:color="auto"/>
              <w:bottom w:val="single" w:sz="4" w:space="0" w:color="auto"/>
              <w:right w:val="single" w:sz="4" w:space="0" w:color="auto"/>
            </w:tcBorders>
            <w:shd w:val="clear" w:color="000000" w:fill="B4C6E7"/>
            <w:vAlign w:val="bottom"/>
            <w:hideMark/>
          </w:tcPr>
          <w:p w14:paraId="17035322" w14:textId="77777777" w:rsidR="00BA0D82" w:rsidRPr="0005691D" w:rsidRDefault="00BA0D82" w:rsidP="001A5653">
            <w:pPr>
              <w:spacing w:after="0" w:line="240" w:lineRule="auto"/>
              <w:jc w:val="right"/>
              <w:rPr>
                <w:rFonts w:ascii="Calibri" w:eastAsia="Times New Roman" w:hAnsi="Calibri" w:cs="Calibri"/>
                <w:b/>
                <w:bCs/>
                <w:color w:val="000000"/>
                <w:szCs w:val="28"/>
              </w:rPr>
            </w:pPr>
            <w:r w:rsidRPr="0005691D">
              <w:rPr>
                <w:rFonts w:ascii="Calibri" w:eastAsia="Times New Roman" w:hAnsi="Calibri" w:cs="Calibri"/>
                <w:b/>
                <w:bCs/>
                <w:color w:val="000000"/>
                <w:szCs w:val="28"/>
              </w:rPr>
              <w:t>Area</w:t>
            </w:r>
          </w:p>
        </w:tc>
        <w:tc>
          <w:tcPr>
            <w:tcW w:w="1165" w:type="dxa"/>
            <w:tcBorders>
              <w:top w:val="nil"/>
              <w:left w:val="nil"/>
              <w:bottom w:val="single" w:sz="4" w:space="0" w:color="auto"/>
              <w:right w:val="single" w:sz="4" w:space="0" w:color="auto"/>
            </w:tcBorders>
            <w:shd w:val="clear" w:color="000000" w:fill="B4C6E7"/>
            <w:vAlign w:val="bottom"/>
            <w:hideMark/>
          </w:tcPr>
          <w:p w14:paraId="75990EC6"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of Total Activities</w:t>
            </w:r>
          </w:p>
        </w:tc>
        <w:tc>
          <w:tcPr>
            <w:tcW w:w="1254" w:type="dxa"/>
            <w:tcBorders>
              <w:top w:val="nil"/>
              <w:left w:val="nil"/>
              <w:bottom w:val="single" w:sz="4" w:space="0" w:color="auto"/>
              <w:right w:val="single" w:sz="4" w:space="0" w:color="auto"/>
            </w:tcBorders>
            <w:shd w:val="clear" w:color="000000" w:fill="B4C6E7"/>
            <w:vAlign w:val="bottom"/>
            <w:hideMark/>
          </w:tcPr>
          <w:p w14:paraId="0BD8B074"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Average Progress on Activities (%)</w:t>
            </w:r>
          </w:p>
        </w:tc>
        <w:tc>
          <w:tcPr>
            <w:tcW w:w="897" w:type="dxa"/>
            <w:tcBorders>
              <w:top w:val="nil"/>
              <w:left w:val="nil"/>
              <w:bottom w:val="single" w:sz="4" w:space="0" w:color="auto"/>
              <w:right w:val="single" w:sz="4" w:space="0" w:color="auto"/>
            </w:tcBorders>
            <w:shd w:val="clear" w:color="000000" w:fill="B4C6E7"/>
            <w:vAlign w:val="bottom"/>
            <w:hideMark/>
          </w:tcPr>
          <w:p w14:paraId="12F6029F"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Outputs</w:t>
            </w:r>
          </w:p>
        </w:tc>
        <w:tc>
          <w:tcPr>
            <w:tcW w:w="897" w:type="dxa"/>
            <w:tcBorders>
              <w:top w:val="nil"/>
              <w:left w:val="nil"/>
              <w:bottom w:val="single" w:sz="4" w:space="0" w:color="auto"/>
              <w:right w:val="single" w:sz="4" w:space="0" w:color="auto"/>
            </w:tcBorders>
            <w:shd w:val="clear" w:color="000000" w:fill="B4C6E7"/>
            <w:vAlign w:val="bottom"/>
            <w:hideMark/>
          </w:tcPr>
          <w:p w14:paraId="02CF553F"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Outputs Met</w:t>
            </w:r>
          </w:p>
        </w:tc>
        <w:tc>
          <w:tcPr>
            <w:tcW w:w="892" w:type="dxa"/>
            <w:tcBorders>
              <w:top w:val="nil"/>
              <w:left w:val="nil"/>
              <w:bottom w:val="single" w:sz="4" w:space="0" w:color="auto"/>
              <w:right w:val="single" w:sz="4" w:space="0" w:color="auto"/>
            </w:tcBorders>
            <w:shd w:val="clear" w:color="000000" w:fill="B4C6E7"/>
            <w:vAlign w:val="bottom"/>
            <w:hideMark/>
          </w:tcPr>
          <w:p w14:paraId="6706104D"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Outputs Met</w:t>
            </w:r>
          </w:p>
        </w:tc>
        <w:tc>
          <w:tcPr>
            <w:tcW w:w="1063" w:type="dxa"/>
            <w:tcBorders>
              <w:top w:val="nil"/>
              <w:left w:val="nil"/>
              <w:bottom w:val="single" w:sz="4" w:space="0" w:color="auto"/>
              <w:right w:val="single" w:sz="4" w:space="0" w:color="auto"/>
            </w:tcBorders>
            <w:shd w:val="clear" w:color="000000" w:fill="B4C6E7"/>
            <w:vAlign w:val="bottom"/>
            <w:hideMark/>
          </w:tcPr>
          <w:p w14:paraId="6EAC3F93"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Short-Term Outcomes</w:t>
            </w:r>
          </w:p>
        </w:tc>
        <w:tc>
          <w:tcPr>
            <w:tcW w:w="1063" w:type="dxa"/>
            <w:tcBorders>
              <w:top w:val="nil"/>
              <w:left w:val="nil"/>
              <w:bottom w:val="single" w:sz="4" w:space="0" w:color="auto"/>
              <w:right w:val="single" w:sz="4" w:space="0" w:color="auto"/>
            </w:tcBorders>
            <w:shd w:val="clear" w:color="000000" w:fill="B4C6E7"/>
            <w:vAlign w:val="bottom"/>
            <w:hideMark/>
          </w:tcPr>
          <w:p w14:paraId="610FE6EE"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 Short-Term Outcomes Met</w:t>
            </w:r>
          </w:p>
        </w:tc>
        <w:tc>
          <w:tcPr>
            <w:tcW w:w="1063" w:type="dxa"/>
            <w:tcBorders>
              <w:top w:val="nil"/>
              <w:left w:val="nil"/>
              <w:bottom w:val="single" w:sz="4" w:space="0" w:color="auto"/>
              <w:right w:val="single" w:sz="4" w:space="0" w:color="auto"/>
            </w:tcBorders>
            <w:shd w:val="clear" w:color="000000" w:fill="B4C6E7"/>
            <w:vAlign w:val="bottom"/>
            <w:hideMark/>
          </w:tcPr>
          <w:p w14:paraId="3A1B3478" w14:textId="77777777" w:rsidR="00BA0D82" w:rsidRPr="0005691D" w:rsidRDefault="00BA0D82" w:rsidP="001A5653">
            <w:pPr>
              <w:spacing w:after="0" w:line="240" w:lineRule="auto"/>
              <w:jc w:val="center"/>
              <w:rPr>
                <w:rFonts w:ascii="Calibri" w:eastAsia="Times New Roman" w:hAnsi="Calibri" w:cs="Calibri"/>
                <w:b/>
                <w:bCs/>
                <w:color w:val="000000"/>
                <w:sz w:val="20"/>
                <w:szCs w:val="20"/>
              </w:rPr>
            </w:pPr>
            <w:r w:rsidRPr="0005691D">
              <w:rPr>
                <w:rFonts w:ascii="Calibri" w:eastAsia="Times New Roman" w:hAnsi="Calibri" w:cs="Calibri"/>
                <w:b/>
                <w:bCs/>
                <w:color w:val="000000"/>
                <w:sz w:val="20"/>
                <w:szCs w:val="20"/>
              </w:rPr>
              <w:t>%Short-Term Outcomes Achieved</w:t>
            </w:r>
          </w:p>
        </w:tc>
      </w:tr>
      <w:tr w:rsidR="00BA0D82" w:rsidRPr="0005691D" w14:paraId="2389E58A" w14:textId="77777777" w:rsidTr="00BC793A">
        <w:trPr>
          <w:trHeight w:val="300"/>
        </w:trPr>
        <w:tc>
          <w:tcPr>
            <w:tcW w:w="2506" w:type="dxa"/>
            <w:tcBorders>
              <w:top w:val="nil"/>
              <w:left w:val="single" w:sz="4" w:space="0" w:color="auto"/>
              <w:bottom w:val="single" w:sz="4" w:space="0" w:color="auto"/>
              <w:right w:val="single" w:sz="4" w:space="0" w:color="auto"/>
            </w:tcBorders>
            <w:shd w:val="clear" w:color="000000" w:fill="B4C6E7"/>
            <w:noWrap/>
            <w:vAlign w:val="center"/>
            <w:hideMark/>
          </w:tcPr>
          <w:p w14:paraId="0778627A" w14:textId="77777777" w:rsidR="00BA0D82" w:rsidRPr="0005691D" w:rsidRDefault="00BA0D82" w:rsidP="001A5653">
            <w:pPr>
              <w:spacing w:after="0" w:line="240" w:lineRule="auto"/>
              <w:jc w:val="right"/>
              <w:rPr>
                <w:rFonts w:ascii="Calibri" w:eastAsia="Times New Roman" w:hAnsi="Calibri" w:cs="Calibri"/>
                <w:b/>
                <w:bCs/>
                <w:color w:val="000000"/>
              </w:rPr>
            </w:pPr>
            <w:r w:rsidRPr="0005691D">
              <w:rPr>
                <w:rFonts w:ascii="Calibri" w:eastAsia="Times New Roman" w:hAnsi="Calibri" w:cs="Calibri"/>
                <w:b/>
                <w:bCs/>
                <w:color w:val="000000"/>
              </w:rPr>
              <w:t>Business Engagement</w:t>
            </w:r>
          </w:p>
        </w:tc>
        <w:tc>
          <w:tcPr>
            <w:tcW w:w="1165" w:type="dxa"/>
            <w:tcBorders>
              <w:top w:val="nil"/>
              <w:left w:val="nil"/>
              <w:bottom w:val="single" w:sz="4" w:space="0" w:color="auto"/>
              <w:right w:val="single" w:sz="4" w:space="0" w:color="auto"/>
            </w:tcBorders>
            <w:shd w:val="clear" w:color="000000" w:fill="FFFFFF"/>
            <w:noWrap/>
            <w:vAlign w:val="center"/>
            <w:hideMark/>
          </w:tcPr>
          <w:p w14:paraId="30669B91"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6</w:t>
            </w:r>
          </w:p>
        </w:tc>
        <w:tc>
          <w:tcPr>
            <w:tcW w:w="1254" w:type="dxa"/>
            <w:tcBorders>
              <w:top w:val="nil"/>
              <w:left w:val="nil"/>
              <w:bottom w:val="single" w:sz="4" w:space="0" w:color="auto"/>
              <w:right w:val="single" w:sz="4" w:space="0" w:color="auto"/>
            </w:tcBorders>
            <w:shd w:val="clear" w:color="000000" w:fill="FFFFFF"/>
            <w:noWrap/>
            <w:vAlign w:val="center"/>
            <w:hideMark/>
          </w:tcPr>
          <w:p w14:paraId="6B6ADAD2"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13%</w:t>
            </w:r>
          </w:p>
        </w:tc>
        <w:tc>
          <w:tcPr>
            <w:tcW w:w="897" w:type="dxa"/>
            <w:tcBorders>
              <w:top w:val="nil"/>
              <w:left w:val="nil"/>
              <w:bottom w:val="single" w:sz="4" w:space="0" w:color="auto"/>
              <w:right w:val="single" w:sz="4" w:space="0" w:color="auto"/>
            </w:tcBorders>
            <w:shd w:val="clear" w:color="000000" w:fill="FFFFFF"/>
            <w:noWrap/>
            <w:vAlign w:val="center"/>
            <w:hideMark/>
          </w:tcPr>
          <w:p w14:paraId="7D599FA0"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6</w:t>
            </w:r>
          </w:p>
        </w:tc>
        <w:tc>
          <w:tcPr>
            <w:tcW w:w="897" w:type="dxa"/>
            <w:tcBorders>
              <w:top w:val="nil"/>
              <w:left w:val="nil"/>
              <w:bottom w:val="single" w:sz="4" w:space="0" w:color="auto"/>
              <w:right w:val="single" w:sz="4" w:space="0" w:color="auto"/>
            </w:tcBorders>
            <w:shd w:val="clear" w:color="000000" w:fill="FFFFFF"/>
            <w:noWrap/>
            <w:vAlign w:val="center"/>
            <w:hideMark/>
          </w:tcPr>
          <w:p w14:paraId="724DA858"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0</w:t>
            </w:r>
          </w:p>
        </w:tc>
        <w:tc>
          <w:tcPr>
            <w:tcW w:w="892" w:type="dxa"/>
            <w:tcBorders>
              <w:top w:val="nil"/>
              <w:left w:val="nil"/>
              <w:bottom w:val="single" w:sz="4" w:space="0" w:color="auto"/>
              <w:right w:val="single" w:sz="4" w:space="0" w:color="auto"/>
            </w:tcBorders>
            <w:shd w:val="clear" w:color="000000" w:fill="FFFFFF"/>
            <w:noWrap/>
            <w:vAlign w:val="center"/>
            <w:hideMark/>
          </w:tcPr>
          <w:p w14:paraId="2840357A"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0%</w:t>
            </w:r>
          </w:p>
        </w:tc>
        <w:tc>
          <w:tcPr>
            <w:tcW w:w="1063" w:type="dxa"/>
            <w:tcBorders>
              <w:top w:val="nil"/>
              <w:left w:val="nil"/>
              <w:bottom w:val="single" w:sz="4" w:space="0" w:color="auto"/>
              <w:right w:val="single" w:sz="4" w:space="0" w:color="auto"/>
            </w:tcBorders>
            <w:shd w:val="clear" w:color="000000" w:fill="FFFFFF"/>
            <w:noWrap/>
            <w:vAlign w:val="center"/>
            <w:hideMark/>
          </w:tcPr>
          <w:p w14:paraId="42504663"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3</w:t>
            </w:r>
          </w:p>
        </w:tc>
        <w:tc>
          <w:tcPr>
            <w:tcW w:w="1063" w:type="dxa"/>
            <w:tcBorders>
              <w:top w:val="nil"/>
              <w:left w:val="nil"/>
              <w:bottom w:val="single" w:sz="4" w:space="0" w:color="auto"/>
              <w:right w:val="single" w:sz="4" w:space="0" w:color="auto"/>
            </w:tcBorders>
            <w:shd w:val="clear" w:color="000000" w:fill="FFFFFF"/>
            <w:noWrap/>
            <w:vAlign w:val="center"/>
            <w:hideMark/>
          </w:tcPr>
          <w:p w14:paraId="1CA91F3B"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0</w:t>
            </w:r>
          </w:p>
        </w:tc>
        <w:tc>
          <w:tcPr>
            <w:tcW w:w="1063" w:type="dxa"/>
            <w:tcBorders>
              <w:top w:val="nil"/>
              <w:left w:val="nil"/>
              <w:bottom w:val="single" w:sz="4" w:space="0" w:color="auto"/>
              <w:right w:val="single" w:sz="4" w:space="0" w:color="auto"/>
            </w:tcBorders>
            <w:shd w:val="clear" w:color="000000" w:fill="FFFFFF"/>
            <w:noWrap/>
            <w:vAlign w:val="center"/>
            <w:hideMark/>
          </w:tcPr>
          <w:p w14:paraId="1F1FD70E" w14:textId="77777777" w:rsidR="00BA0D82" w:rsidRPr="0005691D" w:rsidRDefault="00BA0D82" w:rsidP="001A5653">
            <w:pPr>
              <w:spacing w:after="0" w:line="240" w:lineRule="auto"/>
              <w:jc w:val="center"/>
              <w:rPr>
                <w:rFonts w:ascii="Calibri" w:eastAsia="Times New Roman" w:hAnsi="Calibri" w:cs="Calibri"/>
                <w:color w:val="000000"/>
              </w:rPr>
            </w:pPr>
            <w:r w:rsidRPr="0005691D">
              <w:rPr>
                <w:rFonts w:ascii="Calibri" w:eastAsia="Times New Roman" w:hAnsi="Calibri" w:cs="Calibri"/>
                <w:color w:val="000000"/>
              </w:rPr>
              <w:t>0%</w:t>
            </w:r>
          </w:p>
        </w:tc>
      </w:tr>
    </w:tbl>
    <w:p w14:paraId="61B8C705" w14:textId="77777777" w:rsidR="00D27D05" w:rsidRDefault="00D27D05" w:rsidP="00CE02FE">
      <w:pPr>
        <w:sectPr w:rsidR="00D27D05" w:rsidSect="00D27D05">
          <w:pgSz w:w="12240" w:h="15840"/>
          <w:pgMar w:top="720" w:right="720" w:bottom="720" w:left="720" w:header="720" w:footer="720" w:gutter="0"/>
          <w:pgBorders w:offsetFrom="page">
            <w:top w:val="thinThickSmallGap" w:sz="24" w:space="24" w:color="2F5496" w:themeColor="accent1" w:themeShade="BF"/>
            <w:left w:val="thinThickSmallGap" w:sz="24" w:space="24" w:color="2F5496" w:themeColor="accent1" w:themeShade="BF"/>
            <w:bottom w:val="thickThinSmallGap" w:sz="24" w:space="24" w:color="2F5496" w:themeColor="accent1" w:themeShade="BF"/>
            <w:right w:val="thickThinSmallGap" w:sz="24" w:space="24" w:color="2F5496" w:themeColor="accent1" w:themeShade="BF"/>
          </w:pgBorders>
          <w:pgNumType w:start="1"/>
          <w:cols w:space="720"/>
          <w:docGrid w:linePitch="381"/>
        </w:sectPr>
      </w:pPr>
    </w:p>
    <w:p w14:paraId="79C790BF" w14:textId="5E2DA15F" w:rsidR="00D27D05" w:rsidRPr="00D27D05" w:rsidRDefault="00D27D05" w:rsidP="00D27D05">
      <w:pPr>
        <w:pStyle w:val="Heading1"/>
        <w:numPr>
          <w:ilvl w:val="0"/>
          <w:numId w:val="0"/>
        </w:numPr>
        <w:pBdr>
          <w:bottom w:val="single" w:sz="18" w:space="1" w:color="auto"/>
        </w:pBdr>
        <w:shd w:val="clear" w:color="auto" w:fill="FFFFFF" w:themeFill="background1"/>
        <w:jc w:val="left"/>
        <w:rPr>
          <w:caps w:val="0"/>
          <w:sz w:val="28"/>
          <w:szCs w:val="28"/>
        </w:rPr>
      </w:pPr>
      <w:bookmarkStart w:id="279" w:name="_Toc28011528"/>
      <w:r w:rsidRPr="00D27D05">
        <w:rPr>
          <w:caps w:val="0"/>
          <w:sz w:val="28"/>
          <w:szCs w:val="28"/>
        </w:rPr>
        <w:lastRenderedPageBreak/>
        <w:t>Appendix B Customized Employment Pilot</w:t>
      </w:r>
      <w:r>
        <w:rPr>
          <w:caps w:val="0"/>
          <w:sz w:val="28"/>
          <w:szCs w:val="28"/>
        </w:rPr>
        <w:t xml:space="preserve"> </w:t>
      </w:r>
      <w:r w:rsidRPr="00D27D05">
        <w:rPr>
          <w:caps w:val="0"/>
          <w:sz w:val="28"/>
          <w:szCs w:val="28"/>
        </w:rPr>
        <w:t>Data Report</w:t>
      </w:r>
      <w:bookmarkEnd w:id="279"/>
    </w:p>
    <w:tbl>
      <w:tblPr>
        <w:tblW w:w="11483" w:type="dxa"/>
        <w:tblLook w:val="04A0" w:firstRow="1" w:lastRow="0" w:firstColumn="1" w:lastColumn="0" w:noHBand="0" w:noVBand="1"/>
      </w:tblPr>
      <w:tblGrid>
        <w:gridCol w:w="1890"/>
        <w:gridCol w:w="1592"/>
        <w:gridCol w:w="3718"/>
        <w:gridCol w:w="3839"/>
        <w:gridCol w:w="222"/>
        <w:gridCol w:w="222"/>
      </w:tblGrid>
      <w:tr w:rsidR="00023A51" w:rsidRPr="00023A51" w14:paraId="4571BA76" w14:textId="77777777" w:rsidTr="00023A51">
        <w:trPr>
          <w:trHeight w:val="375"/>
        </w:trPr>
        <w:tc>
          <w:tcPr>
            <w:tcW w:w="11483" w:type="dxa"/>
            <w:gridSpan w:val="6"/>
            <w:tcBorders>
              <w:top w:val="nil"/>
              <w:left w:val="nil"/>
              <w:bottom w:val="nil"/>
              <w:right w:val="nil"/>
            </w:tcBorders>
            <w:shd w:val="clear" w:color="auto" w:fill="auto"/>
            <w:noWrap/>
            <w:vAlign w:val="bottom"/>
            <w:hideMark/>
          </w:tcPr>
          <w:p w14:paraId="1B3B1A6E" w14:textId="77777777" w:rsidR="00023A51" w:rsidRPr="00023A51" w:rsidRDefault="00023A51" w:rsidP="00023A51">
            <w:pPr>
              <w:spacing w:after="0" w:line="240" w:lineRule="auto"/>
              <w:rPr>
                <w:rFonts w:ascii="Arial" w:eastAsia="Times New Roman" w:hAnsi="Arial" w:cs="Arial"/>
                <w:b/>
                <w:bCs/>
                <w:color w:val="000000"/>
                <w:sz w:val="28"/>
                <w:szCs w:val="28"/>
              </w:rPr>
            </w:pPr>
            <w:r w:rsidRPr="00023A51">
              <w:rPr>
                <w:rFonts w:ascii="Arial" w:eastAsia="Times New Roman" w:hAnsi="Arial" w:cs="Arial"/>
                <w:b/>
                <w:bCs/>
                <w:color w:val="000000"/>
                <w:sz w:val="28"/>
                <w:szCs w:val="28"/>
              </w:rPr>
              <w:t>WINTAC Customized Employment Pilots - Data Entry</w:t>
            </w:r>
          </w:p>
        </w:tc>
      </w:tr>
      <w:tr w:rsidR="00023A51" w:rsidRPr="00023A51" w14:paraId="7B597FC5" w14:textId="77777777" w:rsidTr="00023A51">
        <w:trPr>
          <w:trHeight w:val="405"/>
        </w:trPr>
        <w:tc>
          <w:tcPr>
            <w:tcW w:w="1890" w:type="dxa"/>
            <w:tcBorders>
              <w:top w:val="nil"/>
              <w:left w:val="nil"/>
              <w:bottom w:val="nil"/>
              <w:right w:val="single" w:sz="12" w:space="0" w:color="000000"/>
            </w:tcBorders>
            <w:shd w:val="clear" w:color="auto" w:fill="auto"/>
            <w:noWrap/>
            <w:vAlign w:val="bottom"/>
            <w:hideMark/>
          </w:tcPr>
          <w:p w14:paraId="370B2C2A" w14:textId="77777777" w:rsidR="00023A51" w:rsidRPr="00023A51" w:rsidRDefault="00023A51" w:rsidP="00023A51">
            <w:pPr>
              <w:spacing w:after="0" w:line="240" w:lineRule="auto"/>
              <w:rPr>
                <w:rFonts w:ascii="Calibri" w:eastAsia="Times New Roman" w:hAnsi="Calibri" w:cs="Calibri"/>
                <w:b/>
                <w:bCs/>
                <w:color w:val="000000"/>
                <w:sz w:val="28"/>
                <w:szCs w:val="28"/>
              </w:rPr>
            </w:pPr>
            <w:r w:rsidRPr="00023A51">
              <w:rPr>
                <w:rFonts w:ascii="Calibri" w:eastAsia="Times New Roman" w:hAnsi="Calibri" w:cs="Calibri"/>
                <w:b/>
                <w:bCs/>
                <w:color w:val="000000"/>
                <w:sz w:val="28"/>
                <w:szCs w:val="28"/>
              </w:rPr>
              <w:t>AGENCY</w:t>
            </w:r>
          </w:p>
        </w:tc>
        <w:tc>
          <w:tcPr>
            <w:tcW w:w="5310" w:type="dxa"/>
            <w:gridSpan w:val="2"/>
            <w:tcBorders>
              <w:top w:val="single" w:sz="12" w:space="0" w:color="000000"/>
              <w:left w:val="nil"/>
              <w:bottom w:val="single" w:sz="12" w:space="0" w:color="000000"/>
              <w:right w:val="single" w:sz="12" w:space="0" w:color="000000"/>
            </w:tcBorders>
            <w:shd w:val="clear" w:color="auto" w:fill="auto"/>
            <w:noWrap/>
            <w:vAlign w:val="bottom"/>
            <w:hideMark/>
          </w:tcPr>
          <w:p w14:paraId="42AA254B" w14:textId="77777777" w:rsidR="00023A51" w:rsidRPr="00023A51" w:rsidRDefault="00023A51" w:rsidP="00023A51">
            <w:pPr>
              <w:spacing w:after="0" w:line="240" w:lineRule="auto"/>
              <w:rPr>
                <w:rFonts w:ascii="Arial" w:eastAsia="Times New Roman" w:hAnsi="Arial" w:cs="Arial"/>
                <w:b/>
                <w:bCs/>
                <w:color w:val="000000"/>
                <w:sz w:val="28"/>
                <w:szCs w:val="28"/>
              </w:rPr>
            </w:pPr>
            <w:r w:rsidRPr="00023A51">
              <w:rPr>
                <w:rFonts w:ascii="Arial" w:eastAsia="Times New Roman" w:hAnsi="Arial" w:cs="Arial"/>
                <w:b/>
                <w:bCs/>
                <w:color w:val="000000"/>
                <w:sz w:val="28"/>
                <w:szCs w:val="28"/>
              </w:rPr>
              <w:t>SAMPLE</w:t>
            </w:r>
          </w:p>
        </w:tc>
        <w:tc>
          <w:tcPr>
            <w:tcW w:w="3839" w:type="dxa"/>
            <w:tcBorders>
              <w:top w:val="nil"/>
              <w:left w:val="nil"/>
              <w:bottom w:val="nil"/>
              <w:right w:val="nil"/>
            </w:tcBorders>
            <w:shd w:val="clear" w:color="auto" w:fill="auto"/>
            <w:noWrap/>
            <w:vAlign w:val="bottom"/>
            <w:hideMark/>
          </w:tcPr>
          <w:p w14:paraId="14658684" w14:textId="77777777" w:rsidR="00023A51" w:rsidRPr="00023A51" w:rsidRDefault="00023A51" w:rsidP="00023A51">
            <w:pPr>
              <w:spacing w:after="0" w:line="240" w:lineRule="auto"/>
              <w:rPr>
                <w:rFonts w:ascii="Arial" w:eastAsia="Times New Roman" w:hAnsi="Arial" w:cs="Arial"/>
                <w:b/>
                <w:bCs/>
                <w:color w:val="000000"/>
                <w:sz w:val="28"/>
                <w:szCs w:val="28"/>
              </w:rPr>
            </w:pPr>
          </w:p>
        </w:tc>
        <w:tc>
          <w:tcPr>
            <w:tcW w:w="222" w:type="dxa"/>
            <w:tcBorders>
              <w:top w:val="nil"/>
              <w:left w:val="nil"/>
              <w:bottom w:val="nil"/>
              <w:right w:val="nil"/>
            </w:tcBorders>
            <w:shd w:val="clear" w:color="auto" w:fill="auto"/>
            <w:noWrap/>
            <w:vAlign w:val="bottom"/>
            <w:hideMark/>
          </w:tcPr>
          <w:p w14:paraId="15E62862" w14:textId="77777777" w:rsidR="00023A51" w:rsidRPr="00023A51" w:rsidRDefault="00023A51" w:rsidP="00023A51">
            <w:pPr>
              <w:spacing w:after="0" w:line="240" w:lineRule="auto"/>
              <w:rPr>
                <w:rFonts w:ascii="Times New Roman" w:eastAsia="Times New Roman" w:hAnsi="Times New Roman" w:cs="Times New Roman"/>
                <w:sz w:val="20"/>
                <w:szCs w:val="20"/>
              </w:rPr>
            </w:pPr>
          </w:p>
        </w:tc>
        <w:tc>
          <w:tcPr>
            <w:tcW w:w="222" w:type="dxa"/>
            <w:tcBorders>
              <w:top w:val="nil"/>
              <w:left w:val="nil"/>
              <w:bottom w:val="nil"/>
              <w:right w:val="nil"/>
            </w:tcBorders>
            <w:shd w:val="clear" w:color="auto" w:fill="auto"/>
            <w:noWrap/>
            <w:vAlign w:val="bottom"/>
            <w:hideMark/>
          </w:tcPr>
          <w:p w14:paraId="39A7F472" w14:textId="77777777" w:rsidR="00023A51" w:rsidRPr="00023A51" w:rsidRDefault="00023A51" w:rsidP="00023A51">
            <w:pPr>
              <w:spacing w:after="0" w:line="240" w:lineRule="auto"/>
              <w:rPr>
                <w:rFonts w:ascii="Times New Roman" w:eastAsia="Times New Roman" w:hAnsi="Times New Roman" w:cs="Times New Roman"/>
                <w:sz w:val="20"/>
                <w:szCs w:val="20"/>
              </w:rPr>
            </w:pPr>
          </w:p>
        </w:tc>
      </w:tr>
      <w:tr w:rsidR="00023A51" w:rsidRPr="00023A51" w14:paraId="01B3D707" w14:textId="77777777" w:rsidTr="00023A51">
        <w:trPr>
          <w:trHeight w:val="405"/>
        </w:trPr>
        <w:tc>
          <w:tcPr>
            <w:tcW w:w="1890" w:type="dxa"/>
            <w:tcBorders>
              <w:top w:val="nil"/>
              <w:left w:val="nil"/>
              <w:bottom w:val="single" w:sz="12" w:space="0" w:color="434343"/>
              <w:right w:val="single" w:sz="12" w:space="0" w:color="000000"/>
            </w:tcBorders>
            <w:shd w:val="clear" w:color="auto" w:fill="auto"/>
            <w:noWrap/>
            <w:vAlign w:val="bottom"/>
            <w:hideMark/>
          </w:tcPr>
          <w:p w14:paraId="338797E9" w14:textId="77777777" w:rsidR="00023A51" w:rsidRPr="00023A51" w:rsidRDefault="00023A51" w:rsidP="00023A51">
            <w:pPr>
              <w:spacing w:after="0" w:line="240" w:lineRule="auto"/>
              <w:rPr>
                <w:rFonts w:ascii="Calibri" w:eastAsia="Times New Roman" w:hAnsi="Calibri" w:cs="Calibri"/>
                <w:b/>
                <w:bCs/>
                <w:color w:val="000000"/>
                <w:sz w:val="28"/>
                <w:szCs w:val="28"/>
              </w:rPr>
            </w:pPr>
            <w:r w:rsidRPr="00023A51">
              <w:rPr>
                <w:rFonts w:ascii="Calibri" w:eastAsia="Times New Roman" w:hAnsi="Calibri" w:cs="Calibri"/>
                <w:b/>
                <w:bCs/>
                <w:color w:val="000000"/>
                <w:sz w:val="28"/>
                <w:szCs w:val="28"/>
              </w:rPr>
              <w:t>DATE</w:t>
            </w:r>
          </w:p>
        </w:tc>
        <w:tc>
          <w:tcPr>
            <w:tcW w:w="1592" w:type="dxa"/>
            <w:tcBorders>
              <w:top w:val="nil"/>
              <w:left w:val="nil"/>
              <w:bottom w:val="single" w:sz="12" w:space="0" w:color="000000"/>
              <w:right w:val="single" w:sz="12" w:space="0" w:color="000000"/>
            </w:tcBorders>
            <w:shd w:val="clear" w:color="auto" w:fill="auto"/>
            <w:noWrap/>
            <w:vAlign w:val="bottom"/>
            <w:hideMark/>
          </w:tcPr>
          <w:p w14:paraId="73DB9C7C" w14:textId="77777777" w:rsidR="00023A51" w:rsidRPr="00023A51" w:rsidRDefault="00023A51" w:rsidP="00023A51">
            <w:pPr>
              <w:spacing w:after="0" w:line="240" w:lineRule="auto"/>
              <w:jc w:val="right"/>
              <w:rPr>
                <w:rFonts w:ascii="Calibri" w:eastAsia="Times New Roman" w:hAnsi="Calibri" w:cs="Calibri"/>
                <w:b/>
                <w:bCs/>
                <w:color w:val="000000"/>
                <w:sz w:val="28"/>
                <w:szCs w:val="28"/>
              </w:rPr>
            </w:pPr>
            <w:r w:rsidRPr="00023A51">
              <w:rPr>
                <w:rFonts w:ascii="Calibri" w:eastAsia="Times New Roman" w:hAnsi="Calibri" w:cs="Calibri"/>
                <w:b/>
                <w:bCs/>
                <w:color w:val="000000"/>
                <w:sz w:val="28"/>
                <w:szCs w:val="28"/>
              </w:rPr>
              <w:t>11/18/2019</w:t>
            </w:r>
          </w:p>
        </w:tc>
        <w:tc>
          <w:tcPr>
            <w:tcW w:w="3718" w:type="dxa"/>
            <w:tcBorders>
              <w:top w:val="nil"/>
              <w:left w:val="nil"/>
              <w:bottom w:val="single" w:sz="12" w:space="0" w:color="434343"/>
              <w:right w:val="nil"/>
            </w:tcBorders>
            <w:shd w:val="clear" w:color="auto" w:fill="auto"/>
            <w:noWrap/>
            <w:vAlign w:val="bottom"/>
            <w:hideMark/>
          </w:tcPr>
          <w:p w14:paraId="4B0F2EE4" w14:textId="77777777" w:rsidR="00023A51" w:rsidRPr="00023A51" w:rsidRDefault="00023A51" w:rsidP="00023A51">
            <w:pPr>
              <w:spacing w:after="0" w:line="240" w:lineRule="auto"/>
              <w:rPr>
                <w:rFonts w:ascii="Calibri" w:eastAsia="Times New Roman" w:hAnsi="Calibri" w:cs="Calibri"/>
                <w:b/>
                <w:bCs/>
                <w:color w:val="000000"/>
                <w:sz w:val="28"/>
                <w:szCs w:val="28"/>
              </w:rPr>
            </w:pPr>
            <w:r w:rsidRPr="00023A51">
              <w:rPr>
                <w:rFonts w:ascii="Calibri" w:eastAsia="Times New Roman" w:hAnsi="Calibri" w:cs="Calibri"/>
                <w:b/>
                <w:bCs/>
                <w:color w:val="000000"/>
                <w:sz w:val="28"/>
                <w:szCs w:val="28"/>
              </w:rPr>
              <w:t> </w:t>
            </w:r>
          </w:p>
        </w:tc>
        <w:tc>
          <w:tcPr>
            <w:tcW w:w="3839" w:type="dxa"/>
            <w:tcBorders>
              <w:top w:val="nil"/>
              <w:left w:val="nil"/>
              <w:bottom w:val="nil"/>
              <w:right w:val="nil"/>
            </w:tcBorders>
            <w:shd w:val="clear" w:color="auto" w:fill="auto"/>
            <w:noWrap/>
            <w:vAlign w:val="bottom"/>
            <w:hideMark/>
          </w:tcPr>
          <w:p w14:paraId="2086C5C2" w14:textId="77777777" w:rsidR="00023A51" w:rsidRPr="00023A51" w:rsidRDefault="00023A51" w:rsidP="00023A51">
            <w:pPr>
              <w:spacing w:after="0" w:line="240" w:lineRule="auto"/>
              <w:rPr>
                <w:rFonts w:ascii="Calibri" w:eastAsia="Times New Roman" w:hAnsi="Calibri" w:cs="Calibri"/>
                <w:b/>
                <w:bCs/>
                <w:color w:val="000000"/>
                <w:sz w:val="28"/>
                <w:szCs w:val="28"/>
              </w:rPr>
            </w:pPr>
          </w:p>
        </w:tc>
        <w:tc>
          <w:tcPr>
            <w:tcW w:w="222" w:type="dxa"/>
            <w:tcBorders>
              <w:top w:val="nil"/>
              <w:left w:val="nil"/>
              <w:bottom w:val="nil"/>
              <w:right w:val="nil"/>
            </w:tcBorders>
            <w:shd w:val="clear" w:color="auto" w:fill="auto"/>
            <w:noWrap/>
            <w:vAlign w:val="bottom"/>
            <w:hideMark/>
          </w:tcPr>
          <w:p w14:paraId="6D5D70A6" w14:textId="77777777" w:rsidR="00023A51" w:rsidRPr="00023A51" w:rsidRDefault="00023A51" w:rsidP="00023A51">
            <w:pPr>
              <w:spacing w:after="0" w:line="240" w:lineRule="auto"/>
              <w:rPr>
                <w:rFonts w:ascii="Times New Roman" w:eastAsia="Times New Roman" w:hAnsi="Times New Roman" w:cs="Times New Roman"/>
                <w:sz w:val="20"/>
                <w:szCs w:val="20"/>
              </w:rPr>
            </w:pPr>
          </w:p>
        </w:tc>
        <w:tc>
          <w:tcPr>
            <w:tcW w:w="222" w:type="dxa"/>
            <w:tcBorders>
              <w:top w:val="nil"/>
              <w:left w:val="nil"/>
              <w:bottom w:val="nil"/>
              <w:right w:val="nil"/>
            </w:tcBorders>
            <w:shd w:val="clear" w:color="auto" w:fill="auto"/>
            <w:noWrap/>
            <w:vAlign w:val="bottom"/>
            <w:hideMark/>
          </w:tcPr>
          <w:p w14:paraId="34B793F4" w14:textId="77777777" w:rsidR="00023A51" w:rsidRPr="00023A51" w:rsidRDefault="00023A51" w:rsidP="00023A51">
            <w:pPr>
              <w:spacing w:after="0" w:line="240" w:lineRule="auto"/>
              <w:rPr>
                <w:rFonts w:ascii="Times New Roman" w:eastAsia="Times New Roman" w:hAnsi="Times New Roman" w:cs="Times New Roman"/>
                <w:sz w:val="20"/>
                <w:szCs w:val="20"/>
              </w:rPr>
            </w:pPr>
          </w:p>
        </w:tc>
      </w:tr>
    </w:tbl>
    <w:p w14:paraId="32AA2B26" w14:textId="41A01FCE" w:rsidR="00D27D05" w:rsidRDefault="00E610B9" w:rsidP="00D27D05">
      <w:pPr>
        <w:pStyle w:val="BodyText"/>
        <w:spacing w:before="6"/>
        <w:rPr>
          <w:sz w:val="21"/>
        </w:rPr>
      </w:pPr>
      <w:r>
        <w:rPr>
          <w:noProof/>
          <w:lang w:eastAsia="ko-KR"/>
        </w:rPr>
        <w:drawing>
          <wp:anchor distT="0" distB="0" distL="114300" distR="114300" simplePos="0" relativeHeight="251708416" behindDoc="0" locked="0" layoutInCell="1" allowOverlap="1" wp14:anchorId="55D664F1" wp14:editId="4C91050F">
            <wp:simplePos x="0" y="0"/>
            <wp:positionH relativeFrom="column">
              <wp:posOffset>-1905</wp:posOffset>
            </wp:positionH>
            <wp:positionV relativeFrom="paragraph">
              <wp:posOffset>157480</wp:posOffset>
            </wp:positionV>
            <wp:extent cx="2149475" cy="1878965"/>
            <wp:effectExtent l="0" t="0" r="3175" b="6985"/>
            <wp:wrapSquare wrapText="right"/>
            <wp:docPr id="225" name="Picture 225" descr="INPUTS  &#10;1. Number of Sites  &#10;Sites  3&#10;2. Partners Involved in Pilot  &#10;Other VR Agency  FALSE&#10;Community Rehabilitation Providers  TRUE&#10;Developmental Disabilities  TRUE&#10;Education  TRUE&#10;Mental Health  FALSE&#10;Workforce  FALSE&#10;Juvenile Justice  FALSE&#10;Foster Care/Homeless Agencies  FALSE&#10;Other  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1">
                      <a:extLst>
                        <a:ext uri="{28A0092B-C50C-407E-A947-70E740481C1C}">
                          <a14:useLocalDpi xmlns:a14="http://schemas.microsoft.com/office/drawing/2010/main" val="0"/>
                        </a:ext>
                      </a:extLst>
                    </a:blip>
                    <a:stretch>
                      <a:fillRect/>
                    </a:stretch>
                  </pic:blipFill>
                  <pic:spPr>
                    <a:xfrm>
                      <a:off x="0" y="0"/>
                      <a:ext cx="2149475" cy="1878965"/>
                    </a:xfrm>
                    <a:prstGeom prst="rect">
                      <a:avLst/>
                    </a:prstGeom>
                  </pic:spPr>
                </pic:pic>
              </a:graphicData>
            </a:graphic>
            <wp14:sizeRelH relativeFrom="margin">
              <wp14:pctWidth>0</wp14:pctWidth>
            </wp14:sizeRelH>
            <wp14:sizeRelV relativeFrom="margin">
              <wp14:pctHeight>0</wp14:pctHeight>
            </wp14:sizeRelV>
          </wp:anchor>
        </w:drawing>
      </w:r>
    </w:p>
    <w:p w14:paraId="44DD8F1A" w14:textId="36F0EA72" w:rsidR="00D27D05" w:rsidRDefault="00D27D05" w:rsidP="00D27D05">
      <w:r>
        <w:t xml:space="preserve">SVRAs conducting Customized Employment pilots report quarterly to WINTAC on six core data elements, using this form (accessible online). They can view their entries on a dashboard that is created in real time as they enter their data. Initial reports represented here cover the period from pilot start-up through September 2019. Aggregate data for all 13 SVRAs is displayed on the dashboards in Chapter F. </w:t>
      </w:r>
    </w:p>
    <w:p w14:paraId="535EE244" w14:textId="674A7AE5" w:rsidR="00E610B9" w:rsidRPr="00D27D05" w:rsidRDefault="00E610B9" w:rsidP="00D27D05">
      <w:r>
        <w:rPr>
          <w:noProof/>
          <w:lang w:eastAsia="ko-KR"/>
        </w:rPr>
        <w:drawing>
          <wp:inline distT="0" distB="0" distL="0" distR="0" wp14:anchorId="2F597FA7" wp14:editId="0DB8B2E2">
            <wp:extent cx="4456670" cy="2863498"/>
            <wp:effectExtent l="0" t="0" r="1270" b="0"/>
            <wp:docPr id="226" name="Picture 226" descr="OUTPUTS    &#10;&quot;3. Training Cohorts: How many cohorts of training have been completed or are in progress?&#10; (Separate into categories of Discovery or Job Development.)&quot;    &#10;  Discovery only Discovery &amp; Job Development Total&#10;Discovery only # Cohorts completed  0&#10;Discovery only# Cohorts in progress  0&#10;Discovery &amp; Job Development # Cohorts completed 5&#10;Discovery &amp; Job Development# Cohorts in progress0&#10;Total # Cohorts completed 5&#10;Total # Cohorts in progress 0&#10;&#10;&quot;4. Training Participants: How many participants have completed Customized Employment training?&#10; (Separate into categories of VR, CRP and partners)&quot;    &#10;  Classroom only Classroom + Mentoring Total&#10;Voc. Rehab. [reporting agency]  7  7&#10;Other VR Agency    0&#10;Community Rehabilitation Providers  2 2 4&#10;Developmental Disabilities    0&#10;Education  3  3&#10;Mental Health    0&#10;Workforce    0&#10;Juvenile Justice    0&#10;Foster Care/Homeless Agencies    0&#10; Total 12 2 1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2"/>
                    <a:stretch>
                      <a:fillRect/>
                    </a:stretch>
                  </pic:blipFill>
                  <pic:spPr>
                    <a:xfrm>
                      <a:off x="0" y="0"/>
                      <a:ext cx="4471941" cy="2873310"/>
                    </a:xfrm>
                    <a:prstGeom prst="rect">
                      <a:avLst/>
                    </a:prstGeom>
                  </pic:spPr>
                </pic:pic>
              </a:graphicData>
            </a:graphic>
          </wp:inline>
        </w:drawing>
      </w:r>
    </w:p>
    <w:p w14:paraId="6661E106" w14:textId="77777777" w:rsidR="00D27D05" w:rsidRDefault="00D27D05" w:rsidP="00D27D05">
      <w:pPr>
        <w:pStyle w:val="BodyText"/>
        <w:rPr>
          <w:sz w:val="22"/>
        </w:rPr>
      </w:pPr>
    </w:p>
    <w:p w14:paraId="12002CE0" w14:textId="53229C6D" w:rsidR="00D27D05" w:rsidRDefault="00C378FD" w:rsidP="00D27D05">
      <w:pPr>
        <w:spacing w:line="225" w:lineRule="auto"/>
        <w:rPr>
          <w:rFonts w:ascii="Arial"/>
          <w:sz w:val="23"/>
        </w:rPr>
        <w:sectPr w:rsidR="00D27D05" w:rsidSect="00D27D05">
          <w:pgSz w:w="12240" w:h="15840"/>
          <w:pgMar w:top="680" w:right="720" w:bottom="280" w:left="1040" w:header="720" w:footer="720" w:gutter="0"/>
          <w:pgBorders w:offsetFrom="page">
            <w:top w:val="thinThickSmallGap" w:sz="24" w:space="24" w:color="2F5496" w:themeColor="accent1" w:themeShade="BF"/>
            <w:left w:val="thinThickSmallGap" w:sz="24" w:space="24" w:color="2F5496" w:themeColor="accent1" w:themeShade="BF"/>
            <w:bottom w:val="thickThinSmallGap" w:sz="24" w:space="24" w:color="2F5496" w:themeColor="accent1" w:themeShade="BF"/>
            <w:right w:val="thickThinSmallGap" w:sz="24" w:space="24" w:color="2F5496" w:themeColor="accent1" w:themeShade="BF"/>
          </w:pgBorders>
          <w:cols w:space="706"/>
        </w:sectPr>
      </w:pPr>
      <w:r>
        <w:rPr>
          <w:noProof/>
          <w:lang w:eastAsia="ko-KR"/>
        </w:rPr>
        <w:lastRenderedPageBreak/>
        <w:drawing>
          <wp:inline distT="0" distB="0" distL="0" distR="0" wp14:anchorId="71D7EADF" wp14:editId="67CBDA40">
            <wp:extent cx="5448300" cy="4867275"/>
            <wp:effectExtent l="0" t="0" r="0" b="9525"/>
            <wp:docPr id="227" name="Picture 227" descr="SHORT TERM OUTCOMES      &#10;&quot;5. Consumers Served: How many Consumers have been served? &#10; (Each consumer should be counted in only 1 category)&quot;      &#10;    &quot;Adults &#10;(age 25 - 65)&quot; &quot;Youth &#10;(age &lt; 25)&quot; Total&#10;Started Customized Employment      &#10;Completed Discovery     2 2&#10;Completed Job Development     7 7&#10;Placed in Competitive Employment     8 8&#10;Total    0 17 17&#10;      &#10;&quot;6. Service Delivery Capacity: How many qualified organizations and staff are actively involved in Customized Employment service delivery? &#10; (Separate into categories of direct services, direct service teams, administrators supporting, etc. )&quot;      &#10;  No. of organizations with certified, active, direct service staff  No. of qualified staff providing direct CE services to clients  No. of qualified administrators supporting, supervising, monitoring CE service delivery  No. of qualified staff participating as a direct service team member only  No. of qualified staff authorizing, referring and/or paying for CE service delivery&#10;  certified, active, direct staff  staff providing direct CE services to clients administrators supporting, supervising, monitoring staff participating as a direct service team member only staff authorizing, referring and/or paying for CE service delivery&#10;Voc. Rehab. [reporting agency]  3  6  6&#10;Other VR Agency      &#10;Community Rehabilitation Providers  2 3 1  &#10;Developmental Disabilities  1    &#10;Education      &#10;Mental Health      &#10;Workforce      &#10;Juvenile Justice      &#10;Foster Care/Homeless Agencies      &#10;Other      &#10;Total  6 3 7 0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3"/>
                    <a:stretch>
                      <a:fillRect/>
                    </a:stretch>
                  </pic:blipFill>
                  <pic:spPr>
                    <a:xfrm>
                      <a:off x="0" y="0"/>
                      <a:ext cx="5448300" cy="4867275"/>
                    </a:xfrm>
                    <a:prstGeom prst="rect">
                      <a:avLst/>
                    </a:prstGeom>
                  </pic:spPr>
                </pic:pic>
              </a:graphicData>
            </a:graphic>
          </wp:inline>
        </w:drawing>
      </w:r>
    </w:p>
    <w:p w14:paraId="13D13B6D" w14:textId="25F135AA" w:rsidR="00D27D05" w:rsidRPr="00AF24CD" w:rsidRDefault="00D27D05" w:rsidP="00090F81"/>
    <w:sectPr w:rsidR="00D27D05" w:rsidRPr="00AF24CD" w:rsidSect="00D27D05">
      <w:pgSz w:w="12240" w:h="15840"/>
      <w:pgMar w:top="720" w:right="720" w:bottom="720" w:left="720" w:header="720" w:footer="720" w:gutter="0"/>
      <w:pgBorders w:offsetFrom="page">
        <w:top w:val="thinThickSmallGap" w:sz="24" w:space="24" w:color="2F5496" w:themeColor="accent1" w:themeShade="BF"/>
        <w:left w:val="thinThickSmallGap" w:sz="24" w:space="24" w:color="2F5496" w:themeColor="accent1" w:themeShade="BF"/>
        <w:bottom w:val="thickThinSmallGap" w:sz="24" w:space="24" w:color="2F5496" w:themeColor="accent1" w:themeShade="BF"/>
        <w:right w:val="thickThinSmallGap" w:sz="24" w:space="24" w:color="2F5496" w:themeColor="accent1" w:themeShade="BF"/>
      </w:pgBorders>
      <w:pgNumType w:start="1"/>
      <w:cols w:space="720"/>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51E5B55" w14:textId="77777777" w:rsidR="005D660D" w:rsidRDefault="005D660D">
      <w:pPr>
        <w:spacing w:after="0" w:line="240" w:lineRule="auto"/>
      </w:pPr>
      <w:r>
        <w:separator/>
      </w:r>
    </w:p>
    <w:p w14:paraId="48A28BB8" w14:textId="77777777" w:rsidR="005D660D" w:rsidRDefault="005D660D"/>
  </w:endnote>
  <w:endnote w:type="continuationSeparator" w:id="0">
    <w:p w14:paraId="34B7FA49" w14:textId="77777777" w:rsidR="005D660D" w:rsidRDefault="005D660D">
      <w:pPr>
        <w:spacing w:after="0" w:line="240" w:lineRule="auto"/>
      </w:pPr>
      <w:r>
        <w:continuationSeparator/>
      </w:r>
    </w:p>
    <w:p w14:paraId="110981D6" w14:textId="77777777" w:rsidR="005D660D" w:rsidRDefault="005D660D"/>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09F" w:csb1="00000000"/>
  </w:font>
  <w:font w:name="Malgun Gothic">
    <w:altName w:val="맑은 고딕"/>
    <w:panose1 w:val="020B0503020000020004"/>
    <w:charset w:val="81"/>
    <w:family w:val="swiss"/>
    <w:pitch w:val="variable"/>
    <w:sig w:usb0="9000002F" w:usb1="29D77CFB" w:usb2="00000012" w:usb3="00000000" w:csb0="00080001"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AFF" w:usb1="C0007843" w:usb2="00000009" w:usb3="00000000" w:csb0="000001FF" w:csb1="00000000"/>
  </w:font>
  <w:font w:name="Segoe UI Emoji">
    <w:panose1 w:val="020B0502040204020203"/>
    <w:charset w:val="00"/>
    <w:family w:val="swiss"/>
    <w:pitch w:val="variable"/>
    <w:sig w:usb0="00000003" w:usb1="02000000" w:usb2="00000000" w:usb3="00000000" w:csb0="00000001" w:csb1="00000000"/>
  </w:font>
  <w:font w:name="SegoeUI">
    <w:altName w:val="Cambria"/>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0772414" w14:textId="77777777" w:rsidR="00366D34" w:rsidRDefault="00366D34">
    <w:pPr>
      <w:pStyle w:val="Footer"/>
    </w:pPr>
  </w:p>
  <w:p w14:paraId="05AFEE9B" w14:textId="77777777" w:rsidR="00366D34" w:rsidRDefault="00366D34"/>
</w:ftr>
</file>

<file path=word/footer1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4AE0079" w14:textId="77777777" w:rsidR="00366D34" w:rsidRDefault="00366D34">
    <w:pPr>
      <w:pStyle w:val="Footer"/>
    </w:pPr>
  </w:p>
  <w:p w14:paraId="525519FE" w14:textId="77777777" w:rsidR="00366D34" w:rsidRDefault="00366D34"/>
  <w:p w14:paraId="25D2FED1" w14:textId="77777777" w:rsidR="00366D34" w:rsidRDefault="00366D34"/>
</w:ftr>
</file>

<file path=word/footer1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D609C14" w14:textId="7E763914" w:rsidR="00366D34" w:rsidRDefault="00366D34" w:rsidP="00005E52">
    <w:pPr>
      <w:pStyle w:val="Footer"/>
      <w:jc w:val="center"/>
    </w:pPr>
    <w:sdt>
      <w:sdtPr>
        <w:id w:val="660043747"/>
        <w:docPartObj>
          <w:docPartGallery w:val="Page Numbers (Bottom of Page)"/>
          <w:docPartUnique/>
        </w:docPartObj>
      </w:sdtPr>
      <w:sdtEndPr>
        <w:rPr>
          <w:noProof/>
        </w:rPr>
      </w:sdtEndPr>
      <w:sdtContent>
        <w:r>
          <w:fldChar w:fldCharType="begin"/>
        </w:r>
        <w:r>
          <w:instrText xml:space="preserve"> PAGE   \* MERGEFORMAT </w:instrText>
        </w:r>
        <w:r>
          <w:fldChar w:fldCharType="separate"/>
        </w:r>
        <w:r w:rsidR="00A94AA7">
          <w:rPr>
            <w:noProof/>
          </w:rPr>
          <w:t>43</w:t>
        </w:r>
        <w:r>
          <w:rPr>
            <w:noProof/>
          </w:rPr>
          <w:fldChar w:fldCharType="end"/>
        </w:r>
      </w:sdtContent>
    </w:sdt>
  </w:p>
</w:ftr>
</file>

<file path=word/footer1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6766169" w14:textId="77777777" w:rsidR="00366D34" w:rsidRDefault="00366D34">
    <w:pPr>
      <w:pStyle w:val="Footer"/>
    </w:pPr>
  </w:p>
</w:ftr>
</file>

<file path=word/footer1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D483385" w14:textId="5BF9B8D4" w:rsidR="00366D34" w:rsidRDefault="00366D34">
    <w:pPr>
      <w:pStyle w:val="Footer"/>
      <w:jc w:val="center"/>
    </w:pPr>
    <w:sdt>
      <w:sdtPr>
        <w:id w:val="747078770"/>
        <w:docPartObj>
          <w:docPartGallery w:val="Page Numbers (Bottom of Page)"/>
          <w:docPartUnique/>
        </w:docPartObj>
      </w:sdtPr>
      <w:sdtEndPr>
        <w:rPr>
          <w:noProof/>
        </w:rPr>
      </w:sdtEndPr>
      <w:sdtContent>
        <w:r>
          <w:fldChar w:fldCharType="begin"/>
        </w:r>
        <w:r>
          <w:instrText xml:space="preserve"> PAGE   \* MERGEFORMAT </w:instrText>
        </w:r>
        <w:r>
          <w:fldChar w:fldCharType="separate"/>
        </w:r>
        <w:r w:rsidR="00A94AA7">
          <w:rPr>
            <w:noProof/>
          </w:rPr>
          <w:t>48</w:t>
        </w:r>
        <w:r>
          <w:rPr>
            <w:noProof/>
          </w:rPr>
          <w:fldChar w:fldCharType="end"/>
        </w:r>
      </w:sdtContent>
    </w:sdt>
  </w:p>
  <w:p w14:paraId="55ED791D" w14:textId="77777777" w:rsidR="00366D34" w:rsidRDefault="00366D34">
    <w:pPr>
      <w:pStyle w:val="Footer"/>
    </w:pPr>
  </w:p>
</w:ftr>
</file>

<file path=word/footer1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488122E" w14:textId="77777777" w:rsidR="00366D34" w:rsidRDefault="00366D34">
    <w:pPr>
      <w:pStyle w:val="Footer"/>
    </w:pPr>
  </w:p>
  <w:p w14:paraId="432E3B70" w14:textId="77777777" w:rsidR="00366D34" w:rsidRDefault="00366D34"/>
  <w:p w14:paraId="5FAB1186" w14:textId="77777777" w:rsidR="00366D34" w:rsidRDefault="00366D34"/>
</w:ftr>
</file>

<file path=word/footer1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5CEFADE" w14:textId="01A3BFE0" w:rsidR="00366D34" w:rsidRDefault="00366D34" w:rsidP="00005E52">
    <w:pPr>
      <w:pStyle w:val="Footer"/>
      <w:jc w:val="center"/>
    </w:pPr>
    <w:sdt>
      <w:sdtPr>
        <w:id w:val="388232644"/>
        <w:docPartObj>
          <w:docPartGallery w:val="Page Numbers (Bottom of Page)"/>
          <w:docPartUnique/>
        </w:docPartObj>
      </w:sdtPr>
      <w:sdtEndPr>
        <w:rPr>
          <w:noProof/>
        </w:rPr>
      </w:sdtEndPr>
      <w:sdtContent>
        <w:r>
          <w:fldChar w:fldCharType="begin"/>
        </w:r>
        <w:r>
          <w:instrText xml:space="preserve"> PAGE   \* MERGEFORMAT </w:instrText>
        </w:r>
        <w:r>
          <w:fldChar w:fldCharType="separate"/>
        </w:r>
        <w:r w:rsidR="00A94AA7">
          <w:rPr>
            <w:noProof/>
          </w:rPr>
          <w:t>62</w:t>
        </w:r>
        <w:r>
          <w:rPr>
            <w:noProof/>
          </w:rPr>
          <w:fldChar w:fldCharType="end"/>
        </w:r>
      </w:sdtContent>
    </w:sdt>
  </w:p>
  <w:p w14:paraId="207B0B3D" w14:textId="77777777" w:rsidR="00366D34" w:rsidRDefault="00366D34"/>
</w:ftr>
</file>

<file path=word/footer1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FE1467A" w14:textId="77777777" w:rsidR="00366D34" w:rsidRDefault="00366D34">
    <w:pPr>
      <w:pStyle w:val="Footer"/>
    </w:pPr>
  </w:p>
</w:ftr>
</file>

<file path=word/footer1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CF43359" w14:textId="612304EC" w:rsidR="00366D34" w:rsidRDefault="00366D34">
    <w:pPr>
      <w:pStyle w:val="Footer"/>
      <w:jc w:val="center"/>
    </w:pPr>
    <w:sdt>
      <w:sdtPr>
        <w:id w:val="1396159859"/>
        <w:docPartObj>
          <w:docPartGallery w:val="Page Numbers (Bottom of Page)"/>
          <w:docPartUnique/>
        </w:docPartObj>
      </w:sdtPr>
      <w:sdtEndPr>
        <w:rPr>
          <w:noProof/>
        </w:rPr>
      </w:sdtEndPr>
      <w:sdtContent>
        <w:r>
          <w:fldChar w:fldCharType="begin"/>
        </w:r>
        <w:r>
          <w:instrText xml:space="preserve"> PAGE   \* MERGEFORMAT </w:instrText>
        </w:r>
        <w:r>
          <w:fldChar w:fldCharType="separate"/>
        </w:r>
        <w:r w:rsidR="00A94AA7">
          <w:rPr>
            <w:noProof/>
          </w:rPr>
          <w:t>74</w:t>
        </w:r>
        <w:r>
          <w:rPr>
            <w:noProof/>
          </w:rPr>
          <w:fldChar w:fldCharType="end"/>
        </w:r>
      </w:sdtContent>
    </w:sdt>
  </w:p>
  <w:p w14:paraId="6F62BED0" w14:textId="77777777" w:rsidR="00366D34" w:rsidRDefault="00366D34">
    <w:pPr>
      <w:pStyle w:val="Footer"/>
    </w:pPr>
  </w:p>
</w:ftr>
</file>

<file path=word/footer1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A5B8128" w14:textId="44ED8057" w:rsidR="00366D34" w:rsidRDefault="00366D34">
    <w:pPr>
      <w:pStyle w:val="Footer"/>
      <w:jc w:val="center"/>
    </w:pPr>
    <w:sdt>
      <w:sdtPr>
        <w:id w:val="-2008968229"/>
        <w:docPartObj>
          <w:docPartGallery w:val="Page Numbers (Bottom of Page)"/>
          <w:docPartUnique/>
        </w:docPartObj>
      </w:sdtPr>
      <w:sdtEndPr>
        <w:rPr>
          <w:noProof/>
        </w:rPr>
      </w:sdtEndPr>
      <w:sdtContent>
        <w:r>
          <w:fldChar w:fldCharType="begin"/>
        </w:r>
        <w:r>
          <w:instrText xml:space="preserve"> PAGE   \* MERGEFORMAT </w:instrText>
        </w:r>
        <w:r>
          <w:fldChar w:fldCharType="separate"/>
        </w:r>
        <w:r w:rsidR="00A94AA7">
          <w:rPr>
            <w:noProof/>
          </w:rPr>
          <w:t>83</w:t>
        </w:r>
        <w:r>
          <w:rPr>
            <w:noProof/>
          </w:rPr>
          <w:fldChar w:fldCharType="end"/>
        </w:r>
      </w:sdtContent>
    </w:sdt>
  </w:p>
  <w:p w14:paraId="3376A82F" w14:textId="77777777" w:rsidR="00366D34" w:rsidRDefault="00366D34">
    <w:pPr>
      <w:pStyle w:val="Footer"/>
    </w:pPr>
  </w:p>
</w:ftr>
</file>

<file path=word/footer1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3E400C1" w14:textId="77777777" w:rsidR="00366D34" w:rsidRDefault="00366D34">
    <w:pPr>
      <w:pStyle w:val="Footer"/>
    </w:pPr>
  </w:p>
  <w:p w14:paraId="1CFDB865" w14:textId="77777777" w:rsidR="00366D34" w:rsidRDefault="00366D34"/>
  <w:p w14:paraId="4C97B91B" w14:textId="77777777" w:rsidR="00366D34" w:rsidRDefault="00366D34"/>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8832DE7" w14:textId="3C3672D5" w:rsidR="00366D34" w:rsidRDefault="00366D34" w:rsidP="00005E52">
    <w:pPr>
      <w:pStyle w:val="Footer"/>
      <w:jc w:val="center"/>
    </w:pPr>
    <w:sdt>
      <w:sdtPr>
        <w:id w:val="638853416"/>
        <w:docPartObj>
          <w:docPartGallery w:val="Page Numbers (Bottom of Page)"/>
          <w:docPartUnique/>
        </w:docPartObj>
      </w:sdtPr>
      <w:sdtEndPr>
        <w:rPr>
          <w:noProof/>
        </w:rPr>
      </w:sdtEndPr>
      <w:sdtContent>
        <w:r>
          <w:fldChar w:fldCharType="begin"/>
        </w:r>
        <w:r>
          <w:instrText xml:space="preserve"> PAGE   \* MERGEFORMAT </w:instrText>
        </w:r>
        <w:r>
          <w:fldChar w:fldCharType="separate"/>
        </w:r>
        <w:r w:rsidR="00A94AA7">
          <w:rPr>
            <w:noProof/>
          </w:rPr>
          <w:t>3</w:t>
        </w:r>
        <w:r>
          <w:rPr>
            <w:noProof/>
          </w:rPr>
          <w:fldChar w:fldCharType="end"/>
        </w:r>
      </w:sdtContent>
    </w:sdt>
  </w:p>
</w:ftr>
</file>

<file path=word/footer2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1BF6FAD" w14:textId="19FBD3F4" w:rsidR="00366D34" w:rsidRDefault="00366D34" w:rsidP="00005E52">
    <w:pPr>
      <w:pStyle w:val="Footer"/>
      <w:jc w:val="center"/>
    </w:pPr>
    <w:sdt>
      <w:sdtPr>
        <w:id w:val="1115258818"/>
        <w:docPartObj>
          <w:docPartGallery w:val="Page Numbers (Bottom of Page)"/>
          <w:docPartUnique/>
        </w:docPartObj>
      </w:sdtPr>
      <w:sdtEndPr>
        <w:rPr>
          <w:noProof/>
        </w:rPr>
      </w:sdtEndPr>
      <w:sdtContent>
        <w:r>
          <w:fldChar w:fldCharType="begin"/>
        </w:r>
        <w:r>
          <w:instrText xml:space="preserve"> PAGE   \* MERGEFORMAT </w:instrText>
        </w:r>
        <w:r>
          <w:fldChar w:fldCharType="separate"/>
        </w:r>
        <w:r w:rsidR="00A94AA7">
          <w:rPr>
            <w:noProof/>
          </w:rPr>
          <w:t>94</w:t>
        </w:r>
        <w:r>
          <w:rPr>
            <w:noProof/>
          </w:rPr>
          <w:fldChar w:fldCharType="end"/>
        </w:r>
      </w:sdtContent>
    </w:sdt>
  </w:p>
</w:ftr>
</file>

<file path=word/footer2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99EE132" w14:textId="77777777" w:rsidR="00366D34" w:rsidRDefault="00366D34">
    <w:pPr>
      <w:pStyle w:val="Footer"/>
    </w:pPr>
  </w:p>
</w:ftr>
</file>

<file path=word/footer2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E4E05B5" w14:textId="0A8EAF93" w:rsidR="00366D34" w:rsidRDefault="00366D34">
    <w:pPr>
      <w:pStyle w:val="Footer"/>
      <w:jc w:val="center"/>
    </w:pPr>
    <w:sdt>
      <w:sdtPr>
        <w:id w:val="-650985594"/>
        <w:docPartObj>
          <w:docPartGallery w:val="Page Numbers (Bottom of Page)"/>
          <w:docPartUnique/>
        </w:docPartObj>
      </w:sdtPr>
      <w:sdtEndPr>
        <w:rPr>
          <w:noProof/>
        </w:rPr>
      </w:sdtEndPr>
      <w:sdtContent>
        <w:r>
          <w:fldChar w:fldCharType="begin"/>
        </w:r>
        <w:r>
          <w:instrText xml:space="preserve"> PAGE   \* MERGEFORMAT </w:instrText>
        </w:r>
        <w:r>
          <w:fldChar w:fldCharType="separate"/>
        </w:r>
        <w:r w:rsidR="00A94AA7">
          <w:rPr>
            <w:noProof/>
          </w:rPr>
          <w:t>95</w:t>
        </w:r>
        <w:r>
          <w:rPr>
            <w:noProof/>
          </w:rPr>
          <w:fldChar w:fldCharType="end"/>
        </w:r>
      </w:sdtContent>
    </w:sdt>
  </w:p>
  <w:p w14:paraId="423DF561" w14:textId="77777777" w:rsidR="00366D34" w:rsidRDefault="00366D34">
    <w:pPr>
      <w:pStyle w:val="Footer"/>
    </w:pPr>
  </w:p>
</w:ftr>
</file>

<file path=word/footer2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E03566C" w14:textId="77777777" w:rsidR="00366D34" w:rsidRDefault="00366D34">
    <w:pPr>
      <w:pStyle w:val="Footer"/>
    </w:pPr>
  </w:p>
  <w:p w14:paraId="61175FF3" w14:textId="77777777" w:rsidR="00366D34" w:rsidRDefault="00366D34"/>
  <w:p w14:paraId="58C8CAB6" w14:textId="77777777" w:rsidR="00366D34" w:rsidRDefault="00366D34"/>
</w:ftr>
</file>

<file path=word/footer2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90FE42F" w14:textId="0640C58C" w:rsidR="00366D34" w:rsidRDefault="00366D34" w:rsidP="00005E52">
    <w:pPr>
      <w:pStyle w:val="Footer"/>
      <w:jc w:val="center"/>
    </w:pPr>
    <w:sdt>
      <w:sdtPr>
        <w:id w:val="-1632545382"/>
        <w:docPartObj>
          <w:docPartGallery w:val="Page Numbers (Bottom of Page)"/>
          <w:docPartUnique/>
        </w:docPartObj>
      </w:sdtPr>
      <w:sdtEndPr>
        <w:rPr>
          <w:noProof/>
        </w:rPr>
      </w:sdtEndPr>
      <w:sdtContent>
        <w:r>
          <w:fldChar w:fldCharType="begin"/>
        </w:r>
        <w:r>
          <w:instrText xml:space="preserve"> PAGE   \* MERGEFORMAT </w:instrText>
        </w:r>
        <w:r>
          <w:fldChar w:fldCharType="separate"/>
        </w:r>
        <w:r w:rsidR="00A94AA7">
          <w:rPr>
            <w:noProof/>
          </w:rPr>
          <w:t>135</w:t>
        </w:r>
        <w:r>
          <w:rPr>
            <w:noProof/>
          </w:rPr>
          <w:fldChar w:fldCharType="end"/>
        </w:r>
      </w:sdtContent>
    </w:sdt>
  </w:p>
</w:ftr>
</file>

<file path=word/footer2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7B0E196" w14:textId="77777777" w:rsidR="00366D34" w:rsidRDefault="00366D34">
    <w:pPr>
      <w:pStyle w:val="Footer"/>
    </w:pPr>
  </w:p>
</w:ftr>
</file>

<file path=word/footer2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A1B5E5F" w14:textId="43B24245" w:rsidR="00366D34" w:rsidRDefault="00366D34">
    <w:pPr>
      <w:pStyle w:val="Footer"/>
      <w:jc w:val="center"/>
    </w:pPr>
    <w:sdt>
      <w:sdtPr>
        <w:id w:val="1023370905"/>
        <w:docPartObj>
          <w:docPartGallery w:val="Page Numbers (Bottom of Page)"/>
          <w:docPartUnique/>
        </w:docPartObj>
      </w:sdtPr>
      <w:sdtEndPr>
        <w:rPr>
          <w:noProof/>
        </w:rPr>
      </w:sdtEndPr>
      <w:sdtContent>
        <w:r>
          <w:fldChar w:fldCharType="begin"/>
        </w:r>
        <w:r>
          <w:instrText xml:space="preserve"> PAGE   \* MERGEFORMAT </w:instrText>
        </w:r>
        <w:r>
          <w:fldChar w:fldCharType="separate"/>
        </w:r>
        <w:r w:rsidR="00A94AA7">
          <w:rPr>
            <w:noProof/>
          </w:rPr>
          <w:t>150</w:t>
        </w:r>
        <w:r>
          <w:rPr>
            <w:noProof/>
          </w:rPr>
          <w:fldChar w:fldCharType="end"/>
        </w:r>
      </w:sdtContent>
    </w:sdt>
  </w:p>
  <w:p w14:paraId="770030BC" w14:textId="77777777" w:rsidR="00366D34" w:rsidRDefault="00366D34">
    <w:pPr>
      <w:pStyle w:val="Footer"/>
    </w:pPr>
  </w:p>
</w:ftr>
</file>

<file path=word/footer2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EAD978C" w14:textId="77777777" w:rsidR="00366D34" w:rsidRDefault="00366D34">
    <w:pPr>
      <w:pStyle w:val="Footer"/>
    </w:pPr>
  </w:p>
  <w:p w14:paraId="049BAB95" w14:textId="77777777" w:rsidR="00366D34" w:rsidRDefault="00366D34"/>
  <w:p w14:paraId="63121ECF" w14:textId="77777777" w:rsidR="00366D34" w:rsidRDefault="00366D34"/>
</w:ftr>
</file>

<file path=word/footer2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D9F46F3" w14:textId="7851C496" w:rsidR="00366D34" w:rsidRDefault="00366D34" w:rsidP="00005E52">
    <w:pPr>
      <w:pStyle w:val="Footer"/>
      <w:jc w:val="center"/>
    </w:pPr>
    <w:sdt>
      <w:sdtPr>
        <w:id w:val="-1209100117"/>
        <w:docPartObj>
          <w:docPartGallery w:val="Page Numbers (Bottom of Page)"/>
          <w:docPartUnique/>
        </w:docPartObj>
      </w:sdtPr>
      <w:sdtEndPr>
        <w:rPr>
          <w:noProof/>
        </w:rPr>
      </w:sdtEndPr>
      <w:sdtContent>
        <w:r>
          <w:fldChar w:fldCharType="begin"/>
        </w:r>
        <w:r>
          <w:instrText xml:space="preserve"> PAGE   \* MERGEFORMAT </w:instrText>
        </w:r>
        <w:r>
          <w:fldChar w:fldCharType="separate"/>
        </w:r>
        <w:r w:rsidR="00A94AA7">
          <w:rPr>
            <w:noProof/>
          </w:rPr>
          <w:t>157</w:t>
        </w:r>
        <w:r>
          <w:rPr>
            <w:noProof/>
          </w:rPr>
          <w:fldChar w:fldCharType="end"/>
        </w:r>
      </w:sdtContent>
    </w:sdt>
  </w:p>
</w:ftr>
</file>

<file path=word/footer2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A0FAD52" w14:textId="77777777" w:rsidR="00366D34" w:rsidRDefault="00366D34">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679DA20" w14:textId="77777777" w:rsidR="00366D34" w:rsidRDefault="00366D34">
    <w:pPr>
      <w:pStyle w:val="Footer"/>
    </w:pPr>
  </w:p>
</w:ftr>
</file>

<file path=word/footer3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832CB9C" w14:textId="112989B5" w:rsidR="00366D34" w:rsidRDefault="00366D34">
    <w:pPr>
      <w:pStyle w:val="Footer"/>
      <w:jc w:val="center"/>
    </w:pPr>
    <w:sdt>
      <w:sdtPr>
        <w:id w:val="1465768254"/>
        <w:docPartObj>
          <w:docPartGallery w:val="Page Numbers (Bottom of Page)"/>
          <w:docPartUnique/>
        </w:docPartObj>
      </w:sdtPr>
      <w:sdtEndPr>
        <w:rPr>
          <w:noProof/>
        </w:rPr>
      </w:sdtEndPr>
      <w:sdtContent>
        <w:r>
          <w:fldChar w:fldCharType="begin"/>
        </w:r>
        <w:r>
          <w:instrText xml:space="preserve"> PAGE   \* MERGEFORMAT </w:instrText>
        </w:r>
        <w:r>
          <w:fldChar w:fldCharType="separate"/>
        </w:r>
        <w:r w:rsidR="00A94AA7">
          <w:rPr>
            <w:noProof/>
          </w:rPr>
          <w:t>160</w:t>
        </w:r>
        <w:r>
          <w:rPr>
            <w:noProof/>
          </w:rPr>
          <w:fldChar w:fldCharType="end"/>
        </w:r>
      </w:sdtContent>
    </w:sdt>
  </w:p>
  <w:p w14:paraId="5FB9FDB5" w14:textId="77777777" w:rsidR="00366D34" w:rsidRDefault="00366D34">
    <w:pPr>
      <w:pStyle w:val="Footer"/>
    </w:pPr>
  </w:p>
</w:ftr>
</file>

<file path=word/footer3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7FA528F" w14:textId="3680E639" w:rsidR="00366D34" w:rsidRDefault="00366D34">
    <w:pPr>
      <w:pStyle w:val="Footer"/>
      <w:jc w:val="center"/>
    </w:pPr>
    <w:sdt>
      <w:sdtPr>
        <w:id w:val="-2040190185"/>
        <w:docPartObj>
          <w:docPartGallery w:val="Page Numbers (Bottom of Page)"/>
          <w:docPartUnique/>
        </w:docPartObj>
      </w:sdtPr>
      <w:sdtEndPr>
        <w:rPr>
          <w:noProof/>
        </w:rPr>
      </w:sdtEndPr>
      <w:sdtContent>
        <w:r>
          <w:fldChar w:fldCharType="begin"/>
        </w:r>
        <w:r>
          <w:instrText xml:space="preserve"> PAGE   \* MERGEFORMAT </w:instrText>
        </w:r>
        <w:r>
          <w:fldChar w:fldCharType="separate"/>
        </w:r>
        <w:r w:rsidR="00A94AA7">
          <w:rPr>
            <w:noProof/>
          </w:rPr>
          <w:t>167</w:t>
        </w:r>
        <w:r>
          <w:rPr>
            <w:noProof/>
          </w:rPr>
          <w:fldChar w:fldCharType="end"/>
        </w:r>
      </w:sdtContent>
    </w:sdt>
  </w:p>
  <w:p w14:paraId="493E0952" w14:textId="77777777" w:rsidR="00366D34" w:rsidRDefault="00366D34">
    <w:pPr>
      <w:pStyle w:val="Footer"/>
    </w:pPr>
  </w:p>
</w:ftr>
</file>

<file path=word/footer3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B0D90CF" w14:textId="77777777" w:rsidR="00366D34" w:rsidRDefault="00366D34">
    <w:pPr>
      <w:pStyle w:val="Footer"/>
    </w:pPr>
  </w:p>
  <w:p w14:paraId="22791F01" w14:textId="77777777" w:rsidR="00366D34" w:rsidRDefault="00366D34"/>
  <w:p w14:paraId="1BA73FFC" w14:textId="77777777" w:rsidR="00366D34" w:rsidRDefault="00366D34"/>
</w:ftr>
</file>

<file path=word/footer3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ABDEB68" w14:textId="38013EA8" w:rsidR="00366D34" w:rsidRDefault="00366D34" w:rsidP="00005E52">
    <w:pPr>
      <w:pStyle w:val="Footer"/>
      <w:jc w:val="center"/>
    </w:pPr>
    <w:sdt>
      <w:sdtPr>
        <w:id w:val="1789386287"/>
        <w:docPartObj>
          <w:docPartGallery w:val="Page Numbers (Bottom of Page)"/>
          <w:docPartUnique/>
        </w:docPartObj>
      </w:sdtPr>
      <w:sdtEndPr>
        <w:rPr>
          <w:noProof/>
        </w:rPr>
      </w:sdtEndPr>
      <w:sdtContent>
        <w:r>
          <w:fldChar w:fldCharType="begin"/>
        </w:r>
        <w:r>
          <w:instrText xml:space="preserve"> PAGE   \* MERGEFORMAT </w:instrText>
        </w:r>
        <w:r>
          <w:fldChar w:fldCharType="separate"/>
        </w:r>
        <w:r w:rsidR="00A94AA7">
          <w:rPr>
            <w:noProof/>
          </w:rPr>
          <w:t>172</w:t>
        </w:r>
        <w:r>
          <w:rPr>
            <w:noProof/>
          </w:rPr>
          <w:fldChar w:fldCharType="end"/>
        </w:r>
      </w:sdtContent>
    </w:sdt>
  </w:p>
  <w:p w14:paraId="52FCB30C" w14:textId="77777777" w:rsidR="00366D34" w:rsidRDefault="00366D34"/>
</w:ftr>
</file>

<file path=word/footer3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C055FB8" w14:textId="77777777" w:rsidR="00366D34" w:rsidRDefault="00366D34">
    <w:pPr>
      <w:pStyle w:val="Footer"/>
    </w:pPr>
  </w:p>
</w:ftr>
</file>

<file path=word/footer3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29EE7C1" w14:textId="225000B2" w:rsidR="00366D34" w:rsidRDefault="00366D34">
    <w:pPr>
      <w:pStyle w:val="Footer"/>
      <w:jc w:val="center"/>
    </w:pPr>
    <w:sdt>
      <w:sdtPr>
        <w:id w:val="1028834057"/>
        <w:docPartObj>
          <w:docPartGallery w:val="Page Numbers (Bottom of Page)"/>
          <w:docPartUnique/>
        </w:docPartObj>
      </w:sdtPr>
      <w:sdtEndPr>
        <w:rPr>
          <w:noProof/>
        </w:rPr>
      </w:sdtEndPr>
      <w:sdtContent>
        <w:r>
          <w:fldChar w:fldCharType="begin"/>
        </w:r>
        <w:r>
          <w:instrText xml:space="preserve"> PAGE   \* MERGEFORMAT </w:instrText>
        </w:r>
        <w:r>
          <w:fldChar w:fldCharType="separate"/>
        </w:r>
        <w:r w:rsidR="00A94AA7">
          <w:rPr>
            <w:noProof/>
          </w:rPr>
          <w:t>176</w:t>
        </w:r>
        <w:r>
          <w:rPr>
            <w:noProof/>
          </w:rPr>
          <w:fldChar w:fldCharType="end"/>
        </w:r>
      </w:sdtContent>
    </w:sdt>
  </w:p>
  <w:p w14:paraId="352DB440" w14:textId="77777777" w:rsidR="00366D34" w:rsidRDefault="00366D34">
    <w:pPr>
      <w:pStyle w:val="Footer"/>
    </w:pPr>
  </w:p>
</w:ftr>
</file>

<file path=word/footer3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D720A18" w14:textId="77777777" w:rsidR="00366D34" w:rsidRDefault="00366D34">
    <w:pPr>
      <w:pStyle w:val="Footer"/>
    </w:pPr>
  </w:p>
  <w:p w14:paraId="6AF9FCBA" w14:textId="77777777" w:rsidR="00366D34" w:rsidRDefault="00366D34"/>
  <w:p w14:paraId="13616CC0" w14:textId="77777777" w:rsidR="00366D34" w:rsidRDefault="00366D34"/>
</w:ftr>
</file>

<file path=word/footer3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F08A66F" w14:textId="52A937D9" w:rsidR="00366D34" w:rsidRDefault="00366D34" w:rsidP="003A4F7B">
    <w:pPr>
      <w:pStyle w:val="Footer"/>
      <w:jc w:val="center"/>
    </w:pPr>
    <w:sdt>
      <w:sdtPr>
        <w:id w:val="-1556997914"/>
        <w:docPartObj>
          <w:docPartGallery w:val="Page Numbers (Bottom of Page)"/>
          <w:docPartUnique/>
        </w:docPartObj>
      </w:sdtPr>
      <w:sdtEndPr>
        <w:rPr>
          <w:noProof/>
        </w:rPr>
      </w:sdtEndPr>
      <w:sdtContent>
        <w:r>
          <w:fldChar w:fldCharType="begin"/>
        </w:r>
        <w:r>
          <w:instrText xml:space="preserve"> PAGE   \* MERGEFORMAT </w:instrText>
        </w:r>
        <w:r>
          <w:fldChar w:fldCharType="separate"/>
        </w:r>
        <w:r w:rsidR="00A94AA7">
          <w:rPr>
            <w:noProof/>
          </w:rPr>
          <w:t>181</w:t>
        </w:r>
        <w:r>
          <w:rPr>
            <w:noProof/>
          </w:rPr>
          <w:fldChar w:fldCharType="end"/>
        </w:r>
      </w:sdtContent>
    </w:sdt>
  </w:p>
  <w:p w14:paraId="1A59191B" w14:textId="77777777" w:rsidR="00366D34" w:rsidRDefault="00366D34"/>
</w:ftr>
</file>

<file path=word/footer3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9FBE6A5" w14:textId="77777777" w:rsidR="00366D34" w:rsidRDefault="00366D34">
    <w:pPr>
      <w:pStyle w:val="Footer"/>
    </w:pPr>
  </w:p>
</w:ftr>
</file>

<file path=word/footer3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919CBFA" w14:textId="77777777" w:rsidR="00366D34" w:rsidRDefault="00366D34">
    <w:pPr>
      <w:pStyle w:val="Footer"/>
    </w:pPr>
  </w:p>
  <w:p w14:paraId="3DB2DAAF" w14:textId="77777777" w:rsidR="00366D34" w:rsidRDefault="00366D34"/>
  <w:p w14:paraId="117C5381" w14:textId="77777777" w:rsidR="00366D34" w:rsidRDefault="00366D34"/>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788464530"/>
      <w:docPartObj>
        <w:docPartGallery w:val="Page Numbers (Bottom of Page)"/>
        <w:docPartUnique/>
      </w:docPartObj>
    </w:sdtPr>
    <w:sdtEndPr>
      <w:rPr>
        <w:noProof/>
      </w:rPr>
    </w:sdtEndPr>
    <w:sdtContent>
      <w:p w14:paraId="6C27FBD7" w14:textId="7DB1EA88" w:rsidR="00366D34" w:rsidRDefault="00366D34">
        <w:pPr>
          <w:pStyle w:val="Footer"/>
          <w:jc w:val="center"/>
        </w:pPr>
        <w:r>
          <w:fldChar w:fldCharType="begin"/>
        </w:r>
        <w:r>
          <w:instrText xml:space="preserve"> PAGE   \* MERGEFORMAT </w:instrText>
        </w:r>
        <w:r>
          <w:fldChar w:fldCharType="separate"/>
        </w:r>
        <w:r w:rsidR="00A94AA7">
          <w:rPr>
            <w:noProof/>
          </w:rPr>
          <w:t>7</w:t>
        </w:r>
        <w:r>
          <w:rPr>
            <w:noProof/>
          </w:rPr>
          <w:fldChar w:fldCharType="end"/>
        </w:r>
      </w:p>
    </w:sdtContent>
  </w:sdt>
  <w:p w14:paraId="54F56549" w14:textId="77777777" w:rsidR="00366D34" w:rsidRDefault="00366D34">
    <w:pPr>
      <w:pStyle w:val="Footer"/>
    </w:pPr>
  </w:p>
</w:ftr>
</file>

<file path=word/footer4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772128C" w14:textId="5A4752C0" w:rsidR="00366D34" w:rsidRDefault="00366D34" w:rsidP="00005E52">
    <w:pPr>
      <w:pStyle w:val="Footer"/>
      <w:jc w:val="center"/>
    </w:pPr>
    <w:sdt>
      <w:sdtPr>
        <w:id w:val="-1634390943"/>
        <w:docPartObj>
          <w:docPartGallery w:val="Page Numbers (Bottom of Page)"/>
          <w:docPartUnique/>
        </w:docPartObj>
      </w:sdtPr>
      <w:sdtEndPr>
        <w:rPr>
          <w:noProof/>
        </w:rPr>
      </w:sdtEndPr>
      <w:sdtContent>
        <w:r>
          <w:fldChar w:fldCharType="begin"/>
        </w:r>
        <w:r>
          <w:instrText xml:space="preserve"> PAGE   \* MERGEFORMAT </w:instrText>
        </w:r>
        <w:r>
          <w:fldChar w:fldCharType="separate"/>
        </w:r>
        <w:r w:rsidR="00A94AA7">
          <w:rPr>
            <w:noProof/>
          </w:rPr>
          <w:t>1</w:t>
        </w:r>
        <w:r>
          <w:rPr>
            <w:noProof/>
          </w:rPr>
          <w:fldChar w:fldCharType="end"/>
        </w:r>
      </w:sdtContent>
    </w:sdt>
  </w:p>
</w:ftr>
</file>

<file path=word/footer4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4AB0CA3" w14:textId="77777777" w:rsidR="00366D34" w:rsidRDefault="00366D34">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AB1B082" w14:textId="0C0BBEC3" w:rsidR="00366D34" w:rsidRDefault="00366D34">
    <w:pPr>
      <w:pStyle w:val="Footer"/>
      <w:jc w:val="center"/>
    </w:pPr>
    <w:sdt>
      <w:sdtPr>
        <w:id w:val="1968231544"/>
        <w:docPartObj>
          <w:docPartGallery w:val="Page Numbers (Bottom of Page)"/>
          <w:docPartUnique/>
        </w:docPartObj>
      </w:sdtPr>
      <w:sdtEndPr>
        <w:rPr>
          <w:noProof/>
        </w:rPr>
      </w:sdtEndPr>
      <w:sdtContent>
        <w:r>
          <w:fldChar w:fldCharType="begin"/>
        </w:r>
        <w:r>
          <w:instrText xml:space="preserve"> PAGE   \* MERGEFORMAT </w:instrText>
        </w:r>
        <w:r>
          <w:fldChar w:fldCharType="separate"/>
        </w:r>
        <w:r w:rsidR="00A94AA7">
          <w:rPr>
            <w:noProof/>
          </w:rPr>
          <w:t>8</w:t>
        </w:r>
        <w:r>
          <w:rPr>
            <w:noProof/>
          </w:rPr>
          <w:fldChar w:fldCharType="end"/>
        </w:r>
      </w:sdtContent>
    </w:sdt>
  </w:p>
  <w:p w14:paraId="4DCD3BEC" w14:textId="77777777" w:rsidR="00366D34" w:rsidRDefault="00366D34">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40D08C9" w14:textId="77777777" w:rsidR="00366D34" w:rsidRDefault="00366D34">
    <w:pPr>
      <w:pStyle w:val="Footer"/>
    </w:pPr>
  </w:p>
  <w:p w14:paraId="0316B3FB" w14:textId="77777777" w:rsidR="00366D34" w:rsidRDefault="00366D34"/>
  <w:p w14:paraId="19035710" w14:textId="77777777" w:rsidR="00366D34" w:rsidRDefault="00366D34"/>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30FED72" w14:textId="1571A0A1" w:rsidR="00366D34" w:rsidRDefault="00366D34" w:rsidP="00005E52">
    <w:pPr>
      <w:pStyle w:val="Footer"/>
      <w:jc w:val="center"/>
    </w:pPr>
    <w:sdt>
      <w:sdtPr>
        <w:id w:val="725111860"/>
        <w:docPartObj>
          <w:docPartGallery w:val="Page Numbers (Bottom of Page)"/>
          <w:docPartUnique/>
        </w:docPartObj>
      </w:sdtPr>
      <w:sdtEndPr>
        <w:rPr>
          <w:noProof/>
        </w:rPr>
      </w:sdtEndPr>
      <w:sdtContent>
        <w:r>
          <w:fldChar w:fldCharType="begin"/>
        </w:r>
        <w:r>
          <w:instrText xml:space="preserve"> PAGE   \* MERGEFORMAT </w:instrText>
        </w:r>
        <w:r>
          <w:fldChar w:fldCharType="separate"/>
        </w:r>
        <w:r w:rsidR="00A94AA7">
          <w:rPr>
            <w:noProof/>
          </w:rPr>
          <w:t>32</w:t>
        </w:r>
        <w:r>
          <w:rPr>
            <w:noProof/>
          </w:rPr>
          <w:fldChar w:fldCharType="end"/>
        </w:r>
      </w:sdtContent>
    </w:sdt>
  </w:p>
</w:ftr>
</file>

<file path=word/footer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5692CCC" w14:textId="77777777" w:rsidR="00366D34" w:rsidRDefault="00366D34">
    <w:pPr>
      <w:pStyle w:val="Footer"/>
    </w:pPr>
  </w:p>
</w:ftr>
</file>

<file path=word/footer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199BA6D" w14:textId="08315716" w:rsidR="00366D34" w:rsidRDefault="00366D34">
    <w:pPr>
      <w:pStyle w:val="Footer"/>
      <w:jc w:val="center"/>
    </w:pPr>
    <w:sdt>
      <w:sdtPr>
        <w:id w:val="673839951"/>
        <w:docPartObj>
          <w:docPartGallery w:val="Page Numbers (Bottom of Page)"/>
          <w:docPartUnique/>
        </w:docPartObj>
      </w:sdtPr>
      <w:sdtEndPr>
        <w:rPr>
          <w:noProof/>
        </w:rPr>
      </w:sdtEndPr>
      <w:sdtContent>
        <w:r>
          <w:fldChar w:fldCharType="begin"/>
        </w:r>
        <w:r>
          <w:instrText xml:space="preserve"> PAGE   \* MERGEFORMAT </w:instrText>
        </w:r>
        <w:r>
          <w:fldChar w:fldCharType="separate"/>
        </w:r>
        <w:r w:rsidR="00A94AA7">
          <w:rPr>
            <w:noProof/>
          </w:rPr>
          <w:t>35</w:t>
        </w:r>
        <w:r>
          <w:rPr>
            <w:noProof/>
          </w:rPr>
          <w:fldChar w:fldCharType="end"/>
        </w:r>
      </w:sdtContent>
    </w:sdt>
  </w:p>
  <w:p w14:paraId="4191AF61" w14:textId="77777777" w:rsidR="00366D34" w:rsidRDefault="00366D3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6AC22F7" w14:textId="77777777" w:rsidR="005D660D" w:rsidRDefault="005D660D">
      <w:pPr>
        <w:spacing w:after="0" w:line="240" w:lineRule="auto"/>
      </w:pPr>
      <w:r>
        <w:separator/>
      </w:r>
    </w:p>
    <w:p w14:paraId="24C651DF" w14:textId="77777777" w:rsidR="005D660D" w:rsidRDefault="005D660D"/>
  </w:footnote>
  <w:footnote w:type="continuationSeparator" w:id="0">
    <w:p w14:paraId="0EF62822" w14:textId="77777777" w:rsidR="005D660D" w:rsidRDefault="005D660D">
      <w:pPr>
        <w:spacing w:after="0" w:line="240" w:lineRule="auto"/>
      </w:pPr>
      <w:r>
        <w:continuationSeparator/>
      </w:r>
    </w:p>
    <w:p w14:paraId="146E58A0" w14:textId="77777777" w:rsidR="005D660D" w:rsidRDefault="005D660D"/>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EEF7815" w14:textId="140C18C1" w:rsidR="00366D34" w:rsidRDefault="00366D34">
    <w:pPr>
      <w:pStyle w:val="Header"/>
    </w:pPr>
  </w:p>
  <w:p w14:paraId="13DE65F1" w14:textId="77777777" w:rsidR="00366D34" w:rsidRDefault="00366D34"/>
</w:hdr>
</file>

<file path=word/header1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17ABDED" w14:textId="77777777" w:rsidR="00366D34" w:rsidRDefault="00366D34">
    <w:pPr>
      <w:pStyle w:val="Header"/>
    </w:pPr>
  </w:p>
  <w:p w14:paraId="2CD4E2D3" w14:textId="77777777" w:rsidR="00366D34" w:rsidRDefault="00366D34"/>
  <w:p w14:paraId="7E0E7531" w14:textId="77777777" w:rsidR="00366D34" w:rsidRDefault="00366D34"/>
</w:hdr>
</file>

<file path=word/header1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5E2DCA1" w14:textId="77777777" w:rsidR="00366D34" w:rsidRDefault="00366D34"/>
</w:hdr>
</file>

<file path=word/header1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05C52FC" w14:textId="77777777" w:rsidR="00366D34" w:rsidRDefault="00366D34">
    <w:pPr>
      <w:pStyle w:val="Header"/>
    </w:pPr>
  </w:p>
</w:hdr>
</file>

<file path=word/header1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E684AB5" w14:textId="77777777" w:rsidR="00366D34" w:rsidRDefault="00366D34">
    <w:pPr>
      <w:pStyle w:val="Header"/>
    </w:pPr>
  </w:p>
  <w:p w14:paraId="4206DAC5" w14:textId="77777777" w:rsidR="00366D34" w:rsidRDefault="00366D34"/>
  <w:p w14:paraId="1C038951" w14:textId="77777777" w:rsidR="00366D34" w:rsidRDefault="00366D34"/>
</w:hdr>
</file>

<file path=word/header1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5DED356" w14:textId="77777777" w:rsidR="00366D34" w:rsidRPr="00C83541" w:rsidRDefault="00366D34" w:rsidP="003B6148">
    <w:pPr>
      <w:pStyle w:val="Header"/>
    </w:pPr>
  </w:p>
</w:hdr>
</file>

<file path=word/header1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9DA808C" w14:textId="77777777" w:rsidR="00366D34" w:rsidRDefault="00366D34">
    <w:pPr>
      <w:pStyle w:val="Header"/>
    </w:pPr>
  </w:p>
</w:hdr>
</file>

<file path=word/header1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D66C588" w14:textId="77777777" w:rsidR="00366D34" w:rsidRDefault="00366D34">
    <w:pPr>
      <w:pStyle w:val="Header"/>
    </w:pPr>
  </w:p>
  <w:p w14:paraId="3AB4A821" w14:textId="77777777" w:rsidR="00366D34" w:rsidRDefault="00366D34"/>
  <w:p w14:paraId="3FA2DCE5" w14:textId="77777777" w:rsidR="00366D34" w:rsidRDefault="00366D34"/>
</w:hdr>
</file>

<file path=word/header1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1846F19" w14:textId="77777777" w:rsidR="00366D34" w:rsidRDefault="00366D34"/>
</w:hdr>
</file>

<file path=word/header1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54451E6" w14:textId="77777777" w:rsidR="00366D34" w:rsidRDefault="00366D34">
    <w:pPr>
      <w:pStyle w:val="Header"/>
    </w:pPr>
  </w:p>
</w:hdr>
</file>

<file path=word/header1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B91F1F2" w14:textId="77777777" w:rsidR="00366D34" w:rsidRDefault="00366D34">
    <w:pPr>
      <w:pStyle w:val="Header"/>
    </w:pPr>
  </w:p>
  <w:p w14:paraId="48FB8EA8" w14:textId="77777777" w:rsidR="00366D34" w:rsidRDefault="00366D34"/>
  <w:p w14:paraId="759C9048" w14:textId="77777777" w:rsidR="00366D34" w:rsidRDefault="00366D34"/>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52F8DF1" w14:textId="77777777" w:rsidR="00366D34" w:rsidRDefault="00366D34"/>
</w:hdr>
</file>

<file path=word/header2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4C7DD7B" w14:textId="77777777" w:rsidR="00366D34" w:rsidRDefault="00366D34"/>
</w:hdr>
</file>

<file path=word/header2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736B1DD" w14:textId="77777777" w:rsidR="00366D34" w:rsidRDefault="00366D34">
    <w:pPr>
      <w:pStyle w:val="Header"/>
    </w:pPr>
  </w:p>
</w:hdr>
</file>

<file path=word/header2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66A09EB" w14:textId="77777777" w:rsidR="00366D34" w:rsidRDefault="00366D34">
    <w:pPr>
      <w:pStyle w:val="Header"/>
    </w:pPr>
  </w:p>
  <w:p w14:paraId="2D0B3CBC" w14:textId="77777777" w:rsidR="00366D34" w:rsidRDefault="00366D34"/>
  <w:p w14:paraId="2325D343" w14:textId="77777777" w:rsidR="00366D34" w:rsidRDefault="00366D34"/>
</w:hdr>
</file>

<file path=word/header2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7E795B7" w14:textId="77777777" w:rsidR="00366D34" w:rsidRDefault="00366D34"/>
</w:hdr>
</file>

<file path=word/header2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146F2F3" w14:textId="77777777" w:rsidR="00366D34" w:rsidRDefault="00366D34">
    <w:pPr>
      <w:pStyle w:val="Header"/>
    </w:pPr>
  </w:p>
</w:hdr>
</file>

<file path=word/header2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8F8F624" w14:textId="77777777" w:rsidR="00366D34" w:rsidRDefault="00366D34">
    <w:pPr>
      <w:pStyle w:val="Header"/>
    </w:pPr>
  </w:p>
  <w:p w14:paraId="520776DA" w14:textId="77777777" w:rsidR="00366D34" w:rsidRDefault="00366D34"/>
  <w:p w14:paraId="036776BF" w14:textId="77777777" w:rsidR="00366D34" w:rsidRDefault="00366D34"/>
</w:hdr>
</file>

<file path=word/header2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12CBD30" w14:textId="77777777" w:rsidR="00366D34" w:rsidRDefault="00366D34"/>
</w:hdr>
</file>

<file path=word/header2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D778919" w14:textId="77777777" w:rsidR="00366D34" w:rsidRDefault="00366D34">
    <w:pPr>
      <w:pStyle w:val="Header"/>
    </w:pPr>
  </w:p>
</w:hdr>
</file>

<file path=word/header2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49B716B" w14:textId="77777777" w:rsidR="00366D34" w:rsidRDefault="00366D34">
    <w:pPr>
      <w:pStyle w:val="Header"/>
    </w:pPr>
  </w:p>
  <w:p w14:paraId="7A5AED4F" w14:textId="77777777" w:rsidR="00366D34" w:rsidRDefault="00366D34"/>
  <w:p w14:paraId="0D4EEEEE" w14:textId="77777777" w:rsidR="00366D34" w:rsidRDefault="00366D34"/>
</w:hdr>
</file>

<file path=word/header2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6B7D368" w14:textId="77777777" w:rsidR="00366D34" w:rsidRDefault="00366D34"/>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C657E4F" w14:textId="77777777" w:rsidR="00366D34" w:rsidRDefault="00366D34">
    <w:pPr>
      <w:pStyle w:val="Header"/>
    </w:pPr>
  </w:p>
</w:hdr>
</file>

<file path=word/header3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714C99C" w14:textId="77777777" w:rsidR="00366D34" w:rsidRDefault="00366D34">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71DDD8F" w14:textId="77777777" w:rsidR="00366D34" w:rsidRDefault="00366D34">
    <w:pPr>
      <w:pStyle w:val="Header"/>
    </w:pPr>
  </w:p>
  <w:p w14:paraId="5FC9A431" w14:textId="77777777" w:rsidR="00366D34" w:rsidRDefault="00366D34"/>
  <w:p w14:paraId="55ACE58F" w14:textId="77777777" w:rsidR="00366D34" w:rsidRDefault="00366D34"/>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2EE0410" w14:textId="77777777" w:rsidR="00366D34" w:rsidRDefault="00366D34"/>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F5E2028" w14:textId="77777777" w:rsidR="00366D34" w:rsidRDefault="00366D34">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F5B6E2A" w14:textId="77777777" w:rsidR="00366D34" w:rsidRDefault="00366D34">
    <w:pPr>
      <w:pStyle w:val="Header"/>
    </w:pPr>
  </w:p>
  <w:p w14:paraId="119E01ED" w14:textId="77777777" w:rsidR="00366D34" w:rsidRDefault="00366D34"/>
  <w:p w14:paraId="75BC8B34" w14:textId="77777777" w:rsidR="00366D34" w:rsidRDefault="00366D34"/>
</w:hdr>
</file>

<file path=word/header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0E10708" w14:textId="77777777" w:rsidR="00366D34" w:rsidRDefault="00366D34"/>
</w:hdr>
</file>

<file path=word/header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5D7E2E5" w14:textId="77777777" w:rsidR="00366D34" w:rsidRDefault="00366D34">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2" type="#_x0000_t75" alt="http://www.wintac.org/sites/default/files/img/Witac-logo_bullet.png" style="width:20.25pt;height:20.25pt;visibility:visible;mso-wrap-style:square" o:bullet="t">
        <v:imagedata r:id="rId1" o:title="Witac-logo_bullet"/>
      </v:shape>
    </w:pict>
  </w:numPicBullet>
  <w:numPicBullet w:numPicBulletId="1">
    <w:pict>
      <v:shape id="_x0000_i1043" type="#_x0000_t75" style="width:11.25pt;height:11.25pt" o:bullet="t">
        <v:imagedata r:id="rId2" o:title="msoBCFC"/>
      </v:shape>
    </w:pict>
  </w:numPicBullet>
  <w:abstractNum w:abstractNumId="0" w15:restartNumberingAfterBreak="0">
    <w:nsid w:val="014F6329"/>
    <w:multiLevelType w:val="hybridMultilevel"/>
    <w:tmpl w:val="C5865D80"/>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B">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3980A3B"/>
    <w:multiLevelType w:val="hybridMultilevel"/>
    <w:tmpl w:val="5A9CB04A"/>
    <w:lvl w:ilvl="0" w:tplc="C0621ECC">
      <w:start w:val="1"/>
      <w:numFmt w:val="bullet"/>
      <w:lvlText w:val=""/>
      <w:lvlPicBulletId w:val="0"/>
      <w:lvlJc w:val="left"/>
      <w:pPr>
        <w:ind w:left="720" w:hanging="360"/>
      </w:pPr>
      <w:rPr>
        <w:rFonts w:ascii="Symbol" w:hAnsi="Symbol" w:hint="default"/>
      </w:rPr>
    </w:lvl>
    <w:lvl w:ilvl="1" w:tplc="04090007">
      <w:start w:val="1"/>
      <w:numFmt w:val="bullet"/>
      <w:lvlText w:val=""/>
      <w:lvlPicBulletId w:val="1"/>
      <w:lvlJc w:val="left"/>
      <w:pPr>
        <w:ind w:left="1440" w:hanging="360"/>
      </w:pPr>
      <w:rPr>
        <w:rFonts w:ascii="Symbol" w:hAnsi="Symbol" w:hint="default"/>
      </w:rPr>
    </w:lvl>
    <w:lvl w:ilvl="2" w:tplc="04090007">
      <w:start w:val="1"/>
      <w:numFmt w:val="bullet"/>
      <w:lvlText w:val=""/>
      <w:lvlPicBulletId w:val="1"/>
      <w:lvlJc w:val="left"/>
      <w:pPr>
        <w:ind w:left="2160" w:hanging="360"/>
      </w:pPr>
      <w:rPr>
        <w:rFonts w:ascii="Symbol" w:hAnsi="Symbol"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51F18F0"/>
    <w:multiLevelType w:val="hybridMultilevel"/>
    <w:tmpl w:val="C792DDDE"/>
    <w:lvl w:ilvl="0" w:tplc="04090015">
      <w:start w:val="1"/>
      <w:numFmt w:val="upperLetter"/>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862391F"/>
    <w:multiLevelType w:val="hybridMultilevel"/>
    <w:tmpl w:val="357A106A"/>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8AA10BE"/>
    <w:multiLevelType w:val="hybridMultilevel"/>
    <w:tmpl w:val="F2F2B256"/>
    <w:lvl w:ilvl="0" w:tplc="C0621ECC">
      <w:start w:val="1"/>
      <w:numFmt w:val="bullet"/>
      <w:lvlText w:val=""/>
      <w:lvlPicBulletId w:val="0"/>
      <w:lvlJc w:val="left"/>
      <w:pPr>
        <w:ind w:left="720" w:hanging="360"/>
      </w:pPr>
      <w:rPr>
        <w:rFonts w:ascii="Symbol" w:hAnsi="Symbol" w:hint="default"/>
      </w:rPr>
    </w:lvl>
    <w:lvl w:ilvl="1" w:tplc="04090007">
      <w:start w:val="1"/>
      <w:numFmt w:val="bullet"/>
      <w:lvlText w:val=""/>
      <w:lvlPicBulletId w:val="1"/>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95F3DC3"/>
    <w:multiLevelType w:val="hybridMultilevel"/>
    <w:tmpl w:val="5814710E"/>
    <w:lvl w:ilvl="0" w:tplc="C0621ECC">
      <w:start w:val="1"/>
      <w:numFmt w:val="bullet"/>
      <w:lvlText w:val=""/>
      <w:lvlPicBulletId w:val="0"/>
      <w:lvlJc w:val="left"/>
      <w:pPr>
        <w:ind w:left="360" w:hanging="360"/>
      </w:pPr>
      <w:rPr>
        <w:rFonts w:ascii="Symbol" w:hAnsi="Symbol" w:hint="default"/>
      </w:rPr>
    </w:lvl>
    <w:lvl w:ilvl="1" w:tplc="C0621ECC">
      <w:start w:val="1"/>
      <w:numFmt w:val="bullet"/>
      <w:lvlText w:val=""/>
      <w:lvlPicBulletId w:val="0"/>
      <w:lvlJc w:val="left"/>
      <w:pPr>
        <w:ind w:left="1080" w:hanging="360"/>
      </w:pPr>
      <w:rPr>
        <w:rFonts w:ascii="Symbol" w:hAnsi="Symbol"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15:restartNumberingAfterBreak="0">
    <w:nsid w:val="0AAB6F4A"/>
    <w:multiLevelType w:val="hybridMultilevel"/>
    <w:tmpl w:val="7062D06A"/>
    <w:lvl w:ilvl="0" w:tplc="0409000B">
      <w:start w:val="1"/>
      <w:numFmt w:val="bullet"/>
      <w:lvlText w:val=""/>
      <w:lvlJc w:val="left"/>
      <w:pPr>
        <w:ind w:left="720" w:hanging="360"/>
      </w:pPr>
      <w:rPr>
        <w:rFonts w:ascii="Wingdings" w:hAnsi="Wingdings" w:hint="default"/>
      </w:rPr>
    </w:lvl>
    <w:lvl w:ilvl="1" w:tplc="0409000B">
      <w:start w:val="1"/>
      <w:numFmt w:val="bullet"/>
      <w:lvlText w:val=""/>
      <w:lvlJc w:val="left"/>
      <w:pPr>
        <w:ind w:left="1440" w:hanging="360"/>
      </w:pPr>
      <w:rPr>
        <w:rFonts w:ascii="Wingdings" w:hAnsi="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B6D16F8"/>
    <w:multiLevelType w:val="hybridMultilevel"/>
    <w:tmpl w:val="94E47BA4"/>
    <w:lvl w:ilvl="0" w:tplc="04090015">
      <w:start w:val="1"/>
      <w:numFmt w:val="upperLetter"/>
      <w:lvlText w:val="%1."/>
      <w:lvlJc w:val="left"/>
      <w:pPr>
        <w:ind w:left="720" w:hanging="360"/>
      </w:pPr>
    </w:lvl>
    <w:lvl w:ilvl="1" w:tplc="0409001B">
      <w:start w:val="1"/>
      <w:numFmt w:val="lowerRoman"/>
      <w:lvlText w:val="%2."/>
      <w:lvlJc w:val="righ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0C572A8A"/>
    <w:multiLevelType w:val="hybridMultilevel"/>
    <w:tmpl w:val="36CEF6EE"/>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0DF5320A"/>
    <w:multiLevelType w:val="hybridMultilevel"/>
    <w:tmpl w:val="089EF526"/>
    <w:lvl w:ilvl="0" w:tplc="C0621ECC">
      <w:start w:val="1"/>
      <w:numFmt w:val="bullet"/>
      <w:lvlText w:val=""/>
      <w:lvlPicBulletId w:val="0"/>
      <w:lvlJc w:val="left"/>
      <w:pPr>
        <w:ind w:left="720" w:hanging="360"/>
      </w:pPr>
      <w:rPr>
        <w:rFonts w:ascii="Symbol" w:hAnsi="Symbol" w:hint="default"/>
      </w:rPr>
    </w:lvl>
    <w:lvl w:ilvl="1" w:tplc="C0621ECC">
      <w:start w:val="1"/>
      <w:numFmt w:val="bullet"/>
      <w:lvlText w:val=""/>
      <w:lvlPicBulletId w:val="0"/>
      <w:lvlJc w:val="left"/>
      <w:pPr>
        <w:ind w:left="1440" w:hanging="360"/>
      </w:pPr>
      <w:rPr>
        <w:rFonts w:ascii="Symbol" w:hAnsi="Symbol" w:hint="default"/>
      </w:rPr>
    </w:lvl>
    <w:lvl w:ilvl="2" w:tplc="04090007">
      <w:start w:val="1"/>
      <w:numFmt w:val="bullet"/>
      <w:lvlText w:val=""/>
      <w:lvlPicBulletId w:val="1"/>
      <w:lvlJc w:val="left"/>
      <w:pPr>
        <w:ind w:left="2160" w:hanging="360"/>
      </w:pPr>
      <w:rPr>
        <w:rFonts w:ascii="Symbol" w:hAnsi="Symbol"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0F864D9A"/>
    <w:multiLevelType w:val="hybridMultilevel"/>
    <w:tmpl w:val="D584DB1C"/>
    <w:lvl w:ilvl="0" w:tplc="C0621ECC">
      <w:start w:val="1"/>
      <w:numFmt w:val="bullet"/>
      <w:lvlText w:val=""/>
      <w:lvlPicBulletId w:val="0"/>
      <w:lvlJc w:val="left"/>
      <w:pPr>
        <w:ind w:left="720" w:hanging="360"/>
      </w:pPr>
      <w:rPr>
        <w:rFonts w:ascii="Symbol" w:hAnsi="Symbol" w:hint="default"/>
      </w:rPr>
    </w:lvl>
    <w:lvl w:ilvl="1" w:tplc="04090007">
      <w:start w:val="1"/>
      <w:numFmt w:val="bullet"/>
      <w:lvlText w:val=""/>
      <w:lvlPicBulletId w:val="1"/>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3C764F9"/>
    <w:multiLevelType w:val="hybridMultilevel"/>
    <w:tmpl w:val="F49CB9C4"/>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2" w15:restartNumberingAfterBreak="0">
    <w:nsid w:val="145B247B"/>
    <w:multiLevelType w:val="hybridMultilevel"/>
    <w:tmpl w:val="5A363A4A"/>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16334A72"/>
    <w:multiLevelType w:val="hybridMultilevel"/>
    <w:tmpl w:val="5210B600"/>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16F60690"/>
    <w:multiLevelType w:val="hybridMultilevel"/>
    <w:tmpl w:val="F6F49F0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1B8F60F6"/>
    <w:multiLevelType w:val="hybridMultilevel"/>
    <w:tmpl w:val="2A0087BE"/>
    <w:lvl w:ilvl="0" w:tplc="0409000B">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 w15:restartNumberingAfterBreak="0">
    <w:nsid w:val="1D782993"/>
    <w:multiLevelType w:val="hybridMultilevel"/>
    <w:tmpl w:val="16785E2A"/>
    <w:lvl w:ilvl="0" w:tplc="C0621ECC">
      <w:start w:val="1"/>
      <w:numFmt w:val="bullet"/>
      <w:lvlText w:val=""/>
      <w:lvlPicBulletId w:val="0"/>
      <w:lvlJc w:val="left"/>
      <w:pPr>
        <w:ind w:left="720" w:hanging="360"/>
      </w:pPr>
      <w:rPr>
        <w:rFonts w:ascii="Symbol" w:hAnsi="Symbol" w:hint="default"/>
      </w:rPr>
    </w:lvl>
    <w:lvl w:ilvl="1" w:tplc="C0621ECC">
      <w:start w:val="1"/>
      <w:numFmt w:val="bullet"/>
      <w:lvlText w:val=""/>
      <w:lvlPicBulletId w:val="0"/>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1E391808"/>
    <w:multiLevelType w:val="hybridMultilevel"/>
    <w:tmpl w:val="7846A5B4"/>
    <w:lvl w:ilvl="0" w:tplc="C0621ECC">
      <w:start w:val="1"/>
      <w:numFmt w:val="bullet"/>
      <w:lvlText w:val=""/>
      <w:lvlPicBulletId w:val="0"/>
      <w:lvlJc w:val="left"/>
      <w:pPr>
        <w:ind w:left="1440" w:hanging="360"/>
      </w:pPr>
      <w:rPr>
        <w:rFonts w:ascii="Symbol" w:hAnsi="Symbol" w:hint="default"/>
      </w:rPr>
    </w:lvl>
    <w:lvl w:ilvl="1" w:tplc="C0621ECC">
      <w:start w:val="1"/>
      <w:numFmt w:val="bullet"/>
      <w:lvlText w:val=""/>
      <w:lvlPicBulletId w:val="0"/>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21DB0F04"/>
    <w:multiLevelType w:val="hybridMultilevel"/>
    <w:tmpl w:val="64D83E24"/>
    <w:lvl w:ilvl="0" w:tplc="F1A28608">
      <w:start w:val="1"/>
      <w:numFmt w:val="upp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9" w15:restartNumberingAfterBreak="0">
    <w:nsid w:val="28946FC7"/>
    <w:multiLevelType w:val="hybridMultilevel"/>
    <w:tmpl w:val="E8582460"/>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29A843BC"/>
    <w:multiLevelType w:val="hybridMultilevel"/>
    <w:tmpl w:val="7EDC5C02"/>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1" w15:restartNumberingAfterBreak="0">
    <w:nsid w:val="2B516B50"/>
    <w:multiLevelType w:val="hybridMultilevel"/>
    <w:tmpl w:val="51EADBFC"/>
    <w:lvl w:ilvl="0" w:tplc="0409000B">
      <w:start w:val="1"/>
      <w:numFmt w:val="bullet"/>
      <w:lvlText w:val=""/>
      <w:lvlJc w:val="left"/>
      <w:pPr>
        <w:ind w:left="720" w:hanging="360"/>
      </w:pPr>
      <w:rPr>
        <w:rFonts w:ascii="Wingdings" w:hAnsi="Wingdings" w:hint="default"/>
      </w:rPr>
    </w:lvl>
    <w:lvl w:ilvl="1" w:tplc="0409000B">
      <w:start w:val="1"/>
      <w:numFmt w:val="bullet"/>
      <w:lvlText w:val=""/>
      <w:lvlJc w:val="left"/>
      <w:pPr>
        <w:ind w:left="1440" w:hanging="360"/>
      </w:pPr>
      <w:rPr>
        <w:rFonts w:ascii="Wingdings" w:hAnsi="Wingdings"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2D0F5FE9"/>
    <w:multiLevelType w:val="hybridMultilevel"/>
    <w:tmpl w:val="8B60706C"/>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2DFE1DC0"/>
    <w:multiLevelType w:val="hybridMultilevel"/>
    <w:tmpl w:val="0F1ABCD4"/>
    <w:lvl w:ilvl="0" w:tplc="C0621ECC">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2E3F5119"/>
    <w:multiLevelType w:val="hybridMultilevel"/>
    <w:tmpl w:val="0AC20564"/>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314D1DF4"/>
    <w:multiLevelType w:val="hybridMultilevel"/>
    <w:tmpl w:val="C792DDDE"/>
    <w:lvl w:ilvl="0" w:tplc="04090015">
      <w:start w:val="1"/>
      <w:numFmt w:val="upperLetter"/>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31AC57CA"/>
    <w:multiLevelType w:val="hybridMultilevel"/>
    <w:tmpl w:val="071AE14E"/>
    <w:lvl w:ilvl="0" w:tplc="04090007">
      <w:start w:val="1"/>
      <w:numFmt w:val="bullet"/>
      <w:lvlText w:val=""/>
      <w:lvlPicBulletId w:val="1"/>
      <w:lvlJc w:val="left"/>
      <w:pPr>
        <w:ind w:left="720" w:hanging="360"/>
      </w:pPr>
      <w:rPr>
        <w:rFonts w:ascii="Symbol" w:hAnsi="Symbol" w:hint="default"/>
      </w:rPr>
    </w:lvl>
    <w:lvl w:ilvl="1" w:tplc="C0621ECC">
      <w:start w:val="1"/>
      <w:numFmt w:val="bullet"/>
      <w:lvlText w:val=""/>
      <w:lvlPicBulletId w:val="0"/>
      <w:lvlJc w:val="left"/>
      <w:pPr>
        <w:ind w:left="1440" w:hanging="360"/>
      </w:pPr>
      <w:rPr>
        <w:rFonts w:ascii="Symbol" w:hAnsi="Symbol" w:hint="default"/>
      </w:rPr>
    </w:lvl>
    <w:lvl w:ilvl="2" w:tplc="04090007">
      <w:start w:val="1"/>
      <w:numFmt w:val="bullet"/>
      <w:lvlText w:val=""/>
      <w:lvlPicBulletId w:val="1"/>
      <w:lvlJc w:val="left"/>
      <w:pPr>
        <w:ind w:left="2160" w:hanging="360"/>
      </w:pPr>
      <w:rPr>
        <w:rFonts w:ascii="Symbol" w:hAnsi="Symbol"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31CB69D6"/>
    <w:multiLevelType w:val="hybridMultilevel"/>
    <w:tmpl w:val="E826902C"/>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32437BF4"/>
    <w:multiLevelType w:val="hybridMultilevel"/>
    <w:tmpl w:val="3C82B04A"/>
    <w:lvl w:ilvl="0" w:tplc="7EFC0430">
      <w:start w:val="2"/>
      <w:numFmt w:val="upperLetter"/>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33B3217A"/>
    <w:multiLevelType w:val="hybridMultilevel"/>
    <w:tmpl w:val="FD9E1F66"/>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34706E93"/>
    <w:multiLevelType w:val="hybridMultilevel"/>
    <w:tmpl w:val="8E2477C2"/>
    <w:lvl w:ilvl="0" w:tplc="D30E3E5A">
      <w:start w:val="1"/>
      <w:numFmt w:val="upp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1" w15:restartNumberingAfterBreak="0">
    <w:nsid w:val="35652FD1"/>
    <w:multiLevelType w:val="hybridMultilevel"/>
    <w:tmpl w:val="3B386774"/>
    <w:lvl w:ilvl="0" w:tplc="C0621ECC">
      <w:start w:val="1"/>
      <w:numFmt w:val="bullet"/>
      <w:lvlText w:val=""/>
      <w:lvlPicBulletId w:val="0"/>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15:restartNumberingAfterBreak="0">
    <w:nsid w:val="366A4846"/>
    <w:multiLevelType w:val="hybridMultilevel"/>
    <w:tmpl w:val="E180AF58"/>
    <w:lvl w:ilvl="0" w:tplc="C0621ECC">
      <w:start w:val="1"/>
      <w:numFmt w:val="bullet"/>
      <w:lvlText w:val=""/>
      <w:lvlPicBulletId w:val="0"/>
      <w:lvlJc w:val="left"/>
      <w:pPr>
        <w:ind w:left="360" w:hanging="360"/>
      </w:pPr>
      <w:rPr>
        <w:rFonts w:ascii="Symbol" w:hAnsi="Symbol" w:hint="default"/>
      </w:rPr>
    </w:lvl>
    <w:lvl w:ilvl="1" w:tplc="C0621ECC">
      <w:start w:val="1"/>
      <w:numFmt w:val="bullet"/>
      <w:lvlText w:val=""/>
      <w:lvlPicBulletId w:val="0"/>
      <w:lvlJc w:val="left"/>
      <w:pPr>
        <w:ind w:left="1080" w:hanging="360"/>
      </w:pPr>
      <w:rPr>
        <w:rFonts w:ascii="Symbol" w:hAnsi="Symbol" w:hint="default"/>
      </w:rPr>
    </w:lvl>
    <w:lvl w:ilvl="2" w:tplc="04090007">
      <w:start w:val="1"/>
      <w:numFmt w:val="bullet"/>
      <w:lvlText w:val=""/>
      <w:lvlPicBulletId w:val="1"/>
      <w:lvlJc w:val="left"/>
      <w:pPr>
        <w:ind w:left="1800" w:hanging="360"/>
      </w:pPr>
      <w:rPr>
        <w:rFonts w:ascii="Symbol" w:hAnsi="Symbol"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3" w15:restartNumberingAfterBreak="0">
    <w:nsid w:val="36965F05"/>
    <w:multiLevelType w:val="hybridMultilevel"/>
    <w:tmpl w:val="2DCC4FEA"/>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4" w15:restartNumberingAfterBreak="0">
    <w:nsid w:val="3D8444A0"/>
    <w:multiLevelType w:val="hybridMultilevel"/>
    <w:tmpl w:val="D6F05FB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3DA6543C"/>
    <w:multiLevelType w:val="hybridMultilevel"/>
    <w:tmpl w:val="7D9427DC"/>
    <w:lvl w:ilvl="0" w:tplc="C0621ECC">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3DDA0D2C"/>
    <w:multiLevelType w:val="hybridMultilevel"/>
    <w:tmpl w:val="FCC472CA"/>
    <w:lvl w:ilvl="0" w:tplc="87147C68">
      <w:start w:val="1"/>
      <w:numFmt w:val="lowerRoman"/>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3E2148CC"/>
    <w:multiLevelType w:val="hybridMultilevel"/>
    <w:tmpl w:val="DDDE0B26"/>
    <w:lvl w:ilvl="0" w:tplc="0409000B">
      <w:start w:val="1"/>
      <w:numFmt w:val="bullet"/>
      <w:lvlText w:val=""/>
      <w:lvlJc w:val="left"/>
      <w:pPr>
        <w:ind w:left="720" w:hanging="360"/>
      </w:pPr>
      <w:rPr>
        <w:rFonts w:ascii="Wingdings" w:hAnsi="Wingdings" w:hint="default"/>
      </w:rPr>
    </w:lvl>
    <w:lvl w:ilvl="1" w:tplc="0409000B">
      <w:start w:val="1"/>
      <w:numFmt w:val="bullet"/>
      <w:lvlText w:val=""/>
      <w:lvlJc w:val="left"/>
      <w:pPr>
        <w:ind w:left="1440" w:hanging="360"/>
      </w:pPr>
      <w:rPr>
        <w:rFonts w:ascii="Wingdings" w:hAnsi="Wingdings" w:hint="default"/>
      </w:rPr>
    </w:lvl>
    <w:lvl w:ilvl="2" w:tplc="0409000B">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3EA62192"/>
    <w:multiLevelType w:val="hybridMultilevel"/>
    <w:tmpl w:val="C9CE9C5A"/>
    <w:lvl w:ilvl="0" w:tplc="0409000F">
      <w:start w:val="1"/>
      <w:numFmt w:val="decimal"/>
      <w:lvlText w:val="%1."/>
      <w:lvlJc w:val="left"/>
      <w:pPr>
        <w:ind w:left="360" w:hanging="360"/>
      </w:pPr>
      <w:rPr>
        <w:rFonts w:hint="default"/>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9" w15:restartNumberingAfterBreak="0">
    <w:nsid w:val="42050637"/>
    <w:multiLevelType w:val="hybridMultilevel"/>
    <w:tmpl w:val="142E702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44884720"/>
    <w:multiLevelType w:val="hybridMultilevel"/>
    <w:tmpl w:val="8CB0A352"/>
    <w:lvl w:ilvl="0" w:tplc="C0621ECC">
      <w:start w:val="1"/>
      <w:numFmt w:val="bullet"/>
      <w:lvlText w:val=""/>
      <w:lvlPicBulletId w:val="0"/>
      <w:lvlJc w:val="left"/>
      <w:pPr>
        <w:ind w:left="360" w:hanging="360"/>
      </w:pPr>
      <w:rPr>
        <w:rFonts w:ascii="Symbol" w:hAnsi="Symbol" w:hint="default"/>
      </w:rPr>
    </w:lvl>
    <w:lvl w:ilvl="1" w:tplc="C0621ECC">
      <w:start w:val="1"/>
      <w:numFmt w:val="bullet"/>
      <w:lvlText w:val=""/>
      <w:lvlPicBulletId w:val="0"/>
      <w:lvlJc w:val="left"/>
      <w:pPr>
        <w:ind w:left="1080" w:hanging="360"/>
      </w:pPr>
      <w:rPr>
        <w:rFonts w:ascii="Symbol" w:hAnsi="Symbol"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1" w15:restartNumberingAfterBreak="0">
    <w:nsid w:val="491439ED"/>
    <w:multiLevelType w:val="multilevel"/>
    <w:tmpl w:val="D14CD51A"/>
    <w:lvl w:ilvl="0">
      <w:start w:val="1"/>
      <w:numFmt w:val="upperLetter"/>
      <w:lvlText w:val="%1."/>
      <w:lvlJc w:val="left"/>
      <w:pPr>
        <w:ind w:left="0" w:firstLine="0"/>
      </w:pPr>
      <w:rPr>
        <w:rFonts w:hint="default"/>
      </w:rPr>
    </w:lvl>
    <w:lvl w:ilvl="1">
      <w:start w:val="1"/>
      <w:numFmt w:val="upperLetter"/>
      <w:lvlRestart w:val="0"/>
      <w:pStyle w:val="NoSpacing"/>
      <w:lvlText w:val="%2."/>
      <w:lvlJc w:val="left"/>
      <w:pPr>
        <w:ind w:left="720" w:firstLine="0"/>
      </w:pPr>
      <w:rPr>
        <w:rFonts w:hint="default"/>
      </w:rPr>
    </w:lvl>
    <w:lvl w:ilvl="2">
      <w:start w:val="1"/>
      <w:numFmt w:val="decimal"/>
      <w:lvlText w:val="%3."/>
      <w:lvlJc w:val="left"/>
      <w:pPr>
        <w:ind w:left="1440" w:firstLine="0"/>
      </w:pPr>
      <w:rPr>
        <w:rFonts w:hint="default"/>
      </w:rPr>
    </w:lvl>
    <w:lvl w:ilvl="3">
      <w:start w:val="1"/>
      <w:numFmt w:val="lowerLetter"/>
      <w:lvlText w:val="%4)"/>
      <w:lvlJc w:val="left"/>
      <w:pPr>
        <w:ind w:left="2160" w:firstLine="0"/>
      </w:pPr>
      <w:rPr>
        <w:rFonts w:hint="default"/>
      </w:rPr>
    </w:lvl>
    <w:lvl w:ilvl="4">
      <w:start w:val="1"/>
      <w:numFmt w:val="decimal"/>
      <w:lvlText w:val="(%5)"/>
      <w:lvlJc w:val="left"/>
      <w:pPr>
        <w:ind w:left="2880" w:firstLine="0"/>
      </w:pPr>
      <w:rPr>
        <w:rFonts w:hint="default"/>
      </w:rPr>
    </w:lvl>
    <w:lvl w:ilvl="5">
      <w:start w:val="1"/>
      <w:numFmt w:val="lowerLetter"/>
      <w:lvlText w:val="(%6)"/>
      <w:lvlJc w:val="left"/>
      <w:pPr>
        <w:ind w:left="3600" w:firstLine="0"/>
      </w:pPr>
      <w:rPr>
        <w:rFonts w:hint="default"/>
      </w:rPr>
    </w:lvl>
    <w:lvl w:ilvl="6">
      <w:start w:val="1"/>
      <w:numFmt w:val="lowerRoman"/>
      <w:lvlText w:val="(%7)"/>
      <w:lvlJc w:val="left"/>
      <w:pPr>
        <w:ind w:left="4320" w:firstLine="0"/>
      </w:pPr>
      <w:rPr>
        <w:rFonts w:hint="default"/>
      </w:rPr>
    </w:lvl>
    <w:lvl w:ilvl="7">
      <w:start w:val="1"/>
      <w:numFmt w:val="lowerLetter"/>
      <w:lvlText w:val="(%8)"/>
      <w:lvlJc w:val="left"/>
      <w:pPr>
        <w:ind w:left="5040" w:firstLine="0"/>
      </w:pPr>
      <w:rPr>
        <w:rFonts w:hint="default"/>
      </w:rPr>
    </w:lvl>
    <w:lvl w:ilvl="8">
      <w:start w:val="1"/>
      <w:numFmt w:val="lowerRoman"/>
      <w:lvlText w:val="(%9)"/>
      <w:lvlJc w:val="left"/>
      <w:pPr>
        <w:ind w:left="5760" w:firstLine="0"/>
      </w:pPr>
      <w:rPr>
        <w:rFonts w:hint="default"/>
      </w:rPr>
    </w:lvl>
  </w:abstractNum>
  <w:abstractNum w:abstractNumId="42" w15:restartNumberingAfterBreak="0">
    <w:nsid w:val="4BC209C0"/>
    <w:multiLevelType w:val="multilevel"/>
    <w:tmpl w:val="885A5A1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4C552915"/>
    <w:multiLevelType w:val="multilevel"/>
    <w:tmpl w:val="04090027"/>
    <w:lvl w:ilvl="0">
      <w:start w:val="1"/>
      <w:numFmt w:val="upperRoman"/>
      <w:pStyle w:val="Heading1"/>
      <w:lvlText w:val="%1."/>
      <w:lvlJc w:val="left"/>
      <w:pPr>
        <w:ind w:left="0" w:firstLine="0"/>
      </w:pPr>
    </w:lvl>
    <w:lvl w:ilvl="1">
      <w:start w:val="1"/>
      <w:numFmt w:val="upperLetter"/>
      <w:pStyle w:val="Heading2"/>
      <w:lvlText w:val="%2."/>
      <w:lvlJc w:val="left"/>
      <w:pPr>
        <w:ind w:left="720" w:firstLine="0"/>
      </w:pPr>
    </w:lvl>
    <w:lvl w:ilvl="2">
      <w:start w:val="1"/>
      <w:numFmt w:val="decimal"/>
      <w:pStyle w:val="Heading3"/>
      <w:lvlText w:val="%3."/>
      <w:lvlJc w:val="left"/>
      <w:pPr>
        <w:ind w:left="1440" w:firstLine="0"/>
      </w:pPr>
    </w:lvl>
    <w:lvl w:ilvl="3">
      <w:start w:val="1"/>
      <w:numFmt w:val="lowerLetter"/>
      <w:pStyle w:val="Heading4"/>
      <w:lvlText w:val="%4)"/>
      <w:lvlJc w:val="left"/>
      <w:pPr>
        <w:ind w:left="2160" w:firstLine="0"/>
      </w:pPr>
    </w:lvl>
    <w:lvl w:ilvl="4">
      <w:start w:val="1"/>
      <w:numFmt w:val="decimal"/>
      <w:pStyle w:val="Heading5"/>
      <w:lvlText w:val="(%5)"/>
      <w:lvlJc w:val="left"/>
      <w:pPr>
        <w:ind w:left="2880" w:firstLine="0"/>
      </w:pPr>
    </w:lvl>
    <w:lvl w:ilvl="5">
      <w:start w:val="1"/>
      <w:numFmt w:val="lowerLetter"/>
      <w:pStyle w:val="Heading6"/>
      <w:lvlText w:val="(%6)"/>
      <w:lvlJc w:val="left"/>
      <w:pPr>
        <w:ind w:left="3600" w:firstLine="0"/>
      </w:pPr>
    </w:lvl>
    <w:lvl w:ilvl="6">
      <w:start w:val="1"/>
      <w:numFmt w:val="lowerRoman"/>
      <w:pStyle w:val="Heading7"/>
      <w:lvlText w:val="(%7)"/>
      <w:lvlJc w:val="left"/>
      <w:pPr>
        <w:ind w:left="4320" w:firstLine="0"/>
      </w:pPr>
    </w:lvl>
    <w:lvl w:ilvl="7">
      <w:start w:val="1"/>
      <w:numFmt w:val="lowerLetter"/>
      <w:pStyle w:val="Heading8"/>
      <w:lvlText w:val="(%8)"/>
      <w:lvlJc w:val="left"/>
      <w:pPr>
        <w:ind w:left="5040" w:firstLine="0"/>
      </w:pPr>
    </w:lvl>
    <w:lvl w:ilvl="8">
      <w:start w:val="1"/>
      <w:numFmt w:val="lowerRoman"/>
      <w:pStyle w:val="Heading9"/>
      <w:lvlText w:val="(%9)"/>
      <w:lvlJc w:val="left"/>
      <w:pPr>
        <w:ind w:left="5760" w:firstLine="0"/>
      </w:pPr>
    </w:lvl>
  </w:abstractNum>
  <w:abstractNum w:abstractNumId="44" w15:restartNumberingAfterBreak="0">
    <w:nsid w:val="4F84329B"/>
    <w:multiLevelType w:val="hybridMultilevel"/>
    <w:tmpl w:val="91248D6C"/>
    <w:lvl w:ilvl="0" w:tplc="0409000B">
      <w:start w:val="1"/>
      <w:numFmt w:val="bullet"/>
      <w:lvlText w:val=""/>
      <w:lvlJc w:val="left"/>
      <w:pPr>
        <w:ind w:left="720" w:hanging="360"/>
      </w:pPr>
      <w:rPr>
        <w:rFonts w:ascii="Wingdings" w:hAnsi="Wingdings" w:hint="default"/>
      </w:rPr>
    </w:lvl>
    <w:lvl w:ilvl="1" w:tplc="0409000B">
      <w:start w:val="1"/>
      <w:numFmt w:val="bullet"/>
      <w:lvlText w:val=""/>
      <w:lvlJc w:val="left"/>
      <w:pPr>
        <w:ind w:left="1440" w:hanging="360"/>
      </w:pPr>
      <w:rPr>
        <w:rFonts w:ascii="Wingdings" w:hAnsi="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4FAC4D4A"/>
    <w:multiLevelType w:val="hybridMultilevel"/>
    <w:tmpl w:val="8BE65F64"/>
    <w:lvl w:ilvl="0" w:tplc="04090007">
      <w:start w:val="1"/>
      <w:numFmt w:val="bullet"/>
      <w:lvlText w:val=""/>
      <w:lvlPicBulletId w:val="1"/>
      <w:lvlJc w:val="left"/>
      <w:pPr>
        <w:ind w:left="720" w:hanging="360"/>
      </w:pPr>
      <w:rPr>
        <w:rFonts w:ascii="Symbol" w:hAnsi="Symbol" w:hint="default"/>
      </w:rPr>
    </w:lvl>
    <w:lvl w:ilvl="1" w:tplc="04090007">
      <w:start w:val="1"/>
      <w:numFmt w:val="bullet"/>
      <w:lvlText w:val=""/>
      <w:lvlPicBulletId w:val="1"/>
      <w:lvlJc w:val="left"/>
      <w:pPr>
        <w:ind w:left="1440" w:hanging="360"/>
      </w:pPr>
      <w:rPr>
        <w:rFonts w:ascii="Symbol" w:hAnsi="Symbol" w:hint="default"/>
      </w:rPr>
    </w:lvl>
    <w:lvl w:ilvl="2" w:tplc="04090007">
      <w:start w:val="1"/>
      <w:numFmt w:val="bullet"/>
      <w:lvlText w:val=""/>
      <w:lvlPicBulletId w:val="1"/>
      <w:lvlJc w:val="left"/>
      <w:pPr>
        <w:ind w:left="2160" w:hanging="360"/>
      </w:pPr>
      <w:rPr>
        <w:rFonts w:ascii="Symbol" w:hAnsi="Symbol"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51F91295"/>
    <w:multiLevelType w:val="hybridMultilevel"/>
    <w:tmpl w:val="FE804186"/>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53E06E2C"/>
    <w:multiLevelType w:val="hybridMultilevel"/>
    <w:tmpl w:val="DCBCACA4"/>
    <w:lvl w:ilvl="0" w:tplc="0409000B">
      <w:start w:val="1"/>
      <w:numFmt w:val="bullet"/>
      <w:lvlText w:val=""/>
      <w:lvlJc w:val="left"/>
      <w:pPr>
        <w:ind w:left="720" w:hanging="360"/>
      </w:pPr>
      <w:rPr>
        <w:rFonts w:ascii="Wingdings" w:hAnsi="Wingdings" w:hint="default"/>
      </w:rPr>
    </w:lvl>
    <w:lvl w:ilvl="1" w:tplc="0409000B">
      <w:start w:val="1"/>
      <w:numFmt w:val="bullet"/>
      <w:lvlText w:val=""/>
      <w:lvlJc w:val="left"/>
      <w:pPr>
        <w:ind w:left="1440" w:hanging="360"/>
      </w:pPr>
      <w:rPr>
        <w:rFonts w:ascii="Wingdings" w:hAnsi="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56EA0B34"/>
    <w:multiLevelType w:val="hybridMultilevel"/>
    <w:tmpl w:val="0722160A"/>
    <w:lvl w:ilvl="0" w:tplc="87147C68">
      <w:start w:val="1"/>
      <w:numFmt w:val="lowerRoman"/>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580E4960"/>
    <w:multiLevelType w:val="hybridMultilevel"/>
    <w:tmpl w:val="6A2E08AC"/>
    <w:lvl w:ilvl="0" w:tplc="C0621ECC">
      <w:start w:val="1"/>
      <w:numFmt w:val="bullet"/>
      <w:lvlText w:val=""/>
      <w:lvlPicBulletId w:val="0"/>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583700AD"/>
    <w:multiLevelType w:val="hybridMultilevel"/>
    <w:tmpl w:val="242AD3DC"/>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58FA2603"/>
    <w:multiLevelType w:val="hybridMultilevel"/>
    <w:tmpl w:val="957C4222"/>
    <w:lvl w:ilvl="0" w:tplc="0409000F">
      <w:start w:val="1"/>
      <w:numFmt w:val="decimal"/>
      <w:lvlText w:val="%1."/>
      <w:lvlJc w:val="left"/>
      <w:pPr>
        <w:ind w:left="360" w:hanging="360"/>
      </w:pPr>
      <w:rPr>
        <w:rFonts w:hint="default"/>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2" w15:restartNumberingAfterBreak="0">
    <w:nsid w:val="5A692980"/>
    <w:multiLevelType w:val="hybridMultilevel"/>
    <w:tmpl w:val="95E03990"/>
    <w:lvl w:ilvl="0" w:tplc="C0621ECC">
      <w:start w:val="1"/>
      <w:numFmt w:val="bullet"/>
      <w:lvlText w:val=""/>
      <w:lvlPicBulletId w:val="0"/>
      <w:lvlJc w:val="left"/>
      <w:pPr>
        <w:tabs>
          <w:tab w:val="num" w:pos="720"/>
        </w:tabs>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5C9F0222"/>
    <w:multiLevelType w:val="hybridMultilevel"/>
    <w:tmpl w:val="AB5441C8"/>
    <w:lvl w:ilvl="0" w:tplc="C0621ECC">
      <w:start w:val="1"/>
      <w:numFmt w:val="bullet"/>
      <w:lvlText w:val=""/>
      <w:lvlPicBulletId w:val="0"/>
      <w:lvlJc w:val="left"/>
      <w:pPr>
        <w:ind w:left="720" w:hanging="360"/>
      </w:pPr>
      <w:rPr>
        <w:rFonts w:ascii="Symbol" w:hAnsi="Symbol" w:hint="default"/>
      </w:rPr>
    </w:lvl>
    <w:lvl w:ilvl="1" w:tplc="C0621ECC">
      <w:start w:val="1"/>
      <w:numFmt w:val="bullet"/>
      <w:lvlText w:val=""/>
      <w:lvlPicBulletId w:val="0"/>
      <w:lvlJc w:val="left"/>
      <w:pPr>
        <w:ind w:left="1440" w:hanging="360"/>
      </w:pPr>
      <w:rPr>
        <w:rFonts w:ascii="Symbol" w:hAnsi="Symbol" w:hint="default"/>
      </w:rPr>
    </w:lvl>
    <w:lvl w:ilvl="2" w:tplc="C0621ECC">
      <w:start w:val="1"/>
      <w:numFmt w:val="bullet"/>
      <w:lvlText w:val=""/>
      <w:lvlPicBulletId w:val="0"/>
      <w:lvlJc w:val="left"/>
      <w:pPr>
        <w:ind w:left="2160" w:hanging="360"/>
      </w:pPr>
      <w:rPr>
        <w:rFonts w:ascii="Symbol" w:hAnsi="Symbol"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5CD93EB1"/>
    <w:multiLevelType w:val="hybridMultilevel"/>
    <w:tmpl w:val="D4740886"/>
    <w:lvl w:ilvl="0" w:tplc="C0621ECC">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5ED85216"/>
    <w:multiLevelType w:val="hybridMultilevel"/>
    <w:tmpl w:val="946ECA22"/>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360" w:hanging="360"/>
      </w:pPr>
    </w:lvl>
    <w:lvl w:ilvl="2" w:tplc="0409001B" w:tentative="1">
      <w:start w:val="1"/>
      <w:numFmt w:val="lowerRoman"/>
      <w:lvlText w:val="%3."/>
      <w:lvlJc w:val="right"/>
      <w:pPr>
        <w:ind w:left="1080" w:hanging="180"/>
      </w:pPr>
    </w:lvl>
    <w:lvl w:ilvl="3" w:tplc="0409000F" w:tentative="1">
      <w:start w:val="1"/>
      <w:numFmt w:val="decimal"/>
      <w:lvlText w:val="%4."/>
      <w:lvlJc w:val="left"/>
      <w:pPr>
        <w:ind w:left="1800" w:hanging="360"/>
      </w:pPr>
    </w:lvl>
    <w:lvl w:ilvl="4" w:tplc="04090019" w:tentative="1">
      <w:start w:val="1"/>
      <w:numFmt w:val="lowerLetter"/>
      <w:lvlText w:val="%5."/>
      <w:lvlJc w:val="left"/>
      <w:pPr>
        <w:ind w:left="2520" w:hanging="360"/>
      </w:pPr>
    </w:lvl>
    <w:lvl w:ilvl="5" w:tplc="0409001B" w:tentative="1">
      <w:start w:val="1"/>
      <w:numFmt w:val="lowerRoman"/>
      <w:lvlText w:val="%6."/>
      <w:lvlJc w:val="right"/>
      <w:pPr>
        <w:ind w:left="3240" w:hanging="180"/>
      </w:pPr>
    </w:lvl>
    <w:lvl w:ilvl="6" w:tplc="0409000F" w:tentative="1">
      <w:start w:val="1"/>
      <w:numFmt w:val="decimal"/>
      <w:lvlText w:val="%7."/>
      <w:lvlJc w:val="left"/>
      <w:pPr>
        <w:ind w:left="3960" w:hanging="360"/>
      </w:pPr>
    </w:lvl>
    <w:lvl w:ilvl="7" w:tplc="04090019" w:tentative="1">
      <w:start w:val="1"/>
      <w:numFmt w:val="lowerLetter"/>
      <w:lvlText w:val="%8."/>
      <w:lvlJc w:val="left"/>
      <w:pPr>
        <w:ind w:left="4680" w:hanging="360"/>
      </w:pPr>
    </w:lvl>
    <w:lvl w:ilvl="8" w:tplc="0409001B" w:tentative="1">
      <w:start w:val="1"/>
      <w:numFmt w:val="lowerRoman"/>
      <w:lvlText w:val="%9."/>
      <w:lvlJc w:val="right"/>
      <w:pPr>
        <w:ind w:left="5400" w:hanging="180"/>
      </w:pPr>
    </w:lvl>
  </w:abstractNum>
  <w:abstractNum w:abstractNumId="56" w15:restartNumberingAfterBreak="0">
    <w:nsid w:val="5F6A2726"/>
    <w:multiLevelType w:val="hybridMultilevel"/>
    <w:tmpl w:val="18D8790C"/>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15:restartNumberingAfterBreak="0">
    <w:nsid w:val="63E10D99"/>
    <w:multiLevelType w:val="hybridMultilevel"/>
    <w:tmpl w:val="D03E8020"/>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15:restartNumberingAfterBreak="0">
    <w:nsid w:val="64293C2A"/>
    <w:multiLevelType w:val="hybridMultilevel"/>
    <w:tmpl w:val="0CCC5320"/>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9" w15:restartNumberingAfterBreak="0">
    <w:nsid w:val="655D6568"/>
    <w:multiLevelType w:val="hybridMultilevel"/>
    <w:tmpl w:val="DD70D3CC"/>
    <w:lvl w:ilvl="0" w:tplc="0409000B">
      <w:start w:val="1"/>
      <w:numFmt w:val="bullet"/>
      <w:lvlText w:val=""/>
      <w:lvlJc w:val="left"/>
      <w:pPr>
        <w:ind w:left="720" w:hanging="360"/>
      </w:pPr>
      <w:rPr>
        <w:rFonts w:ascii="Wingdings" w:hAnsi="Wingdings" w:hint="default"/>
      </w:rPr>
    </w:lvl>
    <w:lvl w:ilvl="1" w:tplc="0409000B">
      <w:start w:val="1"/>
      <w:numFmt w:val="bullet"/>
      <w:lvlText w:val=""/>
      <w:lvlJc w:val="left"/>
      <w:pPr>
        <w:ind w:left="1440" w:hanging="360"/>
      </w:pPr>
      <w:rPr>
        <w:rFonts w:ascii="Wingdings" w:hAnsi="Wingdings" w:hint="default"/>
      </w:rPr>
    </w:lvl>
    <w:lvl w:ilvl="2" w:tplc="0409000B">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15:restartNumberingAfterBreak="0">
    <w:nsid w:val="68B82FE9"/>
    <w:multiLevelType w:val="hybridMultilevel"/>
    <w:tmpl w:val="67E42E14"/>
    <w:lvl w:ilvl="0" w:tplc="C0621ECC">
      <w:start w:val="1"/>
      <w:numFmt w:val="bullet"/>
      <w:lvlText w:val=""/>
      <w:lvlPicBulletId w:val="0"/>
      <w:lvlJc w:val="left"/>
      <w:pPr>
        <w:ind w:left="360" w:hanging="360"/>
      </w:pPr>
      <w:rPr>
        <w:rFonts w:ascii="Symbol" w:hAnsi="Symbol" w:hint="default"/>
      </w:rPr>
    </w:lvl>
    <w:lvl w:ilvl="1" w:tplc="C0621ECC">
      <w:start w:val="1"/>
      <w:numFmt w:val="bullet"/>
      <w:lvlText w:val=""/>
      <w:lvlPicBulletId w:val="0"/>
      <w:lvlJc w:val="left"/>
      <w:pPr>
        <w:ind w:left="1080" w:hanging="360"/>
      </w:pPr>
      <w:rPr>
        <w:rFonts w:ascii="Symbol" w:hAnsi="Symbol"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1" w15:restartNumberingAfterBreak="0">
    <w:nsid w:val="6CB11221"/>
    <w:multiLevelType w:val="hybridMultilevel"/>
    <w:tmpl w:val="437C455A"/>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15:restartNumberingAfterBreak="0">
    <w:nsid w:val="6F782F57"/>
    <w:multiLevelType w:val="hybridMultilevel"/>
    <w:tmpl w:val="CCBAB5DA"/>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360" w:hanging="360"/>
      </w:pPr>
    </w:lvl>
    <w:lvl w:ilvl="2" w:tplc="0409001B" w:tentative="1">
      <w:start w:val="1"/>
      <w:numFmt w:val="lowerRoman"/>
      <w:lvlText w:val="%3."/>
      <w:lvlJc w:val="right"/>
      <w:pPr>
        <w:ind w:left="1080" w:hanging="180"/>
      </w:pPr>
    </w:lvl>
    <w:lvl w:ilvl="3" w:tplc="0409000F" w:tentative="1">
      <w:start w:val="1"/>
      <w:numFmt w:val="decimal"/>
      <w:lvlText w:val="%4."/>
      <w:lvlJc w:val="left"/>
      <w:pPr>
        <w:ind w:left="1800" w:hanging="360"/>
      </w:pPr>
    </w:lvl>
    <w:lvl w:ilvl="4" w:tplc="04090019" w:tentative="1">
      <w:start w:val="1"/>
      <w:numFmt w:val="lowerLetter"/>
      <w:lvlText w:val="%5."/>
      <w:lvlJc w:val="left"/>
      <w:pPr>
        <w:ind w:left="2520" w:hanging="360"/>
      </w:pPr>
    </w:lvl>
    <w:lvl w:ilvl="5" w:tplc="0409001B" w:tentative="1">
      <w:start w:val="1"/>
      <w:numFmt w:val="lowerRoman"/>
      <w:lvlText w:val="%6."/>
      <w:lvlJc w:val="right"/>
      <w:pPr>
        <w:ind w:left="3240" w:hanging="180"/>
      </w:pPr>
    </w:lvl>
    <w:lvl w:ilvl="6" w:tplc="0409000F" w:tentative="1">
      <w:start w:val="1"/>
      <w:numFmt w:val="decimal"/>
      <w:lvlText w:val="%7."/>
      <w:lvlJc w:val="left"/>
      <w:pPr>
        <w:ind w:left="3960" w:hanging="360"/>
      </w:pPr>
    </w:lvl>
    <w:lvl w:ilvl="7" w:tplc="04090019" w:tentative="1">
      <w:start w:val="1"/>
      <w:numFmt w:val="lowerLetter"/>
      <w:lvlText w:val="%8."/>
      <w:lvlJc w:val="left"/>
      <w:pPr>
        <w:ind w:left="4680" w:hanging="360"/>
      </w:pPr>
    </w:lvl>
    <w:lvl w:ilvl="8" w:tplc="0409001B" w:tentative="1">
      <w:start w:val="1"/>
      <w:numFmt w:val="lowerRoman"/>
      <w:lvlText w:val="%9."/>
      <w:lvlJc w:val="right"/>
      <w:pPr>
        <w:ind w:left="5400" w:hanging="180"/>
      </w:pPr>
    </w:lvl>
  </w:abstractNum>
  <w:abstractNum w:abstractNumId="63" w15:restartNumberingAfterBreak="0">
    <w:nsid w:val="6FEC11CA"/>
    <w:multiLevelType w:val="hybridMultilevel"/>
    <w:tmpl w:val="97D65376"/>
    <w:lvl w:ilvl="0" w:tplc="C0621ECC">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15:restartNumberingAfterBreak="0">
    <w:nsid w:val="7028748A"/>
    <w:multiLevelType w:val="hybridMultilevel"/>
    <w:tmpl w:val="382AFCB8"/>
    <w:lvl w:ilvl="0" w:tplc="C0621ECC">
      <w:start w:val="1"/>
      <w:numFmt w:val="bullet"/>
      <w:lvlText w:val=""/>
      <w:lvlPicBulletId w:val="0"/>
      <w:lvlJc w:val="left"/>
      <w:pPr>
        <w:ind w:left="360" w:hanging="360"/>
      </w:pPr>
      <w:rPr>
        <w:rFonts w:ascii="Symbol" w:hAnsi="Symbol" w:hint="default"/>
      </w:rPr>
    </w:lvl>
    <w:lvl w:ilvl="1" w:tplc="C0621ECC">
      <w:start w:val="1"/>
      <w:numFmt w:val="bullet"/>
      <w:lvlText w:val=""/>
      <w:lvlPicBulletId w:val="0"/>
      <w:lvlJc w:val="left"/>
      <w:pPr>
        <w:ind w:left="1080" w:hanging="360"/>
      </w:pPr>
      <w:rPr>
        <w:rFonts w:ascii="Symbol" w:hAnsi="Symbol" w:hint="default"/>
      </w:rPr>
    </w:lvl>
    <w:lvl w:ilvl="2" w:tplc="C0621ECC">
      <w:start w:val="1"/>
      <w:numFmt w:val="bullet"/>
      <w:lvlText w:val=""/>
      <w:lvlPicBulletId w:val="0"/>
      <w:lvlJc w:val="left"/>
      <w:pPr>
        <w:ind w:left="1800" w:hanging="360"/>
      </w:pPr>
      <w:rPr>
        <w:rFonts w:ascii="Symbol" w:hAnsi="Symbol"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5" w15:restartNumberingAfterBreak="0">
    <w:nsid w:val="72B4385E"/>
    <w:multiLevelType w:val="hybridMultilevel"/>
    <w:tmpl w:val="796ECE3E"/>
    <w:lvl w:ilvl="0" w:tplc="C0621ECC">
      <w:start w:val="1"/>
      <w:numFmt w:val="bullet"/>
      <w:lvlText w:val=""/>
      <w:lvlPicBulletId w:val="0"/>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15:restartNumberingAfterBreak="0">
    <w:nsid w:val="787B4D42"/>
    <w:multiLevelType w:val="hybridMultilevel"/>
    <w:tmpl w:val="538C8E6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7" w15:restartNumberingAfterBreak="0">
    <w:nsid w:val="78C14BCF"/>
    <w:multiLevelType w:val="hybridMultilevel"/>
    <w:tmpl w:val="0024E6D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 w15:restartNumberingAfterBreak="0">
    <w:nsid w:val="792C5DFD"/>
    <w:multiLevelType w:val="hybridMultilevel"/>
    <w:tmpl w:val="E8FA5932"/>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15:restartNumberingAfterBreak="0">
    <w:nsid w:val="7A8F0701"/>
    <w:multiLevelType w:val="hybridMultilevel"/>
    <w:tmpl w:val="C832CC4A"/>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15:restartNumberingAfterBreak="0">
    <w:nsid w:val="7B872B83"/>
    <w:multiLevelType w:val="hybridMultilevel"/>
    <w:tmpl w:val="C9B22A56"/>
    <w:lvl w:ilvl="0" w:tplc="04090015">
      <w:start w:val="1"/>
      <w:numFmt w:val="upperLetter"/>
      <w:lvlText w:val="%1."/>
      <w:lvlJc w:val="left"/>
      <w:pPr>
        <w:ind w:left="720" w:hanging="360"/>
      </w:pPr>
    </w:lvl>
    <w:lvl w:ilvl="1" w:tplc="0409001B">
      <w:start w:val="1"/>
      <w:numFmt w:val="lowerRoman"/>
      <w:lvlText w:val="%2."/>
      <w:lvlJc w:val="righ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68"/>
  </w:num>
  <w:num w:numId="2">
    <w:abstractNumId w:val="14"/>
  </w:num>
  <w:num w:numId="3">
    <w:abstractNumId w:val="55"/>
  </w:num>
  <w:num w:numId="4">
    <w:abstractNumId w:val="27"/>
  </w:num>
  <w:num w:numId="5">
    <w:abstractNumId w:val="26"/>
  </w:num>
  <w:num w:numId="6">
    <w:abstractNumId w:val="1"/>
  </w:num>
  <w:num w:numId="7">
    <w:abstractNumId w:val="45"/>
  </w:num>
  <w:num w:numId="8">
    <w:abstractNumId w:val="32"/>
  </w:num>
  <w:num w:numId="9">
    <w:abstractNumId w:val="39"/>
  </w:num>
  <w:num w:numId="10">
    <w:abstractNumId w:val="63"/>
  </w:num>
  <w:num w:numId="11">
    <w:abstractNumId w:val="53"/>
  </w:num>
  <w:num w:numId="12">
    <w:abstractNumId w:val="67"/>
  </w:num>
  <w:num w:numId="13">
    <w:abstractNumId w:val="56"/>
  </w:num>
  <w:num w:numId="14">
    <w:abstractNumId w:val="64"/>
  </w:num>
  <w:num w:numId="15">
    <w:abstractNumId w:val="60"/>
  </w:num>
  <w:num w:numId="16">
    <w:abstractNumId w:val="25"/>
  </w:num>
  <w:num w:numId="17">
    <w:abstractNumId w:val="15"/>
  </w:num>
  <w:num w:numId="18">
    <w:abstractNumId w:val="58"/>
  </w:num>
  <w:num w:numId="19">
    <w:abstractNumId w:val="33"/>
  </w:num>
  <w:num w:numId="20">
    <w:abstractNumId w:val="66"/>
  </w:num>
  <w:num w:numId="21">
    <w:abstractNumId w:val="34"/>
  </w:num>
  <w:num w:numId="22">
    <w:abstractNumId w:val="18"/>
  </w:num>
  <w:num w:numId="23">
    <w:abstractNumId w:val="31"/>
  </w:num>
  <w:num w:numId="24">
    <w:abstractNumId w:val="17"/>
  </w:num>
  <w:num w:numId="25">
    <w:abstractNumId w:val="40"/>
  </w:num>
  <w:num w:numId="26">
    <w:abstractNumId w:val="61"/>
  </w:num>
  <w:num w:numId="27">
    <w:abstractNumId w:val="20"/>
  </w:num>
  <w:num w:numId="28">
    <w:abstractNumId w:val="59"/>
  </w:num>
  <w:num w:numId="29">
    <w:abstractNumId w:val="19"/>
  </w:num>
  <w:num w:numId="30">
    <w:abstractNumId w:val="70"/>
  </w:num>
  <w:num w:numId="31">
    <w:abstractNumId w:val="47"/>
  </w:num>
  <w:num w:numId="32">
    <w:abstractNumId w:val="0"/>
  </w:num>
  <w:num w:numId="33">
    <w:abstractNumId w:val="21"/>
  </w:num>
  <w:num w:numId="34">
    <w:abstractNumId w:val="37"/>
  </w:num>
  <w:num w:numId="35">
    <w:abstractNumId w:val="6"/>
  </w:num>
  <w:num w:numId="36">
    <w:abstractNumId w:val="7"/>
  </w:num>
  <w:num w:numId="37">
    <w:abstractNumId w:val="5"/>
  </w:num>
  <w:num w:numId="38">
    <w:abstractNumId w:val="13"/>
  </w:num>
  <w:num w:numId="39">
    <w:abstractNumId w:val="29"/>
  </w:num>
  <w:num w:numId="40">
    <w:abstractNumId w:val="22"/>
  </w:num>
  <w:num w:numId="41">
    <w:abstractNumId w:val="36"/>
  </w:num>
  <w:num w:numId="42">
    <w:abstractNumId w:val="12"/>
  </w:num>
  <w:num w:numId="43">
    <w:abstractNumId w:val="48"/>
  </w:num>
  <w:num w:numId="44">
    <w:abstractNumId w:val="3"/>
  </w:num>
  <w:num w:numId="45">
    <w:abstractNumId w:val="46"/>
  </w:num>
  <w:num w:numId="46">
    <w:abstractNumId w:val="24"/>
  </w:num>
  <w:num w:numId="47">
    <w:abstractNumId w:val="57"/>
  </w:num>
  <w:num w:numId="48">
    <w:abstractNumId w:val="62"/>
  </w:num>
  <w:num w:numId="49">
    <w:abstractNumId w:val="50"/>
  </w:num>
  <w:num w:numId="50">
    <w:abstractNumId w:val="10"/>
  </w:num>
  <w:num w:numId="51">
    <w:abstractNumId w:val="44"/>
  </w:num>
  <w:num w:numId="52">
    <w:abstractNumId w:val="51"/>
  </w:num>
  <w:num w:numId="53">
    <w:abstractNumId w:val="2"/>
  </w:num>
  <w:num w:numId="54">
    <w:abstractNumId w:val="9"/>
  </w:num>
  <w:num w:numId="55">
    <w:abstractNumId w:val="4"/>
  </w:num>
  <w:num w:numId="56">
    <w:abstractNumId w:val="43"/>
  </w:num>
  <w:num w:numId="57">
    <w:abstractNumId w:val="41"/>
  </w:num>
  <w:num w:numId="58">
    <w:abstractNumId w:val="41"/>
    <w:lvlOverride w:ilvl="0">
      <w:startOverride w:val="1"/>
    </w:lvlOverride>
  </w:num>
  <w:num w:numId="59">
    <w:abstractNumId w:val="28"/>
  </w:num>
  <w:num w:numId="60">
    <w:abstractNumId w:val="65"/>
  </w:num>
  <w:num w:numId="61">
    <w:abstractNumId w:val="11"/>
  </w:num>
  <w:num w:numId="62">
    <w:abstractNumId w:val="69"/>
  </w:num>
  <w:num w:numId="63">
    <w:abstractNumId w:val="42"/>
  </w:num>
  <w:num w:numId="64">
    <w:abstractNumId w:val="16"/>
  </w:num>
  <w:num w:numId="65">
    <w:abstractNumId w:val="54"/>
  </w:num>
  <w:num w:numId="66">
    <w:abstractNumId w:val="8"/>
  </w:num>
  <w:num w:numId="67">
    <w:abstractNumId w:val="49"/>
  </w:num>
  <w:num w:numId="68">
    <w:abstractNumId w:val="38"/>
  </w:num>
  <w:num w:numId="69">
    <w:abstractNumId w:val="30"/>
  </w:num>
  <w:num w:numId="70">
    <w:abstractNumId w:val="23"/>
  </w:num>
  <w:num w:numId="71">
    <w:abstractNumId w:val="52"/>
  </w:num>
  <w:num w:numId="72">
    <w:abstractNumId w:val="35"/>
  </w:num>
  <w:numIdMacAtCleanup w:val="7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isplayBackgroundShape/>
  <w:hideSpellingErrors/>
  <w:hideGrammaticalErrors/>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00780"/>
    <w:rsid w:val="00005E52"/>
    <w:rsid w:val="0001055D"/>
    <w:rsid w:val="000111A6"/>
    <w:rsid w:val="000137A4"/>
    <w:rsid w:val="000143D7"/>
    <w:rsid w:val="00020B8E"/>
    <w:rsid w:val="00022718"/>
    <w:rsid w:val="00023A51"/>
    <w:rsid w:val="00026E7E"/>
    <w:rsid w:val="00031AC7"/>
    <w:rsid w:val="0003366C"/>
    <w:rsid w:val="00040C0F"/>
    <w:rsid w:val="000605BC"/>
    <w:rsid w:val="00062A8B"/>
    <w:rsid w:val="000651E9"/>
    <w:rsid w:val="00076336"/>
    <w:rsid w:val="00076752"/>
    <w:rsid w:val="0008173C"/>
    <w:rsid w:val="000842E4"/>
    <w:rsid w:val="00084AA1"/>
    <w:rsid w:val="00090F81"/>
    <w:rsid w:val="00095D6E"/>
    <w:rsid w:val="000979B0"/>
    <w:rsid w:val="000A033A"/>
    <w:rsid w:val="000A1D46"/>
    <w:rsid w:val="000A47EA"/>
    <w:rsid w:val="000B6F13"/>
    <w:rsid w:val="000C3E8A"/>
    <w:rsid w:val="000C701F"/>
    <w:rsid w:val="000D5798"/>
    <w:rsid w:val="000D5CFE"/>
    <w:rsid w:val="000E0D28"/>
    <w:rsid w:val="000F414E"/>
    <w:rsid w:val="00100780"/>
    <w:rsid w:val="00105474"/>
    <w:rsid w:val="00121540"/>
    <w:rsid w:val="00121BFE"/>
    <w:rsid w:val="00122076"/>
    <w:rsid w:val="00145BA9"/>
    <w:rsid w:val="00146841"/>
    <w:rsid w:val="001509DE"/>
    <w:rsid w:val="0015656A"/>
    <w:rsid w:val="001661BD"/>
    <w:rsid w:val="0016627B"/>
    <w:rsid w:val="00183FDE"/>
    <w:rsid w:val="001908B1"/>
    <w:rsid w:val="0019120B"/>
    <w:rsid w:val="00195403"/>
    <w:rsid w:val="00196D07"/>
    <w:rsid w:val="001A403D"/>
    <w:rsid w:val="001A5653"/>
    <w:rsid w:val="001A6191"/>
    <w:rsid w:val="001B60D5"/>
    <w:rsid w:val="001B6BC5"/>
    <w:rsid w:val="001C0BD1"/>
    <w:rsid w:val="001C1BFB"/>
    <w:rsid w:val="001C2401"/>
    <w:rsid w:val="001D6B8A"/>
    <w:rsid w:val="001E69E6"/>
    <w:rsid w:val="001F104D"/>
    <w:rsid w:val="00202241"/>
    <w:rsid w:val="00214E45"/>
    <w:rsid w:val="00220017"/>
    <w:rsid w:val="00230250"/>
    <w:rsid w:val="00243E49"/>
    <w:rsid w:val="00245DF0"/>
    <w:rsid w:val="00254928"/>
    <w:rsid w:val="00255ECB"/>
    <w:rsid w:val="00267661"/>
    <w:rsid w:val="0027129E"/>
    <w:rsid w:val="002766A7"/>
    <w:rsid w:val="002774D0"/>
    <w:rsid w:val="00282B2B"/>
    <w:rsid w:val="0028676B"/>
    <w:rsid w:val="00293644"/>
    <w:rsid w:val="00296DFB"/>
    <w:rsid w:val="002A299C"/>
    <w:rsid w:val="002A69AC"/>
    <w:rsid w:val="002B52FB"/>
    <w:rsid w:val="002B6B93"/>
    <w:rsid w:val="002C207B"/>
    <w:rsid w:val="002C520B"/>
    <w:rsid w:val="002D4118"/>
    <w:rsid w:val="002D4953"/>
    <w:rsid w:val="002E0C7A"/>
    <w:rsid w:val="002E194C"/>
    <w:rsid w:val="002E6C3C"/>
    <w:rsid w:val="002F2B77"/>
    <w:rsid w:val="0030073B"/>
    <w:rsid w:val="00300789"/>
    <w:rsid w:val="00303006"/>
    <w:rsid w:val="00307285"/>
    <w:rsid w:val="003118FE"/>
    <w:rsid w:val="00317A0C"/>
    <w:rsid w:val="003218D3"/>
    <w:rsid w:val="00330731"/>
    <w:rsid w:val="00335FD3"/>
    <w:rsid w:val="003455D5"/>
    <w:rsid w:val="0035277A"/>
    <w:rsid w:val="003644B7"/>
    <w:rsid w:val="00364A64"/>
    <w:rsid w:val="00366D34"/>
    <w:rsid w:val="00377FCC"/>
    <w:rsid w:val="0038325A"/>
    <w:rsid w:val="003A38EF"/>
    <w:rsid w:val="003A4F7B"/>
    <w:rsid w:val="003B0E9B"/>
    <w:rsid w:val="003B22A2"/>
    <w:rsid w:val="003B3F23"/>
    <w:rsid w:val="003B6148"/>
    <w:rsid w:val="003C22E2"/>
    <w:rsid w:val="003C258F"/>
    <w:rsid w:val="003C2BFF"/>
    <w:rsid w:val="003C3994"/>
    <w:rsid w:val="003D491B"/>
    <w:rsid w:val="003D5B3A"/>
    <w:rsid w:val="003E4E72"/>
    <w:rsid w:val="003E54B4"/>
    <w:rsid w:val="003E652B"/>
    <w:rsid w:val="003F2FE8"/>
    <w:rsid w:val="003F67BE"/>
    <w:rsid w:val="0040611B"/>
    <w:rsid w:val="00427B35"/>
    <w:rsid w:val="004357E3"/>
    <w:rsid w:val="004448F9"/>
    <w:rsid w:val="00453CD7"/>
    <w:rsid w:val="00457923"/>
    <w:rsid w:val="004613DD"/>
    <w:rsid w:val="00462F11"/>
    <w:rsid w:val="0046520D"/>
    <w:rsid w:val="00480C29"/>
    <w:rsid w:val="004815CE"/>
    <w:rsid w:val="00484CCF"/>
    <w:rsid w:val="00493C50"/>
    <w:rsid w:val="00493CDB"/>
    <w:rsid w:val="00497198"/>
    <w:rsid w:val="004A1D0F"/>
    <w:rsid w:val="004A2A38"/>
    <w:rsid w:val="004B5EBA"/>
    <w:rsid w:val="004B6964"/>
    <w:rsid w:val="004B75F2"/>
    <w:rsid w:val="004C6E7E"/>
    <w:rsid w:val="004D5701"/>
    <w:rsid w:val="004E113D"/>
    <w:rsid w:val="004E3EEE"/>
    <w:rsid w:val="004F64DD"/>
    <w:rsid w:val="00503596"/>
    <w:rsid w:val="00507318"/>
    <w:rsid w:val="00512792"/>
    <w:rsid w:val="00523733"/>
    <w:rsid w:val="00523A3E"/>
    <w:rsid w:val="00526089"/>
    <w:rsid w:val="00531FEB"/>
    <w:rsid w:val="00546A4E"/>
    <w:rsid w:val="005500C4"/>
    <w:rsid w:val="005526B7"/>
    <w:rsid w:val="005621BD"/>
    <w:rsid w:val="00562FE9"/>
    <w:rsid w:val="00570179"/>
    <w:rsid w:val="00574844"/>
    <w:rsid w:val="0057784C"/>
    <w:rsid w:val="00577B38"/>
    <w:rsid w:val="00596784"/>
    <w:rsid w:val="005A784A"/>
    <w:rsid w:val="005B361B"/>
    <w:rsid w:val="005B5DCE"/>
    <w:rsid w:val="005C0C4F"/>
    <w:rsid w:val="005C4152"/>
    <w:rsid w:val="005C6D9A"/>
    <w:rsid w:val="005D4B89"/>
    <w:rsid w:val="005D5D53"/>
    <w:rsid w:val="005D660D"/>
    <w:rsid w:val="005E08E4"/>
    <w:rsid w:val="005E1F3D"/>
    <w:rsid w:val="005E2898"/>
    <w:rsid w:val="005E3546"/>
    <w:rsid w:val="005E5A1C"/>
    <w:rsid w:val="006160D7"/>
    <w:rsid w:val="0061628A"/>
    <w:rsid w:val="00616469"/>
    <w:rsid w:val="00617FC9"/>
    <w:rsid w:val="00617FCB"/>
    <w:rsid w:val="00623A8A"/>
    <w:rsid w:val="0063777C"/>
    <w:rsid w:val="00643C7D"/>
    <w:rsid w:val="00650152"/>
    <w:rsid w:val="006578A5"/>
    <w:rsid w:val="00672799"/>
    <w:rsid w:val="00674A62"/>
    <w:rsid w:val="0067625F"/>
    <w:rsid w:val="00680B17"/>
    <w:rsid w:val="0069566A"/>
    <w:rsid w:val="00697B14"/>
    <w:rsid w:val="006A0DF8"/>
    <w:rsid w:val="006A2E16"/>
    <w:rsid w:val="006B1F77"/>
    <w:rsid w:val="006B3C2C"/>
    <w:rsid w:val="006B5C3D"/>
    <w:rsid w:val="006C0887"/>
    <w:rsid w:val="006C408A"/>
    <w:rsid w:val="006C4C7E"/>
    <w:rsid w:val="006C5D77"/>
    <w:rsid w:val="006D3683"/>
    <w:rsid w:val="006E3CD9"/>
    <w:rsid w:val="006E57D3"/>
    <w:rsid w:val="006F237B"/>
    <w:rsid w:val="006F7D66"/>
    <w:rsid w:val="0070160F"/>
    <w:rsid w:val="007059E5"/>
    <w:rsid w:val="00710D33"/>
    <w:rsid w:val="0071173A"/>
    <w:rsid w:val="00717133"/>
    <w:rsid w:val="0072305A"/>
    <w:rsid w:val="00725DE6"/>
    <w:rsid w:val="007272B9"/>
    <w:rsid w:val="0073308D"/>
    <w:rsid w:val="007339FC"/>
    <w:rsid w:val="007478A2"/>
    <w:rsid w:val="007513D3"/>
    <w:rsid w:val="00752C09"/>
    <w:rsid w:val="00754A5F"/>
    <w:rsid w:val="00755285"/>
    <w:rsid w:val="00766423"/>
    <w:rsid w:val="00774C14"/>
    <w:rsid w:val="00777541"/>
    <w:rsid w:val="00782D40"/>
    <w:rsid w:val="00785545"/>
    <w:rsid w:val="00786B00"/>
    <w:rsid w:val="00791F38"/>
    <w:rsid w:val="007A1C41"/>
    <w:rsid w:val="007B6D08"/>
    <w:rsid w:val="007D7C40"/>
    <w:rsid w:val="007E65A3"/>
    <w:rsid w:val="007E7D98"/>
    <w:rsid w:val="007F371E"/>
    <w:rsid w:val="007F74FE"/>
    <w:rsid w:val="0080316C"/>
    <w:rsid w:val="00807D04"/>
    <w:rsid w:val="00807F1B"/>
    <w:rsid w:val="008100A0"/>
    <w:rsid w:val="00814746"/>
    <w:rsid w:val="00825CE0"/>
    <w:rsid w:val="00826685"/>
    <w:rsid w:val="00837026"/>
    <w:rsid w:val="0084296F"/>
    <w:rsid w:val="00844AC8"/>
    <w:rsid w:val="00851AE8"/>
    <w:rsid w:val="00852743"/>
    <w:rsid w:val="00856375"/>
    <w:rsid w:val="00866325"/>
    <w:rsid w:val="008702A2"/>
    <w:rsid w:val="00876D8B"/>
    <w:rsid w:val="00880071"/>
    <w:rsid w:val="008810D5"/>
    <w:rsid w:val="008825E5"/>
    <w:rsid w:val="00893463"/>
    <w:rsid w:val="00894724"/>
    <w:rsid w:val="008950FE"/>
    <w:rsid w:val="00895ADE"/>
    <w:rsid w:val="00896269"/>
    <w:rsid w:val="00896BAF"/>
    <w:rsid w:val="008A1560"/>
    <w:rsid w:val="008A1B81"/>
    <w:rsid w:val="008A5518"/>
    <w:rsid w:val="008A5F03"/>
    <w:rsid w:val="008B5A32"/>
    <w:rsid w:val="008C3223"/>
    <w:rsid w:val="008C4552"/>
    <w:rsid w:val="008D28FF"/>
    <w:rsid w:val="008D7198"/>
    <w:rsid w:val="008D76C7"/>
    <w:rsid w:val="008E0FD7"/>
    <w:rsid w:val="008E1DDA"/>
    <w:rsid w:val="008E1E56"/>
    <w:rsid w:val="008F1FCA"/>
    <w:rsid w:val="008F5E6D"/>
    <w:rsid w:val="00912523"/>
    <w:rsid w:val="009219BD"/>
    <w:rsid w:val="00924C0C"/>
    <w:rsid w:val="009309E8"/>
    <w:rsid w:val="009335AA"/>
    <w:rsid w:val="009416C4"/>
    <w:rsid w:val="00942D01"/>
    <w:rsid w:val="00954B34"/>
    <w:rsid w:val="00966EF6"/>
    <w:rsid w:val="00975A07"/>
    <w:rsid w:val="0098514F"/>
    <w:rsid w:val="00986AE7"/>
    <w:rsid w:val="00997A9B"/>
    <w:rsid w:val="009A0CD8"/>
    <w:rsid w:val="009B12F6"/>
    <w:rsid w:val="009C223C"/>
    <w:rsid w:val="009D27EA"/>
    <w:rsid w:val="009D64BB"/>
    <w:rsid w:val="009E44F6"/>
    <w:rsid w:val="009E7E04"/>
    <w:rsid w:val="009F2608"/>
    <w:rsid w:val="009F40AF"/>
    <w:rsid w:val="009F55DC"/>
    <w:rsid w:val="00A0510E"/>
    <w:rsid w:val="00A06F63"/>
    <w:rsid w:val="00A0710A"/>
    <w:rsid w:val="00A16BF4"/>
    <w:rsid w:val="00A17D79"/>
    <w:rsid w:val="00A21CC1"/>
    <w:rsid w:val="00A24AF5"/>
    <w:rsid w:val="00A31D53"/>
    <w:rsid w:val="00A34033"/>
    <w:rsid w:val="00A43D5E"/>
    <w:rsid w:val="00A5218E"/>
    <w:rsid w:val="00A54A83"/>
    <w:rsid w:val="00A56481"/>
    <w:rsid w:val="00A62950"/>
    <w:rsid w:val="00A637E1"/>
    <w:rsid w:val="00A653DA"/>
    <w:rsid w:val="00A67040"/>
    <w:rsid w:val="00A77B8F"/>
    <w:rsid w:val="00A816B4"/>
    <w:rsid w:val="00A85CDB"/>
    <w:rsid w:val="00A86875"/>
    <w:rsid w:val="00A94AA7"/>
    <w:rsid w:val="00A9663A"/>
    <w:rsid w:val="00A96940"/>
    <w:rsid w:val="00A97E46"/>
    <w:rsid w:val="00AA2600"/>
    <w:rsid w:val="00AA5A1C"/>
    <w:rsid w:val="00AB1CF7"/>
    <w:rsid w:val="00AC4BA7"/>
    <w:rsid w:val="00AC5AE2"/>
    <w:rsid w:val="00AC5E92"/>
    <w:rsid w:val="00AC6E19"/>
    <w:rsid w:val="00AE1DEE"/>
    <w:rsid w:val="00AE2C22"/>
    <w:rsid w:val="00AE4985"/>
    <w:rsid w:val="00AF24CD"/>
    <w:rsid w:val="00AF3613"/>
    <w:rsid w:val="00AF4C35"/>
    <w:rsid w:val="00B0648F"/>
    <w:rsid w:val="00B074CB"/>
    <w:rsid w:val="00B1021D"/>
    <w:rsid w:val="00B10E8F"/>
    <w:rsid w:val="00B10F7D"/>
    <w:rsid w:val="00B11783"/>
    <w:rsid w:val="00B15351"/>
    <w:rsid w:val="00B25ECF"/>
    <w:rsid w:val="00B30222"/>
    <w:rsid w:val="00B46263"/>
    <w:rsid w:val="00B516BA"/>
    <w:rsid w:val="00B5657B"/>
    <w:rsid w:val="00B601D6"/>
    <w:rsid w:val="00B61995"/>
    <w:rsid w:val="00B72C68"/>
    <w:rsid w:val="00B76E1E"/>
    <w:rsid w:val="00B80104"/>
    <w:rsid w:val="00B86C50"/>
    <w:rsid w:val="00BA0D82"/>
    <w:rsid w:val="00BB2E13"/>
    <w:rsid w:val="00BB53CD"/>
    <w:rsid w:val="00BC5B50"/>
    <w:rsid w:val="00BC793A"/>
    <w:rsid w:val="00BD0949"/>
    <w:rsid w:val="00BD2BE5"/>
    <w:rsid w:val="00BD3EF4"/>
    <w:rsid w:val="00BD7A7E"/>
    <w:rsid w:val="00BE4AEA"/>
    <w:rsid w:val="00BE6765"/>
    <w:rsid w:val="00BE7AF2"/>
    <w:rsid w:val="00BF511B"/>
    <w:rsid w:val="00BF7CD9"/>
    <w:rsid w:val="00C05447"/>
    <w:rsid w:val="00C05675"/>
    <w:rsid w:val="00C15A93"/>
    <w:rsid w:val="00C22384"/>
    <w:rsid w:val="00C352ED"/>
    <w:rsid w:val="00C36EE2"/>
    <w:rsid w:val="00C378FD"/>
    <w:rsid w:val="00C5068F"/>
    <w:rsid w:val="00C54296"/>
    <w:rsid w:val="00C61AD0"/>
    <w:rsid w:val="00C63699"/>
    <w:rsid w:val="00C677F4"/>
    <w:rsid w:val="00C70AA5"/>
    <w:rsid w:val="00C76C9B"/>
    <w:rsid w:val="00C776EC"/>
    <w:rsid w:val="00C9036D"/>
    <w:rsid w:val="00C91240"/>
    <w:rsid w:val="00C964A1"/>
    <w:rsid w:val="00CA66A6"/>
    <w:rsid w:val="00CB0F0F"/>
    <w:rsid w:val="00CB61BB"/>
    <w:rsid w:val="00CB7556"/>
    <w:rsid w:val="00CC2509"/>
    <w:rsid w:val="00CC681D"/>
    <w:rsid w:val="00CC78E2"/>
    <w:rsid w:val="00CD25D4"/>
    <w:rsid w:val="00CD32F1"/>
    <w:rsid w:val="00CD473C"/>
    <w:rsid w:val="00CD7343"/>
    <w:rsid w:val="00CE02FE"/>
    <w:rsid w:val="00CE51F0"/>
    <w:rsid w:val="00CE5997"/>
    <w:rsid w:val="00CF0800"/>
    <w:rsid w:val="00CF6222"/>
    <w:rsid w:val="00D05C34"/>
    <w:rsid w:val="00D20E9A"/>
    <w:rsid w:val="00D27D05"/>
    <w:rsid w:val="00D27D85"/>
    <w:rsid w:val="00D61C4C"/>
    <w:rsid w:val="00D65714"/>
    <w:rsid w:val="00D7686B"/>
    <w:rsid w:val="00D96E8C"/>
    <w:rsid w:val="00D97869"/>
    <w:rsid w:val="00DA6ADE"/>
    <w:rsid w:val="00DA70E8"/>
    <w:rsid w:val="00DA71DA"/>
    <w:rsid w:val="00DB3AD8"/>
    <w:rsid w:val="00DB446C"/>
    <w:rsid w:val="00DC6557"/>
    <w:rsid w:val="00DD0354"/>
    <w:rsid w:val="00DD34A8"/>
    <w:rsid w:val="00DE175B"/>
    <w:rsid w:val="00DE2545"/>
    <w:rsid w:val="00DE792B"/>
    <w:rsid w:val="00DF3D7D"/>
    <w:rsid w:val="00DF59CB"/>
    <w:rsid w:val="00DF6BDB"/>
    <w:rsid w:val="00E02952"/>
    <w:rsid w:val="00E10600"/>
    <w:rsid w:val="00E10879"/>
    <w:rsid w:val="00E10AFB"/>
    <w:rsid w:val="00E12AFA"/>
    <w:rsid w:val="00E14B0F"/>
    <w:rsid w:val="00E15610"/>
    <w:rsid w:val="00E228A7"/>
    <w:rsid w:val="00E301DE"/>
    <w:rsid w:val="00E3216C"/>
    <w:rsid w:val="00E34D7D"/>
    <w:rsid w:val="00E362BC"/>
    <w:rsid w:val="00E4045C"/>
    <w:rsid w:val="00E4316F"/>
    <w:rsid w:val="00E451D6"/>
    <w:rsid w:val="00E46D58"/>
    <w:rsid w:val="00E53049"/>
    <w:rsid w:val="00E60C33"/>
    <w:rsid w:val="00E610B9"/>
    <w:rsid w:val="00E61FE0"/>
    <w:rsid w:val="00E64F06"/>
    <w:rsid w:val="00E72455"/>
    <w:rsid w:val="00E72AEE"/>
    <w:rsid w:val="00E81F8C"/>
    <w:rsid w:val="00E8305C"/>
    <w:rsid w:val="00E950E3"/>
    <w:rsid w:val="00EA0B92"/>
    <w:rsid w:val="00EA371A"/>
    <w:rsid w:val="00EA515A"/>
    <w:rsid w:val="00EA56CA"/>
    <w:rsid w:val="00EA65D8"/>
    <w:rsid w:val="00EB0249"/>
    <w:rsid w:val="00EC4725"/>
    <w:rsid w:val="00EC490D"/>
    <w:rsid w:val="00EC6210"/>
    <w:rsid w:val="00EE3E46"/>
    <w:rsid w:val="00EE6200"/>
    <w:rsid w:val="00EE7217"/>
    <w:rsid w:val="00EF0DED"/>
    <w:rsid w:val="00F01999"/>
    <w:rsid w:val="00F04411"/>
    <w:rsid w:val="00F229B4"/>
    <w:rsid w:val="00F3715E"/>
    <w:rsid w:val="00F45A47"/>
    <w:rsid w:val="00F470C6"/>
    <w:rsid w:val="00F47624"/>
    <w:rsid w:val="00F6079D"/>
    <w:rsid w:val="00F63164"/>
    <w:rsid w:val="00F72B11"/>
    <w:rsid w:val="00F742DA"/>
    <w:rsid w:val="00F75B02"/>
    <w:rsid w:val="00F80700"/>
    <w:rsid w:val="00F83CAD"/>
    <w:rsid w:val="00F915B0"/>
    <w:rsid w:val="00F93039"/>
    <w:rsid w:val="00FA0193"/>
    <w:rsid w:val="00FB4945"/>
    <w:rsid w:val="00FB68CB"/>
    <w:rsid w:val="00FC5616"/>
    <w:rsid w:val="00FD084B"/>
    <w:rsid w:val="00FE5C7D"/>
    <w:rsid w:val="00FE6B08"/>
    <w:rsid w:val="00FF49AC"/>
  </w:rsids>
  <m:mathPr>
    <m:mathFont m:val="Cambria Math"/>
    <m:brkBin m:val="before"/>
    <m:brkBinSub m:val="--"/>
    <m:smallFrac m:val="0"/>
    <m:dispDef/>
    <m:lMargin m:val="0"/>
    <m:rMargin m:val="0"/>
    <m:defJc m:val="centerGroup"/>
    <m:wrapIndent m:val="1440"/>
    <m:intLim m:val="subSup"/>
    <m:naryLim m:val="undOvr"/>
  </m:mathPr>
  <w:themeFontLang w:val="en-US" w:eastAsia="ko-K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57585B9"/>
  <w15:chartTrackingRefBased/>
  <w15:docId w15:val="{76823537-E63D-4615-8CAA-D85523876F3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B10F7D"/>
    <w:pPr>
      <w:numPr>
        <w:numId w:val="56"/>
      </w:numPr>
      <w:shd w:val="clear" w:color="auto" w:fill="D9E2F3" w:themeFill="accent1" w:themeFillTint="33"/>
      <w:spacing w:after="0" w:line="240" w:lineRule="auto"/>
      <w:jc w:val="center"/>
      <w:outlineLvl w:val="0"/>
    </w:pPr>
    <w:rPr>
      <w:rFonts w:cstheme="minorHAnsi"/>
      <w:b/>
      <w:caps/>
      <w:sz w:val="52"/>
      <w:szCs w:val="24"/>
    </w:rPr>
  </w:style>
  <w:style w:type="paragraph" w:styleId="Heading2">
    <w:name w:val="heading 2"/>
    <w:basedOn w:val="Normal"/>
    <w:next w:val="Normal"/>
    <w:link w:val="Heading2Char"/>
    <w:uiPriority w:val="9"/>
    <w:unhideWhenUsed/>
    <w:qFormat/>
    <w:rsid w:val="00E81F8C"/>
    <w:pPr>
      <w:numPr>
        <w:ilvl w:val="1"/>
        <w:numId w:val="56"/>
      </w:numPr>
      <w:pBdr>
        <w:bottom w:val="single" w:sz="18" w:space="1" w:color="auto"/>
      </w:pBdr>
      <w:spacing w:after="0" w:line="240" w:lineRule="auto"/>
      <w:ind w:left="0"/>
      <w:jc w:val="center"/>
      <w:outlineLvl w:val="1"/>
    </w:pPr>
    <w:rPr>
      <w:rFonts w:cstheme="minorHAnsi"/>
      <w:b/>
      <w:sz w:val="36"/>
    </w:rPr>
  </w:style>
  <w:style w:type="paragraph" w:styleId="Heading3">
    <w:name w:val="heading 3"/>
    <w:basedOn w:val="ListParagraph"/>
    <w:next w:val="Normal"/>
    <w:link w:val="Heading3Char"/>
    <w:uiPriority w:val="9"/>
    <w:unhideWhenUsed/>
    <w:qFormat/>
    <w:rsid w:val="0073308D"/>
    <w:pPr>
      <w:numPr>
        <w:ilvl w:val="2"/>
        <w:numId w:val="56"/>
      </w:numPr>
      <w:shd w:val="clear" w:color="auto" w:fill="D9E2F3" w:themeFill="accent1" w:themeFillTint="33"/>
      <w:spacing w:after="0" w:line="240" w:lineRule="auto"/>
      <w:jc w:val="center"/>
      <w:outlineLvl w:val="2"/>
    </w:pPr>
    <w:rPr>
      <w:rFonts w:cstheme="minorHAnsi"/>
      <w:b/>
      <w:sz w:val="24"/>
    </w:rPr>
  </w:style>
  <w:style w:type="paragraph" w:styleId="Heading4">
    <w:name w:val="heading 4"/>
    <w:basedOn w:val="ListParagraph"/>
    <w:next w:val="Normal"/>
    <w:link w:val="Heading4Char"/>
    <w:uiPriority w:val="9"/>
    <w:unhideWhenUsed/>
    <w:qFormat/>
    <w:rsid w:val="00CD473C"/>
    <w:pPr>
      <w:numPr>
        <w:ilvl w:val="3"/>
        <w:numId w:val="56"/>
      </w:numPr>
      <w:shd w:val="clear" w:color="auto" w:fill="E2EFD9" w:themeFill="accent6" w:themeFillTint="33"/>
      <w:spacing w:after="0" w:line="240" w:lineRule="auto"/>
      <w:outlineLvl w:val="3"/>
    </w:pPr>
    <w:rPr>
      <w:rFonts w:cstheme="minorHAnsi"/>
      <w:b/>
    </w:rPr>
  </w:style>
  <w:style w:type="paragraph" w:styleId="Heading5">
    <w:name w:val="heading 5"/>
    <w:basedOn w:val="Normal"/>
    <w:next w:val="Normal"/>
    <w:link w:val="Heading5Char"/>
    <w:uiPriority w:val="9"/>
    <w:semiHidden/>
    <w:unhideWhenUsed/>
    <w:qFormat/>
    <w:rsid w:val="00B10F7D"/>
    <w:pPr>
      <w:keepNext/>
      <w:keepLines/>
      <w:numPr>
        <w:ilvl w:val="4"/>
        <w:numId w:val="56"/>
      </w:numPr>
      <w:spacing w:before="40" w:after="0"/>
      <w:outlineLvl w:val="4"/>
    </w:pPr>
    <w:rPr>
      <w:rFonts w:asciiTheme="majorHAnsi" w:eastAsiaTheme="majorEastAsia" w:hAnsiTheme="majorHAnsi" w:cstheme="majorBidi"/>
      <w:color w:val="2F5496" w:themeColor="accent1" w:themeShade="BF"/>
    </w:rPr>
  </w:style>
  <w:style w:type="paragraph" w:styleId="Heading6">
    <w:name w:val="heading 6"/>
    <w:basedOn w:val="Normal"/>
    <w:next w:val="Normal"/>
    <w:link w:val="Heading6Char"/>
    <w:uiPriority w:val="9"/>
    <w:semiHidden/>
    <w:unhideWhenUsed/>
    <w:qFormat/>
    <w:rsid w:val="00B10F7D"/>
    <w:pPr>
      <w:keepNext/>
      <w:keepLines/>
      <w:numPr>
        <w:ilvl w:val="5"/>
        <w:numId w:val="56"/>
      </w:numPr>
      <w:spacing w:before="40" w:after="0"/>
      <w:outlineLvl w:val="5"/>
    </w:pPr>
    <w:rPr>
      <w:rFonts w:asciiTheme="majorHAnsi" w:eastAsiaTheme="majorEastAsia" w:hAnsiTheme="majorHAnsi" w:cstheme="majorBidi"/>
      <w:color w:val="1F3763" w:themeColor="accent1" w:themeShade="7F"/>
    </w:rPr>
  </w:style>
  <w:style w:type="paragraph" w:styleId="Heading7">
    <w:name w:val="heading 7"/>
    <w:basedOn w:val="Normal"/>
    <w:next w:val="Normal"/>
    <w:link w:val="Heading7Char"/>
    <w:uiPriority w:val="9"/>
    <w:semiHidden/>
    <w:unhideWhenUsed/>
    <w:qFormat/>
    <w:rsid w:val="00B10F7D"/>
    <w:pPr>
      <w:keepNext/>
      <w:keepLines/>
      <w:numPr>
        <w:ilvl w:val="6"/>
        <w:numId w:val="56"/>
      </w:numPr>
      <w:spacing w:before="40" w:after="0"/>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
    <w:semiHidden/>
    <w:unhideWhenUsed/>
    <w:qFormat/>
    <w:rsid w:val="00B10F7D"/>
    <w:pPr>
      <w:keepNext/>
      <w:keepLines/>
      <w:numPr>
        <w:ilvl w:val="7"/>
        <w:numId w:val="56"/>
      </w:numPr>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B10F7D"/>
    <w:pPr>
      <w:keepNext/>
      <w:keepLines/>
      <w:numPr>
        <w:ilvl w:val="8"/>
        <w:numId w:val="56"/>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B86C50"/>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86C50"/>
    <w:rPr>
      <w:rFonts w:ascii="Segoe UI" w:hAnsi="Segoe UI" w:cs="Segoe UI"/>
      <w:sz w:val="18"/>
      <w:szCs w:val="18"/>
    </w:rPr>
  </w:style>
  <w:style w:type="character" w:customStyle="1" w:styleId="Heading1Char">
    <w:name w:val="Heading 1 Char"/>
    <w:basedOn w:val="DefaultParagraphFont"/>
    <w:link w:val="Heading1"/>
    <w:uiPriority w:val="9"/>
    <w:rsid w:val="00B10F7D"/>
    <w:rPr>
      <w:rFonts w:cstheme="minorHAnsi"/>
      <w:b/>
      <w:caps/>
      <w:sz w:val="52"/>
      <w:szCs w:val="24"/>
      <w:shd w:val="clear" w:color="auto" w:fill="D9E2F3" w:themeFill="accent1" w:themeFillTint="33"/>
    </w:rPr>
  </w:style>
  <w:style w:type="character" w:customStyle="1" w:styleId="Heading2Char">
    <w:name w:val="Heading 2 Char"/>
    <w:basedOn w:val="DefaultParagraphFont"/>
    <w:link w:val="Heading2"/>
    <w:uiPriority w:val="9"/>
    <w:rsid w:val="00E81F8C"/>
    <w:rPr>
      <w:rFonts w:cstheme="minorHAnsi"/>
      <w:b/>
      <w:sz w:val="36"/>
    </w:rPr>
  </w:style>
  <w:style w:type="character" w:customStyle="1" w:styleId="Heading3Char">
    <w:name w:val="Heading 3 Char"/>
    <w:basedOn w:val="DefaultParagraphFont"/>
    <w:link w:val="Heading3"/>
    <w:uiPriority w:val="9"/>
    <w:rsid w:val="0073308D"/>
    <w:rPr>
      <w:rFonts w:cstheme="minorHAnsi"/>
      <w:b/>
      <w:sz w:val="24"/>
      <w:shd w:val="clear" w:color="auto" w:fill="D9E2F3" w:themeFill="accent1" w:themeFillTint="33"/>
    </w:rPr>
  </w:style>
  <w:style w:type="character" w:customStyle="1" w:styleId="Heading4Char">
    <w:name w:val="Heading 4 Char"/>
    <w:basedOn w:val="DefaultParagraphFont"/>
    <w:link w:val="Heading4"/>
    <w:uiPriority w:val="9"/>
    <w:rsid w:val="00CD473C"/>
    <w:rPr>
      <w:rFonts w:cstheme="minorHAnsi"/>
      <w:b/>
      <w:shd w:val="clear" w:color="auto" w:fill="E2EFD9" w:themeFill="accent6" w:themeFillTint="33"/>
    </w:rPr>
  </w:style>
  <w:style w:type="table" w:styleId="TableGrid">
    <w:name w:val="Table Grid"/>
    <w:basedOn w:val="TableNormal"/>
    <w:uiPriority w:val="39"/>
    <w:rsid w:val="00CD473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CD473C"/>
    <w:pPr>
      <w:ind w:left="720"/>
      <w:contextualSpacing/>
    </w:pPr>
  </w:style>
  <w:style w:type="paragraph" w:styleId="Header">
    <w:name w:val="header"/>
    <w:basedOn w:val="Normal"/>
    <w:link w:val="HeaderChar"/>
    <w:uiPriority w:val="99"/>
    <w:unhideWhenUsed/>
    <w:rsid w:val="00CD473C"/>
    <w:pPr>
      <w:tabs>
        <w:tab w:val="center" w:pos="4680"/>
        <w:tab w:val="right" w:pos="9360"/>
      </w:tabs>
      <w:spacing w:after="0" w:line="240" w:lineRule="auto"/>
    </w:pPr>
  </w:style>
  <w:style w:type="character" w:customStyle="1" w:styleId="HeaderChar">
    <w:name w:val="Header Char"/>
    <w:basedOn w:val="DefaultParagraphFont"/>
    <w:link w:val="Header"/>
    <w:uiPriority w:val="99"/>
    <w:rsid w:val="00CD473C"/>
  </w:style>
  <w:style w:type="paragraph" w:styleId="Footer">
    <w:name w:val="footer"/>
    <w:basedOn w:val="Normal"/>
    <w:link w:val="FooterChar"/>
    <w:uiPriority w:val="99"/>
    <w:unhideWhenUsed/>
    <w:rsid w:val="00CD473C"/>
    <w:pPr>
      <w:tabs>
        <w:tab w:val="center" w:pos="4680"/>
        <w:tab w:val="right" w:pos="9360"/>
      </w:tabs>
      <w:spacing w:after="0" w:line="240" w:lineRule="auto"/>
    </w:pPr>
    <w:rPr>
      <w:sz w:val="24"/>
      <w:szCs w:val="24"/>
    </w:rPr>
  </w:style>
  <w:style w:type="character" w:customStyle="1" w:styleId="FooterChar">
    <w:name w:val="Footer Char"/>
    <w:basedOn w:val="DefaultParagraphFont"/>
    <w:link w:val="Footer"/>
    <w:uiPriority w:val="99"/>
    <w:rsid w:val="00CD473C"/>
    <w:rPr>
      <w:sz w:val="24"/>
      <w:szCs w:val="24"/>
    </w:rPr>
  </w:style>
  <w:style w:type="table" w:styleId="ListTable3-Accent5">
    <w:name w:val="List Table 3 Accent 5"/>
    <w:basedOn w:val="TableNormal"/>
    <w:uiPriority w:val="48"/>
    <w:rsid w:val="000B6F13"/>
    <w:pPr>
      <w:spacing w:after="0" w:line="240" w:lineRule="auto"/>
    </w:pPr>
    <w:tblPr>
      <w:tblStyleRowBandSize w:val="1"/>
      <w:tblStyleColBandSize w:val="1"/>
      <w:tblBorders>
        <w:top w:val="single" w:sz="4" w:space="0" w:color="5B9BD5" w:themeColor="accent5"/>
        <w:left w:val="single" w:sz="4" w:space="0" w:color="5B9BD5" w:themeColor="accent5"/>
        <w:bottom w:val="single" w:sz="4" w:space="0" w:color="5B9BD5" w:themeColor="accent5"/>
        <w:right w:val="single" w:sz="4" w:space="0" w:color="5B9BD5" w:themeColor="accent5"/>
      </w:tblBorders>
    </w:tblPr>
    <w:tblStylePr w:type="firstRow">
      <w:rPr>
        <w:b/>
        <w:bCs/>
        <w:color w:val="FFFFFF" w:themeColor="background1"/>
      </w:rPr>
      <w:tblPr/>
      <w:tcPr>
        <w:shd w:val="clear" w:color="auto" w:fill="5B9BD5" w:themeFill="accent5"/>
      </w:tcPr>
    </w:tblStylePr>
    <w:tblStylePr w:type="lastRow">
      <w:rPr>
        <w:b/>
        <w:bCs/>
      </w:rPr>
      <w:tblPr/>
      <w:tcPr>
        <w:tcBorders>
          <w:top w:val="double" w:sz="4" w:space="0" w:color="5B9BD5"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5B9BD5" w:themeColor="accent5"/>
          <w:right w:val="single" w:sz="4" w:space="0" w:color="5B9BD5" w:themeColor="accent5"/>
        </w:tcBorders>
      </w:tcPr>
    </w:tblStylePr>
    <w:tblStylePr w:type="band1Horz">
      <w:tblPr/>
      <w:tcPr>
        <w:tcBorders>
          <w:top w:val="single" w:sz="4" w:space="0" w:color="5B9BD5" w:themeColor="accent5"/>
          <w:bottom w:val="single" w:sz="4" w:space="0" w:color="5B9BD5"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themeColor="accent5"/>
          <w:left w:val="nil"/>
        </w:tcBorders>
      </w:tcPr>
    </w:tblStylePr>
    <w:tblStylePr w:type="swCell">
      <w:tblPr/>
      <w:tcPr>
        <w:tcBorders>
          <w:top w:val="double" w:sz="4" w:space="0" w:color="5B9BD5" w:themeColor="accent5"/>
          <w:right w:val="nil"/>
        </w:tcBorders>
      </w:tcPr>
    </w:tblStylePr>
  </w:style>
  <w:style w:type="paragraph" w:styleId="Title">
    <w:name w:val="Title"/>
    <w:basedOn w:val="Normal"/>
    <w:next w:val="Normal"/>
    <w:link w:val="TitleChar"/>
    <w:uiPriority w:val="10"/>
    <w:qFormat/>
    <w:rsid w:val="00DB446C"/>
    <w:pPr>
      <w:shd w:val="clear" w:color="auto" w:fill="B4C6E7" w:themeFill="accent1" w:themeFillTint="66"/>
      <w:spacing w:after="0" w:line="240" w:lineRule="auto"/>
      <w:jc w:val="center"/>
    </w:pPr>
    <w:rPr>
      <w:rFonts w:cstheme="minorHAnsi"/>
      <w:b/>
      <w:sz w:val="28"/>
      <w:szCs w:val="24"/>
    </w:rPr>
  </w:style>
  <w:style w:type="character" w:customStyle="1" w:styleId="TitleChar">
    <w:name w:val="Title Char"/>
    <w:basedOn w:val="DefaultParagraphFont"/>
    <w:link w:val="Title"/>
    <w:uiPriority w:val="10"/>
    <w:rsid w:val="00DB446C"/>
    <w:rPr>
      <w:rFonts w:cstheme="minorHAnsi"/>
      <w:b/>
      <w:sz w:val="28"/>
      <w:szCs w:val="24"/>
      <w:shd w:val="clear" w:color="auto" w:fill="B4C6E7" w:themeFill="accent1" w:themeFillTint="66"/>
    </w:rPr>
  </w:style>
  <w:style w:type="paragraph" w:styleId="NormalWeb">
    <w:name w:val="Normal (Web)"/>
    <w:basedOn w:val="Normal"/>
    <w:uiPriority w:val="99"/>
    <w:unhideWhenUsed/>
    <w:rsid w:val="00AB1CF7"/>
    <w:pPr>
      <w:spacing w:before="100" w:beforeAutospacing="1" w:after="100" w:afterAutospacing="1" w:line="240" w:lineRule="auto"/>
    </w:pPr>
    <w:rPr>
      <w:rFonts w:ascii="Times New Roman" w:eastAsia="Times New Roman" w:hAnsi="Times New Roman" w:cs="Times New Roman"/>
      <w:sz w:val="24"/>
      <w:szCs w:val="24"/>
    </w:rPr>
  </w:style>
  <w:style w:type="character" w:styleId="Hyperlink">
    <w:name w:val="Hyperlink"/>
    <w:basedOn w:val="DefaultParagraphFont"/>
    <w:uiPriority w:val="99"/>
    <w:unhideWhenUsed/>
    <w:rsid w:val="00AB1CF7"/>
    <w:rPr>
      <w:color w:val="0000FF"/>
      <w:u w:val="single"/>
    </w:rPr>
  </w:style>
  <w:style w:type="character" w:styleId="Strong">
    <w:name w:val="Strong"/>
    <w:basedOn w:val="DefaultParagraphFont"/>
    <w:uiPriority w:val="22"/>
    <w:qFormat/>
    <w:rsid w:val="00AB1CF7"/>
    <w:rPr>
      <w:b/>
      <w:bCs/>
    </w:rPr>
  </w:style>
  <w:style w:type="character" w:styleId="Emphasis">
    <w:name w:val="Emphasis"/>
    <w:basedOn w:val="DefaultParagraphFont"/>
    <w:uiPriority w:val="20"/>
    <w:qFormat/>
    <w:rsid w:val="005C4152"/>
    <w:rPr>
      <w:i/>
      <w:iCs/>
    </w:rPr>
  </w:style>
  <w:style w:type="paragraph" w:styleId="NoSpacing">
    <w:name w:val="No Spacing"/>
    <w:link w:val="NoSpacingChar"/>
    <w:uiPriority w:val="1"/>
    <w:qFormat/>
    <w:rsid w:val="007D7C40"/>
    <w:pPr>
      <w:numPr>
        <w:ilvl w:val="1"/>
        <w:numId w:val="57"/>
      </w:numPr>
      <w:spacing w:after="0" w:line="240" w:lineRule="auto"/>
    </w:pPr>
    <w:rPr>
      <w:rFonts w:eastAsiaTheme="minorEastAsia"/>
    </w:rPr>
  </w:style>
  <w:style w:type="character" w:customStyle="1" w:styleId="NoSpacingChar">
    <w:name w:val="No Spacing Char"/>
    <w:basedOn w:val="DefaultParagraphFont"/>
    <w:link w:val="NoSpacing"/>
    <w:uiPriority w:val="1"/>
    <w:rsid w:val="007D7C40"/>
    <w:rPr>
      <w:rFonts w:eastAsiaTheme="minorEastAsia"/>
    </w:rPr>
  </w:style>
  <w:style w:type="character" w:styleId="PlaceholderText">
    <w:name w:val="Placeholder Text"/>
    <w:basedOn w:val="DefaultParagraphFont"/>
    <w:uiPriority w:val="99"/>
    <w:semiHidden/>
    <w:rsid w:val="007D7C40"/>
    <w:rPr>
      <w:color w:val="808080"/>
    </w:rPr>
  </w:style>
  <w:style w:type="character" w:customStyle="1" w:styleId="UnresolvedMention1">
    <w:name w:val="Unresolved Mention1"/>
    <w:basedOn w:val="DefaultParagraphFont"/>
    <w:uiPriority w:val="99"/>
    <w:semiHidden/>
    <w:unhideWhenUsed/>
    <w:rsid w:val="00893463"/>
    <w:rPr>
      <w:color w:val="605E5C"/>
      <w:shd w:val="clear" w:color="auto" w:fill="E1DFDD"/>
    </w:rPr>
  </w:style>
  <w:style w:type="table" w:styleId="GridTable5Dark-Accent1">
    <w:name w:val="Grid Table 5 Dark Accent 1"/>
    <w:basedOn w:val="TableNormal"/>
    <w:uiPriority w:val="50"/>
    <w:rsid w:val="00754A5F"/>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1"/>
      </w:tcPr>
    </w:tblStylePr>
    <w:tblStylePr w:type="band1Vert">
      <w:tblPr/>
      <w:tcPr>
        <w:shd w:val="clear" w:color="auto" w:fill="B4C6E7" w:themeFill="accent1" w:themeFillTint="66"/>
      </w:tcPr>
    </w:tblStylePr>
    <w:tblStylePr w:type="band1Horz">
      <w:tblPr/>
      <w:tcPr>
        <w:shd w:val="clear" w:color="auto" w:fill="B4C6E7" w:themeFill="accent1" w:themeFillTint="66"/>
      </w:tcPr>
    </w:tblStylePr>
  </w:style>
  <w:style w:type="paragraph" w:styleId="TOC1">
    <w:name w:val="toc 1"/>
    <w:basedOn w:val="Normal"/>
    <w:next w:val="Normal"/>
    <w:autoRedefine/>
    <w:uiPriority w:val="39"/>
    <w:unhideWhenUsed/>
    <w:rsid w:val="00E10AFB"/>
    <w:pPr>
      <w:spacing w:after="100"/>
    </w:pPr>
  </w:style>
  <w:style w:type="paragraph" w:styleId="TOC2">
    <w:name w:val="toc 2"/>
    <w:basedOn w:val="Normal"/>
    <w:next w:val="Normal"/>
    <w:autoRedefine/>
    <w:uiPriority w:val="39"/>
    <w:unhideWhenUsed/>
    <w:rsid w:val="00E10AFB"/>
    <w:pPr>
      <w:spacing w:after="100"/>
      <w:ind w:left="220"/>
    </w:pPr>
  </w:style>
  <w:style w:type="paragraph" w:styleId="TOC3">
    <w:name w:val="toc 3"/>
    <w:basedOn w:val="Normal"/>
    <w:next w:val="Normal"/>
    <w:autoRedefine/>
    <w:uiPriority w:val="39"/>
    <w:unhideWhenUsed/>
    <w:rsid w:val="00E10AFB"/>
    <w:pPr>
      <w:spacing w:after="100"/>
      <w:ind w:left="440"/>
    </w:pPr>
  </w:style>
  <w:style w:type="character" w:customStyle="1" w:styleId="Heading5Char">
    <w:name w:val="Heading 5 Char"/>
    <w:basedOn w:val="DefaultParagraphFont"/>
    <w:link w:val="Heading5"/>
    <w:uiPriority w:val="9"/>
    <w:semiHidden/>
    <w:rsid w:val="00B10F7D"/>
    <w:rPr>
      <w:rFonts w:asciiTheme="majorHAnsi" w:eastAsiaTheme="majorEastAsia" w:hAnsiTheme="majorHAnsi" w:cstheme="majorBidi"/>
      <w:color w:val="2F5496" w:themeColor="accent1" w:themeShade="BF"/>
    </w:rPr>
  </w:style>
  <w:style w:type="character" w:customStyle="1" w:styleId="Heading6Char">
    <w:name w:val="Heading 6 Char"/>
    <w:basedOn w:val="DefaultParagraphFont"/>
    <w:link w:val="Heading6"/>
    <w:uiPriority w:val="9"/>
    <w:semiHidden/>
    <w:rsid w:val="00B10F7D"/>
    <w:rPr>
      <w:rFonts w:asciiTheme="majorHAnsi" w:eastAsiaTheme="majorEastAsia" w:hAnsiTheme="majorHAnsi" w:cstheme="majorBidi"/>
      <w:color w:val="1F3763" w:themeColor="accent1" w:themeShade="7F"/>
    </w:rPr>
  </w:style>
  <w:style w:type="character" w:customStyle="1" w:styleId="Heading7Char">
    <w:name w:val="Heading 7 Char"/>
    <w:basedOn w:val="DefaultParagraphFont"/>
    <w:link w:val="Heading7"/>
    <w:uiPriority w:val="9"/>
    <w:semiHidden/>
    <w:rsid w:val="00B10F7D"/>
    <w:rPr>
      <w:rFonts w:asciiTheme="majorHAnsi" w:eastAsiaTheme="majorEastAsia" w:hAnsiTheme="majorHAnsi" w:cstheme="majorBidi"/>
      <w:i/>
      <w:iCs/>
      <w:color w:val="1F3763" w:themeColor="accent1" w:themeShade="7F"/>
    </w:rPr>
  </w:style>
  <w:style w:type="character" w:customStyle="1" w:styleId="Heading8Char">
    <w:name w:val="Heading 8 Char"/>
    <w:basedOn w:val="DefaultParagraphFont"/>
    <w:link w:val="Heading8"/>
    <w:uiPriority w:val="9"/>
    <w:semiHidden/>
    <w:rsid w:val="00B10F7D"/>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B10F7D"/>
    <w:rPr>
      <w:rFonts w:asciiTheme="majorHAnsi" w:eastAsiaTheme="majorEastAsia" w:hAnsiTheme="majorHAnsi" w:cstheme="majorBidi"/>
      <w:i/>
      <w:iCs/>
      <w:color w:val="272727" w:themeColor="text1" w:themeTint="D8"/>
      <w:sz w:val="21"/>
      <w:szCs w:val="21"/>
    </w:rPr>
  </w:style>
  <w:style w:type="character" w:customStyle="1" w:styleId="apple-converted-space">
    <w:name w:val="apple-converted-space"/>
    <w:basedOn w:val="DefaultParagraphFont"/>
    <w:rsid w:val="00755285"/>
  </w:style>
  <w:style w:type="paragraph" w:styleId="TOCHeading">
    <w:name w:val="TOC Heading"/>
    <w:basedOn w:val="Heading1"/>
    <w:next w:val="Normal"/>
    <w:uiPriority w:val="39"/>
    <w:unhideWhenUsed/>
    <w:qFormat/>
    <w:rsid w:val="00BA0D82"/>
    <w:pPr>
      <w:keepNext/>
      <w:keepLines/>
      <w:numPr>
        <w:numId w:val="0"/>
      </w:numPr>
      <w:shd w:val="clear" w:color="auto" w:fill="auto"/>
      <w:spacing w:before="240" w:line="259" w:lineRule="auto"/>
      <w:jc w:val="left"/>
      <w:outlineLvl w:val="9"/>
    </w:pPr>
    <w:rPr>
      <w:rFonts w:asciiTheme="majorHAnsi" w:eastAsiaTheme="majorEastAsia" w:hAnsiTheme="majorHAnsi" w:cstheme="majorBidi"/>
      <w:b w:val="0"/>
      <w:caps w:val="0"/>
      <w:color w:val="2F5496" w:themeColor="accent1" w:themeShade="BF"/>
      <w:sz w:val="32"/>
      <w:szCs w:val="32"/>
    </w:rPr>
  </w:style>
  <w:style w:type="paragraph" w:styleId="TOC4">
    <w:name w:val="toc 4"/>
    <w:basedOn w:val="Normal"/>
    <w:next w:val="Normal"/>
    <w:autoRedefine/>
    <w:uiPriority w:val="39"/>
    <w:unhideWhenUsed/>
    <w:rsid w:val="00E10879"/>
    <w:pPr>
      <w:spacing w:after="100"/>
      <w:ind w:left="660"/>
    </w:pPr>
    <w:rPr>
      <w:rFonts w:eastAsiaTheme="minorEastAsia"/>
    </w:rPr>
  </w:style>
  <w:style w:type="paragraph" w:styleId="TOC5">
    <w:name w:val="toc 5"/>
    <w:basedOn w:val="Normal"/>
    <w:next w:val="Normal"/>
    <w:autoRedefine/>
    <w:uiPriority w:val="39"/>
    <w:unhideWhenUsed/>
    <w:rsid w:val="00E10879"/>
    <w:pPr>
      <w:spacing w:after="100"/>
      <w:ind w:left="880"/>
    </w:pPr>
    <w:rPr>
      <w:rFonts w:eastAsiaTheme="minorEastAsia"/>
    </w:rPr>
  </w:style>
  <w:style w:type="paragraph" w:styleId="TOC6">
    <w:name w:val="toc 6"/>
    <w:basedOn w:val="Normal"/>
    <w:next w:val="Normal"/>
    <w:autoRedefine/>
    <w:uiPriority w:val="39"/>
    <w:unhideWhenUsed/>
    <w:rsid w:val="00E10879"/>
    <w:pPr>
      <w:spacing w:after="100"/>
      <w:ind w:left="1100"/>
    </w:pPr>
    <w:rPr>
      <w:rFonts w:eastAsiaTheme="minorEastAsia"/>
    </w:rPr>
  </w:style>
  <w:style w:type="paragraph" w:styleId="TOC7">
    <w:name w:val="toc 7"/>
    <w:basedOn w:val="Normal"/>
    <w:next w:val="Normal"/>
    <w:autoRedefine/>
    <w:uiPriority w:val="39"/>
    <w:unhideWhenUsed/>
    <w:rsid w:val="00E10879"/>
    <w:pPr>
      <w:spacing w:after="100"/>
      <w:ind w:left="1320"/>
    </w:pPr>
    <w:rPr>
      <w:rFonts w:eastAsiaTheme="minorEastAsia"/>
    </w:rPr>
  </w:style>
  <w:style w:type="paragraph" w:styleId="TOC8">
    <w:name w:val="toc 8"/>
    <w:basedOn w:val="Normal"/>
    <w:next w:val="Normal"/>
    <w:autoRedefine/>
    <w:uiPriority w:val="39"/>
    <w:unhideWhenUsed/>
    <w:rsid w:val="00E10879"/>
    <w:pPr>
      <w:spacing w:after="100"/>
      <w:ind w:left="1540"/>
    </w:pPr>
    <w:rPr>
      <w:rFonts w:eastAsiaTheme="minorEastAsia"/>
    </w:rPr>
  </w:style>
  <w:style w:type="paragraph" w:styleId="TOC9">
    <w:name w:val="toc 9"/>
    <w:basedOn w:val="Normal"/>
    <w:next w:val="Normal"/>
    <w:autoRedefine/>
    <w:uiPriority w:val="39"/>
    <w:unhideWhenUsed/>
    <w:rsid w:val="00E10879"/>
    <w:pPr>
      <w:spacing w:after="100"/>
      <w:ind w:left="1760"/>
    </w:pPr>
    <w:rPr>
      <w:rFonts w:eastAsiaTheme="minorEastAsia"/>
    </w:rPr>
  </w:style>
  <w:style w:type="paragraph" w:styleId="BodyText">
    <w:name w:val="Body Text"/>
    <w:basedOn w:val="Normal"/>
    <w:link w:val="BodyTextChar"/>
    <w:uiPriority w:val="1"/>
    <w:qFormat/>
    <w:rsid w:val="00D27D05"/>
    <w:pPr>
      <w:widowControl w:val="0"/>
      <w:autoSpaceDE w:val="0"/>
      <w:autoSpaceDN w:val="0"/>
      <w:spacing w:after="0" w:line="240" w:lineRule="auto"/>
    </w:pPr>
    <w:rPr>
      <w:rFonts w:ascii="Arial" w:eastAsia="Arial" w:hAnsi="Arial" w:cs="Arial"/>
      <w:sz w:val="20"/>
      <w:szCs w:val="20"/>
    </w:rPr>
  </w:style>
  <w:style w:type="character" w:customStyle="1" w:styleId="BodyTextChar">
    <w:name w:val="Body Text Char"/>
    <w:basedOn w:val="DefaultParagraphFont"/>
    <w:link w:val="BodyText"/>
    <w:uiPriority w:val="1"/>
    <w:rsid w:val="00D27D05"/>
    <w:rPr>
      <w:rFonts w:ascii="Arial" w:eastAsia="Arial" w:hAnsi="Arial" w:cs="Arial"/>
      <w:sz w:val="20"/>
      <w:szCs w:val="20"/>
    </w:rPr>
  </w:style>
  <w:style w:type="paragraph" w:customStyle="1" w:styleId="TableParagraph">
    <w:name w:val="Table Paragraph"/>
    <w:basedOn w:val="Normal"/>
    <w:uiPriority w:val="1"/>
    <w:qFormat/>
    <w:rsid w:val="00D27D05"/>
    <w:pPr>
      <w:widowControl w:val="0"/>
      <w:autoSpaceDE w:val="0"/>
      <w:autoSpaceDN w:val="0"/>
      <w:spacing w:after="0" w:line="240" w:lineRule="auto"/>
    </w:pPr>
    <w:rPr>
      <w:rFonts w:ascii="Calibri" w:eastAsia="Calibri" w:hAnsi="Calibri" w:cs="Calibri"/>
    </w:rPr>
  </w:style>
  <w:style w:type="character" w:styleId="CommentReference">
    <w:name w:val="annotation reference"/>
    <w:basedOn w:val="DefaultParagraphFont"/>
    <w:uiPriority w:val="99"/>
    <w:semiHidden/>
    <w:unhideWhenUsed/>
    <w:rsid w:val="00752C09"/>
    <w:rPr>
      <w:sz w:val="16"/>
      <w:szCs w:val="16"/>
    </w:rPr>
  </w:style>
  <w:style w:type="paragraph" w:styleId="CommentText">
    <w:name w:val="annotation text"/>
    <w:basedOn w:val="Normal"/>
    <w:link w:val="CommentTextChar"/>
    <w:uiPriority w:val="99"/>
    <w:semiHidden/>
    <w:unhideWhenUsed/>
    <w:rsid w:val="00752C09"/>
    <w:pPr>
      <w:spacing w:line="240" w:lineRule="auto"/>
    </w:pPr>
    <w:rPr>
      <w:sz w:val="20"/>
      <w:szCs w:val="20"/>
    </w:rPr>
  </w:style>
  <w:style w:type="character" w:customStyle="1" w:styleId="CommentTextChar">
    <w:name w:val="Comment Text Char"/>
    <w:basedOn w:val="DefaultParagraphFont"/>
    <w:link w:val="CommentText"/>
    <w:uiPriority w:val="99"/>
    <w:semiHidden/>
    <w:rsid w:val="00752C09"/>
    <w:rPr>
      <w:sz w:val="20"/>
      <w:szCs w:val="20"/>
    </w:rPr>
  </w:style>
  <w:style w:type="paragraph" w:styleId="CommentSubject">
    <w:name w:val="annotation subject"/>
    <w:basedOn w:val="CommentText"/>
    <w:next w:val="CommentText"/>
    <w:link w:val="CommentSubjectChar"/>
    <w:uiPriority w:val="99"/>
    <w:semiHidden/>
    <w:unhideWhenUsed/>
    <w:rsid w:val="00752C09"/>
    <w:rPr>
      <w:b/>
      <w:bCs/>
    </w:rPr>
  </w:style>
  <w:style w:type="character" w:customStyle="1" w:styleId="CommentSubjectChar">
    <w:name w:val="Comment Subject Char"/>
    <w:basedOn w:val="CommentTextChar"/>
    <w:link w:val="CommentSubject"/>
    <w:uiPriority w:val="99"/>
    <w:semiHidden/>
    <w:rsid w:val="00752C09"/>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4959729">
      <w:bodyDiv w:val="1"/>
      <w:marLeft w:val="0"/>
      <w:marRight w:val="0"/>
      <w:marTop w:val="0"/>
      <w:marBottom w:val="0"/>
      <w:divBdr>
        <w:top w:val="none" w:sz="0" w:space="0" w:color="auto"/>
        <w:left w:val="none" w:sz="0" w:space="0" w:color="auto"/>
        <w:bottom w:val="none" w:sz="0" w:space="0" w:color="auto"/>
        <w:right w:val="none" w:sz="0" w:space="0" w:color="auto"/>
      </w:divBdr>
    </w:div>
    <w:div w:id="175853183">
      <w:bodyDiv w:val="1"/>
      <w:marLeft w:val="0"/>
      <w:marRight w:val="0"/>
      <w:marTop w:val="0"/>
      <w:marBottom w:val="0"/>
      <w:divBdr>
        <w:top w:val="none" w:sz="0" w:space="0" w:color="auto"/>
        <w:left w:val="none" w:sz="0" w:space="0" w:color="auto"/>
        <w:bottom w:val="none" w:sz="0" w:space="0" w:color="auto"/>
        <w:right w:val="none" w:sz="0" w:space="0" w:color="auto"/>
      </w:divBdr>
    </w:div>
    <w:div w:id="317073566">
      <w:bodyDiv w:val="1"/>
      <w:marLeft w:val="0"/>
      <w:marRight w:val="0"/>
      <w:marTop w:val="0"/>
      <w:marBottom w:val="0"/>
      <w:divBdr>
        <w:top w:val="none" w:sz="0" w:space="0" w:color="auto"/>
        <w:left w:val="none" w:sz="0" w:space="0" w:color="auto"/>
        <w:bottom w:val="none" w:sz="0" w:space="0" w:color="auto"/>
        <w:right w:val="none" w:sz="0" w:space="0" w:color="auto"/>
      </w:divBdr>
    </w:div>
    <w:div w:id="394087143">
      <w:bodyDiv w:val="1"/>
      <w:marLeft w:val="0"/>
      <w:marRight w:val="0"/>
      <w:marTop w:val="0"/>
      <w:marBottom w:val="0"/>
      <w:divBdr>
        <w:top w:val="none" w:sz="0" w:space="0" w:color="auto"/>
        <w:left w:val="none" w:sz="0" w:space="0" w:color="auto"/>
        <w:bottom w:val="none" w:sz="0" w:space="0" w:color="auto"/>
        <w:right w:val="none" w:sz="0" w:space="0" w:color="auto"/>
      </w:divBdr>
    </w:div>
    <w:div w:id="445852273">
      <w:bodyDiv w:val="1"/>
      <w:marLeft w:val="0"/>
      <w:marRight w:val="0"/>
      <w:marTop w:val="0"/>
      <w:marBottom w:val="0"/>
      <w:divBdr>
        <w:top w:val="none" w:sz="0" w:space="0" w:color="auto"/>
        <w:left w:val="none" w:sz="0" w:space="0" w:color="auto"/>
        <w:bottom w:val="none" w:sz="0" w:space="0" w:color="auto"/>
        <w:right w:val="none" w:sz="0" w:space="0" w:color="auto"/>
      </w:divBdr>
    </w:div>
    <w:div w:id="707604065">
      <w:bodyDiv w:val="1"/>
      <w:marLeft w:val="0"/>
      <w:marRight w:val="0"/>
      <w:marTop w:val="0"/>
      <w:marBottom w:val="0"/>
      <w:divBdr>
        <w:top w:val="none" w:sz="0" w:space="0" w:color="auto"/>
        <w:left w:val="none" w:sz="0" w:space="0" w:color="auto"/>
        <w:bottom w:val="none" w:sz="0" w:space="0" w:color="auto"/>
        <w:right w:val="none" w:sz="0" w:space="0" w:color="auto"/>
      </w:divBdr>
    </w:div>
    <w:div w:id="749692365">
      <w:bodyDiv w:val="1"/>
      <w:marLeft w:val="0"/>
      <w:marRight w:val="0"/>
      <w:marTop w:val="0"/>
      <w:marBottom w:val="0"/>
      <w:divBdr>
        <w:top w:val="none" w:sz="0" w:space="0" w:color="auto"/>
        <w:left w:val="none" w:sz="0" w:space="0" w:color="auto"/>
        <w:bottom w:val="none" w:sz="0" w:space="0" w:color="auto"/>
        <w:right w:val="none" w:sz="0" w:space="0" w:color="auto"/>
      </w:divBdr>
    </w:div>
    <w:div w:id="921986744">
      <w:bodyDiv w:val="1"/>
      <w:marLeft w:val="0"/>
      <w:marRight w:val="0"/>
      <w:marTop w:val="0"/>
      <w:marBottom w:val="0"/>
      <w:divBdr>
        <w:top w:val="none" w:sz="0" w:space="0" w:color="auto"/>
        <w:left w:val="none" w:sz="0" w:space="0" w:color="auto"/>
        <w:bottom w:val="none" w:sz="0" w:space="0" w:color="auto"/>
        <w:right w:val="none" w:sz="0" w:space="0" w:color="auto"/>
      </w:divBdr>
    </w:div>
    <w:div w:id="960918344">
      <w:bodyDiv w:val="1"/>
      <w:marLeft w:val="0"/>
      <w:marRight w:val="0"/>
      <w:marTop w:val="0"/>
      <w:marBottom w:val="0"/>
      <w:divBdr>
        <w:top w:val="none" w:sz="0" w:space="0" w:color="auto"/>
        <w:left w:val="none" w:sz="0" w:space="0" w:color="auto"/>
        <w:bottom w:val="none" w:sz="0" w:space="0" w:color="auto"/>
        <w:right w:val="none" w:sz="0" w:space="0" w:color="auto"/>
      </w:divBdr>
    </w:div>
    <w:div w:id="1044717331">
      <w:bodyDiv w:val="1"/>
      <w:marLeft w:val="0"/>
      <w:marRight w:val="0"/>
      <w:marTop w:val="0"/>
      <w:marBottom w:val="0"/>
      <w:divBdr>
        <w:top w:val="none" w:sz="0" w:space="0" w:color="auto"/>
        <w:left w:val="none" w:sz="0" w:space="0" w:color="auto"/>
        <w:bottom w:val="none" w:sz="0" w:space="0" w:color="auto"/>
        <w:right w:val="none" w:sz="0" w:space="0" w:color="auto"/>
      </w:divBdr>
    </w:div>
    <w:div w:id="1098864848">
      <w:bodyDiv w:val="1"/>
      <w:marLeft w:val="0"/>
      <w:marRight w:val="0"/>
      <w:marTop w:val="0"/>
      <w:marBottom w:val="0"/>
      <w:divBdr>
        <w:top w:val="none" w:sz="0" w:space="0" w:color="auto"/>
        <w:left w:val="none" w:sz="0" w:space="0" w:color="auto"/>
        <w:bottom w:val="none" w:sz="0" w:space="0" w:color="auto"/>
        <w:right w:val="none" w:sz="0" w:space="0" w:color="auto"/>
      </w:divBdr>
    </w:div>
    <w:div w:id="1521235114">
      <w:bodyDiv w:val="1"/>
      <w:marLeft w:val="0"/>
      <w:marRight w:val="0"/>
      <w:marTop w:val="0"/>
      <w:marBottom w:val="0"/>
      <w:divBdr>
        <w:top w:val="none" w:sz="0" w:space="0" w:color="auto"/>
        <w:left w:val="none" w:sz="0" w:space="0" w:color="auto"/>
        <w:bottom w:val="none" w:sz="0" w:space="0" w:color="auto"/>
        <w:right w:val="none" w:sz="0" w:space="0" w:color="auto"/>
      </w:divBdr>
    </w:div>
    <w:div w:id="1534341256">
      <w:bodyDiv w:val="1"/>
      <w:marLeft w:val="0"/>
      <w:marRight w:val="0"/>
      <w:marTop w:val="0"/>
      <w:marBottom w:val="0"/>
      <w:divBdr>
        <w:top w:val="none" w:sz="0" w:space="0" w:color="auto"/>
        <w:left w:val="none" w:sz="0" w:space="0" w:color="auto"/>
        <w:bottom w:val="none" w:sz="0" w:space="0" w:color="auto"/>
        <w:right w:val="none" w:sz="0" w:space="0" w:color="auto"/>
      </w:divBdr>
    </w:div>
    <w:div w:id="19078399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2.ed.gov/policy/speced/guid/rsa/subregulatory/tac-17-01.pdf" TargetMode="External"/><Relationship Id="rId21" Type="http://schemas.openxmlformats.org/officeDocument/2006/relationships/footer" Target="footer4.xml"/><Relationship Id="rId324" Type="http://schemas.openxmlformats.org/officeDocument/2006/relationships/chart" Target="charts/chart53.xml"/><Relationship Id="rId531" Type="http://schemas.openxmlformats.org/officeDocument/2006/relationships/footer" Target="footer36.xml"/><Relationship Id="rId170" Type="http://schemas.openxmlformats.org/officeDocument/2006/relationships/image" Target="media/image24.png"/><Relationship Id="rId268" Type="http://schemas.openxmlformats.org/officeDocument/2006/relationships/hyperlink" Target="https://ion.workforcegps.org/sitecore/content/global/events/2017/02/14/10/19/WIOA-Wednesday-MOU-Part-I-Overview-Development" TargetMode="External"/><Relationship Id="rId475" Type="http://schemas.openxmlformats.org/officeDocument/2006/relationships/hyperlink" Target="http://wintac-s3.s3-us-west-2.amazonaws.com/topic-areas/ta06_BesinessEngagement/additional_resources/AT_Supporting_People_with_Mental_Health_Disabilities.docx" TargetMode="External"/><Relationship Id="rId32" Type="http://schemas.openxmlformats.org/officeDocument/2006/relationships/chart" Target="charts/chart9.xml"/><Relationship Id="rId128" Type="http://schemas.openxmlformats.org/officeDocument/2006/relationships/header" Target="header7.xml"/><Relationship Id="rId335" Type="http://schemas.openxmlformats.org/officeDocument/2006/relationships/hyperlink" Target="http://wintac-s3.s3-us-west-2.amazonaws.com/topic-areas/ta03_IntCompetEmpl/HI%27s_SE_ProgramChecklist_and_CaseExample.docx" TargetMode="External"/><Relationship Id="rId542" Type="http://schemas.openxmlformats.org/officeDocument/2006/relationships/image" Target="media/image64.png"/><Relationship Id="rId181" Type="http://schemas.openxmlformats.org/officeDocument/2006/relationships/hyperlink" Target="http://links.govdelivery.com/track?type=click&amp;enid=ZWFzPTEmbWFpbGluZ2lkPTIwMTkwNTE2LjU5NTgyMzEmbWVzc2FnZWlkPU1EQi1QUkQtQlVMLTIwMTkwNTE2LjU5NTgyMzEmZGF0YWJhc2VpZD0xMDAxJnNlcmlhbD0xODA5MjIzMCZlbWFpbGlkPXJhbmRlcnNvbkBuZGktaW5jLm9yZyZ1c2VyaWQ9cmFuZGVyc29uQG5kaS1pbmMub3JnJmZsPSZleHRyYT1NdWx0aXZhcmlhdGVJZD0mJiY=&amp;&amp;&amp;101&amp;&amp;&amp;https://www2.ed.gov/policy/speced/guid/rsa/subregulatory/pd-19-03.pdf?utm_content=&amp;utm_medium=email&amp;utm_name=&amp;utm_source=govdelivery&amp;utm_term=" TargetMode="External"/><Relationship Id="rId402" Type="http://schemas.openxmlformats.org/officeDocument/2006/relationships/hyperlink" Target="http://wintac-s3.s3-us-west-2.amazonaws.com/topic-areas/ta07-tciplus-lmi/LMI-Elements-within-TCIplus.docx" TargetMode="External"/><Relationship Id="rId279" Type="http://schemas.openxmlformats.org/officeDocument/2006/relationships/hyperlink" Target="http://wintac-s3.s3-us-west-2.amazonaws.com/topic-areas/Ticket_Payment_Chart.docx" TargetMode="External"/><Relationship Id="rId486" Type="http://schemas.openxmlformats.org/officeDocument/2006/relationships/hyperlink" Target="http://www.eeoc.gov/facts/accommodation.html" TargetMode="External"/><Relationship Id="rId43" Type="http://schemas.openxmlformats.org/officeDocument/2006/relationships/image" Target="media/image5.png"/><Relationship Id="rId139" Type="http://schemas.openxmlformats.org/officeDocument/2006/relationships/chart" Target="charts/chart25.xml"/><Relationship Id="rId346" Type="http://schemas.openxmlformats.org/officeDocument/2006/relationships/chart" Target="charts/chart55.xml"/><Relationship Id="rId85" Type="http://schemas.openxmlformats.org/officeDocument/2006/relationships/hyperlink" Target="http://www.wintac.org/topic-areas/pre-employment-transition-services/resources/time-allocation-guide-pre-employment-transition-services" TargetMode="External"/><Relationship Id="rId150" Type="http://schemas.openxmlformats.org/officeDocument/2006/relationships/hyperlink" Target="http://wintac-s3.s3-us-west-2.amazonaws.com/topic-areas/ta_511/CCIR-Presentation-forHawaii.pptx" TargetMode="External"/><Relationship Id="rId192" Type="http://schemas.openxmlformats.org/officeDocument/2006/relationships/hyperlink" Target="https://youtu.be/mzvXTsSKhL4" TargetMode="External"/><Relationship Id="rId206" Type="http://schemas.openxmlformats.org/officeDocument/2006/relationships/hyperlink" Target="http://wintac-s3.s3-us-west-2.amazonaws.com/topic-areas/t05_CommonPerformance/t05_resources/NCSAB_Spring_2019_Internal%20Controls_Final.pptx" TargetMode="External"/><Relationship Id="rId413" Type="http://schemas.openxmlformats.org/officeDocument/2006/relationships/chart" Target="charts/chart85.xml"/><Relationship Id="rId248" Type="http://schemas.openxmlformats.org/officeDocument/2006/relationships/image" Target="media/image36.png"/><Relationship Id="rId455" Type="http://schemas.openxmlformats.org/officeDocument/2006/relationships/hyperlink" Target="http://www.ncset.org/publications/viewdesc.asp?id=704" TargetMode="External"/><Relationship Id="rId497" Type="http://schemas.openxmlformats.org/officeDocument/2006/relationships/footer" Target="footer32.xml"/><Relationship Id="rId12" Type="http://schemas.openxmlformats.org/officeDocument/2006/relationships/footer" Target="footer2.xml"/><Relationship Id="rId108" Type="http://schemas.openxmlformats.org/officeDocument/2006/relationships/hyperlink" Target="https://ncrtm.ed.gov/SearchResults.aspx?st=audio+program" TargetMode="External"/><Relationship Id="rId315" Type="http://schemas.openxmlformats.org/officeDocument/2006/relationships/header" Target="header14.xml"/><Relationship Id="rId357" Type="http://schemas.openxmlformats.org/officeDocument/2006/relationships/chart" Target="charts/chart66.xml"/><Relationship Id="rId522" Type="http://schemas.openxmlformats.org/officeDocument/2006/relationships/hyperlink" Target="https://cew.georgetown.edu/wp-content/uploads/2014/11/Recovery2020.ES_.Web_.pdf" TargetMode="External"/><Relationship Id="rId54" Type="http://schemas.microsoft.com/office/2014/relationships/chartEx" Target="charts/chartEx6.xml"/><Relationship Id="rId96" Type="http://schemas.openxmlformats.org/officeDocument/2006/relationships/hyperlink" Target="https://www.pacer.org/about/programs/ssb/mental-health-and-vision-loss.asp" TargetMode="External"/><Relationship Id="rId161" Type="http://schemas.openxmlformats.org/officeDocument/2006/relationships/header" Target="header12.xml"/><Relationship Id="rId217" Type="http://schemas.openxmlformats.org/officeDocument/2006/relationships/chart" Target="charts/chart36.xml"/><Relationship Id="rId399" Type="http://schemas.openxmlformats.org/officeDocument/2006/relationships/hyperlink" Target="http://wintac-s3.s3-us-west-2.amazonaws.com/topic-areas/ta07-tciplus-lmi/TrainingFinal.docx" TargetMode="External"/><Relationship Id="rId259" Type="http://schemas.openxmlformats.org/officeDocument/2006/relationships/hyperlink" Target="http://wintac-s3.s3-us-west-2.amazonaws.com/topic-areas/ta04-IntergrationVR/WIOA_Partners_List.pdf" TargetMode="External"/><Relationship Id="rId424" Type="http://schemas.openxmlformats.org/officeDocument/2006/relationships/image" Target="media/image57.png"/><Relationship Id="rId466" Type="http://schemas.openxmlformats.org/officeDocument/2006/relationships/hyperlink" Target="http://wintac-s3.s3-us-west-2.amazonaws.com/topic-areas/ta06_BesinessEngagement/additional_resources/Labor%20Issues%20and%20Youth-Pennult.docx" TargetMode="External"/><Relationship Id="rId23" Type="http://schemas.openxmlformats.org/officeDocument/2006/relationships/footer" Target="footer5.xml"/><Relationship Id="rId119" Type="http://schemas.openxmlformats.org/officeDocument/2006/relationships/hyperlink" Target="http://wintac-s3.s3-us-west-2.amazonaws.com/topic-areas/ta_PreETS/Transcript-RSA-GAN-Attachments-PreETS-SE.docx" TargetMode="External"/><Relationship Id="rId270" Type="http://schemas.openxmlformats.org/officeDocument/2006/relationships/hyperlink" Target="https://ion.workforcegps.org/sitecore/content/global/events/2017/05/31/13/51/WIOA-Wednesday-Infrastructure-Part-III-Wisconsin-s-Cost-Database" TargetMode="External"/><Relationship Id="rId326" Type="http://schemas.openxmlformats.org/officeDocument/2006/relationships/image" Target="media/image42.tiff"/><Relationship Id="rId533" Type="http://schemas.openxmlformats.org/officeDocument/2006/relationships/header" Target="header27.xml"/><Relationship Id="rId65" Type="http://schemas.openxmlformats.org/officeDocument/2006/relationships/image" Target="media/image15.png"/><Relationship Id="rId130" Type="http://schemas.openxmlformats.org/officeDocument/2006/relationships/footer" Target="footer10.xml"/><Relationship Id="rId368" Type="http://schemas.openxmlformats.org/officeDocument/2006/relationships/hyperlink" Target="http://wintac-s3.s3-us-west-2.amazonaws.com/topic-areas/ta03_IntCompetEmpl/CE_Pilot_Roadmap_Final_10.9.19.pdf" TargetMode="External"/><Relationship Id="rId172" Type="http://schemas.openxmlformats.org/officeDocument/2006/relationships/hyperlink" Target="http://wintac-s3.s3-us-west-2.amazonaws.com/topic-areas/t05_CommonPerformance/t05_resources/Are_you_ready_for_CPM_Implementation_FINAL_8-29_cn.docx" TargetMode="External"/><Relationship Id="rId228" Type="http://schemas.openxmlformats.org/officeDocument/2006/relationships/chart" Target="charts/chart47.xml"/><Relationship Id="rId435" Type="http://schemas.openxmlformats.org/officeDocument/2006/relationships/chart" Target="charts/chart95.xml"/><Relationship Id="rId477" Type="http://schemas.openxmlformats.org/officeDocument/2006/relationships/hyperlink" Target="http://www.communityinclusion.org/article.php?article_id=360" TargetMode="External"/><Relationship Id="rId281" Type="http://schemas.openxmlformats.org/officeDocument/2006/relationships/hyperlink" Target="http://wintac-s3.s3-us-west-2.amazonaws.com/topic-areas/ta_IntegrationVR/Iowa_Partnership_Plus_agreement.pdf" TargetMode="External"/><Relationship Id="rId337" Type="http://schemas.openxmlformats.org/officeDocument/2006/relationships/hyperlink" Target="http://wintac-s3.s3-us-west-2.amazonaws.com/topic-areas/MRS-66-Rev-8-2017_DHHS_accessible.pdf" TargetMode="External"/><Relationship Id="rId502" Type="http://schemas.openxmlformats.org/officeDocument/2006/relationships/footer" Target="footer35.xml"/><Relationship Id="rId34" Type="http://schemas.openxmlformats.org/officeDocument/2006/relationships/chart" Target="charts/chart11.xml"/><Relationship Id="rId76" Type="http://schemas.openxmlformats.org/officeDocument/2006/relationships/hyperlink" Target="http://wintac-s3.s3-us-west-2.amazonaws.com/topic-areas/t05_CommonPerformance/t05_resources/Registered-Apprenticeships-RSA911-Tracking-Final-cn2.pdf" TargetMode="External"/><Relationship Id="rId141" Type="http://schemas.openxmlformats.org/officeDocument/2006/relationships/chart" Target="charts/chart27.xml"/><Relationship Id="rId379" Type="http://schemas.openxmlformats.org/officeDocument/2006/relationships/chart" Target="charts/chart75.xml"/><Relationship Id="rId544" Type="http://schemas.openxmlformats.org/officeDocument/2006/relationships/fontTable" Target="fontTable.xml"/><Relationship Id="rId7" Type="http://schemas.openxmlformats.org/officeDocument/2006/relationships/endnotes" Target="endnotes.xml"/><Relationship Id="rId183" Type="http://schemas.openxmlformats.org/officeDocument/2006/relationships/hyperlink" Target="http://links.govdelivery.com/track?type=click&amp;enid=ZWFzPTEmbWFpbGluZ2lkPTIwMTkwNTE2LjU5NTgyMzEmbWVzc2FnZWlkPU1EQi1QUkQtQlVMLTIwMTkwNTE2LjU5NTgyMzEmZGF0YWJhc2VpZD0xMDAxJnNlcmlhbD0xODA5MjIzMCZlbWFpbGlkPXJhbmRlcnNvbkBuZGktaW5jLm9yZyZ1c2VyaWQ9cmFuZGVyc29uQG5kaS1pbmMub3JnJmZsPSZleHRyYT1NdWx0aXZhcmlhdGVJZD0mJiY=&amp;&amp;&amp;103&amp;&amp;&amp;https://www2.ed.gov/policy/speced/guid/rsa/subregulatory/pd-16-04.pdf?utm_content=&amp;utm_medium=email&amp;utm_name=&amp;utm_source=govdelivery&amp;utm_term=" TargetMode="External"/><Relationship Id="rId239" Type="http://schemas.openxmlformats.org/officeDocument/2006/relationships/image" Target="media/image36.svg"/><Relationship Id="rId390" Type="http://schemas.openxmlformats.org/officeDocument/2006/relationships/hyperlink" Target="http://wintac-s3.s3-us-west-2.amazonaws.com/topic-areas/ta07-tciplus-lmi/TCIplus-1-Page-Introduction.docx" TargetMode="External"/><Relationship Id="rId404" Type="http://schemas.openxmlformats.org/officeDocument/2006/relationships/hyperlink" Target="http://wintac-s3.s3-us-west-2.amazonaws.com/topic-areas/ta07-tciplus-lmi/TCIplus-Client-Self-Study.docx" TargetMode="External"/><Relationship Id="rId446" Type="http://schemas.openxmlformats.org/officeDocument/2006/relationships/chart" Target="charts/chart102.xml"/><Relationship Id="rId250" Type="http://schemas.openxmlformats.org/officeDocument/2006/relationships/image" Target="media/image37.png"/><Relationship Id="rId292" Type="http://schemas.openxmlformats.org/officeDocument/2006/relationships/hyperlink" Target="http://www.wintac.org/topic-areas/business-engagement-and-employer-supports" TargetMode="External"/><Relationship Id="rId306" Type="http://schemas.openxmlformats.org/officeDocument/2006/relationships/hyperlink" Target="http://wintac-s3.s3-us-west-2.amazonaws.com/topic-areas/ta_IntegrationVR/DEIProjectsExamplesofVRPartnerships_052914.docx" TargetMode="External"/><Relationship Id="rId488" Type="http://schemas.openxmlformats.org/officeDocument/2006/relationships/hyperlink" Target="http://webcast.askjan.org/ptsd/" TargetMode="External"/><Relationship Id="rId45" Type="http://schemas.openxmlformats.org/officeDocument/2006/relationships/image" Target="media/image6.png"/><Relationship Id="rId87" Type="http://schemas.openxmlformats.org/officeDocument/2006/relationships/hyperlink" Target="https://www2.ed.gov/policy/speced/guid/rsa/supporting/dear-director-letter-formal-interagency-agreements-between-state-vr-agencies-and-seas-07-15-2019.pdf" TargetMode="External"/><Relationship Id="rId110" Type="http://schemas.openxmlformats.org/officeDocument/2006/relationships/hyperlink" Target="http://wintac-s3.s3-us-west-2.amazonaws.com/topic-areas/ta_PreETS/AuxiliaryAids_and_Services_for_Students_with_Disabilities_In_the_Provision_of_Pre-EmploymentTransitionServices.docx" TargetMode="External"/><Relationship Id="rId348" Type="http://schemas.openxmlformats.org/officeDocument/2006/relationships/chart" Target="charts/chart57.xml"/><Relationship Id="rId513" Type="http://schemas.openxmlformats.org/officeDocument/2006/relationships/hyperlink" Target="https://www.benefits.va.gov/gibill/docs/factsheets/OJT_Factsheet.pdf" TargetMode="External"/><Relationship Id="rId152" Type="http://schemas.openxmlformats.org/officeDocument/2006/relationships/hyperlink" Target="http://wintac-s3.s3-us-west-2.amazonaws.com/topic-areas/ta_511/Section_511_Youth_Participation_or_Refusal_Cover_Sheet.xlsx" TargetMode="External"/><Relationship Id="rId194" Type="http://schemas.openxmlformats.org/officeDocument/2006/relationships/hyperlink" Target="https://www2.ed.gov/policy/speced/guid/rsa/subregulatory/tac-17-04.pdf?utm_content=&amp;utm_medium=email&amp;utm_name=&amp;utm_source=govdelivery&amp;utm_term=" TargetMode="External"/><Relationship Id="rId208" Type="http://schemas.openxmlformats.org/officeDocument/2006/relationships/hyperlink" Target="http://wintac-s3.s3-us-west-2.amazonaws.com/topic-areas/t05_CommonPerformance/t05_resources/v2-NCSA-Fall-2018-Performance-andData-Final.pptx" TargetMode="External"/><Relationship Id="rId415" Type="http://schemas.openxmlformats.org/officeDocument/2006/relationships/chart" Target="charts/chart87.xml"/><Relationship Id="rId457" Type="http://schemas.openxmlformats.org/officeDocument/2006/relationships/hyperlink" Target="http://www.wintac.org/topic-areas/business-engagement-and-employer-supports/additional-resources" TargetMode="External"/><Relationship Id="rId261" Type="http://schemas.openxmlformats.org/officeDocument/2006/relationships/hyperlink" Target="http://www.wintac.org/topic-areas/pre-employment-transition-services/resources/toolkit-guide" TargetMode="External"/><Relationship Id="rId499" Type="http://schemas.openxmlformats.org/officeDocument/2006/relationships/header" Target="header24.xml"/><Relationship Id="rId14" Type="http://schemas.openxmlformats.org/officeDocument/2006/relationships/footer" Target="footer3.xml"/><Relationship Id="rId56" Type="http://schemas.microsoft.com/office/2014/relationships/chartEx" Target="charts/chartEx7.xml"/><Relationship Id="rId317" Type="http://schemas.openxmlformats.org/officeDocument/2006/relationships/footer" Target="footer20.xml"/><Relationship Id="rId359" Type="http://schemas.openxmlformats.org/officeDocument/2006/relationships/image" Target="media/image44.png"/><Relationship Id="rId524" Type="http://schemas.openxmlformats.org/officeDocument/2006/relationships/hyperlink" Target="http://www.wintac.org/topic-areas/apprenticeships-and-customized-training/promising-practices" TargetMode="External"/><Relationship Id="rId98" Type="http://schemas.openxmlformats.org/officeDocument/2006/relationships/hyperlink" Target="https://www.pacer.org/about/programs/ssb/disability-laws-and-rights.asp" TargetMode="External"/><Relationship Id="rId121" Type="http://schemas.openxmlformats.org/officeDocument/2006/relationships/hyperlink" Target="http://webapps.dol.gov/elaws/whd/flsa/scope/ee15astw.asp" TargetMode="External"/><Relationship Id="rId163" Type="http://schemas.openxmlformats.org/officeDocument/2006/relationships/chart" Target="charts/chart29.xml"/><Relationship Id="rId219" Type="http://schemas.openxmlformats.org/officeDocument/2006/relationships/chart" Target="charts/chart38.xml"/><Relationship Id="rId370" Type="http://schemas.openxmlformats.org/officeDocument/2006/relationships/hyperlink" Target="http://wintac-s3.s3-us-west-2.amazonaws.com/topic-areas/ta03_IntCompetEmpl/CE-Delivery-Checklist19-0807-accessible.pdf" TargetMode="External"/><Relationship Id="rId426" Type="http://schemas.openxmlformats.org/officeDocument/2006/relationships/header" Target="header19.xml"/><Relationship Id="rId230" Type="http://schemas.openxmlformats.org/officeDocument/2006/relationships/image" Target="media/image27.png"/><Relationship Id="rId468" Type="http://schemas.openxmlformats.org/officeDocument/2006/relationships/hyperlink" Target="http://www.hrtips.org/article.cfm?group_id=4" TargetMode="External"/><Relationship Id="rId25" Type="http://schemas.openxmlformats.org/officeDocument/2006/relationships/header" Target="header4.xml"/><Relationship Id="rId67" Type="http://schemas.openxmlformats.org/officeDocument/2006/relationships/image" Target="media/image16.png"/><Relationship Id="rId272" Type="http://schemas.openxmlformats.org/officeDocument/2006/relationships/hyperlink" Target="http://www.leadcenter.org/resources/tool-manual/model-cooperative-agreements-between-vr-agency-and-medicaid-mental-health-and-intellectual-and-developmental-disabilities-agencies" TargetMode="External"/><Relationship Id="rId328" Type="http://schemas.openxmlformats.org/officeDocument/2006/relationships/hyperlink" Target="http://wintac-s3.s3-us-west-2.amazonaws.com/topic-areas/ta03_IntCompetEmpl/SE_Critical_Elements_12-21-17_revision.docx" TargetMode="External"/><Relationship Id="rId535" Type="http://schemas.openxmlformats.org/officeDocument/2006/relationships/header" Target="header28.xml"/><Relationship Id="rId132" Type="http://schemas.openxmlformats.org/officeDocument/2006/relationships/header" Target="header9.xml"/><Relationship Id="rId174" Type="http://schemas.openxmlformats.org/officeDocument/2006/relationships/hyperlink" Target="http://wintac-s3.s3-us-west-2.amazonaws.com/topic-areas/t05_CommonPerformance/t05_resources/SVRA-ReportingDeadlines-Table18-Final.docx" TargetMode="External"/><Relationship Id="rId381" Type="http://schemas.openxmlformats.org/officeDocument/2006/relationships/chart" Target="charts/chart77.xml"/><Relationship Id="rId241" Type="http://schemas.openxmlformats.org/officeDocument/2006/relationships/image" Target="media/image38.svg"/><Relationship Id="rId437" Type="http://schemas.openxmlformats.org/officeDocument/2006/relationships/chart" Target="charts/chart97.xml"/><Relationship Id="rId479" Type="http://schemas.openxmlformats.org/officeDocument/2006/relationships/hyperlink" Target="http://www.dol.gov/vets/ahaw/" TargetMode="External"/><Relationship Id="rId36" Type="http://schemas.openxmlformats.org/officeDocument/2006/relationships/chart" Target="charts/chart13.xml"/><Relationship Id="rId283" Type="http://schemas.openxmlformats.org/officeDocument/2006/relationships/hyperlink" Target="http://www.wintac.org/topic-areas/resources-and-strategies-competitive-integrated-employment/resources" TargetMode="External"/><Relationship Id="rId339" Type="http://schemas.openxmlformats.org/officeDocument/2006/relationships/footer" Target="footer22.xml"/><Relationship Id="rId490" Type="http://schemas.openxmlformats.org/officeDocument/2006/relationships/hyperlink" Target="http://www.abledata.com/abledata.cfm" TargetMode="External"/><Relationship Id="rId504" Type="http://schemas.openxmlformats.org/officeDocument/2006/relationships/chart" Target="charts/chart107.xml"/><Relationship Id="rId78" Type="http://schemas.openxmlformats.org/officeDocument/2006/relationships/hyperlink" Target="http://wintac-s3.s3-us-west-2.amazonaws.com/topic-areas/ta_IntegrationVR/CP-checklist_CN_FINAL_2.pdf" TargetMode="External"/><Relationship Id="rId101" Type="http://schemas.openxmlformats.org/officeDocument/2006/relationships/hyperlink" Target="http://www.wintac.org/topic-areas/pre-employment-transition-services/resources/resources-counseling-comprehensive-transition-or-pse-programs" TargetMode="External"/><Relationship Id="rId143" Type="http://schemas.openxmlformats.org/officeDocument/2006/relationships/hyperlink" Target="http://wintac-s3.s3-us-west-2.amazonaws.com/topic-areas/ta_511/Summary-of-changes-14c-holders-Jan2016-July2018.xlsx" TargetMode="External"/><Relationship Id="rId185" Type="http://schemas.openxmlformats.org/officeDocument/2006/relationships/hyperlink" Target="https://www2.ed.gov/policy/speced/guid/rsa/subregulatory/pd-19-03.pdf" TargetMode="External"/><Relationship Id="rId350" Type="http://schemas.openxmlformats.org/officeDocument/2006/relationships/chart" Target="charts/chart59.xml"/><Relationship Id="rId406" Type="http://schemas.openxmlformats.org/officeDocument/2006/relationships/hyperlink" Target="http://wintac-s3.s3-us-west-2.amazonaws.com/topic-areas/ta07-tciplus-lmi/TCIplus-Registering-Clients.docx" TargetMode="External"/><Relationship Id="rId9" Type="http://schemas.openxmlformats.org/officeDocument/2006/relationships/header" Target="header1.xml"/><Relationship Id="rId210" Type="http://schemas.openxmlformats.org/officeDocument/2006/relationships/hyperlink" Target="http://wintac-s3.s3-us-west-2.amazonaws.com/topic-areas/t05_CommonPerformance/t05_resources/v2-Uniform-Guidance-and-Internal-Control-GS.pptx" TargetMode="External"/><Relationship Id="rId392" Type="http://schemas.openxmlformats.org/officeDocument/2006/relationships/hyperlink" Target="http://wintac-s3.s3-us-west-2.amazonaws.com/topic-areas/ta07-tciplus-lmi/InformationFinal.docx" TargetMode="External"/><Relationship Id="rId448" Type="http://schemas.openxmlformats.org/officeDocument/2006/relationships/chart" Target="charts/chart104.xml"/><Relationship Id="rId252" Type="http://schemas.openxmlformats.org/officeDocument/2006/relationships/image" Target="media/image38.png"/><Relationship Id="rId294" Type="http://schemas.openxmlformats.org/officeDocument/2006/relationships/hyperlink" Target="http://www.explorevr.org/" TargetMode="External"/><Relationship Id="rId308" Type="http://schemas.openxmlformats.org/officeDocument/2006/relationships/hyperlink" Target="https://wintac-website-bfiles.s3-us-west-2.amazonaws.com/bfiles-t04/wioa-vision-vr/story_html5.html" TargetMode="External"/><Relationship Id="rId515" Type="http://schemas.openxmlformats.org/officeDocument/2006/relationships/hyperlink" Target="http://www.wintac.org/cop" TargetMode="External"/><Relationship Id="rId47" Type="http://schemas.openxmlformats.org/officeDocument/2006/relationships/image" Target="media/image7.png"/><Relationship Id="rId89" Type="http://schemas.openxmlformats.org/officeDocument/2006/relationships/hyperlink" Target="http://www.wintac.org/topic-areas/pre-employment-transition-services/resources/toolkit-guide" TargetMode="External"/><Relationship Id="rId112" Type="http://schemas.openxmlformats.org/officeDocument/2006/relationships/hyperlink" Target="http://www2.ed.gov/about/offices/list/osers/transition/products/fpt-fact-sheet-transitionservices-swd-ywd-3-9-2016.pdf?utm_content=&amp;utm_medium=email&amp;utm_name=&amp;utm_source=govdelivery&amp;utm_term=" TargetMode="External"/><Relationship Id="rId154" Type="http://schemas.openxmlformats.org/officeDocument/2006/relationships/footer" Target="footer13.xml"/><Relationship Id="rId361" Type="http://schemas.openxmlformats.org/officeDocument/2006/relationships/image" Target="media/image46.png"/><Relationship Id="rId196" Type="http://schemas.openxmlformats.org/officeDocument/2006/relationships/hyperlink" Target="https://www2.ed.gov/policy/speced/guid/rsa/subregulatory/tac-17-04.pdf?utm_content=&amp;utm_medium=email&amp;utm_name=&amp;utm_source=govdelivery&amp;utm_term=" TargetMode="External"/><Relationship Id="rId417" Type="http://schemas.openxmlformats.org/officeDocument/2006/relationships/chart" Target="charts/chart89.xml"/><Relationship Id="rId459" Type="http://schemas.openxmlformats.org/officeDocument/2006/relationships/hyperlink" Target="http://www.wintac.org/topic-areas/business-engagement-and-employer-supports/additional-resources" TargetMode="External"/><Relationship Id="rId16" Type="http://schemas.openxmlformats.org/officeDocument/2006/relationships/chart" Target="charts/chart2.xml"/><Relationship Id="rId221" Type="http://schemas.openxmlformats.org/officeDocument/2006/relationships/chart" Target="charts/chart40.xml"/><Relationship Id="rId263" Type="http://schemas.openxmlformats.org/officeDocument/2006/relationships/hyperlink" Target="http://wintac-s3.s3-us-west-2.amazonaws.com/topic-areas/WDB_MOU_Tool%20Kit-cn.docx" TargetMode="External"/><Relationship Id="rId319" Type="http://schemas.openxmlformats.org/officeDocument/2006/relationships/footer" Target="footer21.xml"/><Relationship Id="rId470" Type="http://schemas.openxmlformats.org/officeDocument/2006/relationships/hyperlink" Target="http://www.tacene.org/forms-and-documents/employment-supports" TargetMode="External"/><Relationship Id="rId526" Type="http://schemas.openxmlformats.org/officeDocument/2006/relationships/hyperlink" Target="http://content.iospress.com/download/journal-of-vocational-rehabilitation/jvr707?id=journal-of-vocational-rehabilitation%2Fjvr707" TargetMode="External"/><Relationship Id="rId58" Type="http://schemas.microsoft.com/office/2014/relationships/chartEx" Target="charts/chartEx8.xml"/><Relationship Id="rId123" Type="http://schemas.openxmlformats.org/officeDocument/2006/relationships/hyperlink" Target="https://www.dol.gov/whd/regs/compliance/whdfs71.htm" TargetMode="External"/><Relationship Id="rId330" Type="http://schemas.openxmlformats.org/officeDocument/2006/relationships/hyperlink" Target="http://wintac-s3.s3-us-west-2.amazonaws.com/topic-areas/Utahs_VR_Policy_Chapter_30_Supported_Employment.pdf" TargetMode="External"/><Relationship Id="rId165" Type="http://schemas.openxmlformats.org/officeDocument/2006/relationships/chart" Target="charts/chart31.xml"/><Relationship Id="rId372" Type="http://schemas.openxmlformats.org/officeDocument/2006/relationships/chart" Target="charts/chart68.xml"/><Relationship Id="rId428" Type="http://schemas.openxmlformats.org/officeDocument/2006/relationships/footer" Target="footer27.xml"/><Relationship Id="rId232" Type="http://schemas.openxmlformats.org/officeDocument/2006/relationships/image" Target="media/image28.png"/><Relationship Id="rId274" Type="http://schemas.openxmlformats.org/officeDocument/2006/relationships/hyperlink" Target="http://wintac-s3.s3-us-west-2.amazonaws.com/topic-areas/DataSharingToolKit_17502_final%28Revised%29.pdf" TargetMode="External"/><Relationship Id="rId481" Type="http://schemas.openxmlformats.org/officeDocument/2006/relationships/hyperlink" Target="http://www.amazon.com/Coffee-Breaks-Birthday-Cakes-Disabilities/dp/1883302315" TargetMode="External"/><Relationship Id="rId27" Type="http://schemas.openxmlformats.org/officeDocument/2006/relationships/footer" Target="footer6.xml"/><Relationship Id="rId69" Type="http://schemas.openxmlformats.org/officeDocument/2006/relationships/image" Target="media/image17.png"/><Relationship Id="rId134" Type="http://schemas.openxmlformats.org/officeDocument/2006/relationships/chart" Target="charts/chart20.xml"/><Relationship Id="rId537" Type="http://schemas.openxmlformats.org/officeDocument/2006/relationships/footer" Target="footer39.xml"/><Relationship Id="rId80" Type="http://schemas.openxmlformats.org/officeDocument/2006/relationships/hyperlink" Target="http://wintac-s3.s3-us-west-2.amazonaws.com/topic-areas/ta_PreETS/WIOA-IDEA_Indicator_Visual_Accessible.pdf" TargetMode="External"/><Relationship Id="rId176" Type="http://schemas.openxmlformats.org/officeDocument/2006/relationships/hyperlink" Target="http://wintac-s3.s3-us-west-2.amazonaws.com/topic-areas/t05_CommonPerformance/t05_resources/Credential_Attainment_Guide_Final_cn2.pdf" TargetMode="External"/><Relationship Id="rId341" Type="http://schemas.openxmlformats.org/officeDocument/2006/relationships/header" Target="header17.xml"/><Relationship Id="rId383" Type="http://schemas.openxmlformats.org/officeDocument/2006/relationships/chart" Target="charts/chart79.xml"/><Relationship Id="rId439" Type="http://schemas.openxmlformats.org/officeDocument/2006/relationships/image" Target="media/image59.jpeg"/><Relationship Id="rId201" Type="http://schemas.openxmlformats.org/officeDocument/2006/relationships/hyperlink" Target="https://www2.ed.gov/policy/gen/guid/fpco/pdf/final-ferpa-tegl-report.pdf" TargetMode="External"/><Relationship Id="rId243" Type="http://schemas.openxmlformats.org/officeDocument/2006/relationships/image" Target="media/image40.svg"/><Relationship Id="rId285" Type="http://schemas.openxmlformats.org/officeDocument/2006/relationships/hyperlink" Target="http://wintac-s3.s3-us-west-2.amazonaws.com/topic-areas/ta_IntegrationVR/Integrated_Service_Delivery_Toolkit.pdf" TargetMode="External"/><Relationship Id="rId450" Type="http://schemas.openxmlformats.org/officeDocument/2006/relationships/image" Target="media/image60.png"/><Relationship Id="rId506" Type="http://schemas.openxmlformats.org/officeDocument/2006/relationships/image" Target="media/image62.png"/><Relationship Id="rId38" Type="http://schemas.openxmlformats.org/officeDocument/2006/relationships/chart" Target="charts/chart15.xml"/><Relationship Id="rId103" Type="http://schemas.openxmlformats.org/officeDocument/2006/relationships/hyperlink" Target="http://www.wintac.org/topic-areas/pre-employment-transition-services/resources/resources-instruction-self-advocacy" TargetMode="External"/><Relationship Id="rId310" Type="http://schemas.openxmlformats.org/officeDocument/2006/relationships/hyperlink" Target="http://wintac-s3.s3-us-west-2.amazonaws.com/topic-areas/Are-you-ready-for-Integrated-services-AJC_cn_120617.docx" TargetMode="External"/><Relationship Id="rId492" Type="http://schemas.openxmlformats.org/officeDocument/2006/relationships/hyperlink" Target="http://www.acinet.org/" TargetMode="External"/><Relationship Id="rId91" Type="http://schemas.openxmlformats.org/officeDocument/2006/relationships/hyperlink" Target="http://www.wintac.org/topic-areas/pre-employment-transition-services/resources/discussion-prompts-interagency-agreement-local-level" TargetMode="External"/><Relationship Id="rId145" Type="http://schemas.openxmlformats.org/officeDocument/2006/relationships/hyperlink" Target="http://wintac-s3.s3-us-west-2.amazonaws.com/topic-areas/ta_511/CCIR_Presentation_for_Hawaii-5.24.17.pptx" TargetMode="External"/><Relationship Id="rId187" Type="http://schemas.openxmlformats.org/officeDocument/2006/relationships/hyperlink" Target="mailto:RSAData@ed.gov" TargetMode="External"/><Relationship Id="rId352" Type="http://schemas.openxmlformats.org/officeDocument/2006/relationships/chart" Target="charts/chart61.xml"/><Relationship Id="rId394" Type="http://schemas.openxmlformats.org/officeDocument/2006/relationships/hyperlink" Target="http://wintac-s3.s3-us-west-2.amazonaws.com/topic-areas/ta07-tciplus-lmi/OverviewFinal.docx" TargetMode="External"/><Relationship Id="rId408" Type="http://schemas.openxmlformats.org/officeDocument/2006/relationships/hyperlink" Target="http://wintac-s3.s3-us-west-2.amazonaws.com/topic-areas/ta07-tciplus-lmi/LMI-Form-2-Career-Pathway-LMI-Review.docx" TargetMode="External"/><Relationship Id="rId212" Type="http://schemas.openxmlformats.org/officeDocument/2006/relationships/hyperlink" Target="https://www.doleta.gov/performance/" TargetMode="External"/><Relationship Id="rId254" Type="http://schemas.openxmlformats.org/officeDocument/2006/relationships/image" Target="media/image39.png"/><Relationship Id="rId114" Type="http://schemas.openxmlformats.org/officeDocument/2006/relationships/hyperlink" Target="https://www2.ed.gov/about/offices/list/osers/rsa/formula-period-of-performance-faqs.html" TargetMode="External"/><Relationship Id="rId296" Type="http://schemas.openxmlformats.org/officeDocument/2006/relationships/hyperlink" Target="http://leadcenter.org/resources/tool-manual/promoting-employment-and-economic-advancement-toolkit-cils-and-ajcs" TargetMode="External"/><Relationship Id="rId461" Type="http://schemas.openxmlformats.org/officeDocument/2006/relationships/hyperlink" Target="http://www.wintac.org/topic-areas/business-engagement-and-employer-supports/additional-resources" TargetMode="External"/><Relationship Id="rId517" Type="http://schemas.openxmlformats.org/officeDocument/2006/relationships/hyperlink" Target="http://lms.wintac.org/course/view.php?id=56" TargetMode="External"/><Relationship Id="rId60" Type="http://schemas.microsoft.com/office/2014/relationships/chartEx" Target="charts/chartEx9.xml"/><Relationship Id="rId156" Type="http://schemas.openxmlformats.org/officeDocument/2006/relationships/chart" Target="charts/chart28.xml"/><Relationship Id="rId198" Type="http://schemas.openxmlformats.org/officeDocument/2006/relationships/hyperlink" Target="https://www2.ed.gov/policy/speced/guid/rsa/subregulatory/pd-16-04.pdf?utm_content=&amp;utm_medium=email&amp;utm_name=&amp;utm_source=govdelivery&amp;utm_term=" TargetMode="External"/><Relationship Id="rId321" Type="http://schemas.openxmlformats.org/officeDocument/2006/relationships/chart" Target="charts/chart50.xml"/><Relationship Id="rId363" Type="http://schemas.openxmlformats.org/officeDocument/2006/relationships/image" Target="media/image48.png"/><Relationship Id="rId419" Type="http://schemas.openxmlformats.org/officeDocument/2006/relationships/image" Target="media/image530.png"/><Relationship Id="rId223" Type="http://schemas.openxmlformats.org/officeDocument/2006/relationships/chart" Target="charts/chart42.xml"/><Relationship Id="rId430" Type="http://schemas.openxmlformats.org/officeDocument/2006/relationships/header" Target="header21.xml"/><Relationship Id="rId18" Type="http://schemas.openxmlformats.org/officeDocument/2006/relationships/chart" Target="charts/chart4.xml"/><Relationship Id="rId265" Type="http://schemas.openxmlformats.org/officeDocument/2006/relationships/hyperlink" Target="http://wintac-s3.s3-us-west-2.amazonaws.com/topic-areas/ta_IntegrationVR/NJ_WIOAMOUPresentation.pdf" TargetMode="External"/><Relationship Id="rId472" Type="http://schemas.openxmlformats.org/officeDocument/2006/relationships/hyperlink" Target="http://wintac-s3.s3-us-west-2.amazonaws.com/topic-areas/ta06_BesinessEngagement/additional_resources/Tips_for_Employers_Making_Web_Based%20Job_Applications_Accessible_to_All_Users.docx" TargetMode="External"/><Relationship Id="rId528" Type="http://schemas.openxmlformats.org/officeDocument/2006/relationships/hyperlink" Target="https://wintac.org/topic-areas/apprenticeships-and-customized-training/additional-resources" TargetMode="External"/><Relationship Id="rId125" Type="http://schemas.openxmlformats.org/officeDocument/2006/relationships/footer" Target="footer9.xml"/><Relationship Id="rId167" Type="http://schemas.openxmlformats.org/officeDocument/2006/relationships/chart" Target="charts/chart33.xml"/><Relationship Id="rId332" Type="http://schemas.openxmlformats.org/officeDocument/2006/relationships/hyperlink" Target="http://wintac-s3.s3-us-west-2.amazonaws.com/topic-areas/ta03_IntCompetEmpl/hi-part01-AccessiblePart1-SE-EligibilityandPlanning.docx" TargetMode="External"/><Relationship Id="rId374" Type="http://schemas.openxmlformats.org/officeDocument/2006/relationships/chart" Target="charts/chart70.xml"/><Relationship Id="rId71" Type="http://schemas.openxmlformats.org/officeDocument/2006/relationships/image" Target="media/image18.png"/><Relationship Id="rId234" Type="http://schemas.openxmlformats.org/officeDocument/2006/relationships/image" Target="media/image29.png"/><Relationship Id="rId2" Type="http://schemas.openxmlformats.org/officeDocument/2006/relationships/numbering" Target="numbering.xml"/><Relationship Id="rId29" Type="http://schemas.openxmlformats.org/officeDocument/2006/relationships/header" Target="header6.xml"/><Relationship Id="rId276" Type="http://schemas.openxmlformats.org/officeDocument/2006/relationships/hyperlink" Target="http://wintac-s3.s3-us-west-2.amazonaws.com/topic-areas/Ticket_to_Work_FAQ_3-20-17.docx" TargetMode="External"/><Relationship Id="rId441" Type="http://schemas.openxmlformats.org/officeDocument/2006/relationships/footer" Target="footer31.xml"/><Relationship Id="rId483" Type="http://schemas.openxmlformats.org/officeDocument/2006/relationships/hyperlink" Target="http://askjan.org/Erguide/ErGuide.pdf" TargetMode="External"/><Relationship Id="rId539" Type="http://schemas.openxmlformats.org/officeDocument/2006/relationships/header" Target="header30.xml"/><Relationship Id="rId40" Type="http://schemas.openxmlformats.org/officeDocument/2006/relationships/chart" Target="charts/chart17.xml"/><Relationship Id="rId136" Type="http://schemas.openxmlformats.org/officeDocument/2006/relationships/chart" Target="charts/chart22.xml"/><Relationship Id="rId178" Type="http://schemas.openxmlformats.org/officeDocument/2006/relationships/hyperlink" Target="http://wintac-s3.s3-us-west-2.amazonaws.com/topic-areas/t05_CommonPerformance/t05_resources/ESE_Title-IV_Crosswalk_Final_03.24.19_CN0328.pdf" TargetMode="External"/><Relationship Id="rId301" Type="http://schemas.openxmlformats.org/officeDocument/2006/relationships/hyperlink" Target="http://wintac-s3.s3-us-west-2.amazonaws.com/topic-areas/ta_IntegrationVR/ADA_RelatedResources.docx" TargetMode="External"/><Relationship Id="rId343" Type="http://schemas.openxmlformats.org/officeDocument/2006/relationships/footer" Target="footer24.xml"/><Relationship Id="rId82" Type="http://schemas.openxmlformats.org/officeDocument/2006/relationships/hyperlink" Target="http://www.wintac.org/topic-areas/pre-employment-transition-services/resources/crp-guidebook" TargetMode="External"/><Relationship Id="rId203" Type="http://schemas.openxmlformats.org/officeDocument/2006/relationships/hyperlink" Target="https://www.workforcegps.org/events/2016/09/27/12/05/WIOA_Wednesday_Performance_Accountability_Pt_1" TargetMode="External"/><Relationship Id="rId385" Type="http://schemas.openxmlformats.org/officeDocument/2006/relationships/chart" Target="charts/chart80.xml"/><Relationship Id="rId245" Type="http://schemas.openxmlformats.org/officeDocument/2006/relationships/image" Target="media/image42.svg"/><Relationship Id="rId287" Type="http://schemas.openxmlformats.org/officeDocument/2006/relationships/hyperlink" Target="http://wintac-s3.s3-us-west-2.amazonaws.com/topic-areas/ta_IntegrationVR/Career-Services-AJC-1017.docx" TargetMode="External"/><Relationship Id="rId410" Type="http://schemas.openxmlformats.org/officeDocument/2006/relationships/hyperlink" Target="http://wintac-s3.s3-us-west-2.amazonaws.com/topic-areas/ta07-tciplus-lmi/LMI-Form-4-Informed-Choice-Matrix-Review.docx" TargetMode="External"/><Relationship Id="rId452" Type="http://schemas.openxmlformats.org/officeDocument/2006/relationships/hyperlink" Target="http://www.communityinclusion.org/article.php?article_id=232&amp;type=topic&amp;id=18" TargetMode="External"/><Relationship Id="rId494" Type="http://schemas.openxmlformats.org/officeDocument/2006/relationships/hyperlink" Target="http://wintac-s3.s3-us-west-2.amazonaws.com/topic-areas/ta06_BesinessEngagement/additional_resources/ADA_Training_for_VR_Agency_Staff.docx" TargetMode="External"/><Relationship Id="rId508" Type="http://schemas.openxmlformats.org/officeDocument/2006/relationships/hyperlink" Target="https://www.explorevr.org/sites/explorevr.org/files/files/toolkit_CT_2_apprenticeship_D2b.pdf" TargetMode="External"/><Relationship Id="rId105" Type="http://schemas.openxmlformats.org/officeDocument/2006/relationships/hyperlink" Target="http://wintac-s3.s3-us-west-2.amazonaws.com/topic-areas/ta_PreETS/csavr-2016-fiscal-regulations-1.pdf" TargetMode="External"/><Relationship Id="rId147" Type="http://schemas.openxmlformats.org/officeDocument/2006/relationships/hyperlink" Target="http://wintac-s3.s3-us-west-2.amazonaws.com/topic-areas/ta_511/Hawaii_Self_Advocacy_SelfDetermination_Peer_Mentoring-Oahu.docx" TargetMode="External"/><Relationship Id="rId312" Type="http://schemas.openxmlformats.org/officeDocument/2006/relationships/footer" Target="footer18.xml"/><Relationship Id="rId354" Type="http://schemas.openxmlformats.org/officeDocument/2006/relationships/chart" Target="charts/chart63.xml"/><Relationship Id="rId51" Type="http://schemas.openxmlformats.org/officeDocument/2006/relationships/image" Target="media/image8.png"/><Relationship Id="rId93" Type="http://schemas.openxmlformats.org/officeDocument/2006/relationships/hyperlink" Target="http://www.wintac.org/topic-areas/pre-employment-transition-services/resources/rehab-act-and-idea-regs-interagency-agreement" TargetMode="External"/><Relationship Id="rId189" Type="http://schemas.openxmlformats.org/officeDocument/2006/relationships/hyperlink" Target="https://www2.ed.gov/policy/speced/guid/rsa/subregulatory/tac-19-01.pdf" TargetMode="External"/><Relationship Id="rId396" Type="http://schemas.openxmlformats.org/officeDocument/2006/relationships/hyperlink" Target="http://wintac-s3.s3-us-west-2.amazonaws.com/topic-areas/ta07-tciplus-lmi/QuickStartGuideFinal.docx" TargetMode="External"/><Relationship Id="rId214" Type="http://schemas.openxmlformats.org/officeDocument/2006/relationships/hyperlink" Target="https://www.doleta.gov/performance/guidance/negotiating.cfm" TargetMode="External"/><Relationship Id="rId256" Type="http://schemas.openxmlformats.org/officeDocument/2006/relationships/image" Target="media/image40.png"/><Relationship Id="rId298" Type="http://schemas.openxmlformats.org/officeDocument/2006/relationships/hyperlink" Target="http://leadcenter.org/resources/tool-manual/building-financial-capability-planning-guide-integrated-services" TargetMode="External"/><Relationship Id="rId421" Type="http://schemas.microsoft.com/office/2014/relationships/chartEx" Target="charts/chartEx16.xml"/><Relationship Id="rId463" Type="http://schemas.openxmlformats.org/officeDocument/2006/relationships/hyperlink" Target="http://wintac-s3.s3-us-west-2.amazonaws.com/topic-areas/ta06_BesinessEngagement/additional_resources/Answering-Common-Questions-and-Concerns.docx" TargetMode="External"/><Relationship Id="rId519" Type="http://schemas.openxmlformats.org/officeDocument/2006/relationships/hyperlink" Target="http://www.wintac.org/topic-areas/tci-plus-lmi/lmi-resources" TargetMode="External"/><Relationship Id="rId116" Type="http://schemas.openxmlformats.org/officeDocument/2006/relationships/hyperlink" Target="https://www2.ed.gov/rschstat/eval/rehab/supporting-documentation-for-case-service-report.pdf" TargetMode="External"/><Relationship Id="rId158" Type="http://schemas.openxmlformats.org/officeDocument/2006/relationships/header" Target="header11.xml"/><Relationship Id="rId323" Type="http://schemas.openxmlformats.org/officeDocument/2006/relationships/chart" Target="charts/chart52.xml"/><Relationship Id="rId530" Type="http://schemas.openxmlformats.org/officeDocument/2006/relationships/header" Target="header26.xml"/><Relationship Id="rId20" Type="http://schemas.openxmlformats.org/officeDocument/2006/relationships/chart" Target="charts/chart6.xml"/><Relationship Id="rId62" Type="http://schemas.microsoft.com/office/2014/relationships/chartEx" Target="charts/chartEx10.xml"/><Relationship Id="rId365" Type="http://schemas.openxmlformats.org/officeDocument/2006/relationships/image" Target="media/image50.png"/><Relationship Id="rId225" Type="http://schemas.openxmlformats.org/officeDocument/2006/relationships/chart" Target="charts/chart44.xml"/><Relationship Id="rId267" Type="http://schemas.openxmlformats.org/officeDocument/2006/relationships/hyperlink" Target="http://wintac-s3.s3-us-west-2.amazonaws.com/topic-areas/ta_IntegrationVR/Regsrelatedto-IFA-agreements.docx" TargetMode="External"/><Relationship Id="rId432" Type="http://schemas.openxmlformats.org/officeDocument/2006/relationships/chart" Target="charts/chart92.xml"/><Relationship Id="rId474" Type="http://schemas.openxmlformats.org/officeDocument/2006/relationships/hyperlink" Target="https://www.edx.org/course/introduction-inclusive-talent-perkinsx-inc1-1-1" TargetMode="External"/><Relationship Id="rId127" Type="http://schemas.openxmlformats.org/officeDocument/2006/relationships/chart" Target="charts/chart19.xml"/><Relationship Id="rId31" Type="http://schemas.openxmlformats.org/officeDocument/2006/relationships/chart" Target="charts/chart8.xml"/><Relationship Id="rId73" Type="http://schemas.openxmlformats.org/officeDocument/2006/relationships/image" Target="media/image20.emf"/><Relationship Id="rId169" Type="http://schemas.openxmlformats.org/officeDocument/2006/relationships/chart" Target="charts/chart35.xml"/><Relationship Id="rId334" Type="http://schemas.openxmlformats.org/officeDocument/2006/relationships/hyperlink" Target="http://wintac-s3.s3-us-west-2.amazonaws.com/topic-areas/ta03_IntCompetEmpl/hi-part03-SupportedEmployment-Definitions-andPractice-underWIOA.docx" TargetMode="External"/><Relationship Id="rId376" Type="http://schemas.openxmlformats.org/officeDocument/2006/relationships/chart" Target="charts/chart72.xml"/><Relationship Id="rId541" Type="http://schemas.openxmlformats.org/officeDocument/2006/relationships/image" Target="media/image63.png"/><Relationship Id="rId4" Type="http://schemas.openxmlformats.org/officeDocument/2006/relationships/settings" Target="settings.xml"/><Relationship Id="rId180" Type="http://schemas.openxmlformats.org/officeDocument/2006/relationships/hyperlink" Target="http://links.govdelivery.com/track?type=click&amp;enid=ZWFzPTEmbWFpbGluZ2lkPTIwMTkwNTE2LjU5NTgyMzEmbWVzc2FnZWlkPU1EQi1QUkQtQlVMLTIwMTkwNTE2LjU5NTgyMzEmZGF0YWJhc2VpZD0xMDAxJnNlcmlhbD0xODA5MjIzMCZlbWFpbGlkPXJhbmRlcnNvbkBuZGktaW5jLm9yZyZ1c2VyaWQ9cmFuZGVyc29uQG5kaS1pbmMub3JnJmZsPSZleHRyYT1NdWx0aXZhcmlhdGVJZD0mJiY=&amp;&amp;&amp;100&amp;&amp;&amp;https://www2.ed.gov/policy/speced/guid/rsa/subregulatory/pd-19-03.pdf?utm_content=&amp;utm_medium=email&amp;utm_name=&amp;utm_source=govdelivery&amp;utm_term=" TargetMode="External"/><Relationship Id="rId236" Type="http://schemas.openxmlformats.org/officeDocument/2006/relationships/image" Target="media/image30.png"/><Relationship Id="rId278" Type="http://schemas.openxmlformats.org/officeDocument/2006/relationships/hyperlink" Target="http://wintac-s3.s3-us-west-2.amazonaws.com/topic-areas/PartnershipPlus_and_Ticket_Assignment_Chart.docx" TargetMode="External"/><Relationship Id="rId401" Type="http://schemas.openxmlformats.org/officeDocument/2006/relationships/hyperlink" Target="http://wintac-s3.s3-us-west-2.amazonaws.com/topic-areas/ta07-tciplus-lmi/TCI-VR-CounselorManual-17-0911r.docx" TargetMode="External"/><Relationship Id="rId443" Type="http://schemas.openxmlformats.org/officeDocument/2006/relationships/chart" Target="charts/chart99.xml"/><Relationship Id="rId303" Type="http://schemas.openxmlformats.org/officeDocument/2006/relationships/hyperlink" Target="http://wintac-s3.s3-us-west-2.amazonaws.com/topic-areas/ta_IntegrationVR/CP-checklist_CN_FINAL_2.pdf" TargetMode="External"/><Relationship Id="rId485" Type="http://schemas.openxmlformats.org/officeDocument/2006/relationships/hyperlink" Target="http://askjan.org/media/LowCostHighImpact.html" TargetMode="External"/><Relationship Id="rId42" Type="http://schemas.microsoft.com/office/2014/relationships/chartEx" Target="charts/chartEx1.xml"/><Relationship Id="rId84" Type="http://schemas.openxmlformats.org/officeDocument/2006/relationships/hyperlink" Target="http://www.wintac.org/topic-areas/pre-employment-transition-services/resources/pre-ets-implementation-checklist" TargetMode="External"/><Relationship Id="rId138" Type="http://schemas.openxmlformats.org/officeDocument/2006/relationships/chart" Target="charts/chart24.xml"/><Relationship Id="rId345" Type="http://schemas.openxmlformats.org/officeDocument/2006/relationships/footer" Target="footer25.xml"/><Relationship Id="rId387" Type="http://schemas.openxmlformats.org/officeDocument/2006/relationships/chart" Target="charts/chart82.xml"/><Relationship Id="rId510" Type="http://schemas.openxmlformats.org/officeDocument/2006/relationships/hyperlink" Target="https://www.dol.gov/odep/topics/youth/Apprenticeshipworks-video-series.htm" TargetMode="External"/><Relationship Id="rId191" Type="http://schemas.openxmlformats.org/officeDocument/2006/relationships/hyperlink" Target="https://ncrtm.ed.gov/SearchResults.aspx?st=wioa+annual+report" TargetMode="External"/><Relationship Id="rId205" Type="http://schemas.openxmlformats.org/officeDocument/2006/relationships/hyperlink" Target="http://wintac-s3.s3-us-west-2.amazonaws.com/topic-areas/t05_CommonPerformance/t05_resources/Data-Validation-Presentation-(NCSAB%2004.11.2019)_Final.pptx" TargetMode="External"/><Relationship Id="rId247" Type="http://schemas.openxmlformats.org/officeDocument/2006/relationships/image" Target="media/image44.svg"/><Relationship Id="rId412" Type="http://schemas.openxmlformats.org/officeDocument/2006/relationships/chart" Target="charts/chart84.xml"/><Relationship Id="rId107" Type="http://schemas.openxmlformats.org/officeDocument/2006/relationships/hyperlink" Target="http://wintac-s3.s3-us-west-2.amazonaws.com/topic-areas/ta_PreETS/tac-18-02.pdf" TargetMode="External"/><Relationship Id="rId289" Type="http://schemas.openxmlformats.org/officeDocument/2006/relationships/hyperlink" Target="https://www.youtube.com/playlist?list=PLRSw4FK3pwcD-tt4v7zr1Xrnns2_PxzQ1" TargetMode="External"/><Relationship Id="rId454" Type="http://schemas.openxmlformats.org/officeDocument/2006/relationships/hyperlink" Target="https://ncrtm.ed.gov/Download.aspx?type=doc&amp;id=4402" TargetMode="External"/><Relationship Id="rId496" Type="http://schemas.openxmlformats.org/officeDocument/2006/relationships/header" Target="header23.xml"/><Relationship Id="rId11" Type="http://schemas.openxmlformats.org/officeDocument/2006/relationships/footer" Target="footer1.xml"/><Relationship Id="rId53" Type="http://schemas.openxmlformats.org/officeDocument/2006/relationships/image" Target="media/image9.png"/><Relationship Id="rId149" Type="http://schemas.openxmlformats.org/officeDocument/2006/relationships/hyperlink" Target="http://wintac-s3.s3-us-west-2.amazonaws.com/topic-areas/ta_511/CCIR-Presentation-forIdaho.pptx" TargetMode="External"/><Relationship Id="rId314" Type="http://schemas.openxmlformats.org/officeDocument/2006/relationships/header" Target="header13.xml"/><Relationship Id="rId356" Type="http://schemas.openxmlformats.org/officeDocument/2006/relationships/chart" Target="charts/chart65.xml"/><Relationship Id="rId398" Type="http://schemas.openxmlformats.org/officeDocument/2006/relationships/hyperlink" Target="http://wintac-s3.s3-us-west-2.amazonaws.com/topic-areas/ta07-tciplus-lmi/SuitabilityFinal.docx" TargetMode="External"/><Relationship Id="rId521" Type="http://schemas.openxmlformats.org/officeDocument/2006/relationships/hyperlink" Target="http://www.wintac.org/topic-areas/apprenticeships-and-customized-training/promising-practices" TargetMode="External"/><Relationship Id="rId95" Type="http://schemas.openxmlformats.org/officeDocument/2006/relationships/hyperlink" Target="https://www.pacer.org/transition/resource-library/publications/NPC-62.pdf" TargetMode="External"/><Relationship Id="rId160" Type="http://schemas.openxmlformats.org/officeDocument/2006/relationships/footer" Target="footer15.xml"/><Relationship Id="rId216" Type="http://schemas.openxmlformats.org/officeDocument/2006/relationships/footer" Target="footer17.xml"/><Relationship Id="rId423" Type="http://schemas.openxmlformats.org/officeDocument/2006/relationships/image" Target="media/image56.png"/><Relationship Id="rId258" Type="http://schemas.openxmlformats.org/officeDocument/2006/relationships/hyperlink" Target="http://wintac-s3.s3-us-west-2.amazonaws.com/topic-areas/ta04-IntergrationVR/WIOA_Partners_List.pdf" TargetMode="External"/><Relationship Id="rId465" Type="http://schemas.openxmlformats.org/officeDocument/2006/relationships/hyperlink" Target="http://www.rehab.alabama.gov/docs/business-relations-program/ravebro0211forweb.pdf?sfvrsn=0" TargetMode="External"/><Relationship Id="rId22" Type="http://schemas.openxmlformats.org/officeDocument/2006/relationships/image" Target="media/image4.png"/><Relationship Id="rId64" Type="http://schemas.microsoft.com/office/2014/relationships/chartEx" Target="charts/chartEx11.xml"/><Relationship Id="rId118" Type="http://schemas.openxmlformats.org/officeDocument/2006/relationships/hyperlink" Target="http://wintac-s3.s3-us-west-2.amazonaws.com/topic-areas/ta_PreETS/newfy2015ganattachments100714-PreETS-SE.pptx" TargetMode="External"/><Relationship Id="rId325" Type="http://schemas.openxmlformats.org/officeDocument/2006/relationships/chart" Target="charts/chart54.xml"/><Relationship Id="rId367" Type="http://schemas.openxmlformats.org/officeDocument/2006/relationships/hyperlink" Target="http://wintac-s3.s3-us-west-2.amazonaws.com/topic-areas/ta03_IntCompetEmpl/Essential-Elements-of-Customized-Employment-for-Universal-Application%20Rev%207-17.pdf" TargetMode="External"/><Relationship Id="rId532" Type="http://schemas.openxmlformats.org/officeDocument/2006/relationships/footer" Target="footer37.xml"/><Relationship Id="rId171" Type="http://schemas.openxmlformats.org/officeDocument/2006/relationships/hyperlink" Target="http://wintac-s3.s3-us-west-2.amazonaws.com/topic-areas/t05_CommonPerformance/t05_resources/Are_you_ready_for_CPM_Implementation_FINAL_8-29.pdf" TargetMode="External"/><Relationship Id="rId227" Type="http://schemas.openxmlformats.org/officeDocument/2006/relationships/chart" Target="charts/chart46.xml"/><Relationship Id="rId269" Type="http://schemas.openxmlformats.org/officeDocument/2006/relationships/hyperlink" Target="https://ion.workforcegps.org/sitecore/content/global/events/2017/02/14/10/58/WIOA-Wednesday-MOU-Part-II-Local-vs-State-Funding-Mechanism" TargetMode="External"/><Relationship Id="rId434" Type="http://schemas.openxmlformats.org/officeDocument/2006/relationships/chart" Target="charts/chart94.xml"/><Relationship Id="rId476" Type="http://schemas.openxmlformats.org/officeDocument/2006/relationships/hyperlink" Target="http://askjan.org/topics/jobcoaching.htm" TargetMode="External"/><Relationship Id="rId33" Type="http://schemas.openxmlformats.org/officeDocument/2006/relationships/chart" Target="charts/chart10.xml"/><Relationship Id="rId129" Type="http://schemas.openxmlformats.org/officeDocument/2006/relationships/header" Target="header8.xml"/><Relationship Id="rId280" Type="http://schemas.openxmlformats.org/officeDocument/2006/relationships/hyperlink" Target="http://wintac-s3.s3-us-west-2.amazonaws.com/topic-areas/ta_IntegrationVR/Alaska_Partnership_Plus_Agreement.pdf" TargetMode="External"/><Relationship Id="rId336" Type="http://schemas.openxmlformats.org/officeDocument/2006/relationships/hyperlink" Target="http://wintac-s3.s3-us-west-2.amazonaws.com/topic-areas/ta03_IntCompetEmpl/SupportedEmployment_definitions_and_practice_under_WIOA.docx" TargetMode="External"/><Relationship Id="rId501" Type="http://schemas.openxmlformats.org/officeDocument/2006/relationships/image" Target="media/image61.png"/><Relationship Id="rId543" Type="http://schemas.openxmlformats.org/officeDocument/2006/relationships/image" Target="media/image65.png"/><Relationship Id="rId75" Type="http://schemas.openxmlformats.org/officeDocument/2006/relationships/hyperlink" Target="http://wintac-s3.s3-us-west-2.amazonaws.com/topic-areas/t05_CommonPerformance/t05_resources/Registered-Apprenticeships-RSA911-Tracking-Final-cn2.pdf" TargetMode="External"/><Relationship Id="rId140" Type="http://schemas.openxmlformats.org/officeDocument/2006/relationships/chart" Target="charts/chart26.xml"/><Relationship Id="rId182" Type="http://schemas.openxmlformats.org/officeDocument/2006/relationships/hyperlink" Target="http://links.govdelivery.com/track?type=click&amp;enid=ZWFzPTEmbWFpbGluZ2lkPTIwMTkwNTE2LjU5NTgyMzEmbWVzc2FnZWlkPU1EQi1QUkQtQlVMLTIwMTkwNTE2LjU5NTgyMzEmZGF0YWJhc2VpZD0xMDAxJnNlcmlhbD0xODA5MjIzMCZlbWFpbGlkPXJhbmRlcnNvbkBuZGktaW5jLm9yZyZ1c2VyaWQ9cmFuZGVyc29uQG5kaS1pbmMub3JnJmZsPSZleHRyYT1NdWx0aXZhcmlhdGVJZD0mJiY=&amp;&amp;&amp;102&amp;&amp;&amp;https://rsa.ed.gov/display.cfm?pageid=75&amp;utm_content=&amp;utm_medium=email&amp;utm_name=&amp;utm_source=govdelivery&amp;utm_term=" TargetMode="External"/><Relationship Id="rId378" Type="http://schemas.openxmlformats.org/officeDocument/2006/relationships/chart" Target="charts/chart74.xml"/><Relationship Id="rId403" Type="http://schemas.openxmlformats.org/officeDocument/2006/relationships/hyperlink" Target="http://wintac-s3.s3-us-west-2.amazonaws.com/topic-areas/ta07-tciplus-lmi/TCIplus-and-Informed-Choice.docx" TargetMode="External"/><Relationship Id="rId6" Type="http://schemas.openxmlformats.org/officeDocument/2006/relationships/footnotes" Target="footnotes.xml"/><Relationship Id="rId238" Type="http://schemas.openxmlformats.org/officeDocument/2006/relationships/image" Target="media/image31.png"/><Relationship Id="rId445" Type="http://schemas.openxmlformats.org/officeDocument/2006/relationships/chart" Target="charts/chart101.xml"/><Relationship Id="rId487" Type="http://schemas.openxmlformats.org/officeDocument/2006/relationships/hyperlink" Target="http://www.eeoc.gov/policy/docs/accommodation.html" TargetMode="External"/><Relationship Id="rId291" Type="http://schemas.openxmlformats.org/officeDocument/2006/relationships/hyperlink" Target="http://wintac-s3.s3-us-west-2.amazonaws.com/topic-areas/ta_IntegrationVR/Business%20Engagement%20CoP_CN.pdf" TargetMode="External"/><Relationship Id="rId305" Type="http://schemas.openxmlformats.org/officeDocument/2006/relationships/hyperlink" Target="http://wintac-s3.s3-us-west-2.amazonaws.com/topic-areas/ta_IntegrationVR/DEI_MapwithText_October2015.pdf" TargetMode="External"/><Relationship Id="rId347" Type="http://schemas.openxmlformats.org/officeDocument/2006/relationships/chart" Target="charts/chart56.xml"/><Relationship Id="rId512" Type="http://schemas.openxmlformats.org/officeDocument/2006/relationships/hyperlink" Target="https://www.dol.gov/apprenticeship/toolkit.htm" TargetMode="External"/><Relationship Id="rId44" Type="http://schemas.microsoft.com/office/2014/relationships/chartEx" Target="charts/chartEx2.xml"/><Relationship Id="rId86" Type="http://schemas.openxmlformats.org/officeDocument/2006/relationships/hyperlink" Target="http://www.wintac.org/topic-areas/pre-employment-transition-services/resources/process-determining-if-agency-can-move-required-pre-employment-transition-services-authorized-activities" TargetMode="External"/><Relationship Id="rId151" Type="http://schemas.openxmlformats.org/officeDocument/2006/relationships/hyperlink" Target="http://wintac-s3.s3-us-west-2.amazonaws.com/topic-areas/ta_511/CCIR_Participation_and_Refusal_Cover_Sheet_Forms.xlsx" TargetMode="External"/><Relationship Id="rId389" Type="http://schemas.openxmlformats.org/officeDocument/2006/relationships/footer" Target="footer26.xml"/><Relationship Id="rId193" Type="http://schemas.openxmlformats.org/officeDocument/2006/relationships/hyperlink" Target="https://www2.ed.gov/policy/speced/guid/rsa/subregulatory/tac-17-01.pdf?utm_content=&amp;utm_medium=email&amp;utm_name=&amp;utm_source=govdelivery&amp;utm_term=" TargetMode="External"/><Relationship Id="rId207" Type="http://schemas.openxmlformats.org/officeDocument/2006/relationships/hyperlink" Target="http://wintac-s3.s3-us-west-2.amazonaws.com/topic-areas/t05_CommonPerformance/t05_resources/v2-CSAVR-Spring2019-RSA-Presentatiom19-0410.pptx" TargetMode="External"/><Relationship Id="rId249" Type="http://schemas.openxmlformats.org/officeDocument/2006/relationships/image" Target="media/image46.svg"/><Relationship Id="rId414" Type="http://schemas.openxmlformats.org/officeDocument/2006/relationships/chart" Target="charts/chart86.xml"/><Relationship Id="rId456" Type="http://schemas.openxmlformats.org/officeDocument/2006/relationships/hyperlink" Target="http://www.washington.edu/doit/2011-report-accessstemaccesscomputingdo-it-longitudinal-transition-study-alts" TargetMode="External"/><Relationship Id="rId498" Type="http://schemas.openxmlformats.org/officeDocument/2006/relationships/footer" Target="footer33.xml"/><Relationship Id="rId13" Type="http://schemas.openxmlformats.org/officeDocument/2006/relationships/header" Target="header3.xml"/><Relationship Id="rId109" Type="http://schemas.openxmlformats.org/officeDocument/2006/relationships/hyperlink" Target="https://www2.ed.gov/about/offices/list/osers/transition/products/postsecondary-transition-guide-may-2017.pdf?utm_content=&amp;utm_medium=email&amp;utm_name=&amp;utm_source=govdelivery&amp;utm_term" TargetMode="External"/><Relationship Id="rId260" Type="http://schemas.openxmlformats.org/officeDocument/2006/relationships/hyperlink" Target="http://wintac-s3.s3-us-west-2.amazonaws.com/topic-areas/ta04-IntergrationVR/PARTNER_PROFILE_CN_2.docx" TargetMode="External"/><Relationship Id="rId316" Type="http://schemas.openxmlformats.org/officeDocument/2006/relationships/footer" Target="footer19.xml"/><Relationship Id="rId523" Type="http://schemas.openxmlformats.org/officeDocument/2006/relationships/hyperlink" Target="https://www.bls.gov/opub/mlr/2015/article/pdf/occupational-employment-projections-to-2024.pdf" TargetMode="External"/><Relationship Id="rId55" Type="http://schemas.openxmlformats.org/officeDocument/2006/relationships/image" Target="media/image10.png"/><Relationship Id="rId97" Type="http://schemas.openxmlformats.org/officeDocument/2006/relationships/hyperlink" Target="https://www.pacer.org/about/programs/ssb/transition-to-employment.asp" TargetMode="External"/><Relationship Id="rId120" Type="http://schemas.openxmlformats.org/officeDocument/2006/relationships/hyperlink" Target="http://webapps.dol.gov/elaws/whd/flsa/docs/volunteers.asp" TargetMode="External"/><Relationship Id="rId358" Type="http://schemas.openxmlformats.org/officeDocument/2006/relationships/chart" Target="charts/chart67.xml"/><Relationship Id="rId162" Type="http://schemas.openxmlformats.org/officeDocument/2006/relationships/footer" Target="footer16.xml"/><Relationship Id="rId218" Type="http://schemas.openxmlformats.org/officeDocument/2006/relationships/chart" Target="charts/chart37.xml"/><Relationship Id="rId425" Type="http://schemas.openxmlformats.org/officeDocument/2006/relationships/chart" Target="charts/chart91.xml"/><Relationship Id="rId467" Type="http://schemas.openxmlformats.org/officeDocument/2006/relationships/hyperlink" Target="http://askearn.org" TargetMode="External"/><Relationship Id="rId271" Type="http://schemas.openxmlformats.org/officeDocument/2006/relationships/hyperlink" Target="http://wintac-s3.s3-us-west-2.amazonaws.com/topic-areas/ta04-IntergrationVR/RSA-WINTAC-Cost-Allocation-Technical-Assistance-Tool-final-cn.pdf" TargetMode="External"/><Relationship Id="rId24" Type="http://schemas.openxmlformats.org/officeDocument/2006/relationships/chart" Target="charts/chart7.xml"/><Relationship Id="rId66" Type="http://schemas.microsoft.com/office/2014/relationships/chartEx" Target="charts/chartEx12.xml"/><Relationship Id="rId131" Type="http://schemas.openxmlformats.org/officeDocument/2006/relationships/footer" Target="footer11.xml"/><Relationship Id="rId327" Type="http://schemas.openxmlformats.org/officeDocument/2006/relationships/hyperlink" Target="http://wintac-s3.s3-us-west-2.amazonaws.com/topic-areas/ta03_IntCompetEmpl/SE-QualityFeatures-FinalVersion19-0130-v8.pdf" TargetMode="External"/><Relationship Id="rId369" Type="http://schemas.openxmlformats.org/officeDocument/2006/relationships/hyperlink" Target="http://wintac-s3.s3-us-west-2.amazonaws.com/topic-areas/ta03_IntCompetEmpl/CE-Delivery-Checklist19-0807-accessible.pdf" TargetMode="External"/><Relationship Id="rId534" Type="http://schemas.openxmlformats.org/officeDocument/2006/relationships/footer" Target="footer38.xml"/><Relationship Id="rId173" Type="http://schemas.openxmlformats.org/officeDocument/2006/relationships/hyperlink" Target="http://wintac-s3.s3-us-west-2.amazonaws.com/topic-areas/t05_CommonPerformance/t05_resources/SVRA-ReportingDeadlines-Table18-Final.pdf" TargetMode="External"/><Relationship Id="rId229" Type="http://schemas.openxmlformats.org/officeDocument/2006/relationships/image" Target="media/image26.png"/><Relationship Id="rId380" Type="http://schemas.openxmlformats.org/officeDocument/2006/relationships/chart" Target="charts/chart76.xml"/><Relationship Id="rId436" Type="http://schemas.openxmlformats.org/officeDocument/2006/relationships/chart" Target="charts/chart96.xml"/><Relationship Id="rId240" Type="http://schemas.openxmlformats.org/officeDocument/2006/relationships/image" Target="media/image32.png"/><Relationship Id="rId478" Type="http://schemas.openxmlformats.org/officeDocument/2006/relationships/hyperlink" Target="https://youtu.be/1jfqzpOC9W4" TargetMode="External"/><Relationship Id="rId35" Type="http://schemas.openxmlformats.org/officeDocument/2006/relationships/chart" Target="charts/chart12.xml"/><Relationship Id="rId77" Type="http://schemas.openxmlformats.org/officeDocument/2006/relationships/hyperlink" Target="http://wintac-s3.s3-us-west-2.amazonaws.com/topic-areas/ta_IntegrationVR/CP-checklist_CN_FINAL_2.pdf" TargetMode="External"/><Relationship Id="rId100" Type="http://schemas.openxmlformats.org/officeDocument/2006/relationships/hyperlink" Target="http://www.wintac.org/topic-areas/pre-employment-transition-services/resources/resources-work-based-learning-experiences" TargetMode="External"/><Relationship Id="rId282" Type="http://schemas.openxmlformats.org/officeDocument/2006/relationships/hyperlink" Target="http://wintac-s3.s3-us-west-2.amazonaws.com/topic-areas/ta_IntegrationVR/BasicFinancialAssessmentTool_printversion_1302015.docx" TargetMode="External"/><Relationship Id="rId338" Type="http://schemas.openxmlformats.org/officeDocument/2006/relationships/image" Target="media/image43.png"/><Relationship Id="rId503" Type="http://schemas.openxmlformats.org/officeDocument/2006/relationships/chart" Target="charts/chart106.xml"/><Relationship Id="rId545" Type="http://schemas.openxmlformats.org/officeDocument/2006/relationships/theme" Target="theme/theme1.xml"/><Relationship Id="rId8" Type="http://schemas.openxmlformats.org/officeDocument/2006/relationships/image" Target="media/image3.jpg"/><Relationship Id="rId142" Type="http://schemas.openxmlformats.org/officeDocument/2006/relationships/image" Target="media/image22.png"/><Relationship Id="rId184" Type="http://schemas.openxmlformats.org/officeDocument/2006/relationships/hyperlink" Target="https://www2.ed.gov/policy/speced/guid/rsa/supporting/Case-Service-Report-RSA-911-PD-19-03.xlsx" TargetMode="External"/><Relationship Id="rId391" Type="http://schemas.openxmlformats.org/officeDocument/2006/relationships/hyperlink" Target="http://wintac-s3.s3-us-west-2.amazonaws.com/topic-areas/ta07-tciplus-lmi/Fit-Final-v2.docx" TargetMode="External"/><Relationship Id="rId405" Type="http://schemas.openxmlformats.org/officeDocument/2006/relationships/hyperlink" Target="http://wintac-s3.s3-us-west-2.amazonaws.com/topic-areas/ta07-tciplus-lmi/TCIplus-Profile-Creation.docx" TargetMode="External"/><Relationship Id="rId447" Type="http://schemas.openxmlformats.org/officeDocument/2006/relationships/chart" Target="charts/chart103.xml"/><Relationship Id="rId251" Type="http://schemas.openxmlformats.org/officeDocument/2006/relationships/image" Target="media/image48.svg"/><Relationship Id="rId489" Type="http://schemas.openxmlformats.org/officeDocument/2006/relationships/hyperlink" Target="http://cpr.bu.edu/develop/webinar/usbln" TargetMode="External"/><Relationship Id="rId46" Type="http://schemas.microsoft.com/office/2014/relationships/chartEx" Target="charts/chartEx3.xml"/><Relationship Id="rId293" Type="http://schemas.openxmlformats.org/officeDocument/2006/relationships/hyperlink" Target="https://dei.workforcegps.org/resources/2016/12/15/12/06/DEI_Business_Engagement_Community_of_Practice" TargetMode="External"/><Relationship Id="rId307" Type="http://schemas.openxmlformats.org/officeDocument/2006/relationships/hyperlink" Target="http://wintac-s3.s3-us-west-2.amazonaws.com/topic-areas/ta_IntegrationVR/Benefits_of_Partnership_Plus.pdf" TargetMode="External"/><Relationship Id="rId349" Type="http://schemas.openxmlformats.org/officeDocument/2006/relationships/chart" Target="charts/chart58.xml"/><Relationship Id="rId514" Type="http://schemas.openxmlformats.org/officeDocument/2006/relationships/hyperlink" Target="https://www.dol.gov/apprenticeship/toolkit/docs/Desk-Aid-Use-of-Funds.pdf" TargetMode="External"/><Relationship Id="rId88" Type="http://schemas.openxmlformats.org/officeDocument/2006/relationships/hyperlink" Target="https://www2.ed.gov/policy/speced/guid/rsa/supporting/dear-director-letter-formal-interagency-agreements-between-state-vr-agencies-and-seas-07-15-2019.pdf" TargetMode="External"/><Relationship Id="rId111" Type="http://schemas.openxmlformats.org/officeDocument/2006/relationships/hyperlink" Target="http://www2.ed.gov/about/offices/list/osers/transition/products/fpt-fact-sheet--work-based-eperiences--11-5-15.pdf?utm_content=&amp;utm_medium=email&amp;utm_name=&amp;utm_source=govdelivery&amp;utm_term=" TargetMode="External"/><Relationship Id="rId153" Type="http://schemas.openxmlformats.org/officeDocument/2006/relationships/hyperlink" Target="http://wintac-s3.s3-us-west-2.amazonaws.com/topic-areas/ta_511/Elements_of_CareerCounseling_and_ID_of_OtherAgencies.docx" TargetMode="External"/><Relationship Id="rId195" Type="http://schemas.openxmlformats.org/officeDocument/2006/relationships/hyperlink" Target="https://www2.ed.gov/policy/speced/guid/rsa/subregulatory/tac-17-01.pdf?utm_content=&amp;utm_medium=email&amp;utm_name=&amp;utm_source=govdelivery&amp;utm_term=" TargetMode="External"/><Relationship Id="rId209" Type="http://schemas.openxmlformats.org/officeDocument/2006/relationships/hyperlink" Target="http://wintac-s3.s3-us-west-2.amazonaws.com/topic-areas/t05_CommonPerformance/t05_resources/v2-CSAVRPresentation18-1031-2.pptx" TargetMode="External"/><Relationship Id="rId360" Type="http://schemas.openxmlformats.org/officeDocument/2006/relationships/image" Target="media/image45.png"/><Relationship Id="rId416" Type="http://schemas.openxmlformats.org/officeDocument/2006/relationships/chart" Target="charts/chart88.xml"/><Relationship Id="rId220" Type="http://schemas.openxmlformats.org/officeDocument/2006/relationships/chart" Target="charts/chart39.xml"/><Relationship Id="rId458" Type="http://schemas.openxmlformats.org/officeDocument/2006/relationships/hyperlink" Target="http://www.wintac.org/topic-areas/business-engagement-and-employer-supports/additional-resources" TargetMode="External"/><Relationship Id="rId15" Type="http://schemas.openxmlformats.org/officeDocument/2006/relationships/chart" Target="charts/chart1.xml"/><Relationship Id="rId57" Type="http://schemas.openxmlformats.org/officeDocument/2006/relationships/image" Target="media/image11.png"/><Relationship Id="rId262" Type="http://schemas.openxmlformats.org/officeDocument/2006/relationships/hyperlink" Target="https://ion.workforcegps.org/announcements/2017/03/24/14/15/Sample_MOU" TargetMode="External"/><Relationship Id="rId318" Type="http://schemas.openxmlformats.org/officeDocument/2006/relationships/header" Target="header15.xml"/><Relationship Id="rId525" Type="http://schemas.openxmlformats.org/officeDocument/2006/relationships/hyperlink" Target="https://coehp.uark.edu/directory/index/uid/tbriganc/name/Terry-Brigance/" TargetMode="External"/><Relationship Id="rId99" Type="http://schemas.openxmlformats.org/officeDocument/2006/relationships/hyperlink" Target="http://www.wintac.org/topic-areas/pre-employment-transition-services/resources/resources-job-exploration-counseling" TargetMode="External"/><Relationship Id="rId122" Type="http://schemas.openxmlformats.org/officeDocument/2006/relationships/hyperlink" Target="https://webapps.dol.gov/elaws/whd/flsa/docs/trainees.asp" TargetMode="External"/><Relationship Id="rId164" Type="http://schemas.openxmlformats.org/officeDocument/2006/relationships/chart" Target="charts/chart30.xml"/><Relationship Id="rId371" Type="http://schemas.openxmlformats.org/officeDocument/2006/relationships/image" Target="media/image52.png"/><Relationship Id="rId427" Type="http://schemas.openxmlformats.org/officeDocument/2006/relationships/header" Target="header20.xml"/><Relationship Id="rId469" Type="http://schemas.openxmlformats.org/officeDocument/2006/relationships/hyperlink" Target="https://www.scribd.com/doc/50379361/Supervising-People-with-Disabilities-Hint-It-Really-Isn-t-Very-Different-than-Anyone-Else" TargetMode="External"/><Relationship Id="rId26" Type="http://schemas.openxmlformats.org/officeDocument/2006/relationships/header" Target="header5.xml"/><Relationship Id="rId231" Type="http://schemas.openxmlformats.org/officeDocument/2006/relationships/image" Target="media/image28.svg"/><Relationship Id="rId273" Type="http://schemas.openxmlformats.org/officeDocument/2006/relationships/hyperlink" Target="http://wintac-s3.s3-us-west-2.amazonaws.com/topic-areas/CooperativeAgreement_with_Recipients_of_Grants_for_Services_to_AmericanIndians.docx" TargetMode="External"/><Relationship Id="rId329" Type="http://schemas.openxmlformats.org/officeDocument/2006/relationships/hyperlink" Target="http://wintac-s3.s3-us-west-2.amazonaws.com/topic-areas/Changes_to_supported_employment_post_WIOA-2-28-18.pptx" TargetMode="External"/><Relationship Id="rId480" Type="http://schemas.openxmlformats.org/officeDocument/2006/relationships/hyperlink" Target="http://vark-learn.com/home/" TargetMode="External"/><Relationship Id="rId536" Type="http://schemas.openxmlformats.org/officeDocument/2006/relationships/header" Target="header29.xml"/><Relationship Id="rId68" Type="http://schemas.microsoft.com/office/2014/relationships/chartEx" Target="charts/chartEx13.xml"/><Relationship Id="rId133" Type="http://schemas.openxmlformats.org/officeDocument/2006/relationships/footer" Target="footer12.xml"/><Relationship Id="rId175" Type="http://schemas.openxmlformats.org/officeDocument/2006/relationships/hyperlink" Target="http://wintac-s3.s3-us-west-2.amazonaws.com/topic-areas/ta_PreETS/WIOA-IDEA_Indicator_Visual_Accessible.pdf" TargetMode="External"/><Relationship Id="rId340" Type="http://schemas.openxmlformats.org/officeDocument/2006/relationships/header" Target="header16.xml"/><Relationship Id="rId200" Type="http://schemas.openxmlformats.org/officeDocument/2006/relationships/hyperlink" Target="https://gcc01.safelinks.protection.outlook.com/?url=https%3A%2F%2Fwww.workforcegps.org%2Fresources%2F2019%2F05%2F14%2F15%2F12%2FState-Wage-Interchange-System-SWIS-Informational-Webcast&amp;data=02%7C01%7CLewis.Shelia.F%40DOL.GOV%7Ceffb64f94b6540b4bb7a08d6d8a87546%7C75a6305472044e0c9126adab971d4aca%7C0%7C0%7C636934615374981706&amp;sdata=XHK7f7I7ZI0VQBCBj7dpUxF3OOqAy6p1ELhgKNePntU%3D&amp;reserved=0" TargetMode="External"/><Relationship Id="rId382" Type="http://schemas.openxmlformats.org/officeDocument/2006/relationships/chart" Target="charts/chart78.xml"/><Relationship Id="rId438" Type="http://schemas.openxmlformats.org/officeDocument/2006/relationships/image" Target="media/image58.png"/><Relationship Id="rId242" Type="http://schemas.openxmlformats.org/officeDocument/2006/relationships/image" Target="media/image33.png"/><Relationship Id="rId284" Type="http://schemas.openxmlformats.org/officeDocument/2006/relationships/hyperlink" Target="http://wintac-s3.s3-us-west-2.amazonaws.com/topic-areas/ta_IntegrationVR/Braiding_and_Leveraging_Virginia_Jan_2016.pdf" TargetMode="External"/><Relationship Id="rId491" Type="http://schemas.openxmlformats.org/officeDocument/2006/relationships/hyperlink" Target="http://www.peatworks.org/" TargetMode="External"/><Relationship Id="rId505" Type="http://schemas.openxmlformats.org/officeDocument/2006/relationships/chart" Target="charts/chart108.xml"/><Relationship Id="rId37" Type="http://schemas.openxmlformats.org/officeDocument/2006/relationships/chart" Target="charts/chart14.xml"/><Relationship Id="rId79" Type="http://schemas.openxmlformats.org/officeDocument/2006/relationships/hyperlink" Target="https://ccrscenter.org/technical-assistance-networks/professional-learning-modules/work-based-learning-measures-series" TargetMode="External"/><Relationship Id="rId102" Type="http://schemas.openxmlformats.org/officeDocument/2006/relationships/hyperlink" Target="http://www.wintac.org/topic-areas/pre-employment-transition-services/resources/resources-workplace-readiness-training" TargetMode="External"/><Relationship Id="rId144" Type="http://schemas.openxmlformats.org/officeDocument/2006/relationships/hyperlink" Target="http://wintac-s3.s3-us-west-2.amazonaws.com/topic-areas/ta_511/All-States-through-July2018.xlsx" TargetMode="External"/><Relationship Id="rId90" Type="http://schemas.openxmlformats.org/officeDocument/2006/relationships/hyperlink" Target="http://www.wintac.org/topic-areas/pre-employment-transition-services/resources/introduction-formal-interagency-agreement-toolkit" TargetMode="External"/><Relationship Id="rId186" Type="http://schemas.openxmlformats.org/officeDocument/2006/relationships/hyperlink" Target="http://links.govdelivery.com/track?type=click&amp;enid=ZWFzPTEmbWFpbGluZ2lkPTIwMTkwNTE2LjU5NTgyMzEmbWVzc2FnZWlkPU1EQi1QUkQtQlVMLTIwMTkwNTE2LjU5NTgyMzEmZGF0YWJhc2VpZD0xMDAxJnNlcmlhbD0xODA5MjIzMCZlbWFpbGlkPXJhbmRlcnNvbkBuZGktaW5jLm9yZyZ1c2VyaWQ9cmFuZGVyc29uQG5kaS1pbmMub3JnJmZsPSZleHRyYT1NdWx0aXZhcmlhdGVJZD0mJiY=&amp;&amp;&amp;104&amp;&amp;&amp;https://www2.ed.gov/rschstat/eval/rehab/rsa-911-correction-procedures.pdf?utm_content=&amp;utm_medium=email&amp;utm_name=&amp;utm_source=govdelivery&amp;utm_term=" TargetMode="External"/><Relationship Id="rId351" Type="http://schemas.openxmlformats.org/officeDocument/2006/relationships/chart" Target="charts/chart60.xml"/><Relationship Id="rId393" Type="http://schemas.openxmlformats.org/officeDocument/2006/relationships/hyperlink" Target="http://wintac-s3.s3-us-west-2.amazonaws.com/topic-areas/ta07-tciplus-lmi/JobPostingsFinal.docx" TargetMode="External"/><Relationship Id="rId407" Type="http://schemas.openxmlformats.org/officeDocument/2006/relationships/hyperlink" Target="http://wintac-s3.s3-us-west-2.amazonaws.com/topic-areas/ta07-tciplus-lmi/LMI-Form-1-LMI-Review.docx" TargetMode="External"/><Relationship Id="rId449" Type="http://schemas.openxmlformats.org/officeDocument/2006/relationships/chart" Target="charts/chart105.xml"/><Relationship Id="rId211" Type="http://schemas.openxmlformats.org/officeDocument/2006/relationships/hyperlink" Target="https://doleta.gov/performance/reporting/eta_default.cfm" TargetMode="External"/><Relationship Id="rId253" Type="http://schemas.openxmlformats.org/officeDocument/2006/relationships/image" Target="media/image50.svg"/><Relationship Id="rId295" Type="http://schemas.openxmlformats.org/officeDocument/2006/relationships/hyperlink" Target="http://wintac-s3.s3-us-west-2.amazonaws.com/topic-areas/ta_IntegrationVR/FinancialLiteracy_inWIOA_andtheNPRM4_29_15.docx" TargetMode="External"/><Relationship Id="rId309" Type="http://schemas.openxmlformats.org/officeDocument/2006/relationships/hyperlink" Target="http://wintac-s3.s3-us-west-2.amazonaws.com/topic-areas/ta04-IntergrationVR/Transcript-WIOA-Vision.pdf" TargetMode="External"/><Relationship Id="rId460" Type="http://schemas.openxmlformats.org/officeDocument/2006/relationships/hyperlink" Target="http://www.wintac.org/topic-areas/business-engagement-and-employer-supports/additional-resources" TargetMode="External"/><Relationship Id="rId516" Type="http://schemas.openxmlformats.org/officeDocument/2006/relationships/hyperlink" Target="https://www.dol.gov/apprenticeship/pdf/RA-WS-Partnerships.pdf" TargetMode="External"/><Relationship Id="rId48" Type="http://schemas.microsoft.com/office/2014/relationships/chartEx" Target="charts/chartEx4.xml"/><Relationship Id="rId113" Type="http://schemas.openxmlformats.org/officeDocument/2006/relationships/hyperlink" Target="http://www.dol.gov/odep/pdf/20150302-FPT.pdf?utm_content=&amp;utm_medium=email&amp;utm_name=&amp;utm_source=govdelivery&amp;utm_term=" TargetMode="External"/><Relationship Id="rId320" Type="http://schemas.openxmlformats.org/officeDocument/2006/relationships/chart" Target="charts/chart49.xml"/><Relationship Id="rId155" Type="http://schemas.openxmlformats.org/officeDocument/2006/relationships/image" Target="media/image23.png"/><Relationship Id="rId197" Type="http://schemas.openxmlformats.org/officeDocument/2006/relationships/hyperlink" Target="http://www.ncrtm.ed.gov" TargetMode="External"/><Relationship Id="rId362" Type="http://schemas.openxmlformats.org/officeDocument/2006/relationships/image" Target="media/image47.png"/><Relationship Id="rId418" Type="http://schemas.microsoft.com/office/2014/relationships/chartEx" Target="charts/chartEx15.xml"/><Relationship Id="rId222" Type="http://schemas.openxmlformats.org/officeDocument/2006/relationships/chart" Target="charts/chart41.xml"/><Relationship Id="rId264" Type="http://schemas.openxmlformats.org/officeDocument/2006/relationships/hyperlink" Target="http://wintac-s3.s3-us-west-2.amazonaws.com/topic-areas/Guidance_as_it_applies_to_Local_WDB_MOU%27s-Draft.docx" TargetMode="External"/><Relationship Id="rId471" Type="http://schemas.openxmlformats.org/officeDocument/2006/relationships/hyperlink" Target="http://cpr.bu.edu/wp-content/uploads/2013/05/EmployerResourceGuide_092412.pdf" TargetMode="External"/><Relationship Id="rId17" Type="http://schemas.openxmlformats.org/officeDocument/2006/relationships/chart" Target="charts/chart3.xml"/><Relationship Id="rId59" Type="http://schemas.openxmlformats.org/officeDocument/2006/relationships/image" Target="media/image12.png"/><Relationship Id="rId124" Type="http://schemas.openxmlformats.org/officeDocument/2006/relationships/hyperlink" Target="http://wintac-s3.s3-us-west-2.amazonaws.com/topic-areas/ta_PreETS/JYTAC_Snapshot.docx" TargetMode="External"/><Relationship Id="rId527" Type="http://schemas.openxmlformats.org/officeDocument/2006/relationships/hyperlink" Target="http://wintac-s3.s3-us-west-2.amazonaws.com/topic-areas/ta08_ACT/CT2_toolkit__remediated.pdf" TargetMode="External"/><Relationship Id="rId70" Type="http://schemas.microsoft.com/office/2014/relationships/chartEx" Target="charts/chartEx14.xml"/><Relationship Id="rId166" Type="http://schemas.openxmlformats.org/officeDocument/2006/relationships/chart" Target="charts/chart32.xml"/><Relationship Id="rId331" Type="http://schemas.openxmlformats.org/officeDocument/2006/relationships/hyperlink" Target="http://wintac-s3.s3-us-west-2.amazonaws.com/topic-areas/Utah_SOR_Chapter-30-Supported-Employment-Addendum-Nov%202016-v01.pdf" TargetMode="External"/><Relationship Id="rId373" Type="http://schemas.openxmlformats.org/officeDocument/2006/relationships/chart" Target="charts/chart69.xml"/><Relationship Id="rId429" Type="http://schemas.openxmlformats.org/officeDocument/2006/relationships/footer" Target="footer28.xml"/><Relationship Id="rId1" Type="http://schemas.openxmlformats.org/officeDocument/2006/relationships/customXml" Target="../customXml/item1.xml"/><Relationship Id="rId233" Type="http://schemas.openxmlformats.org/officeDocument/2006/relationships/image" Target="media/image30.svg"/><Relationship Id="rId440" Type="http://schemas.openxmlformats.org/officeDocument/2006/relationships/footer" Target="footer30.xml"/><Relationship Id="rId28" Type="http://schemas.openxmlformats.org/officeDocument/2006/relationships/footer" Target="footer7.xml"/><Relationship Id="rId275" Type="http://schemas.openxmlformats.org/officeDocument/2006/relationships/hyperlink" Target="https://www2.ed.gov/policy/gen/guid/fpco/pdf/final-ferpa-tegl-report.pdf" TargetMode="External"/><Relationship Id="rId300" Type="http://schemas.openxmlformats.org/officeDocument/2006/relationships/hyperlink" Target="https://www.dol.gov/odep/topics/pdf/ACICIEID_Final_Report_9-8-16.pdf" TargetMode="External"/><Relationship Id="rId482" Type="http://schemas.openxmlformats.org/officeDocument/2006/relationships/hyperlink" Target="http://wintac-s3.s3-us-west-2.amazonaws.com/topic-areas/ta06_BesinessEngagement/additional_resources/Reasonable-Accommodation-Process-Guide-for-VR-Counselors.pdf" TargetMode="External"/><Relationship Id="rId538" Type="http://schemas.openxmlformats.org/officeDocument/2006/relationships/footer" Target="footer40.xml"/><Relationship Id="rId81" Type="http://schemas.openxmlformats.org/officeDocument/2006/relationships/hyperlink" Target="http://wintac-s3.s3-us-west-2.amazonaws.com/topic-areas/ta01-pre-ets/WIOA-IDEA-Perkins-Indicators-WINTAC19-1122.pdf" TargetMode="External"/><Relationship Id="rId135" Type="http://schemas.openxmlformats.org/officeDocument/2006/relationships/chart" Target="charts/chart21.xml"/><Relationship Id="rId177" Type="http://schemas.openxmlformats.org/officeDocument/2006/relationships/hyperlink" Target="http://wintac-s3.s3-us-west-2.amazonaws.com/topic-areas/t05_CommonPerformance/t05_resources/MSG_Guide_Final_cn2.pdf" TargetMode="External"/><Relationship Id="rId342" Type="http://schemas.openxmlformats.org/officeDocument/2006/relationships/footer" Target="footer23.xml"/><Relationship Id="rId384" Type="http://schemas.openxmlformats.org/officeDocument/2006/relationships/image" Target="media/image53.png"/><Relationship Id="rId202" Type="http://schemas.openxmlformats.org/officeDocument/2006/relationships/hyperlink" Target="https://www.workforcegps.org/events/2016/09/16/09/28/WIOA_Wednesday_Data_Matching_for_WIOA_Reporting" TargetMode="External"/><Relationship Id="rId244" Type="http://schemas.openxmlformats.org/officeDocument/2006/relationships/image" Target="media/image34.png"/><Relationship Id="rId39" Type="http://schemas.openxmlformats.org/officeDocument/2006/relationships/chart" Target="charts/chart16.xml"/><Relationship Id="rId286" Type="http://schemas.openxmlformats.org/officeDocument/2006/relationships/hyperlink" Target="http://wintac-s3.s3-us-west-2.amazonaws.com/topic-areas/ta_IntegrationVR/Opening_Doors_for_Everyone_Toolkit_5.13.11.pdf" TargetMode="External"/><Relationship Id="rId451" Type="http://schemas.openxmlformats.org/officeDocument/2006/relationships/hyperlink" Target="http://www.jff.org/sites/default/files/publications/NFWS_EmployerEngagement_011111.pdf" TargetMode="External"/><Relationship Id="rId493" Type="http://schemas.openxmlformats.org/officeDocument/2006/relationships/hyperlink" Target="http://digitalcommons.ilr.cornell.edu/cgi/viewcontent.cgi?article=1190&amp;context=edicollect" TargetMode="External"/><Relationship Id="rId507" Type="http://schemas.openxmlformats.org/officeDocument/2006/relationships/hyperlink" Target="https://oa.doleta.gov/bat.cfm" TargetMode="External"/><Relationship Id="rId104" Type="http://schemas.openxmlformats.org/officeDocument/2006/relationships/hyperlink" Target="http://wintac-s3.s3-us-west-2.amazonaws.com/topic-areas/ta_PreETS/csavr-2016-transition-services-and-pre-employment.pdf" TargetMode="External"/><Relationship Id="rId146" Type="http://schemas.openxmlformats.org/officeDocument/2006/relationships/hyperlink" Target="http://wintac-s3.s3-us-west-2.amazonaws.com/topic-areas/ta_511/Hawaii_Information_and_Referral.docx" TargetMode="External"/><Relationship Id="rId188" Type="http://schemas.openxmlformats.org/officeDocument/2006/relationships/hyperlink" Target="http://links.govdelivery.com/track?type=click&amp;enid=ZWFzPTEmbWFpbGluZ2lkPTIwMTkwNTE2LjU5NTgyMzEmbWVzc2FnZWlkPU1EQi1QUkQtQlVMLTIwMTkwNTE2LjU5NTgyMzEmZGF0YWJhc2VpZD0xMDAxJnNlcmlhbD0xODA5MjIzMCZlbWFpbGlkPXJhbmRlcnNvbkBuZGktaW5jLm9yZyZ1c2VyaWQ9cmFuZGVyc29uQG5kaS1pbmMub3JnJmZsPSZleHRyYT1NdWx0aXZhcmlhdGVJZD0mJiY=&amp;&amp;&amp;105&amp;&amp;&amp;https://rsa.ed.gov/people.cfm?utm_content=&amp;utm_medium=email&amp;utm_name=&amp;utm_source=govdelivery&amp;utm_term=" TargetMode="External"/><Relationship Id="rId311" Type="http://schemas.openxmlformats.org/officeDocument/2006/relationships/image" Target="media/image41.png"/><Relationship Id="rId353" Type="http://schemas.openxmlformats.org/officeDocument/2006/relationships/chart" Target="charts/chart62.xml"/><Relationship Id="rId395" Type="http://schemas.openxmlformats.org/officeDocument/2006/relationships/hyperlink" Target="http://wintac-s3.s3-us-west-2.amazonaws.com/topic-areas/ta07-tciplus-lmi/PrintReportFinal.docx" TargetMode="External"/><Relationship Id="rId409" Type="http://schemas.openxmlformats.org/officeDocument/2006/relationships/hyperlink" Target="http://wintac-s3.s3-us-west-2.amazonaws.com/topic-areas/ta07-tciplus-lmi/LMI-Form-3-LMI-Data-Review.docx" TargetMode="External"/><Relationship Id="rId92" Type="http://schemas.openxmlformats.org/officeDocument/2006/relationships/hyperlink" Target="http://www.wintac.org/topic-areas/pre-employment-transition-services/resources/discussion-prompts-interagency-agreement-state-level" TargetMode="External"/><Relationship Id="rId213" Type="http://schemas.openxmlformats.org/officeDocument/2006/relationships/hyperlink" Target="https://ion.workforcegps.org/resources/2017/03/20/10/45/Performance_Accountability_Presentations" TargetMode="External"/><Relationship Id="rId420" Type="http://schemas.openxmlformats.org/officeDocument/2006/relationships/chart" Target="charts/chart90.xml"/><Relationship Id="rId255" Type="http://schemas.openxmlformats.org/officeDocument/2006/relationships/image" Target="media/image52.svg"/><Relationship Id="rId297" Type="http://schemas.openxmlformats.org/officeDocument/2006/relationships/hyperlink" Target="http://leadcenter.org/news/lead-releases-new-toolkit-promote-collaboration-between-centers-independent-living-and-american-job-centers" TargetMode="External"/><Relationship Id="rId462" Type="http://schemas.openxmlformats.org/officeDocument/2006/relationships/hyperlink" Target="http://www.wintac.org/topic-areas/business-engagement-and-employer-supports/additional-resources" TargetMode="External"/><Relationship Id="rId518" Type="http://schemas.openxmlformats.org/officeDocument/2006/relationships/hyperlink" Target="https://www.dol.gov/apprenticeship/toolkit/learn.htm" TargetMode="External"/><Relationship Id="rId115" Type="http://schemas.openxmlformats.org/officeDocument/2006/relationships/hyperlink" Target="https://www2.ed.gov/policy/speced/guid/rsa/subregulatory/pd-16-04.pdf" TargetMode="External"/><Relationship Id="rId157" Type="http://schemas.openxmlformats.org/officeDocument/2006/relationships/header" Target="header10.xml"/><Relationship Id="rId322" Type="http://schemas.openxmlformats.org/officeDocument/2006/relationships/chart" Target="charts/chart51.xml"/><Relationship Id="rId364" Type="http://schemas.openxmlformats.org/officeDocument/2006/relationships/image" Target="media/image49.png"/><Relationship Id="rId61" Type="http://schemas.openxmlformats.org/officeDocument/2006/relationships/image" Target="media/image13.png"/><Relationship Id="rId199" Type="http://schemas.openxmlformats.org/officeDocument/2006/relationships/hyperlink" Target="https://www2.ed.gov/rschstat/eval/rehab/supporting-documentation-for-case-service-report.pdf" TargetMode="External"/><Relationship Id="rId19" Type="http://schemas.openxmlformats.org/officeDocument/2006/relationships/chart" Target="charts/chart5.xml"/><Relationship Id="rId224" Type="http://schemas.openxmlformats.org/officeDocument/2006/relationships/chart" Target="charts/chart43.xml"/><Relationship Id="rId266" Type="http://schemas.openxmlformats.org/officeDocument/2006/relationships/hyperlink" Target="https://www2.ed.gov/policy/speced/guid/rsa/subregulatory/tac-17-03.pdf" TargetMode="External"/><Relationship Id="rId431" Type="http://schemas.openxmlformats.org/officeDocument/2006/relationships/footer" Target="footer29.xml"/><Relationship Id="rId473" Type="http://schemas.openxmlformats.org/officeDocument/2006/relationships/hyperlink" Target="http://www.deaftec.org/employers" TargetMode="External"/><Relationship Id="rId529" Type="http://schemas.openxmlformats.org/officeDocument/2006/relationships/header" Target="header25.xml"/><Relationship Id="rId30" Type="http://schemas.openxmlformats.org/officeDocument/2006/relationships/footer" Target="footer8.xml"/><Relationship Id="rId126" Type="http://schemas.openxmlformats.org/officeDocument/2006/relationships/image" Target="media/image21.png"/><Relationship Id="rId168" Type="http://schemas.openxmlformats.org/officeDocument/2006/relationships/chart" Target="charts/chart34.xml"/><Relationship Id="rId333" Type="http://schemas.openxmlformats.org/officeDocument/2006/relationships/hyperlink" Target="http://wintac-s3.s3-us-west-2.amazonaws.com/topic-areas/ta03_IntCompetEmpl/hi-part02-AccessibleICF-IntensiveSkillsTraining-andSupport.docx" TargetMode="External"/><Relationship Id="rId540" Type="http://schemas.openxmlformats.org/officeDocument/2006/relationships/footer" Target="footer41.xml"/><Relationship Id="rId72" Type="http://schemas.openxmlformats.org/officeDocument/2006/relationships/image" Target="media/image19.png"/><Relationship Id="rId375" Type="http://schemas.openxmlformats.org/officeDocument/2006/relationships/chart" Target="charts/chart71.xml"/><Relationship Id="rId3" Type="http://schemas.openxmlformats.org/officeDocument/2006/relationships/styles" Target="styles.xml"/><Relationship Id="rId235" Type="http://schemas.openxmlformats.org/officeDocument/2006/relationships/image" Target="media/image32.svg"/><Relationship Id="rId277" Type="http://schemas.openxmlformats.org/officeDocument/2006/relationships/hyperlink" Target="http://wintac-s3.s3-us-west-2.amazonaws.com/topic-areas/Ticket_to_Work_FAQ_abbreviated_version_4-3-17.docx" TargetMode="External"/><Relationship Id="rId400" Type="http://schemas.openxmlformats.org/officeDocument/2006/relationships/hyperlink" Target="http://wintac-s3.s3-us-west-2.amazonaws.com/topic-areas/ta07-tciplus-lmi/ViabilityFinal.docx" TargetMode="External"/><Relationship Id="rId442" Type="http://schemas.openxmlformats.org/officeDocument/2006/relationships/chart" Target="charts/chart98.xml"/><Relationship Id="rId484" Type="http://schemas.openxmlformats.org/officeDocument/2006/relationships/hyperlink" Target="http://nwadacenter.org/sites/adanw/files/files/Facts-Animals-RA_10-2012.pdf" TargetMode="External"/><Relationship Id="rId137" Type="http://schemas.openxmlformats.org/officeDocument/2006/relationships/chart" Target="charts/chart23.xml"/><Relationship Id="rId302" Type="http://schemas.openxmlformats.org/officeDocument/2006/relationships/hyperlink" Target="http://wintac-s3.s3-us-west-2.amazonaws.com/topic-areas/ta_IntegrationVR/Section188Guide.pdf" TargetMode="External"/><Relationship Id="rId344" Type="http://schemas.openxmlformats.org/officeDocument/2006/relationships/header" Target="header18.xml"/><Relationship Id="rId41" Type="http://schemas.openxmlformats.org/officeDocument/2006/relationships/chart" Target="charts/chart18.xml"/><Relationship Id="rId83" Type="http://schemas.openxmlformats.org/officeDocument/2006/relationships/hyperlink" Target="http://wintac-s3.s3-us-west-2.amazonaws.com/topic-areas/ta_PreETS/CSAVR-Fall-2017-Pre-ETS-Tracking-and-Reporting-Outline-PPT.pptx" TargetMode="External"/><Relationship Id="rId179" Type="http://schemas.openxmlformats.org/officeDocument/2006/relationships/hyperlink" Target="http://wintac-s3.s3-us-west-2.amazonaws.com/topic-areas/t05_CommonPerformance/t05_resources/Registered-Apprenticeships-RSA911-Tracking-Final-cn2.pdf" TargetMode="External"/><Relationship Id="rId386" Type="http://schemas.openxmlformats.org/officeDocument/2006/relationships/chart" Target="charts/chart81.xml"/><Relationship Id="rId190" Type="http://schemas.openxmlformats.org/officeDocument/2006/relationships/hyperlink" Target="https://www.doleta.gov/performance/pfdocs/ETA-9169-WIOA-State-and-Performance-Report-Template.pdf" TargetMode="External"/><Relationship Id="rId204" Type="http://schemas.openxmlformats.org/officeDocument/2006/relationships/hyperlink" Target="https://www.workforcegps.org/events/2016/09/27/13/05/WIOA_Wednesday_Performance_Accountability_Part_2" TargetMode="External"/><Relationship Id="rId246" Type="http://schemas.openxmlformats.org/officeDocument/2006/relationships/image" Target="media/image35.png"/><Relationship Id="rId288" Type="http://schemas.openxmlformats.org/officeDocument/2006/relationships/hyperlink" Target="https://www.youtube.com/playlist?list=PLRSw4FK3pwcDHw4o-wY4OZEHsYOKE6Qoq" TargetMode="External"/><Relationship Id="rId411" Type="http://schemas.openxmlformats.org/officeDocument/2006/relationships/chart" Target="charts/chart83.xml"/><Relationship Id="rId453" Type="http://schemas.openxmlformats.org/officeDocument/2006/relationships/hyperlink" Target="http://www.communityinclusion.org/article.php?article_id=209" TargetMode="External"/><Relationship Id="rId509" Type="http://schemas.openxmlformats.org/officeDocument/2006/relationships/hyperlink" Target="https://www.explorevr.org/sites/explorevr.org/files/files/apprenticeship%20guide_WEB_F.pdf" TargetMode="External"/><Relationship Id="rId106" Type="http://schemas.openxmlformats.org/officeDocument/2006/relationships/hyperlink" Target="https://sites.ed.gov/idea/files/increasing-postsecondary-opportunities-and-success-09-17-2019.pdf" TargetMode="External"/><Relationship Id="rId313" Type="http://schemas.openxmlformats.org/officeDocument/2006/relationships/chart" Target="charts/chart48.xml"/><Relationship Id="rId495" Type="http://schemas.openxmlformats.org/officeDocument/2006/relationships/header" Target="header22.xml"/><Relationship Id="rId10" Type="http://schemas.openxmlformats.org/officeDocument/2006/relationships/header" Target="header2.xml"/><Relationship Id="rId52" Type="http://schemas.microsoft.com/office/2014/relationships/chartEx" Target="charts/chartEx5.xml"/><Relationship Id="rId94" Type="http://schemas.openxmlformats.org/officeDocument/2006/relationships/hyperlink" Target="http://www.wintac.org/topic-areas/pre-employment-transition-services/resources/interagency-agreement-language-examples" TargetMode="External"/><Relationship Id="rId148" Type="http://schemas.openxmlformats.org/officeDocument/2006/relationships/hyperlink" Target="http://wintac-s3.s3-us-west-2.amazonaws.com/topic-areas/ta_511/SubWage_Letter_to_Employee_Parent_Guardian.doc" TargetMode="External"/><Relationship Id="rId355" Type="http://schemas.openxmlformats.org/officeDocument/2006/relationships/chart" Target="charts/chart64.xml"/><Relationship Id="rId397" Type="http://schemas.openxmlformats.org/officeDocument/2006/relationships/hyperlink" Target="http://wintac-s3.s3-us-west-2.amazonaws.com/topic-areas/ta07-tciplus-lmi/RelatedJobsFinal.docx" TargetMode="External"/><Relationship Id="rId520" Type="http://schemas.openxmlformats.org/officeDocument/2006/relationships/hyperlink" Target="http://www.nationalskillscoalition.org/state-policy/fact-sheets" TargetMode="External"/><Relationship Id="rId215" Type="http://schemas.openxmlformats.org/officeDocument/2006/relationships/image" Target="media/image25.png"/><Relationship Id="rId257" Type="http://schemas.openxmlformats.org/officeDocument/2006/relationships/image" Target="media/image54.svg"/><Relationship Id="rId422" Type="http://schemas.openxmlformats.org/officeDocument/2006/relationships/image" Target="media/image55.png"/><Relationship Id="rId464" Type="http://schemas.openxmlformats.org/officeDocument/2006/relationships/hyperlink" Target="http://www.miltwright.com/topics/Windmills-TT.htm" TargetMode="External"/><Relationship Id="rId299" Type="http://schemas.openxmlformats.org/officeDocument/2006/relationships/hyperlink" Target="http://leadcenter.org/resources/report-brief/enabling-financial-capability-along-road-financial-inclusion" TargetMode="External"/><Relationship Id="rId63" Type="http://schemas.openxmlformats.org/officeDocument/2006/relationships/image" Target="media/image14.png"/><Relationship Id="rId159" Type="http://schemas.openxmlformats.org/officeDocument/2006/relationships/footer" Target="footer14.xml"/><Relationship Id="rId366" Type="http://schemas.openxmlformats.org/officeDocument/2006/relationships/image" Target="media/image51.png"/><Relationship Id="rId226" Type="http://schemas.openxmlformats.org/officeDocument/2006/relationships/chart" Target="charts/chart45.xml"/><Relationship Id="rId433" Type="http://schemas.openxmlformats.org/officeDocument/2006/relationships/chart" Target="charts/chart93.xml"/><Relationship Id="rId74" Type="http://schemas.openxmlformats.org/officeDocument/2006/relationships/hyperlink" Target="http://wintac-s3.s3-us-west-2.amazonaws.com/topic-areas/t05_CommonPerformance/t05_resources/Registered-Apprenticeships-RSA911-Tracking-Final-cn2.pdf" TargetMode="External"/><Relationship Id="rId377" Type="http://schemas.openxmlformats.org/officeDocument/2006/relationships/chart" Target="charts/chart73.xml"/><Relationship Id="rId500" Type="http://schemas.openxmlformats.org/officeDocument/2006/relationships/footer" Target="footer34.xml"/><Relationship Id="rId5" Type="http://schemas.openxmlformats.org/officeDocument/2006/relationships/webSettings" Target="webSettings.xml"/><Relationship Id="rId237" Type="http://schemas.openxmlformats.org/officeDocument/2006/relationships/image" Target="media/image34.svg"/><Relationship Id="rId444" Type="http://schemas.openxmlformats.org/officeDocument/2006/relationships/chart" Target="charts/chart100.xml"/><Relationship Id="rId290" Type="http://schemas.openxmlformats.org/officeDocument/2006/relationships/hyperlink" Target="http://wintac-s3.s3-us-west-2.amazonaws.com/topic-areas/ta_IntegrationVR/IDB_GUIDE_final.pdf" TargetMode="External"/><Relationship Id="rId304" Type="http://schemas.openxmlformats.org/officeDocument/2006/relationships/hyperlink" Target="http://wintac-s3.s3-us-west-2.amazonaws.com/topic-areas/ta_IntegrationVR/DEI_InformationBrief_October2015.pdf" TargetMode="External"/><Relationship Id="rId388" Type="http://schemas.openxmlformats.org/officeDocument/2006/relationships/image" Target="media/image54.png"/><Relationship Id="rId511" Type="http://schemas.openxmlformats.org/officeDocument/2006/relationships/hyperlink" Target="https://www.doleta.gov/oa/eeo/_assets-eeo/pdf/EEO_Rule_Overview_Fact_Sheet.pdf" TargetMode="External"/></Relationships>
</file>

<file path=word/_rels/numbering.xml.rels><?xml version="1.0" encoding="UTF-8" standalone="yes"?>
<Relationships xmlns="http://schemas.openxmlformats.org/package/2006/relationships"><Relationship Id="rId2" Type="http://schemas.openxmlformats.org/officeDocument/2006/relationships/image" Target="media/image2.gif"/><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oleObject" Target="NULL" TargetMode="External"/></Relationships>
</file>

<file path=word/charts/_rels/chart10.xml.rels><?xml version="1.0" encoding="UTF-8" standalone="yes"?>
<Relationships xmlns="http://schemas.openxmlformats.org/package/2006/relationships"><Relationship Id="rId3" Type="http://schemas.openxmlformats.org/officeDocument/2006/relationships/themeOverride" Target="../theme/themeOverride9.xml"/><Relationship Id="rId2" Type="http://schemas.microsoft.com/office/2011/relationships/chartColorStyle" Target="colors10.xml"/><Relationship Id="rId1" Type="http://schemas.microsoft.com/office/2011/relationships/chartStyle" Target="style10.xml"/><Relationship Id="rId5" Type="http://schemas.openxmlformats.org/officeDocument/2006/relationships/chartUserShapes" Target="../drawings/drawing3.xml"/><Relationship Id="rId4" Type="http://schemas.openxmlformats.org/officeDocument/2006/relationships/oleObject" Target="file:///A:\Dropbox\Dropbox\BBI\grants_proposals\wintac\ita\ITA%20Tracking%20Sheet%20Year%204-Q4-charts-activities-working-doc-charts.xlsx" TargetMode="External"/></Relationships>
</file>

<file path=word/charts/_rels/chart100.xml.rels><?xml version="1.0" encoding="UTF-8" standalone="yes"?>
<Relationships xmlns="http://schemas.openxmlformats.org/package/2006/relationships"><Relationship Id="rId3" Type="http://schemas.openxmlformats.org/officeDocument/2006/relationships/themeOverride" Target="../theme/themeOverride83.xml"/><Relationship Id="rId2" Type="http://schemas.microsoft.com/office/2011/relationships/chartColorStyle" Target="colors108.xml"/><Relationship Id="rId1" Type="http://schemas.microsoft.com/office/2011/relationships/chartStyle" Target="style108.xml"/><Relationship Id="rId5" Type="http://schemas.openxmlformats.org/officeDocument/2006/relationships/chartUserShapes" Target="../drawings/drawing72.xml"/><Relationship Id="rId4" Type="http://schemas.openxmlformats.org/officeDocument/2006/relationships/oleObject" Target="file:///A:\Dropbox\Dropbox\BBI\grants_proposals\wintac\ita\ITA%20Tracking%20Sheet%20Year%204-Q4-charts-activities-outcomes%20charts.xlsx" TargetMode="External"/></Relationships>
</file>

<file path=word/charts/_rels/chart101.xml.rels><?xml version="1.0" encoding="UTF-8" standalone="yes"?>
<Relationships xmlns="http://schemas.openxmlformats.org/package/2006/relationships"><Relationship Id="rId3" Type="http://schemas.openxmlformats.org/officeDocument/2006/relationships/themeOverride" Target="../theme/themeOverride84.xml"/><Relationship Id="rId2" Type="http://schemas.microsoft.com/office/2011/relationships/chartColorStyle" Target="colors109.xml"/><Relationship Id="rId1" Type="http://schemas.microsoft.com/office/2011/relationships/chartStyle" Target="style109.xml"/><Relationship Id="rId5" Type="http://schemas.openxmlformats.org/officeDocument/2006/relationships/chartUserShapes" Target="../drawings/drawing73.xml"/><Relationship Id="rId4" Type="http://schemas.openxmlformats.org/officeDocument/2006/relationships/oleObject" Target="file:///A:\Dropbox\Dropbox\BBI\grants_proposals\wintac\ita\ITA%20Tracking%20Sheet%20Year%204-Q4-charts-activities-outcomes%20charts.xlsx" TargetMode="External"/></Relationships>
</file>

<file path=word/charts/_rels/chart102.xml.rels><?xml version="1.0" encoding="UTF-8" standalone="yes"?>
<Relationships xmlns="http://schemas.openxmlformats.org/package/2006/relationships"><Relationship Id="rId3" Type="http://schemas.openxmlformats.org/officeDocument/2006/relationships/themeOverride" Target="../theme/themeOverride85.xml"/><Relationship Id="rId2" Type="http://schemas.microsoft.com/office/2011/relationships/chartColorStyle" Target="colors110.xml"/><Relationship Id="rId1" Type="http://schemas.microsoft.com/office/2011/relationships/chartStyle" Target="style110.xml"/><Relationship Id="rId5" Type="http://schemas.openxmlformats.org/officeDocument/2006/relationships/chartUserShapes" Target="../drawings/drawing74.xml"/><Relationship Id="rId4" Type="http://schemas.openxmlformats.org/officeDocument/2006/relationships/package" Target="../embeddings/Microsoft_Excel_Worksheet4.xlsx"/></Relationships>
</file>

<file path=word/charts/_rels/chart103.xml.rels><?xml version="1.0" encoding="UTF-8" standalone="yes"?>
<Relationships xmlns="http://schemas.openxmlformats.org/package/2006/relationships"><Relationship Id="rId3" Type="http://schemas.openxmlformats.org/officeDocument/2006/relationships/themeOverride" Target="../theme/themeOverride86.xml"/><Relationship Id="rId2" Type="http://schemas.microsoft.com/office/2011/relationships/chartColorStyle" Target="colors111.xml"/><Relationship Id="rId1" Type="http://schemas.microsoft.com/office/2011/relationships/chartStyle" Target="style111.xml"/><Relationship Id="rId5" Type="http://schemas.openxmlformats.org/officeDocument/2006/relationships/chartUserShapes" Target="../drawings/drawing75.xml"/><Relationship Id="rId4" Type="http://schemas.openxmlformats.org/officeDocument/2006/relationships/package" Target="../embeddings/Microsoft_Excel_Worksheet5.xlsx"/></Relationships>
</file>

<file path=word/charts/_rels/chart104.xml.rels><?xml version="1.0" encoding="UTF-8" standalone="yes"?>
<Relationships xmlns="http://schemas.openxmlformats.org/package/2006/relationships"><Relationship Id="rId3" Type="http://schemas.openxmlformats.org/officeDocument/2006/relationships/themeOverride" Target="../theme/themeOverride87.xml"/><Relationship Id="rId2" Type="http://schemas.microsoft.com/office/2011/relationships/chartColorStyle" Target="colors112.xml"/><Relationship Id="rId1" Type="http://schemas.microsoft.com/office/2011/relationships/chartStyle" Target="style112.xml"/><Relationship Id="rId5" Type="http://schemas.openxmlformats.org/officeDocument/2006/relationships/chartUserShapes" Target="../drawings/drawing76.xml"/><Relationship Id="rId4" Type="http://schemas.openxmlformats.org/officeDocument/2006/relationships/oleObject" Target="file:///A:\Dropbox\Dropbox\BBI\grants_proposals\wintac\ita\ITA%20Tracking%20Sheet%20Year%204-Q4-charts-activities-outcomes%20charts.xlsx" TargetMode="External"/></Relationships>
</file>

<file path=word/charts/_rels/chart105.xml.rels><?xml version="1.0" encoding="UTF-8" standalone="yes"?>
<Relationships xmlns="http://schemas.openxmlformats.org/package/2006/relationships"><Relationship Id="rId3" Type="http://schemas.openxmlformats.org/officeDocument/2006/relationships/themeOverride" Target="../theme/themeOverride88.xml"/><Relationship Id="rId2" Type="http://schemas.microsoft.com/office/2011/relationships/chartColorStyle" Target="colors113.xml"/><Relationship Id="rId1" Type="http://schemas.microsoft.com/office/2011/relationships/chartStyle" Target="style113.xml"/><Relationship Id="rId5" Type="http://schemas.openxmlformats.org/officeDocument/2006/relationships/chartUserShapes" Target="../drawings/drawing77.xml"/><Relationship Id="rId4" Type="http://schemas.openxmlformats.org/officeDocument/2006/relationships/oleObject" Target="file:///A:\Dropbox\Dropbox\BBI\grants_proposals\wintac\ita\ITA%20Tracking%20Sheet%20Year%204-Q4-charts-activities-outcomes%20charts.xlsx" TargetMode="External"/></Relationships>
</file>

<file path=word/charts/_rels/chart106.xml.rels><?xml version="1.0" encoding="UTF-8" standalone="yes"?>
<Relationships xmlns="http://schemas.openxmlformats.org/package/2006/relationships"><Relationship Id="rId3" Type="http://schemas.openxmlformats.org/officeDocument/2006/relationships/oleObject" Target="file:///A:\Dropbox\Dropbox\BBI\grants_proposals\wintac\ita\ITA%20Tracking%20Sheet%20Year%204-Q4-charts-activities-working-doc-120619.xlsx" TargetMode="External"/><Relationship Id="rId2" Type="http://schemas.microsoft.com/office/2011/relationships/chartColorStyle" Target="colors114.xml"/><Relationship Id="rId1" Type="http://schemas.microsoft.com/office/2011/relationships/chartStyle" Target="style114.xml"/></Relationships>
</file>

<file path=word/charts/_rels/chart107.xml.rels><?xml version="1.0" encoding="UTF-8" standalone="yes"?>
<Relationships xmlns="http://schemas.openxmlformats.org/package/2006/relationships"><Relationship Id="rId3" Type="http://schemas.openxmlformats.org/officeDocument/2006/relationships/themeOverride" Target="../theme/themeOverride89.xml"/><Relationship Id="rId2" Type="http://schemas.microsoft.com/office/2011/relationships/chartColorStyle" Target="colors115.xml"/><Relationship Id="rId1" Type="http://schemas.microsoft.com/office/2011/relationships/chartStyle" Target="style115.xml"/><Relationship Id="rId5" Type="http://schemas.openxmlformats.org/officeDocument/2006/relationships/chartUserShapes" Target="../drawings/drawing78.xml"/><Relationship Id="rId4" Type="http://schemas.openxmlformats.org/officeDocument/2006/relationships/oleObject" Target="file:///A:\Dropbox\Dropbox\BBI\grants_proposals\wintac\ita\ITA%20Tracking%20Sheet%20Year%204-Q4-charts-activities-working-doc-charts.xlsx" TargetMode="External"/></Relationships>
</file>

<file path=word/charts/_rels/chart108.xml.rels><?xml version="1.0" encoding="UTF-8" standalone="yes"?>
<Relationships xmlns="http://schemas.openxmlformats.org/package/2006/relationships"><Relationship Id="rId3" Type="http://schemas.openxmlformats.org/officeDocument/2006/relationships/themeOverride" Target="../theme/themeOverride90.xml"/><Relationship Id="rId2" Type="http://schemas.microsoft.com/office/2011/relationships/chartColorStyle" Target="colors116.xml"/><Relationship Id="rId1" Type="http://schemas.microsoft.com/office/2011/relationships/chartStyle" Target="style116.xml"/><Relationship Id="rId5" Type="http://schemas.openxmlformats.org/officeDocument/2006/relationships/chartUserShapes" Target="../drawings/drawing79.xml"/><Relationship Id="rId4" Type="http://schemas.openxmlformats.org/officeDocument/2006/relationships/oleObject" Target="file:///A:\Dropbox\Dropbox\BBI\grants_proposals\wintac\ita\ITA%20Tracking%20Sheet%20Year%204-Q4-charts-activities-working-doc-charts.xlsx" TargetMode="External"/></Relationships>
</file>

<file path=word/charts/_rels/chart11.xml.rels><?xml version="1.0" encoding="UTF-8" standalone="yes"?>
<Relationships xmlns="http://schemas.openxmlformats.org/package/2006/relationships"><Relationship Id="rId3" Type="http://schemas.openxmlformats.org/officeDocument/2006/relationships/themeOverride" Target="../theme/themeOverride10.xml"/><Relationship Id="rId2" Type="http://schemas.microsoft.com/office/2011/relationships/chartColorStyle" Target="colors11.xml"/><Relationship Id="rId1" Type="http://schemas.microsoft.com/office/2011/relationships/chartStyle" Target="style11.xml"/><Relationship Id="rId4" Type="http://schemas.openxmlformats.org/officeDocument/2006/relationships/oleObject" Target="file:///A:\Dropbox\Dropbox\BBI\grants_proposals\wintac\ita\ITA%20Tracking%20Sheet%20Year%204-Q4-charts-activities-working-doc-charts.xlsx" TargetMode="External"/></Relationships>
</file>

<file path=word/charts/_rels/chart12.xml.rels><?xml version="1.0" encoding="UTF-8" standalone="yes"?>
<Relationships xmlns="http://schemas.openxmlformats.org/package/2006/relationships"><Relationship Id="rId3" Type="http://schemas.openxmlformats.org/officeDocument/2006/relationships/themeOverride" Target="../theme/themeOverride11.xml"/><Relationship Id="rId2" Type="http://schemas.microsoft.com/office/2011/relationships/chartColorStyle" Target="colors12.xml"/><Relationship Id="rId1" Type="http://schemas.microsoft.com/office/2011/relationships/chartStyle" Target="style12.xml"/><Relationship Id="rId5" Type="http://schemas.openxmlformats.org/officeDocument/2006/relationships/chartUserShapes" Target="../drawings/drawing4.xml"/><Relationship Id="rId4" Type="http://schemas.openxmlformats.org/officeDocument/2006/relationships/oleObject" Target="file:///A:\Dropbox\Dropbox\BBI\grants_proposals\wintac\ita\ITA%20Tracking%20Sheet%20Year%204-Q4-charts-activities-working-doc-charts.xlsx" TargetMode="External"/></Relationships>
</file>

<file path=word/charts/_rels/chart13.xml.rels><?xml version="1.0" encoding="UTF-8" standalone="yes"?>
<Relationships xmlns="http://schemas.openxmlformats.org/package/2006/relationships"><Relationship Id="rId3" Type="http://schemas.openxmlformats.org/officeDocument/2006/relationships/themeOverride" Target="../theme/themeOverride12.xml"/><Relationship Id="rId2" Type="http://schemas.microsoft.com/office/2011/relationships/chartColorStyle" Target="colors13.xml"/><Relationship Id="rId1" Type="http://schemas.microsoft.com/office/2011/relationships/chartStyle" Target="style13.xml"/><Relationship Id="rId5" Type="http://schemas.openxmlformats.org/officeDocument/2006/relationships/chartUserShapes" Target="../drawings/drawing5.xml"/><Relationship Id="rId4" Type="http://schemas.openxmlformats.org/officeDocument/2006/relationships/oleObject" Target="file:///A:\Dropbox\Dropbox\BBI\grants_proposals\wintac\ita\ITA%20Tracking%20Sheet%20Year%204-Q4-charts-activities-working-doc-charts.xlsx" TargetMode="External"/></Relationships>
</file>

<file path=word/charts/_rels/chart14.xml.rels><?xml version="1.0" encoding="UTF-8" standalone="yes"?>
<Relationships xmlns="http://schemas.openxmlformats.org/package/2006/relationships"><Relationship Id="rId3" Type="http://schemas.openxmlformats.org/officeDocument/2006/relationships/themeOverride" Target="../theme/themeOverride13.xml"/><Relationship Id="rId2" Type="http://schemas.microsoft.com/office/2011/relationships/chartColorStyle" Target="colors14.xml"/><Relationship Id="rId1" Type="http://schemas.microsoft.com/office/2011/relationships/chartStyle" Target="style14.xml"/><Relationship Id="rId5" Type="http://schemas.openxmlformats.org/officeDocument/2006/relationships/chartUserShapes" Target="../drawings/drawing6.xml"/><Relationship Id="rId4" Type="http://schemas.openxmlformats.org/officeDocument/2006/relationships/oleObject" Target="file:///A:\Dropbox\Dropbox\BBI\grants_proposals\wintac\ita\ITA%20Tracking%20Sheet%20Year%204-Q4-charts-activities-working-doc-charts.xlsx" TargetMode="External"/></Relationships>
</file>

<file path=word/charts/_rels/chart15.xml.rels><?xml version="1.0" encoding="UTF-8" standalone="yes"?>
<Relationships xmlns="http://schemas.openxmlformats.org/package/2006/relationships"><Relationship Id="rId3" Type="http://schemas.openxmlformats.org/officeDocument/2006/relationships/themeOverride" Target="../theme/themeOverride14.xml"/><Relationship Id="rId2" Type="http://schemas.microsoft.com/office/2011/relationships/chartColorStyle" Target="colors15.xml"/><Relationship Id="rId1" Type="http://schemas.microsoft.com/office/2011/relationships/chartStyle" Target="style15.xml"/><Relationship Id="rId5" Type="http://schemas.openxmlformats.org/officeDocument/2006/relationships/chartUserShapes" Target="../drawings/drawing7.xml"/><Relationship Id="rId4" Type="http://schemas.openxmlformats.org/officeDocument/2006/relationships/oleObject" Target="file:///A:\Dropbox\Dropbox\BBI\grants_proposals\wintac\ita\ITA%20Tracking%20Sheet%20Year%204-Q4-charts-activities-working-doc-charts.xlsx" TargetMode="External"/></Relationships>
</file>

<file path=word/charts/_rels/chart16.xml.rels><?xml version="1.0" encoding="UTF-8" standalone="yes"?>
<Relationships xmlns="http://schemas.openxmlformats.org/package/2006/relationships"><Relationship Id="rId3" Type="http://schemas.openxmlformats.org/officeDocument/2006/relationships/themeOverride" Target="../theme/themeOverride15.xml"/><Relationship Id="rId2" Type="http://schemas.microsoft.com/office/2011/relationships/chartColorStyle" Target="colors16.xml"/><Relationship Id="rId1" Type="http://schemas.microsoft.com/office/2011/relationships/chartStyle" Target="style16.xml"/><Relationship Id="rId5" Type="http://schemas.openxmlformats.org/officeDocument/2006/relationships/chartUserShapes" Target="../drawings/drawing8.xml"/><Relationship Id="rId4" Type="http://schemas.openxmlformats.org/officeDocument/2006/relationships/oleObject" Target="file:///A:\Dropbox\Dropbox\BBI\grants_proposals\wintac\ita\ITA%20Tracking%20Sheet%20Year%204-Q4-charts-activities-working-doc-charts.xlsx" TargetMode="External"/></Relationships>
</file>

<file path=word/charts/_rels/chart17.xml.rels><?xml version="1.0" encoding="UTF-8" standalone="yes"?>
<Relationships xmlns="http://schemas.openxmlformats.org/package/2006/relationships"><Relationship Id="rId3" Type="http://schemas.openxmlformats.org/officeDocument/2006/relationships/themeOverride" Target="../theme/themeOverride16.xml"/><Relationship Id="rId2" Type="http://schemas.microsoft.com/office/2011/relationships/chartColorStyle" Target="colors17.xml"/><Relationship Id="rId1" Type="http://schemas.microsoft.com/office/2011/relationships/chartStyle" Target="style17.xml"/><Relationship Id="rId5" Type="http://schemas.openxmlformats.org/officeDocument/2006/relationships/chartUserShapes" Target="../drawings/drawing9.xml"/><Relationship Id="rId4" Type="http://schemas.openxmlformats.org/officeDocument/2006/relationships/oleObject" Target="file:///A:\Dropbox\Dropbox\BBI\grants_proposals\wintac\ita\ITA%20Tracking%20Sheet%20Year%204-Q4-charts-activities-working-doc-charts.xlsx" TargetMode="External"/></Relationships>
</file>

<file path=word/charts/_rels/chart18.xml.rels><?xml version="1.0" encoding="UTF-8" standalone="yes"?>
<Relationships xmlns="http://schemas.openxmlformats.org/package/2006/relationships"><Relationship Id="rId3" Type="http://schemas.openxmlformats.org/officeDocument/2006/relationships/themeOverride" Target="../theme/themeOverride17.xml"/><Relationship Id="rId2" Type="http://schemas.microsoft.com/office/2011/relationships/chartColorStyle" Target="colors18.xml"/><Relationship Id="rId1" Type="http://schemas.microsoft.com/office/2011/relationships/chartStyle" Target="style18.xml"/><Relationship Id="rId5" Type="http://schemas.openxmlformats.org/officeDocument/2006/relationships/chartUserShapes" Target="../drawings/drawing10.xml"/><Relationship Id="rId4" Type="http://schemas.openxmlformats.org/officeDocument/2006/relationships/oleObject" Target="file:///A:\Dropbox\Dropbox\BBI\grants_proposals\wintac\ita\ITA%20Tracking%20Sheet%20Year%204-Q4-charts-activities-working-doc-charts.xlsx" TargetMode="External"/></Relationships>
</file>

<file path=word/charts/_rels/chart19.xml.rels><?xml version="1.0" encoding="UTF-8" standalone="yes"?>
<Relationships xmlns="http://schemas.openxmlformats.org/package/2006/relationships"><Relationship Id="rId3" Type="http://schemas.openxmlformats.org/officeDocument/2006/relationships/oleObject" Target="file:///A:\Dropbox\Dropbox\BBI\grants_proposals\wintac\ita\ITA%20Tracking%20Sheet%20Year%204-Q4-charts-activities-working-doc-120619.xlsx" TargetMode="External"/><Relationship Id="rId2" Type="http://schemas.microsoft.com/office/2011/relationships/chartColorStyle" Target="colors26.xml"/><Relationship Id="rId1" Type="http://schemas.microsoft.com/office/2011/relationships/chartStyle" Target="style26.xml"/></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oleObject" Target="NULL" TargetMode="External"/></Relationships>
</file>

<file path=word/charts/_rels/chart20.xml.rels><?xml version="1.0" encoding="UTF-8" standalone="yes"?>
<Relationships xmlns="http://schemas.openxmlformats.org/package/2006/relationships"><Relationship Id="rId3" Type="http://schemas.openxmlformats.org/officeDocument/2006/relationships/themeOverride" Target="../theme/themeOverride18.xml"/><Relationship Id="rId2" Type="http://schemas.microsoft.com/office/2011/relationships/chartColorStyle" Target="colors27.xml"/><Relationship Id="rId1" Type="http://schemas.microsoft.com/office/2011/relationships/chartStyle" Target="style27.xml"/><Relationship Id="rId5" Type="http://schemas.openxmlformats.org/officeDocument/2006/relationships/chartUserShapes" Target="../drawings/drawing11.xml"/><Relationship Id="rId4" Type="http://schemas.openxmlformats.org/officeDocument/2006/relationships/oleObject" Target="file:///A:\Dropbox\Dropbox\BBI\grants_proposals\wintac\ita\ITA%20Tracking%20Sheet%20Year%204-Q4-charts-activities-working-doc-charts.xlsx" TargetMode="External"/></Relationships>
</file>

<file path=word/charts/_rels/chart21.xml.rels><?xml version="1.0" encoding="UTF-8" standalone="yes"?>
<Relationships xmlns="http://schemas.openxmlformats.org/package/2006/relationships"><Relationship Id="rId3" Type="http://schemas.openxmlformats.org/officeDocument/2006/relationships/themeOverride" Target="../theme/themeOverride19.xml"/><Relationship Id="rId2" Type="http://schemas.microsoft.com/office/2011/relationships/chartColorStyle" Target="colors28.xml"/><Relationship Id="rId1" Type="http://schemas.microsoft.com/office/2011/relationships/chartStyle" Target="style28.xml"/><Relationship Id="rId5" Type="http://schemas.openxmlformats.org/officeDocument/2006/relationships/chartUserShapes" Target="../drawings/drawing12.xml"/><Relationship Id="rId4" Type="http://schemas.openxmlformats.org/officeDocument/2006/relationships/oleObject" Target="file:///A:\Dropbox\Dropbox\BBI\grants_proposals\wintac\ita\ITA%20Tracking%20Sheet%20Year%204-Q4-charts-activities-working-doc-charts.xlsx" TargetMode="External"/></Relationships>
</file>

<file path=word/charts/_rels/chart22.xml.rels><?xml version="1.0" encoding="UTF-8" standalone="yes"?>
<Relationships xmlns="http://schemas.openxmlformats.org/package/2006/relationships"><Relationship Id="rId3" Type="http://schemas.openxmlformats.org/officeDocument/2006/relationships/themeOverride" Target="../theme/themeOverride20.xml"/><Relationship Id="rId2" Type="http://schemas.microsoft.com/office/2011/relationships/chartColorStyle" Target="colors29.xml"/><Relationship Id="rId1" Type="http://schemas.microsoft.com/office/2011/relationships/chartStyle" Target="style29.xml"/><Relationship Id="rId5" Type="http://schemas.openxmlformats.org/officeDocument/2006/relationships/chartUserShapes" Target="../drawings/drawing13.xml"/><Relationship Id="rId4" Type="http://schemas.openxmlformats.org/officeDocument/2006/relationships/oleObject" Target="file:///A:\Dropbox\Dropbox\BBI\grants_proposals\wintac\ita\ITA%20Tracking%20Sheet%20Year%204-Q4-charts-activities-working-doc-charts.xlsx" TargetMode="External"/></Relationships>
</file>

<file path=word/charts/_rels/chart23.xml.rels><?xml version="1.0" encoding="UTF-8" standalone="yes"?>
<Relationships xmlns="http://schemas.openxmlformats.org/package/2006/relationships"><Relationship Id="rId3" Type="http://schemas.openxmlformats.org/officeDocument/2006/relationships/themeOverride" Target="../theme/themeOverride21.xml"/><Relationship Id="rId2" Type="http://schemas.microsoft.com/office/2011/relationships/chartColorStyle" Target="colors30.xml"/><Relationship Id="rId1" Type="http://schemas.microsoft.com/office/2011/relationships/chartStyle" Target="style30.xml"/><Relationship Id="rId5" Type="http://schemas.openxmlformats.org/officeDocument/2006/relationships/chartUserShapes" Target="../drawings/drawing14.xml"/><Relationship Id="rId4" Type="http://schemas.openxmlformats.org/officeDocument/2006/relationships/oleObject" Target="file:///A:\Dropbox\Dropbox\BBI\grants_proposals\wintac\ita\ITA%20Tracking%20Sheet%20Year%204-Q4-charts-activities-working-doc-charts.xlsx" TargetMode="External"/></Relationships>
</file>

<file path=word/charts/_rels/chart24.xml.rels><?xml version="1.0" encoding="UTF-8" standalone="yes"?>
<Relationships xmlns="http://schemas.openxmlformats.org/package/2006/relationships"><Relationship Id="rId3" Type="http://schemas.openxmlformats.org/officeDocument/2006/relationships/themeOverride" Target="../theme/themeOverride22.xml"/><Relationship Id="rId2" Type="http://schemas.microsoft.com/office/2011/relationships/chartColorStyle" Target="colors31.xml"/><Relationship Id="rId1" Type="http://schemas.microsoft.com/office/2011/relationships/chartStyle" Target="style31.xml"/><Relationship Id="rId5" Type="http://schemas.openxmlformats.org/officeDocument/2006/relationships/chartUserShapes" Target="../drawings/drawing15.xml"/><Relationship Id="rId4" Type="http://schemas.openxmlformats.org/officeDocument/2006/relationships/oleObject" Target="file:///A:\Dropbox\Dropbox\BBI\grants_proposals\wintac\ita\ITA%20Tracking%20Sheet%20Year%204-Q4-charts-activities-working-doc-charts.xlsx" TargetMode="External"/></Relationships>
</file>

<file path=word/charts/_rels/chart25.xml.rels><?xml version="1.0" encoding="UTF-8" standalone="yes"?>
<Relationships xmlns="http://schemas.openxmlformats.org/package/2006/relationships"><Relationship Id="rId3" Type="http://schemas.openxmlformats.org/officeDocument/2006/relationships/themeOverride" Target="../theme/themeOverride23.xml"/><Relationship Id="rId2" Type="http://schemas.microsoft.com/office/2011/relationships/chartColorStyle" Target="colors32.xml"/><Relationship Id="rId1" Type="http://schemas.microsoft.com/office/2011/relationships/chartStyle" Target="style32.xml"/><Relationship Id="rId5" Type="http://schemas.openxmlformats.org/officeDocument/2006/relationships/chartUserShapes" Target="../drawings/drawing16.xml"/><Relationship Id="rId4" Type="http://schemas.openxmlformats.org/officeDocument/2006/relationships/oleObject" Target="file:///A:\Dropbox\Dropbox\BBI\grants_proposals\wintac\ita\ITA%20Tracking%20Sheet%20Year%204-Q4-charts-activities-working-doc-charts.xlsx" TargetMode="External"/></Relationships>
</file>

<file path=word/charts/_rels/chart26.xml.rels><?xml version="1.0" encoding="UTF-8" standalone="yes"?>
<Relationships xmlns="http://schemas.openxmlformats.org/package/2006/relationships"><Relationship Id="rId3" Type="http://schemas.openxmlformats.org/officeDocument/2006/relationships/themeOverride" Target="../theme/themeOverride24.xml"/><Relationship Id="rId2" Type="http://schemas.microsoft.com/office/2011/relationships/chartColorStyle" Target="colors33.xml"/><Relationship Id="rId1" Type="http://schemas.microsoft.com/office/2011/relationships/chartStyle" Target="style33.xml"/><Relationship Id="rId5" Type="http://schemas.openxmlformats.org/officeDocument/2006/relationships/chartUserShapes" Target="../drawings/drawing17.xml"/><Relationship Id="rId4" Type="http://schemas.openxmlformats.org/officeDocument/2006/relationships/oleObject" Target="file:///A:\Dropbox\Dropbox\BBI\grants_proposals\wintac\ita\ITA%20Tracking%20Sheet%20Year%204-Q4-charts-activities-working-doc-charts.xlsx" TargetMode="External"/></Relationships>
</file>

<file path=word/charts/_rels/chart27.xml.rels><?xml version="1.0" encoding="UTF-8" standalone="yes"?>
<Relationships xmlns="http://schemas.openxmlformats.org/package/2006/relationships"><Relationship Id="rId3" Type="http://schemas.openxmlformats.org/officeDocument/2006/relationships/themeOverride" Target="../theme/themeOverride25.xml"/><Relationship Id="rId2" Type="http://schemas.microsoft.com/office/2011/relationships/chartColorStyle" Target="colors34.xml"/><Relationship Id="rId1" Type="http://schemas.microsoft.com/office/2011/relationships/chartStyle" Target="style34.xml"/><Relationship Id="rId5" Type="http://schemas.openxmlformats.org/officeDocument/2006/relationships/chartUserShapes" Target="../drawings/drawing18.xml"/><Relationship Id="rId4" Type="http://schemas.openxmlformats.org/officeDocument/2006/relationships/oleObject" Target="file:///A:\Dropbox\Dropbox\BBI\grants_proposals\wintac\ita\ITA%20Tracking%20Sheet%20Year%204-Q4-charts-activities-working-doc-charts.xlsx" TargetMode="External"/></Relationships>
</file>

<file path=word/charts/_rels/chart28.xml.rels><?xml version="1.0" encoding="UTF-8" standalone="yes"?>
<Relationships xmlns="http://schemas.openxmlformats.org/package/2006/relationships"><Relationship Id="rId3" Type="http://schemas.openxmlformats.org/officeDocument/2006/relationships/oleObject" Target="file:///A:\Dropbox\Dropbox\BBI\grants_proposals\wintac\ita\ITA%20Tracking%20Sheet%20Year%204-Q4-charts-activities-working-doc-121019.xlsx" TargetMode="External"/><Relationship Id="rId2" Type="http://schemas.microsoft.com/office/2011/relationships/chartColorStyle" Target="colors35.xml"/><Relationship Id="rId1" Type="http://schemas.microsoft.com/office/2011/relationships/chartStyle" Target="style35.xml"/></Relationships>
</file>

<file path=word/charts/_rels/chart29.xml.rels><?xml version="1.0" encoding="UTF-8" standalone="yes"?>
<Relationships xmlns="http://schemas.openxmlformats.org/package/2006/relationships"><Relationship Id="rId3" Type="http://schemas.openxmlformats.org/officeDocument/2006/relationships/themeOverride" Target="../theme/themeOverride26.xml"/><Relationship Id="rId2" Type="http://schemas.microsoft.com/office/2011/relationships/chartColorStyle" Target="colors36.xml"/><Relationship Id="rId1" Type="http://schemas.microsoft.com/office/2011/relationships/chartStyle" Target="style36.xml"/><Relationship Id="rId5" Type="http://schemas.openxmlformats.org/officeDocument/2006/relationships/chartUserShapes" Target="../drawings/drawing19.xml"/><Relationship Id="rId4" Type="http://schemas.openxmlformats.org/officeDocument/2006/relationships/oleObject" Target="file:///A:\Dropbox\Dropbox\BBI\grants_proposals\wintac\ita\ITA%20Tracking%20Sheet%20Year%204-Q4-charts-activities-working-doc-charts.xlsx" TargetMode="External"/></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oleObject" Target="../embeddings/oleObject1.bin"/></Relationships>
</file>

<file path=word/charts/_rels/chart30.xml.rels><?xml version="1.0" encoding="UTF-8" standalone="yes"?>
<Relationships xmlns="http://schemas.openxmlformats.org/package/2006/relationships"><Relationship Id="rId3" Type="http://schemas.openxmlformats.org/officeDocument/2006/relationships/themeOverride" Target="../theme/themeOverride27.xml"/><Relationship Id="rId2" Type="http://schemas.microsoft.com/office/2011/relationships/chartColorStyle" Target="colors37.xml"/><Relationship Id="rId1" Type="http://schemas.microsoft.com/office/2011/relationships/chartStyle" Target="style37.xml"/><Relationship Id="rId5" Type="http://schemas.openxmlformats.org/officeDocument/2006/relationships/chartUserShapes" Target="../drawings/drawing20.xml"/><Relationship Id="rId4" Type="http://schemas.openxmlformats.org/officeDocument/2006/relationships/oleObject" Target="file:///A:\Dropbox\Dropbox\BBI\grants_proposals\wintac\ita\ITA%20Tracking%20Sheet%20Year%204-Q4-charts-activities-working-doc-charts.xlsx" TargetMode="External"/></Relationships>
</file>

<file path=word/charts/_rels/chart31.xml.rels><?xml version="1.0" encoding="UTF-8" standalone="yes"?>
<Relationships xmlns="http://schemas.openxmlformats.org/package/2006/relationships"><Relationship Id="rId3" Type="http://schemas.openxmlformats.org/officeDocument/2006/relationships/themeOverride" Target="../theme/themeOverride28.xml"/><Relationship Id="rId2" Type="http://schemas.microsoft.com/office/2011/relationships/chartColorStyle" Target="colors38.xml"/><Relationship Id="rId1" Type="http://schemas.microsoft.com/office/2011/relationships/chartStyle" Target="style38.xml"/><Relationship Id="rId5" Type="http://schemas.openxmlformats.org/officeDocument/2006/relationships/chartUserShapes" Target="../drawings/drawing21.xml"/><Relationship Id="rId4" Type="http://schemas.openxmlformats.org/officeDocument/2006/relationships/oleObject" Target="file:///A:\Dropbox\Dropbox\BBI\grants_proposals\wintac\ita\ITA%20Tracking%20Sheet%20Year%204-Q4-charts-activities-working-doc-charts.xlsx" TargetMode="External"/></Relationships>
</file>

<file path=word/charts/_rels/chart32.xml.rels><?xml version="1.0" encoding="UTF-8" standalone="yes"?>
<Relationships xmlns="http://schemas.openxmlformats.org/package/2006/relationships"><Relationship Id="rId3" Type="http://schemas.openxmlformats.org/officeDocument/2006/relationships/themeOverride" Target="../theme/themeOverride29.xml"/><Relationship Id="rId2" Type="http://schemas.microsoft.com/office/2011/relationships/chartColorStyle" Target="colors39.xml"/><Relationship Id="rId1" Type="http://schemas.microsoft.com/office/2011/relationships/chartStyle" Target="style39.xml"/><Relationship Id="rId5" Type="http://schemas.openxmlformats.org/officeDocument/2006/relationships/chartUserShapes" Target="../drawings/drawing22.xml"/><Relationship Id="rId4" Type="http://schemas.openxmlformats.org/officeDocument/2006/relationships/oleObject" Target="file:///A:\Dropbox\Dropbox\BBI\grants_proposals\wintac\ita\ITA%20Tracking%20Sheet%20Year%204-Q4-charts-activities-working-doc-charts.xlsx" TargetMode="External"/></Relationships>
</file>

<file path=word/charts/_rels/chart33.xml.rels><?xml version="1.0" encoding="UTF-8" standalone="yes"?>
<Relationships xmlns="http://schemas.openxmlformats.org/package/2006/relationships"><Relationship Id="rId3" Type="http://schemas.openxmlformats.org/officeDocument/2006/relationships/themeOverride" Target="../theme/themeOverride30.xml"/><Relationship Id="rId2" Type="http://schemas.microsoft.com/office/2011/relationships/chartColorStyle" Target="colors40.xml"/><Relationship Id="rId1" Type="http://schemas.microsoft.com/office/2011/relationships/chartStyle" Target="style40.xml"/><Relationship Id="rId5" Type="http://schemas.openxmlformats.org/officeDocument/2006/relationships/chartUserShapes" Target="../drawings/drawing23.xml"/><Relationship Id="rId4" Type="http://schemas.openxmlformats.org/officeDocument/2006/relationships/oleObject" Target="file:///A:\Dropbox\Dropbox\BBI\grants_proposals\wintac\ita\ITA%20Tracking%20Sheet%20Year%204-Q4-charts-activities-working-doc-charts.xlsx" TargetMode="External"/></Relationships>
</file>

<file path=word/charts/_rels/chart34.xml.rels><?xml version="1.0" encoding="UTF-8" standalone="yes"?>
<Relationships xmlns="http://schemas.openxmlformats.org/package/2006/relationships"><Relationship Id="rId3" Type="http://schemas.openxmlformats.org/officeDocument/2006/relationships/themeOverride" Target="../theme/themeOverride31.xml"/><Relationship Id="rId2" Type="http://schemas.microsoft.com/office/2011/relationships/chartColorStyle" Target="colors41.xml"/><Relationship Id="rId1" Type="http://schemas.microsoft.com/office/2011/relationships/chartStyle" Target="style41.xml"/><Relationship Id="rId5" Type="http://schemas.openxmlformats.org/officeDocument/2006/relationships/chartUserShapes" Target="../drawings/drawing24.xml"/><Relationship Id="rId4" Type="http://schemas.openxmlformats.org/officeDocument/2006/relationships/oleObject" Target="file:///A:\Dropbox\Dropbox\BBI\grants_proposals\wintac\ita\ITA%20Tracking%20Sheet%20Year%204-Q4-charts-activities-working-doc-charts.xlsx" TargetMode="External"/></Relationships>
</file>

<file path=word/charts/_rels/chart35.xml.rels><?xml version="1.0" encoding="UTF-8" standalone="yes"?>
<Relationships xmlns="http://schemas.openxmlformats.org/package/2006/relationships"><Relationship Id="rId3" Type="http://schemas.openxmlformats.org/officeDocument/2006/relationships/themeOverride" Target="../theme/themeOverride32.xml"/><Relationship Id="rId2" Type="http://schemas.microsoft.com/office/2011/relationships/chartColorStyle" Target="colors42.xml"/><Relationship Id="rId1" Type="http://schemas.microsoft.com/office/2011/relationships/chartStyle" Target="style42.xml"/><Relationship Id="rId4" Type="http://schemas.openxmlformats.org/officeDocument/2006/relationships/oleObject" Target="file:///A:\Dropbox\Dropbox\BBI\grants_proposals\wintac\ita\ITA%20Tracking%20Sheet%20Year%204-Q4-charts-activities-working-doc-charts.xlsx" TargetMode="External"/></Relationships>
</file>

<file path=word/charts/_rels/chart36.xml.rels><?xml version="1.0" encoding="UTF-8" standalone="yes"?>
<Relationships xmlns="http://schemas.openxmlformats.org/package/2006/relationships"><Relationship Id="rId3" Type="http://schemas.openxmlformats.org/officeDocument/2006/relationships/oleObject" Target="file:///A:\Dropbox\Dropbox\BBI\grants_proposals\wintac\ita\ITA%20Tracking%20Sheet%20Year%204-Q4-charts-activities-working-doc-120619.xlsx" TargetMode="External"/><Relationship Id="rId2" Type="http://schemas.microsoft.com/office/2011/relationships/chartColorStyle" Target="colors43.xml"/><Relationship Id="rId1" Type="http://schemas.microsoft.com/office/2011/relationships/chartStyle" Target="style43.xml"/></Relationships>
</file>

<file path=word/charts/_rels/chart37.xml.rels><?xml version="1.0" encoding="UTF-8" standalone="yes"?>
<Relationships xmlns="http://schemas.openxmlformats.org/package/2006/relationships"><Relationship Id="rId3" Type="http://schemas.openxmlformats.org/officeDocument/2006/relationships/themeOverride" Target="../theme/themeOverride33.xml"/><Relationship Id="rId2" Type="http://schemas.microsoft.com/office/2011/relationships/chartColorStyle" Target="colors44.xml"/><Relationship Id="rId1" Type="http://schemas.microsoft.com/office/2011/relationships/chartStyle" Target="style44.xml"/><Relationship Id="rId5" Type="http://schemas.openxmlformats.org/officeDocument/2006/relationships/chartUserShapes" Target="../drawings/drawing25.xml"/><Relationship Id="rId4" Type="http://schemas.openxmlformats.org/officeDocument/2006/relationships/oleObject" Target="file:///A:\Dropbox\Dropbox\BBI\grants_proposals\wintac\ita\ITA%20Tracking%20Sheet%20Year%204-Q4-charts-activities-working-doc-charts.xlsx" TargetMode="External"/></Relationships>
</file>

<file path=word/charts/_rels/chart38.xml.rels><?xml version="1.0" encoding="UTF-8" standalone="yes"?>
<Relationships xmlns="http://schemas.openxmlformats.org/package/2006/relationships"><Relationship Id="rId3" Type="http://schemas.openxmlformats.org/officeDocument/2006/relationships/themeOverride" Target="../theme/themeOverride34.xml"/><Relationship Id="rId2" Type="http://schemas.microsoft.com/office/2011/relationships/chartColorStyle" Target="colors45.xml"/><Relationship Id="rId1" Type="http://schemas.microsoft.com/office/2011/relationships/chartStyle" Target="style45.xml"/><Relationship Id="rId5" Type="http://schemas.openxmlformats.org/officeDocument/2006/relationships/chartUserShapes" Target="../drawings/drawing26.xml"/><Relationship Id="rId4" Type="http://schemas.openxmlformats.org/officeDocument/2006/relationships/oleObject" Target="file:///A:\Dropbox\Dropbox\BBI\grants_proposals\wintac\ita\ITA%20Tracking%20Sheet%20Year%204-Q4-charts-activities-working-doc-charts.xlsx" TargetMode="External"/></Relationships>
</file>

<file path=word/charts/_rels/chart39.xml.rels><?xml version="1.0" encoding="UTF-8" standalone="yes"?>
<Relationships xmlns="http://schemas.openxmlformats.org/package/2006/relationships"><Relationship Id="rId3" Type="http://schemas.openxmlformats.org/officeDocument/2006/relationships/themeOverride" Target="../theme/themeOverride35.xml"/><Relationship Id="rId2" Type="http://schemas.microsoft.com/office/2011/relationships/chartColorStyle" Target="colors46.xml"/><Relationship Id="rId1" Type="http://schemas.microsoft.com/office/2011/relationships/chartStyle" Target="style46.xml"/><Relationship Id="rId5" Type="http://schemas.openxmlformats.org/officeDocument/2006/relationships/chartUserShapes" Target="../drawings/drawing27.xml"/><Relationship Id="rId4" Type="http://schemas.openxmlformats.org/officeDocument/2006/relationships/oleObject" Target="file:///A:\Dropbox\Dropbox\BBI\grants_proposals\wintac\ita\ITA%20Tracking%20Sheet%20Year%204-Q4-charts-activities-working-doc-charts.xlsx" TargetMode="External"/></Relationships>
</file>

<file path=word/charts/_rels/chart4.xml.rels><?xml version="1.0" encoding="UTF-8" standalone="yes"?>
<Relationships xmlns="http://schemas.openxmlformats.org/package/2006/relationships"><Relationship Id="rId3" Type="http://schemas.openxmlformats.org/officeDocument/2006/relationships/oleObject" Target="file:///A:\Dropbox\Dropbox\BBI\grants_proposals\wintac\ita\ITA%20Tracking%20Sheet%20Year%204-Q4-charts-activities-working-doc-121919.xlsx" TargetMode="External"/><Relationship Id="rId2" Type="http://schemas.microsoft.com/office/2011/relationships/chartColorStyle" Target="colors4.xml"/><Relationship Id="rId1" Type="http://schemas.microsoft.com/office/2011/relationships/chartStyle" Target="style4.xml"/></Relationships>
</file>

<file path=word/charts/_rels/chart40.xml.rels><?xml version="1.0" encoding="UTF-8" standalone="yes"?>
<Relationships xmlns="http://schemas.openxmlformats.org/package/2006/relationships"><Relationship Id="rId3" Type="http://schemas.openxmlformats.org/officeDocument/2006/relationships/themeOverride" Target="../theme/themeOverride36.xml"/><Relationship Id="rId2" Type="http://schemas.microsoft.com/office/2011/relationships/chartColorStyle" Target="colors47.xml"/><Relationship Id="rId1" Type="http://schemas.microsoft.com/office/2011/relationships/chartStyle" Target="style47.xml"/><Relationship Id="rId5" Type="http://schemas.openxmlformats.org/officeDocument/2006/relationships/chartUserShapes" Target="../drawings/drawing28.xml"/><Relationship Id="rId4" Type="http://schemas.openxmlformats.org/officeDocument/2006/relationships/oleObject" Target="file:///A:\Dropbox\Dropbox\BBI\grants_proposals\wintac\ita\ITA%20Tracking%20Sheet%20Year%204-Q4-charts-activities-working-doc-charts.xlsx" TargetMode="External"/></Relationships>
</file>

<file path=word/charts/_rels/chart41.xml.rels><?xml version="1.0" encoding="UTF-8" standalone="yes"?>
<Relationships xmlns="http://schemas.openxmlformats.org/package/2006/relationships"><Relationship Id="rId3" Type="http://schemas.openxmlformats.org/officeDocument/2006/relationships/themeOverride" Target="../theme/themeOverride37.xml"/><Relationship Id="rId2" Type="http://schemas.microsoft.com/office/2011/relationships/chartColorStyle" Target="colors48.xml"/><Relationship Id="rId1" Type="http://schemas.microsoft.com/office/2011/relationships/chartStyle" Target="style48.xml"/><Relationship Id="rId5" Type="http://schemas.openxmlformats.org/officeDocument/2006/relationships/chartUserShapes" Target="../drawings/drawing29.xml"/><Relationship Id="rId4" Type="http://schemas.openxmlformats.org/officeDocument/2006/relationships/oleObject" Target="file:///A:\Dropbox\Dropbox\BBI\grants_proposals\wintac\ita\ITA%20Tracking%20Sheet%20Year%204-Q4-charts-activities-working-doc-charts.xlsx" TargetMode="External"/></Relationships>
</file>

<file path=word/charts/_rels/chart42.xml.rels><?xml version="1.0" encoding="UTF-8" standalone="yes"?>
<Relationships xmlns="http://schemas.openxmlformats.org/package/2006/relationships"><Relationship Id="rId3" Type="http://schemas.openxmlformats.org/officeDocument/2006/relationships/themeOverride" Target="../theme/themeOverride38.xml"/><Relationship Id="rId2" Type="http://schemas.microsoft.com/office/2011/relationships/chartColorStyle" Target="colors49.xml"/><Relationship Id="rId1" Type="http://schemas.microsoft.com/office/2011/relationships/chartStyle" Target="style49.xml"/><Relationship Id="rId5" Type="http://schemas.openxmlformats.org/officeDocument/2006/relationships/chartUserShapes" Target="../drawings/drawing30.xml"/><Relationship Id="rId4" Type="http://schemas.openxmlformats.org/officeDocument/2006/relationships/oleObject" Target="file:///A:\Dropbox\Dropbox\BBI\grants_proposals\wintac\ita\ITA%20Tracking%20Sheet%20Year%204-Q4-charts-activities-working-doc-charts.xlsx" TargetMode="External"/></Relationships>
</file>

<file path=word/charts/_rels/chart43.xml.rels><?xml version="1.0" encoding="UTF-8" standalone="yes"?>
<Relationships xmlns="http://schemas.openxmlformats.org/package/2006/relationships"><Relationship Id="rId3" Type="http://schemas.openxmlformats.org/officeDocument/2006/relationships/themeOverride" Target="../theme/themeOverride39.xml"/><Relationship Id="rId2" Type="http://schemas.microsoft.com/office/2011/relationships/chartColorStyle" Target="colors50.xml"/><Relationship Id="rId1" Type="http://schemas.microsoft.com/office/2011/relationships/chartStyle" Target="style50.xml"/><Relationship Id="rId5" Type="http://schemas.openxmlformats.org/officeDocument/2006/relationships/chartUserShapes" Target="../drawings/drawing31.xml"/><Relationship Id="rId4" Type="http://schemas.openxmlformats.org/officeDocument/2006/relationships/oleObject" Target="file:///A:\Dropbox\Dropbox\BBI\grants_proposals\wintac\ita\ITA%20Tracking%20Sheet%20Year%204-Q4-charts-activities-working-doc-charts.xlsx" TargetMode="External"/></Relationships>
</file>

<file path=word/charts/_rels/chart44.xml.rels><?xml version="1.0" encoding="UTF-8" standalone="yes"?>
<Relationships xmlns="http://schemas.openxmlformats.org/package/2006/relationships"><Relationship Id="rId3" Type="http://schemas.openxmlformats.org/officeDocument/2006/relationships/themeOverride" Target="../theme/themeOverride40.xml"/><Relationship Id="rId2" Type="http://schemas.microsoft.com/office/2011/relationships/chartColorStyle" Target="colors51.xml"/><Relationship Id="rId1" Type="http://schemas.microsoft.com/office/2011/relationships/chartStyle" Target="style51.xml"/><Relationship Id="rId5" Type="http://schemas.openxmlformats.org/officeDocument/2006/relationships/chartUserShapes" Target="../drawings/drawing32.xml"/><Relationship Id="rId4" Type="http://schemas.openxmlformats.org/officeDocument/2006/relationships/oleObject" Target="file:///A:\Dropbox\Dropbox\BBI\grants_proposals\wintac\ita\ITA%20Tracking%20Sheet%20Year%204-Q4-charts-activities-working-doc-charts.xlsx" TargetMode="External"/></Relationships>
</file>

<file path=word/charts/_rels/chart45.xml.rels><?xml version="1.0" encoding="UTF-8" standalone="yes"?>
<Relationships xmlns="http://schemas.openxmlformats.org/package/2006/relationships"><Relationship Id="rId3" Type="http://schemas.openxmlformats.org/officeDocument/2006/relationships/themeOverride" Target="../theme/themeOverride41.xml"/><Relationship Id="rId2" Type="http://schemas.microsoft.com/office/2011/relationships/chartColorStyle" Target="colors52.xml"/><Relationship Id="rId1" Type="http://schemas.microsoft.com/office/2011/relationships/chartStyle" Target="style52.xml"/><Relationship Id="rId5" Type="http://schemas.openxmlformats.org/officeDocument/2006/relationships/chartUserShapes" Target="../drawings/drawing33.xml"/><Relationship Id="rId4" Type="http://schemas.openxmlformats.org/officeDocument/2006/relationships/oleObject" Target="file:///A:\Dropbox\Dropbox\BBI\grants_proposals\wintac\ita\ITA%20Tracking%20Sheet%20Year%204-Q4-charts-activities-working-doc-charts.xlsx" TargetMode="External"/></Relationships>
</file>

<file path=word/charts/_rels/chart46.xml.rels><?xml version="1.0" encoding="UTF-8" standalone="yes"?>
<Relationships xmlns="http://schemas.openxmlformats.org/package/2006/relationships"><Relationship Id="rId3" Type="http://schemas.openxmlformats.org/officeDocument/2006/relationships/themeOverride" Target="../theme/themeOverride42.xml"/><Relationship Id="rId2" Type="http://schemas.microsoft.com/office/2011/relationships/chartColorStyle" Target="colors53.xml"/><Relationship Id="rId1" Type="http://schemas.microsoft.com/office/2011/relationships/chartStyle" Target="style53.xml"/><Relationship Id="rId5" Type="http://schemas.openxmlformats.org/officeDocument/2006/relationships/chartUserShapes" Target="../drawings/drawing34.xml"/><Relationship Id="rId4" Type="http://schemas.openxmlformats.org/officeDocument/2006/relationships/oleObject" Target="file:///A:\Dropbox\Dropbox\BBI\grants_proposals\wintac\ita\ITA%20Tracking%20Sheet%20Year%204-Q4-charts-activities-working-doc-charts.xlsx" TargetMode="External"/></Relationships>
</file>

<file path=word/charts/_rels/chart47.xml.rels><?xml version="1.0" encoding="UTF-8" standalone="yes"?>
<Relationships xmlns="http://schemas.openxmlformats.org/package/2006/relationships"><Relationship Id="rId3" Type="http://schemas.openxmlformats.org/officeDocument/2006/relationships/themeOverride" Target="../theme/themeOverride43.xml"/><Relationship Id="rId2" Type="http://schemas.microsoft.com/office/2011/relationships/chartColorStyle" Target="colors54.xml"/><Relationship Id="rId1" Type="http://schemas.microsoft.com/office/2011/relationships/chartStyle" Target="style54.xml"/><Relationship Id="rId5" Type="http://schemas.openxmlformats.org/officeDocument/2006/relationships/chartUserShapes" Target="../drawings/drawing35.xml"/><Relationship Id="rId4" Type="http://schemas.openxmlformats.org/officeDocument/2006/relationships/oleObject" Target="file:///A:\Dropbox\Dropbox\BBI\grants_proposals\wintac\ita\ITA%20Tracking%20Sheet%20Year%204-Q4-charts-activities-working-doc-charts.xlsx" TargetMode="External"/></Relationships>
</file>

<file path=word/charts/_rels/chart48.xml.rels><?xml version="1.0" encoding="UTF-8" standalone="yes"?>
<Relationships xmlns="http://schemas.openxmlformats.org/package/2006/relationships"><Relationship Id="rId3" Type="http://schemas.openxmlformats.org/officeDocument/2006/relationships/oleObject" Target="file:///A:\Dropbox\Dropbox\BBI\grants_proposals\wintac\ita\ITA%20Tracking%20Sheet%20Year%204-Q4-charts-activities-working-doc-121019.xlsx" TargetMode="External"/><Relationship Id="rId2" Type="http://schemas.microsoft.com/office/2011/relationships/chartColorStyle" Target="colors55.xml"/><Relationship Id="rId1" Type="http://schemas.microsoft.com/office/2011/relationships/chartStyle" Target="style55.xml"/></Relationships>
</file>

<file path=word/charts/_rels/chart49.xml.rels><?xml version="1.0" encoding="UTF-8" standalone="yes"?>
<Relationships xmlns="http://schemas.openxmlformats.org/package/2006/relationships"><Relationship Id="rId3" Type="http://schemas.openxmlformats.org/officeDocument/2006/relationships/themeOverride" Target="../theme/themeOverride44.xml"/><Relationship Id="rId2" Type="http://schemas.microsoft.com/office/2011/relationships/chartColorStyle" Target="colors56.xml"/><Relationship Id="rId1" Type="http://schemas.microsoft.com/office/2011/relationships/chartStyle" Target="style56.xml"/><Relationship Id="rId5" Type="http://schemas.openxmlformats.org/officeDocument/2006/relationships/chartUserShapes" Target="../drawings/drawing36.xml"/><Relationship Id="rId4" Type="http://schemas.openxmlformats.org/officeDocument/2006/relationships/oleObject" Target="file:///A:\Dropbox\Dropbox\BBI\grants_proposals\wintac\ita\ITA%20Tracking%20Sheet%20Year%204-Q4-charts-activities-working-doc-charts.xlsx" TargetMode="External"/></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oleObject" Target="../embeddings/oleObject2.bin"/></Relationships>
</file>

<file path=word/charts/_rels/chart50.xml.rels><?xml version="1.0" encoding="UTF-8" standalone="yes"?>
<Relationships xmlns="http://schemas.openxmlformats.org/package/2006/relationships"><Relationship Id="rId3" Type="http://schemas.openxmlformats.org/officeDocument/2006/relationships/themeOverride" Target="../theme/themeOverride45.xml"/><Relationship Id="rId2" Type="http://schemas.microsoft.com/office/2011/relationships/chartColorStyle" Target="colors57.xml"/><Relationship Id="rId1" Type="http://schemas.microsoft.com/office/2011/relationships/chartStyle" Target="style57.xml"/><Relationship Id="rId5" Type="http://schemas.openxmlformats.org/officeDocument/2006/relationships/chartUserShapes" Target="../drawings/drawing37.xml"/><Relationship Id="rId4" Type="http://schemas.openxmlformats.org/officeDocument/2006/relationships/oleObject" Target="file:///A:\Dropbox\Dropbox\BBI\grants_proposals\wintac\ita\ITA%20Tracking%20Sheet%20Year%204-Q4-charts-activities-working-doc-charts.xlsx" TargetMode="External"/></Relationships>
</file>

<file path=word/charts/_rels/chart51.xml.rels><?xml version="1.0" encoding="UTF-8" standalone="yes"?>
<Relationships xmlns="http://schemas.openxmlformats.org/package/2006/relationships"><Relationship Id="rId3" Type="http://schemas.openxmlformats.org/officeDocument/2006/relationships/themeOverride" Target="../theme/themeOverride46.xml"/><Relationship Id="rId2" Type="http://schemas.microsoft.com/office/2011/relationships/chartColorStyle" Target="colors58.xml"/><Relationship Id="rId1" Type="http://schemas.microsoft.com/office/2011/relationships/chartStyle" Target="style58.xml"/><Relationship Id="rId5" Type="http://schemas.openxmlformats.org/officeDocument/2006/relationships/chartUserShapes" Target="../drawings/drawing38.xml"/><Relationship Id="rId4" Type="http://schemas.openxmlformats.org/officeDocument/2006/relationships/oleObject" Target="file:///A:\Dropbox\Dropbox\BBI\grants_proposals\wintac\ita\ITA%20Tracking%20Sheet%20Year%204-Q4-charts-activities-working-doc-charts.xlsx" TargetMode="External"/></Relationships>
</file>

<file path=word/charts/_rels/chart52.xml.rels><?xml version="1.0" encoding="UTF-8" standalone="yes"?>
<Relationships xmlns="http://schemas.openxmlformats.org/package/2006/relationships"><Relationship Id="rId3" Type="http://schemas.openxmlformats.org/officeDocument/2006/relationships/themeOverride" Target="../theme/themeOverride47.xml"/><Relationship Id="rId2" Type="http://schemas.microsoft.com/office/2011/relationships/chartColorStyle" Target="colors59.xml"/><Relationship Id="rId1" Type="http://schemas.microsoft.com/office/2011/relationships/chartStyle" Target="style59.xml"/><Relationship Id="rId5" Type="http://schemas.openxmlformats.org/officeDocument/2006/relationships/chartUserShapes" Target="../drawings/drawing39.xml"/><Relationship Id="rId4" Type="http://schemas.openxmlformats.org/officeDocument/2006/relationships/oleObject" Target="file:///A:\Dropbox\Dropbox\BBI\grants_proposals\wintac\ita\ITA%20Tracking%20Sheet%20Year%204-Q4-charts-activities-working-doc-charts.xlsx" TargetMode="External"/></Relationships>
</file>

<file path=word/charts/_rels/chart53.xml.rels><?xml version="1.0" encoding="UTF-8" standalone="yes"?>
<Relationships xmlns="http://schemas.openxmlformats.org/package/2006/relationships"><Relationship Id="rId3" Type="http://schemas.openxmlformats.org/officeDocument/2006/relationships/themeOverride" Target="../theme/themeOverride48.xml"/><Relationship Id="rId2" Type="http://schemas.microsoft.com/office/2011/relationships/chartColorStyle" Target="colors60.xml"/><Relationship Id="rId1" Type="http://schemas.microsoft.com/office/2011/relationships/chartStyle" Target="style60.xml"/><Relationship Id="rId5" Type="http://schemas.openxmlformats.org/officeDocument/2006/relationships/chartUserShapes" Target="../drawings/drawing40.xml"/><Relationship Id="rId4" Type="http://schemas.openxmlformats.org/officeDocument/2006/relationships/oleObject" Target="file:///A:\Dropbox\Dropbox\BBI\grants_proposals\wintac\ita\ITA%20Tracking%20Sheet%20Year%204-Q4-charts-activities-working-doc-charts.xlsx" TargetMode="External"/></Relationships>
</file>

<file path=word/charts/_rels/chart54.xml.rels><?xml version="1.0" encoding="UTF-8" standalone="yes"?>
<Relationships xmlns="http://schemas.openxmlformats.org/package/2006/relationships"><Relationship Id="rId3" Type="http://schemas.openxmlformats.org/officeDocument/2006/relationships/themeOverride" Target="../theme/themeOverride49.xml"/><Relationship Id="rId2" Type="http://schemas.microsoft.com/office/2011/relationships/chartColorStyle" Target="colors61.xml"/><Relationship Id="rId1" Type="http://schemas.microsoft.com/office/2011/relationships/chartStyle" Target="style61.xml"/><Relationship Id="rId5" Type="http://schemas.openxmlformats.org/officeDocument/2006/relationships/chartUserShapes" Target="../drawings/drawing41.xml"/><Relationship Id="rId4" Type="http://schemas.openxmlformats.org/officeDocument/2006/relationships/oleObject" Target="file:///A:\Dropbox\Dropbox\BBI\grants_proposals\wintac\ita\ITA%20Tracking%20Sheet%20Year%204-Q4-charts-activities-working-doc-charts.xlsx" TargetMode="External"/></Relationships>
</file>

<file path=word/charts/_rels/chart55.xml.rels><?xml version="1.0" encoding="UTF-8" standalone="yes"?>
<Relationships xmlns="http://schemas.openxmlformats.org/package/2006/relationships"><Relationship Id="rId3" Type="http://schemas.openxmlformats.org/officeDocument/2006/relationships/oleObject" Target="file:///A:\Dropbox\Dropbox\BBI\grants_proposals\wintac\ita\ITA%20Tracking%20Sheet%20Year%204-Q4-charts-activities-working-doc-121019.xlsx" TargetMode="External"/><Relationship Id="rId2" Type="http://schemas.microsoft.com/office/2011/relationships/chartColorStyle" Target="colors62.xml"/><Relationship Id="rId1" Type="http://schemas.microsoft.com/office/2011/relationships/chartStyle" Target="style62.xml"/></Relationships>
</file>

<file path=word/charts/_rels/chart56.xml.rels><?xml version="1.0" encoding="UTF-8" standalone="yes"?>
<Relationships xmlns="http://schemas.openxmlformats.org/package/2006/relationships"><Relationship Id="rId3" Type="http://schemas.openxmlformats.org/officeDocument/2006/relationships/themeOverride" Target="../theme/themeOverride50.xml"/><Relationship Id="rId2" Type="http://schemas.microsoft.com/office/2011/relationships/chartColorStyle" Target="colors63.xml"/><Relationship Id="rId1" Type="http://schemas.microsoft.com/office/2011/relationships/chartStyle" Target="style63.xml"/><Relationship Id="rId5" Type="http://schemas.openxmlformats.org/officeDocument/2006/relationships/chartUserShapes" Target="../drawings/drawing42.xml"/><Relationship Id="rId4" Type="http://schemas.openxmlformats.org/officeDocument/2006/relationships/oleObject" Target="file:///A:\Dropbox\Dropbox\BBI\grants_proposals\wintac\ita\ITA%20Tracking%20Sheet%20Year%204-Q4-charts-activities-working-doc-charts.xlsx" TargetMode="External"/></Relationships>
</file>

<file path=word/charts/_rels/chart57.xml.rels><?xml version="1.0" encoding="UTF-8" standalone="yes"?>
<Relationships xmlns="http://schemas.openxmlformats.org/package/2006/relationships"><Relationship Id="rId3" Type="http://schemas.openxmlformats.org/officeDocument/2006/relationships/themeOverride" Target="../theme/themeOverride51.xml"/><Relationship Id="rId2" Type="http://schemas.microsoft.com/office/2011/relationships/chartColorStyle" Target="colors64.xml"/><Relationship Id="rId1" Type="http://schemas.microsoft.com/office/2011/relationships/chartStyle" Target="style64.xml"/><Relationship Id="rId5" Type="http://schemas.openxmlformats.org/officeDocument/2006/relationships/chartUserShapes" Target="../drawings/drawing43.xml"/><Relationship Id="rId4" Type="http://schemas.openxmlformats.org/officeDocument/2006/relationships/oleObject" Target="file:///A:\Dropbox\Dropbox\BBI\grants_proposals\wintac\ita\ITA%20Tracking%20Sheet%20Year%204-Q4-charts-activities-working-doc-charts.xlsx" TargetMode="External"/></Relationships>
</file>

<file path=word/charts/_rels/chart58.xml.rels><?xml version="1.0" encoding="UTF-8" standalone="yes"?>
<Relationships xmlns="http://schemas.openxmlformats.org/package/2006/relationships"><Relationship Id="rId3" Type="http://schemas.openxmlformats.org/officeDocument/2006/relationships/themeOverride" Target="../theme/themeOverride52.xml"/><Relationship Id="rId2" Type="http://schemas.microsoft.com/office/2011/relationships/chartColorStyle" Target="colors65.xml"/><Relationship Id="rId1" Type="http://schemas.microsoft.com/office/2011/relationships/chartStyle" Target="style65.xml"/><Relationship Id="rId5" Type="http://schemas.openxmlformats.org/officeDocument/2006/relationships/chartUserShapes" Target="../drawings/drawing44.xml"/><Relationship Id="rId4" Type="http://schemas.openxmlformats.org/officeDocument/2006/relationships/oleObject" Target="file:///A:\Dropbox\Dropbox\BBI\grants_proposals\wintac\ita\ITA%20Tracking%20Sheet%20Year%204-Q4-charts-activities-working-doc-charts.xlsx" TargetMode="External"/></Relationships>
</file>

<file path=word/charts/_rels/chart59.xml.rels><?xml version="1.0" encoding="UTF-8" standalone="yes"?>
<Relationships xmlns="http://schemas.openxmlformats.org/package/2006/relationships"><Relationship Id="rId3" Type="http://schemas.openxmlformats.org/officeDocument/2006/relationships/themeOverride" Target="../theme/themeOverride53.xml"/><Relationship Id="rId2" Type="http://schemas.microsoft.com/office/2011/relationships/chartColorStyle" Target="colors66.xml"/><Relationship Id="rId1" Type="http://schemas.microsoft.com/office/2011/relationships/chartStyle" Target="style66.xml"/><Relationship Id="rId5" Type="http://schemas.openxmlformats.org/officeDocument/2006/relationships/chartUserShapes" Target="../drawings/drawing45.xml"/><Relationship Id="rId4" Type="http://schemas.openxmlformats.org/officeDocument/2006/relationships/oleObject" Target="file:///A:\Dropbox\Dropbox\BBI\grants_proposals\wintac\ita\ITA%20Tracking%20Sheet%20Year%204-Q4-charts-activities-working-doc-charts.xlsx" TargetMode="External"/></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package" Target="../embeddings/Microsoft_Excel_Worksheet.xlsx"/></Relationships>
</file>

<file path=word/charts/_rels/chart60.xml.rels><?xml version="1.0" encoding="UTF-8" standalone="yes"?>
<Relationships xmlns="http://schemas.openxmlformats.org/package/2006/relationships"><Relationship Id="rId3" Type="http://schemas.openxmlformats.org/officeDocument/2006/relationships/themeOverride" Target="../theme/themeOverride54.xml"/><Relationship Id="rId2" Type="http://schemas.microsoft.com/office/2011/relationships/chartColorStyle" Target="colors67.xml"/><Relationship Id="rId1" Type="http://schemas.microsoft.com/office/2011/relationships/chartStyle" Target="style67.xml"/><Relationship Id="rId5" Type="http://schemas.openxmlformats.org/officeDocument/2006/relationships/chartUserShapes" Target="../drawings/drawing46.xml"/><Relationship Id="rId4" Type="http://schemas.openxmlformats.org/officeDocument/2006/relationships/oleObject" Target="file:///A:\Dropbox\Dropbox\BBI\grants_proposals\wintac\ita\ITA%20Tracking%20Sheet%20Year%204-Q4-charts-activities-working-doc-charts.xlsx" TargetMode="External"/></Relationships>
</file>

<file path=word/charts/_rels/chart61.xml.rels><?xml version="1.0" encoding="UTF-8" standalone="yes"?>
<Relationships xmlns="http://schemas.openxmlformats.org/package/2006/relationships"><Relationship Id="rId3" Type="http://schemas.openxmlformats.org/officeDocument/2006/relationships/themeOverride" Target="../theme/themeOverride55.xml"/><Relationship Id="rId2" Type="http://schemas.microsoft.com/office/2011/relationships/chartColorStyle" Target="colors68.xml"/><Relationship Id="rId1" Type="http://schemas.microsoft.com/office/2011/relationships/chartStyle" Target="style68.xml"/><Relationship Id="rId5" Type="http://schemas.openxmlformats.org/officeDocument/2006/relationships/chartUserShapes" Target="../drawings/drawing47.xml"/><Relationship Id="rId4" Type="http://schemas.openxmlformats.org/officeDocument/2006/relationships/oleObject" Target="file:///A:\Dropbox\Dropbox\BBI\grants_proposals\wintac\ita\ITA%20Tracking%20Sheet%20Year%204-Q4-charts-activities-working-doc-charts.xlsx" TargetMode="External"/></Relationships>
</file>

<file path=word/charts/_rels/chart62.xml.rels><?xml version="1.0" encoding="UTF-8" standalone="yes"?>
<Relationships xmlns="http://schemas.openxmlformats.org/package/2006/relationships"><Relationship Id="rId3" Type="http://schemas.openxmlformats.org/officeDocument/2006/relationships/themeOverride" Target="../theme/themeOverride56.xml"/><Relationship Id="rId2" Type="http://schemas.microsoft.com/office/2011/relationships/chartColorStyle" Target="colors69.xml"/><Relationship Id="rId1" Type="http://schemas.microsoft.com/office/2011/relationships/chartStyle" Target="style69.xml"/><Relationship Id="rId5" Type="http://schemas.openxmlformats.org/officeDocument/2006/relationships/chartUserShapes" Target="../drawings/drawing48.xml"/><Relationship Id="rId4" Type="http://schemas.openxmlformats.org/officeDocument/2006/relationships/oleObject" Target="file:///A:\Dropbox\Dropbox\BBI\grants_proposals\wintac\ita\ITA%20Tracking%20Sheet%20Year%204-Q4-charts-activities-working-doc-charts.xlsx" TargetMode="External"/></Relationships>
</file>

<file path=word/charts/_rels/chart63.xml.rels><?xml version="1.0" encoding="UTF-8" standalone="yes"?>
<Relationships xmlns="http://schemas.openxmlformats.org/package/2006/relationships"><Relationship Id="rId3" Type="http://schemas.openxmlformats.org/officeDocument/2006/relationships/themeOverride" Target="../theme/themeOverride57.xml"/><Relationship Id="rId2" Type="http://schemas.microsoft.com/office/2011/relationships/chartColorStyle" Target="colors70.xml"/><Relationship Id="rId1" Type="http://schemas.microsoft.com/office/2011/relationships/chartStyle" Target="style70.xml"/><Relationship Id="rId5" Type="http://schemas.openxmlformats.org/officeDocument/2006/relationships/chartUserShapes" Target="../drawings/drawing49.xml"/><Relationship Id="rId4" Type="http://schemas.openxmlformats.org/officeDocument/2006/relationships/oleObject" Target="file:///A:\Dropbox\Dropbox\BBI\grants_proposals\wintac\ita\ITA%20Tracking%20Sheet%20Year%204-Q4-charts-activities-working-doc-charts.xlsx" TargetMode="External"/></Relationships>
</file>

<file path=word/charts/_rels/chart64.xml.rels><?xml version="1.0" encoding="UTF-8" standalone="yes"?>
<Relationships xmlns="http://schemas.openxmlformats.org/package/2006/relationships"><Relationship Id="rId3" Type="http://schemas.openxmlformats.org/officeDocument/2006/relationships/themeOverride" Target="../theme/themeOverride58.xml"/><Relationship Id="rId2" Type="http://schemas.microsoft.com/office/2011/relationships/chartColorStyle" Target="colors71.xml"/><Relationship Id="rId1" Type="http://schemas.microsoft.com/office/2011/relationships/chartStyle" Target="style71.xml"/><Relationship Id="rId5" Type="http://schemas.openxmlformats.org/officeDocument/2006/relationships/chartUserShapes" Target="../drawings/drawing50.xml"/><Relationship Id="rId4" Type="http://schemas.openxmlformats.org/officeDocument/2006/relationships/oleObject" Target="file:///A:\Dropbox\Dropbox\BBI\grants_proposals\wintac\ita\ITA%20Tracking%20Sheet%20Year%204-Q4-charts-activities-working-doc-charts.xlsx" TargetMode="External"/></Relationships>
</file>

<file path=word/charts/_rels/chart65.xml.rels><?xml version="1.0" encoding="UTF-8" standalone="yes"?>
<Relationships xmlns="http://schemas.openxmlformats.org/package/2006/relationships"><Relationship Id="rId3" Type="http://schemas.openxmlformats.org/officeDocument/2006/relationships/themeOverride" Target="../theme/themeOverride59.xml"/><Relationship Id="rId2" Type="http://schemas.microsoft.com/office/2011/relationships/chartColorStyle" Target="colors72.xml"/><Relationship Id="rId1" Type="http://schemas.microsoft.com/office/2011/relationships/chartStyle" Target="style72.xml"/><Relationship Id="rId5" Type="http://schemas.openxmlformats.org/officeDocument/2006/relationships/chartUserShapes" Target="../drawings/drawing51.xml"/><Relationship Id="rId4" Type="http://schemas.openxmlformats.org/officeDocument/2006/relationships/oleObject" Target="file:///A:\Dropbox\Dropbox\BBI\grants_proposals\wintac\ita\ITA%20Tracking%20Sheet%20Year%204-Q4-charts-activities-working-doc-charts.xlsx" TargetMode="External"/></Relationships>
</file>

<file path=word/charts/_rels/chart66.xml.rels><?xml version="1.0" encoding="UTF-8" standalone="yes"?>
<Relationships xmlns="http://schemas.openxmlformats.org/package/2006/relationships"><Relationship Id="rId3" Type="http://schemas.openxmlformats.org/officeDocument/2006/relationships/themeOverride" Target="../theme/themeOverride60.xml"/><Relationship Id="rId2" Type="http://schemas.microsoft.com/office/2011/relationships/chartColorStyle" Target="colors73.xml"/><Relationship Id="rId1" Type="http://schemas.microsoft.com/office/2011/relationships/chartStyle" Target="style73.xml"/><Relationship Id="rId4" Type="http://schemas.openxmlformats.org/officeDocument/2006/relationships/package" Target="../embeddings/Microsoft_Excel_Worksheet2.xlsx"/></Relationships>
</file>

<file path=word/charts/_rels/chart67.xml.rels><?xml version="1.0" encoding="UTF-8" standalone="yes"?>
<Relationships xmlns="http://schemas.openxmlformats.org/package/2006/relationships"><Relationship Id="rId3" Type="http://schemas.openxmlformats.org/officeDocument/2006/relationships/themeOverride" Target="../theme/themeOverride61.xml"/><Relationship Id="rId2" Type="http://schemas.microsoft.com/office/2011/relationships/chartColorStyle" Target="colors74.xml"/><Relationship Id="rId1" Type="http://schemas.microsoft.com/office/2011/relationships/chartStyle" Target="style74.xml"/><Relationship Id="rId5" Type="http://schemas.openxmlformats.org/officeDocument/2006/relationships/chartUserShapes" Target="../drawings/drawing52.xml"/><Relationship Id="rId4" Type="http://schemas.openxmlformats.org/officeDocument/2006/relationships/oleObject" Target="file:///A:\Dropbox\Dropbox\BBI\grants_proposals\wintac\ita\ITA%20Tracking%20Sheet%20Year%204-Q4-charts-activities-working-doc-charts.xlsx" TargetMode="External"/></Relationships>
</file>

<file path=word/charts/_rels/chart68.xml.rels><?xml version="1.0" encoding="UTF-8" standalone="yes"?>
<Relationships xmlns="http://schemas.openxmlformats.org/package/2006/relationships"><Relationship Id="rId3" Type="http://schemas.openxmlformats.org/officeDocument/2006/relationships/themeOverride" Target="../theme/themeOverride62.xml"/><Relationship Id="rId2" Type="http://schemas.microsoft.com/office/2011/relationships/chartColorStyle" Target="colors75.xml"/><Relationship Id="rId1" Type="http://schemas.microsoft.com/office/2011/relationships/chartStyle" Target="style75.xml"/><Relationship Id="rId4" Type="http://schemas.openxmlformats.org/officeDocument/2006/relationships/package" Target="../embeddings/Microsoft_Excel_Worksheet3.xlsx"/></Relationships>
</file>

<file path=word/charts/_rels/chart69.xml.rels><?xml version="1.0" encoding="UTF-8" standalone="yes"?>
<Relationships xmlns="http://schemas.openxmlformats.org/package/2006/relationships"><Relationship Id="rId3" Type="http://schemas.openxmlformats.org/officeDocument/2006/relationships/themeOverride" Target="../theme/themeOverride63.xml"/><Relationship Id="rId2" Type="http://schemas.microsoft.com/office/2011/relationships/chartColorStyle" Target="colors76.xml"/><Relationship Id="rId1" Type="http://schemas.microsoft.com/office/2011/relationships/chartStyle" Target="style76.xml"/><Relationship Id="rId5" Type="http://schemas.openxmlformats.org/officeDocument/2006/relationships/chartUserShapes" Target="../drawings/drawing53.xml"/><Relationship Id="rId4" Type="http://schemas.openxmlformats.org/officeDocument/2006/relationships/oleObject" Target="file:///A:\Dropbox\Dropbox\BBI\grants_proposals\wintac\ita\ITA%20Tracking%20Sheet%20Year%204-Q4-charts-activities-working-doc-charts.xlsx" TargetMode="External"/></Relationships>
</file>

<file path=word/charts/_rels/chart7.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package" Target="../embeddings/Microsoft_Excel_Worksheet1.xlsx"/></Relationships>
</file>

<file path=word/charts/_rels/chart70.xml.rels><?xml version="1.0" encoding="UTF-8" standalone="yes"?>
<Relationships xmlns="http://schemas.openxmlformats.org/package/2006/relationships"><Relationship Id="rId3" Type="http://schemas.openxmlformats.org/officeDocument/2006/relationships/themeOverride" Target="../theme/themeOverride64.xml"/><Relationship Id="rId2" Type="http://schemas.microsoft.com/office/2011/relationships/chartColorStyle" Target="colors77.xml"/><Relationship Id="rId1" Type="http://schemas.microsoft.com/office/2011/relationships/chartStyle" Target="style77.xml"/><Relationship Id="rId5" Type="http://schemas.openxmlformats.org/officeDocument/2006/relationships/chartUserShapes" Target="../drawings/drawing54.xml"/><Relationship Id="rId4" Type="http://schemas.openxmlformats.org/officeDocument/2006/relationships/oleObject" Target="file:///A:\Dropbox\Dropbox\BBI\grants_proposals\wintac\ita\ITA%20Tracking%20Sheet%20Year%204-Q4-charts-activities-working-doc-charts.xlsx" TargetMode="External"/></Relationships>
</file>

<file path=word/charts/_rels/chart71.xml.rels><?xml version="1.0" encoding="UTF-8" standalone="yes"?>
<Relationships xmlns="http://schemas.openxmlformats.org/package/2006/relationships"><Relationship Id="rId3" Type="http://schemas.openxmlformats.org/officeDocument/2006/relationships/themeOverride" Target="../theme/themeOverride65.xml"/><Relationship Id="rId2" Type="http://schemas.microsoft.com/office/2011/relationships/chartColorStyle" Target="colors78.xml"/><Relationship Id="rId1" Type="http://schemas.microsoft.com/office/2011/relationships/chartStyle" Target="style78.xml"/><Relationship Id="rId5" Type="http://schemas.openxmlformats.org/officeDocument/2006/relationships/chartUserShapes" Target="../drawings/drawing55.xml"/><Relationship Id="rId4" Type="http://schemas.openxmlformats.org/officeDocument/2006/relationships/oleObject" Target="file:///A:\Dropbox\Dropbox\BBI\grants_proposals\wintac\ita\ITA%20Tracking%20Sheet%20Year%204-Q4-charts-activities-working-doc-charts.xlsx" TargetMode="External"/></Relationships>
</file>

<file path=word/charts/_rels/chart72.xml.rels><?xml version="1.0" encoding="UTF-8" standalone="yes"?>
<Relationships xmlns="http://schemas.openxmlformats.org/package/2006/relationships"><Relationship Id="rId3" Type="http://schemas.openxmlformats.org/officeDocument/2006/relationships/themeOverride" Target="../theme/themeOverride66.xml"/><Relationship Id="rId2" Type="http://schemas.microsoft.com/office/2011/relationships/chartColorStyle" Target="colors79.xml"/><Relationship Id="rId1" Type="http://schemas.microsoft.com/office/2011/relationships/chartStyle" Target="style79.xml"/><Relationship Id="rId5" Type="http://schemas.openxmlformats.org/officeDocument/2006/relationships/chartUserShapes" Target="../drawings/drawing56.xml"/><Relationship Id="rId4" Type="http://schemas.openxmlformats.org/officeDocument/2006/relationships/oleObject" Target="file:///A:\Dropbox\Dropbox\BBI\grants_proposals\wintac\ita\ITA%20Tracking%20Sheet%20Year%204-Q4-charts-activities-working-doc-charts.xlsx" TargetMode="External"/></Relationships>
</file>

<file path=word/charts/_rels/chart73.xml.rels><?xml version="1.0" encoding="UTF-8" standalone="yes"?>
<Relationships xmlns="http://schemas.openxmlformats.org/package/2006/relationships"><Relationship Id="rId3" Type="http://schemas.openxmlformats.org/officeDocument/2006/relationships/themeOverride" Target="../theme/themeOverride67.xml"/><Relationship Id="rId2" Type="http://schemas.microsoft.com/office/2011/relationships/chartColorStyle" Target="colors80.xml"/><Relationship Id="rId1" Type="http://schemas.microsoft.com/office/2011/relationships/chartStyle" Target="style80.xml"/><Relationship Id="rId5" Type="http://schemas.openxmlformats.org/officeDocument/2006/relationships/chartUserShapes" Target="../drawings/drawing57.xml"/><Relationship Id="rId4" Type="http://schemas.openxmlformats.org/officeDocument/2006/relationships/oleObject" Target="file:///A:\Dropbox\Dropbox\BBI\grants_proposals\wintac\ita\ITA%20Tracking%20Sheet%20Year%204-Q4-charts-activities-working-doc-charts.xlsx" TargetMode="External"/></Relationships>
</file>

<file path=word/charts/_rels/chart74.xml.rels><?xml version="1.0" encoding="UTF-8" standalone="yes"?>
<Relationships xmlns="http://schemas.openxmlformats.org/package/2006/relationships"><Relationship Id="rId3" Type="http://schemas.openxmlformats.org/officeDocument/2006/relationships/themeOverride" Target="../theme/themeOverride68.xml"/><Relationship Id="rId2" Type="http://schemas.microsoft.com/office/2011/relationships/chartColorStyle" Target="colors81.xml"/><Relationship Id="rId1" Type="http://schemas.microsoft.com/office/2011/relationships/chartStyle" Target="style81.xml"/><Relationship Id="rId5" Type="http://schemas.openxmlformats.org/officeDocument/2006/relationships/chartUserShapes" Target="../drawings/drawing58.xml"/><Relationship Id="rId4" Type="http://schemas.openxmlformats.org/officeDocument/2006/relationships/oleObject" Target="file:///A:\Dropbox\Dropbox\BBI\grants_proposals\wintac\ita\ITA%20Tracking%20Sheet%20Year%204-Q4-charts-activities-working-doc-charts.xlsx" TargetMode="External"/></Relationships>
</file>

<file path=word/charts/_rels/chart75.xml.rels><?xml version="1.0" encoding="UTF-8" standalone="yes"?>
<Relationships xmlns="http://schemas.openxmlformats.org/package/2006/relationships"><Relationship Id="rId3" Type="http://schemas.openxmlformats.org/officeDocument/2006/relationships/themeOverride" Target="../theme/themeOverride69.xml"/><Relationship Id="rId2" Type="http://schemas.microsoft.com/office/2011/relationships/chartColorStyle" Target="colors82.xml"/><Relationship Id="rId1" Type="http://schemas.microsoft.com/office/2011/relationships/chartStyle" Target="style82.xml"/><Relationship Id="rId5" Type="http://schemas.openxmlformats.org/officeDocument/2006/relationships/chartUserShapes" Target="../drawings/drawing59.xml"/><Relationship Id="rId4" Type="http://schemas.openxmlformats.org/officeDocument/2006/relationships/oleObject" Target="file:///A:\Dropbox\Dropbox\BBI\grants_proposals\wintac\ita\ITA%20Tracking%20Sheet%20Year%204-Q4-charts-activities-working-doc-charts.xlsx" TargetMode="External"/></Relationships>
</file>

<file path=word/charts/_rels/chart76.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83.xml"/><Relationship Id="rId1" Type="http://schemas.microsoft.com/office/2011/relationships/chartStyle" Target="style83.xml"/></Relationships>
</file>

<file path=word/charts/_rels/chart77.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84.xml"/><Relationship Id="rId1" Type="http://schemas.microsoft.com/office/2011/relationships/chartStyle" Target="style84.xml"/></Relationships>
</file>

<file path=word/charts/_rels/chart78.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85.xml"/><Relationship Id="rId1" Type="http://schemas.microsoft.com/office/2011/relationships/chartStyle" Target="style85.xml"/></Relationships>
</file>

<file path=word/charts/_rels/chart79.xml.rels><?xml version="1.0" encoding="UTF-8" standalone="yes"?>
<Relationships xmlns="http://schemas.openxmlformats.org/package/2006/relationships"><Relationship Id="rId3" Type="http://schemas.openxmlformats.org/officeDocument/2006/relationships/oleObject" Target="file:///C:\Users\madya\Documents\Meera%20Work\WINTAC\Reports\Yr%204\Yr-End\SARA\SARA%20Charts%20Y4%20End.xlsx" TargetMode="External"/><Relationship Id="rId2" Type="http://schemas.microsoft.com/office/2011/relationships/chartColorStyle" Target="colors86.xml"/><Relationship Id="rId1" Type="http://schemas.microsoft.com/office/2011/relationships/chartStyle" Target="style86.xml"/></Relationships>
</file>

<file path=word/charts/_rels/chart8.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8.xml"/><Relationship Id="rId1" Type="http://schemas.microsoft.com/office/2011/relationships/chartStyle" Target="style8.xml"/><Relationship Id="rId5" Type="http://schemas.openxmlformats.org/officeDocument/2006/relationships/chartUserShapes" Target="../drawings/drawing1.xml"/><Relationship Id="rId4" Type="http://schemas.openxmlformats.org/officeDocument/2006/relationships/oleObject" Target="file:///A:\Dropbox\Dropbox\BBI\grants_proposals\wintac\ita\ITA%20Tracking%20Sheet%20Year%204-Q4-charts-activities-working-doc-charts.xlsx" TargetMode="External"/></Relationships>
</file>

<file path=word/charts/_rels/chart80.xml.rels><?xml version="1.0" encoding="UTF-8" standalone="yes"?>
<Relationships xmlns="http://schemas.openxmlformats.org/package/2006/relationships"><Relationship Id="rId3" Type="http://schemas.openxmlformats.org/officeDocument/2006/relationships/oleObject" Target="file:///C:\Users\madya\Documents\Meera%20Work\WINTAC\Reports\Yr%204\Yr-End\SARA\SARA%20Charts%20Y4%20End.xlsx" TargetMode="External"/><Relationship Id="rId2" Type="http://schemas.microsoft.com/office/2011/relationships/chartColorStyle" Target="colors87.xml"/><Relationship Id="rId1" Type="http://schemas.microsoft.com/office/2011/relationships/chartStyle" Target="style87.xml"/></Relationships>
</file>

<file path=word/charts/_rels/chart81.xml.rels><?xml version="1.0" encoding="UTF-8" standalone="yes"?>
<Relationships xmlns="http://schemas.openxmlformats.org/package/2006/relationships"><Relationship Id="rId3" Type="http://schemas.openxmlformats.org/officeDocument/2006/relationships/oleObject" Target="file:///C:\Users\madya\Documents\Meera%20Work\WINTAC\Reports\Yr%204\Yr-End\SARA\SARA%20Charts%20Y4%20End.xlsx" TargetMode="External"/><Relationship Id="rId2" Type="http://schemas.microsoft.com/office/2011/relationships/chartColorStyle" Target="colors88.xml"/><Relationship Id="rId1" Type="http://schemas.microsoft.com/office/2011/relationships/chartStyle" Target="style88.xml"/></Relationships>
</file>

<file path=word/charts/_rels/chart82.xml.rels><?xml version="1.0" encoding="UTF-8" standalone="yes"?>
<Relationships xmlns="http://schemas.openxmlformats.org/package/2006/relationships"><Relationship Id="rId3" Type="http://schemas.openxmlformats.org/officeDocument/2006/relationships/oleObject" Target="file:///C:\Users\madya\Documents\Meera%20Work\WINTAC\Reports\Yr%204\Yr-End\SARA\SARA%20Charts%20Y4%20End.xlsx" TargetMode="External"/><Relationship Id="rId2" Type="http://schemas.microsoft.com/office/2011/relationships/chartColorStyle" Target="colors89.xml"/><Relationship Id="rId1" Type="http://schemas.microsoft.com/office/2011/relationships/chartStyle" Target="style89.xml"/></Relationships>
</file>

<file path=word/charts/_rels/chart83.xml.rels><?xml version="1.0" encoding="UTF-8" standalone="yes"?>
<Relationships xmlns="http://schemas.openxmlformats.org/package/2006/relationships"><Relationship Id="rId3" Type="http://schemas.openxmlformats.org/officeDocument/2006/relationships/oleObject" Target="file:///A:\Dropbox\Dropbox\BBI\grants_proposals\wintac\ita\ITA%20Tracking%20Sheet%20Year%204-Q4-charts-activities-working-doc-120619.xlsx" TargetMode="External"/><Relationship Id="rId2" Type="http://schemas.microsoft.com/office/2011/relationships/chartColorStyle" Target="colors90.xml"/><Relationship Id="rId1" Type="http://schemas.microsoft.com/office/2011/relationships/chartStyle" Target="style90.xml"/></Relationships>
</file>

<file path=word/charts/_rels/chart84.xml.rels><?xml version="1.0" encoding="UTF-8" standalone="yes"?>
<Relationships xmlns="http://schemas.openxmlformats.org/package/2006/relationships"><Relationship Id="rId3" Type="http://schemas.openxmlformats.org/officeDocument/2006/relationships/themeOverride" Target="../theme/themeOverride70.xml"/><Relationship Id="rId2" Type="http://schemas.microsoft.com/office/2011/relationships/chartColorStyle" Target="colors91.xml"/><Relationship Id="rId1" Type="http://schemas.microsoft.com/office/2011/relationships/chartStyle" Target="style91.xml"/><Relationship Id="rId5" Type="http://schemas.openxmlformats.org/officeDocument/2006/relationships/chartUserShapes" Target="../drawings/drawing60.xml"/><Relationship Id="rId4" Type="http://schemas.openxmlformats.org/officeDocument/2006/relationships/oleObject" Target="file:///A:\Dropbox\Dropbox\BBI\grants_proposals\wintac\ita\ITA%20Tracking%20Sheet%20Year%204-Q4-charts-activities-working-doc-charts.xlsx" TargetMode="External"/></Relationships>
</file>

<file path=word/charts/_rels/chart85.xml.rels><?xml version="1.0" encoding="UTF-8" standalone="yes"?>
<Relationships xmlns="http://schemas.openxmlformats.org/package/2006/relationships"><Relationship Id="rId3" Type="http://schemas.openxmlformats.org/officeDocument/2006/relationships/themeOverride" Target="../theme/themeOverride71.xml"/><Relationship Id="rId2" Type="http://schemas.microsoft.com/office/2011/relationships/chartColorStyle" Target="colors92.xml"/><Relationship Id="rId1" Type="http://schemas.microsoft.com/office/2011/relationships/chartStyle" Target="style92.xml"/><Relationship Id="rId5" Type="http://schemas.openxmlformats.org/officeDocument/2006/relationships/chartUserShapes" Target="../drawings/drawing61.xml"/><Relationship Id="rId4" Type="http://schemas.openxmlformats.org/officeDocument/2006/relationships/oleObject" Target="file:///A:\Dropbox\Dropbox\BBI\grants_proposals\wintac\ita\ITA%20Tracking%20Sheet%20Year%204-Q4-charts-activities-working-doc-charts.xlsx" TargetMode="External"/></Relationships>
</file>

<file path=word/charts/_rels/chart86.xml.rels><?xml version="1.0" encoding="UTF-8" standalone="yes"?>
<Relationships xmlns="http://schemas.openxmlformats.org/package/2006/relationships"><Relationship Id="rId3" Type="http://schemas.openxmlformats.org/officeDocument/2006/relationships/themeOverride" Target="../theme/themeOverride72.xml"/><Relationship Id="rId2" Type="http://schemas.microsoft.com/office/2011/relationships/chartColorStyle" Target="colors93.xml"/><Relationship Id="rId1" Type="http://schemas.microsoft.com/office/2011/relationships/chartStyle" Target="style93.xml"/><Relationship Id="rId5" Type="http://schemas.openxmlformats.org/officeDocument/2006/relationships/chartUserShapes" Target="../drawings/drawing62.xml"/><Relationship Id="rId4" Type="http://schemas.openxmlformats.org/officeDocument/2006/relationships/oleObject" Target="file:///A:\Dropbox\Dropbox\BBI\grants_proposals\wintac\ita\ITA%20Tracking%20Sheet%20Year%204-Q4-charts-activities-working-doc-charts.xlsx" TargetMode="External"/></Relationships>
</file>

<file path=word/charts/_rels/chart87.xml.rels><?xml version="1.0" encoding="UTF-8" standalone="yes"?>
<Relationships xmlns="http://schemas.openxmlformats.org/package/2006/relationships"><Relationship Id="rId3" Type="http://schemas.openxmlformats.org/officeDocument/2006/relationships/themeOverride" Target="../theme/themeOverride73.xml"/><Relationship Id="rId2" Type="http://schemas.microsoft.com/office/2011/relationships/chartColorStyle" Target="colors94.xml"/><Relationship Id="rId1" Type="http://schemas.microsoft.com/office/2011/relationships/chartStyle" Target="style94.xml"/><Relationship Id="rId5" Type="http://schemas.openxmlformats.org/officeDocument/2006/relationships/chartUserShapes" Target="../drawings/drawing63.xml"/><Relationship Id="rId4" Type="http://schemas.openxmlformats.org/officeDocument/2006/relationships/oleObject" Target="file:///A:\Dropbox\Dropbox\BBI\grants_proposals\wintac\ita\ITA%20Tracking%20Sheet%20Year%204-Q4-charts-activities-working-doc-charts.xlsx" TargetMode="External"/></Relationships>
</file>

<file path=word/charts/_rels/chart88.xml.rels><?xml version="1.0" encoding="UTF-8" standalone="yes"?>
<Relationships xmlns="http://schemas.openxmlformats.org/package/2006/relationships"><Relationship Id="rId3" Type="http://schemas.openxmlformats.org/officeDocument/2006/relationships/themeOverride" Target="../theme/themeOverride74.xml"/><Relationship Id="rId2" Type="http://schemas.microsoft.com/office/2011/relationships/chartColorStyle" Target="colors95.xml"/><Relationship Id="rId1" Type="http://schemas.microsoft.com/office/2011/relationships/chartStyle" Target="style95.xml"/><Relationship Id="rId5" Type="http://schemas.openxmlformats.org/officeDocument/2006/relationships/chartUserShapes" Target="../drawings/drawing64.xml"/><Relationship Id="rId4" Type="http://schemas.openxmlformats.org/officeDocument/2006/relationships/oleObject" Target="file:///A:\Dropbox\Dropbox\BBI\grants_proposals\wintac\ita\ITA%20Tracking%20Sheet%20Year%204-Q4-charts-activities-working-doc-charts.xlsx" TargetMode="External"/></Relationships>
</file>

<file path=word/charts/_rels/chart89.xml.rels><?xml version="1.0" encoding="UTF-8" standalone="yes"?>
<Relationships xmlns="http://schemas.openxmlformats.org/package/2006/relationships"><Relationship Id="rId3" Type="http://schemas.openxmlformats.org/officeDocument/2006/relationships/oleObject" Target="file:///C:\Users\madya\Documents\Meera%20Work\WINTAC\Reports\Yr%204\Yr-End\TCI+LMI\TCI%20Usage%20Data%20-%20All%20-%20Y4.xlsx" TargetMode="External"/><Relationship Id="rId2" Type="http://schemas.microsoft.com/office/2011/relationships/chartColorStyle" Target="colors96.xml"/><Relationship Id="rId1" Type="http://schemas.microsoft.com/office/2011/relationships/chartStyle" Target="style96.xml"/></Relationships>
</file>

<file path=word/charts/_rels/chart9.xml.rels><?xml version="1.0" encoding="UTF-8" standalone="yes"?>
<Relationships xmlns="http://schemas.openxmlformats.org/package/2006/relationships"><Relationship Id="rId3" Type="http://schemas.openxmlformats.org/officeDocument/2006/relationships/themeOverride" Target="../theme/themeOverride8.xml"/><Relationship Id="rId2" Type="http://schemas.microsoft.com/office/2011/relationships/chartColorStyle" Target="colors9.xml"/><Relationship Id="rId1" Type="http://schemas.microsoft.com/office/2011/relationships/chartStyle" Target="style9.xml"/><Relationship Id="rId5" Type="http://schemas.openxmlformats.org/officeDocument/2006/relationships/chartUserShapes" Target="../drawings/drawing2.xml"/><Relationship Id="rId4" Type="http://schemas.openxmlformats.org/officeDocument/2006/relationships/oleObject" Target="file:///A:\Dropbox\Dropbox\BBI\grants_proposals\wintac\ita\ITA%20Tracking%20Sheet%20Year%204-Q4-charts-activities-working-doc-charts.xlsx" TargetMode="External"/></Relationships>
</file>

<file path=word/charts/_rels/chart90.xml.rels><?xml version="1.0" encoding="UTF-8" standalone="yes"?>
<Relationships xmlns="http://schemas.openxmlformats.org/package/2006/relationships"><Relationship Id="rId3" Type="http://schemas.openxmlformats.org/officeDocument/2006/relationships/oleObject" Target="file:///C:\Users\madya\Documents\Meera%20Work\WINTAC\Reports\Yr%204\Yr-End\TCI+LMI\TCI%20Usage%20Data%20-%20All%20-%20Y4.xlsx" TargetMode="External"/><Relationship Id="rId2" Type="http://schemas.microsoft.com/office/2011/relationships/chartColorStyle" Target="colors98.xml"/><Relationship Id="rId1" Type="http://schemas.microsoft.com/office/2011/relationships/chartStyle" Target="style98.xml"/></Relationships>
</file>

<file path=word/charts/_rels/chart91.xml.rels><?xml version="1.0" encoding="UTF-8" standalone="yes"?>
<Relationships xmlns="http://schemas.openxmlformats.org/package/2006/relationships"><Relationship Id="rId3" Type="http://schemas.openxmlformats.org/officeDocument/2006/relationships/themeOverride" Target="../theme/themeOverride75.xml"/><Relationship Id="rId2" Type="http://schemas.microsoft.com/office/2011/relationships/chartColorStyle" Target="colors99.xml"/><Relationship Id="rId1" Type="http://schemas.microsoft.com/office/2011/relationships/chartStyle" Target="style99.xml"/><Relationship Id="rId4" Type="http://schemas.openxmlformats.org/officeDocument/2006/relationships/oleObject" Target="file:///A:\Dropbox\Dropbox\BBI\grants_proposals\wintac\ita\ITA%20Tracking%20Sheet%20Year%204-Q4-charts-activities-working-doc-120619.xlsx" TargetMode="External"/></Relationships>
</file>

<file path=word/charts/_rels/chart92.xml.rels><?xml version="1.0" encoding="UTF-8" standalone="yes"?>
<Relationships xmlns="http://schemas.openxmlformats.org/package/2006/relationships"><Relationship Id="rId3" Type="http://schemas.openxmlformats.org/officeDocument/2006/relationships/themeOverride" Target="../theme/themeOverride76.xml"/><Relationship Id="rId2" Type="http://schemas.microsoft.com/office/2011/relationships/chartColorStyle" Target="colors100.xml"/><Relationship Id="rId1" Type="http://schemas.microsoft.com/office/2011/relationships/chartStyle" Target="style100.xml"/><Relationship Id="rId5" Type="http://schemas.openxmlformats.org/officeDocument/2006/relationships/chartUserShapes" Target="../drawings/drawing65.xml"/><Relationship Id="rId4" Type="http://schemas.openxmlformats.org/officeDocument/2006/relationships/oleObject" Target="file:///A:\Dropbox\Dropbox\BBI\grants_proposals\wintac\ita\ITA%20Tracking%20Sheet%20Year%204-Q4-charts-activities-working-doc-charts.xlsx" TargetMode="External"/></Relationships>
</file>

<file path=word/charts/_rels/chart93.xml.rels><?xml version="1.0" encoding="UTF-8" standalone="yes"?>
<Relationships xmlns="http://schemas.openxmlformats.org/package/2006/relationships"><Relationship Id="rId3" Type="http://schemas.openxmlformats.org/officeDocument/2006/relationships/themeOverride" Target="../theme/themeOverride77.xml"/><Relationship Id="rId2" Type="http://schemas.microsoft.com/office/2011/relationships/chartColorStyle" Target="colors101.xml"/><Relationship Id="rId1" Type="http://schemas.microsoft.com/office/2011/relationships/chartStyle" Target="style101.xml"/><Relationship Id="rId5" Type="http://schemas.openxmlformats.org/officeDocument/2006/relationships/chartUserShapes" Target="../drawings/drawing66.xml"/><Relationship Id="rId4" Type="http://schemas.openxmlformats.org/officeDocument/2006/relationships/oleObject" Target="file:///A:\Dropbox\Dropbox\BBI\grants_proposals\wintac\ita\ITA%20Tracking%20Sheet%20Year%204-Q4-charts-activities-working-doc-charts.xlsx" TargetMode="External"/></Relationships>
</file>

<file path=word/charts/_rels/chart94.xml.rels><?xml version="1.0" encoding="UTF-8" standalone="yes"?>
<Relationships xmlns="http://schemas.openxmlformats.org/package/2006/relationships"><Relationship Id="rId3" Type="http://schemas.openxmlformats.org/officeDocument/2006/relationships/themeOverride" Target="../theme/themeOverride78.xml"/><Relationship Id="rId2" Type="http://schemas.microsoft.com/office/2011/relationships/chartColorStyle" Target="colors102.xml"/><Relationship Id="rId1" Type="http://schemas.microsoft.com/office/2011/relationships/chartStyle" Target="style102.xml"/><Relationship Id="rId5" Type="http://schemas.openxmlformats.org/officeDocument/2006/relationships/chartUserShapes" Target="../drawings/drawing67.xml"/><Relationship Id="rId4" Type="http://schemas.openxmlformats.org/officeDocument/2006/relationships/oleObject" Target="file:///A:\Dropbox\Dropbox\BBI\grants_proposals\wintac\ita\ITA%20Tracking%20Sheet%20Year%204-Q4-charts-activities-working-doc-charts.xlsx" TargetMode="External"/></Relationships>
</file>

<file path=word/charts/_rels/chart95.xml.rels><?xml version="1.0" encoding="UTF-8" standalone="yes"?>
<Relationships xmlns="http://schemas.openxmlformats.org/package/2006/relationships"><Relationship Id="rId3" Type="http://schemas.openxmlformats.org/officeDocument/2006/relationships/themeOverride" Target="../theme/themeOverride79.xml"/><Relationship Id="rId2" Type="http://schemas.microsoft.com/office/2011/relationships/chartColorStyle" Target="colors103.xml"/><Relationship Id="rId1" Type="http://schemas.microsoft.com/office/2011/relationships/chartStyle" Target="style103.xml"/><Relationship Id="rId5" Type="http://schemas.openxmlformats.org/officeDocument/2006/relationships/chartUserShapes" Target="../drawings/drawing68.xml"/><Relationship Id="rId4" Type="http://schemas.openxmlformats.org/officeDocument/2006/relationships/oleObject" Target="file:///A:\Dropbox\Dropbox\BBI\grants_proposals\wintac\ita\ITA%20Tracking%20Sheet%20Year%204-Q4-charts-activities-working-doc-charts.xlsx" TargetMode="External"/></Relationships>
</file>

<file path=word/charts/_rels/chart96.xml.rels><?xml version="1.0" encoding="UTF-8" standalone="yes"?>
<Relationships xmlns="http://schemas.openxmlformats.org/package/2006/relationships"><Relationship Id="rId3" Type="http://schemas.openxmlformats.org/officeDocument/2006/relationships/themeOverride" Target="../theme/themeOverride80.xml"/><Relationship Id="rId2" Type="http://schemas.microsoft.com/office/2011/relationships/chartColorStyle" Target="colors104.xml"/><Relationship Id="rId1" Type="http://schemas.microsoft.com/office/2011/relationships/chartStyle" Target="style104.xml"/><Relationship Id="rId5" Type="http://schemas.openxmlformats.org/officeDocument/2006/relationships/chartUserShapes" Target="../drawings/drawing69.xml"/><Relationship Id="rId4" Type="http://schemas.openxmlformats.org/officeDocument/2006/relationships/oleObject" Target="file:///A:\Dropbox\Dropbox\BBI\grants_proposals\wintac\ita\ITA%20Tracking%20Sheet%20Year%204-Q4-charts-activities-working-doc-charts.xlsx" TargetMode="External"/></Relationships>
</file>

<file path=word/charts/_rels/chart97.xml.rels><?xml version="1.0" encoding="UTF-8" standalone="yes"?>
<Relationships xmlns="http://schemas.openxmlformats.org/package/2006/relationships"><Relationship Id="rId3" Type="http://schemas.openxmlformats.org/officeDocument/2006/relationships/themeOverride" Target="../theme/themeOverride81.xml"/><Relationship Id="rId2" Type="http://schemas.microsoft.com/office/2011/relationships/chartColorStyle" Target="colors105.xml"/><Relationship Id="rId1" Type="http://schemas.microsoft.com/office/2011/relationships/chartStyle" Target="style105.xml"/><Relationship Id="rId5" Type="http://schemas.openxmlformats.org/officeDocument/2006/relationships/chartUserShapes" Target="../drawings/drawing70.xml"/><Relationship Id="rId4" Type="http://schemas.openxmlformats.org/officeDocument/2006/relationships/oleObject" Target="file:///A:\Dropbox\Dropbox\BBI\grants_proposals\wintac\ita\ITA%20Tracking%20Sheet%20Year%204-Q4-charts-activities-working-doc-charts.xlsx" TargetMode="External"/></Relationships>
</file>

<file path=word/charts/_rels/chart98.xml.rels><?xml version="1.0" encoding="UTF-8" standalone="yes"?>
<Relationships xmlns="http://schemas.openxmlformats.org/package/2006/relationships"><Relationship Id="rId3" Type="http://schemas.openxmlformats.org/officeDocument/2006/relationships/oleObject" Target="file:///A:\Dropbox\Dropbox\BBI\grants_proposals\wintac\ita\ITA%20Tracking%20Sheet%20Year%204-Q4-charts-activities-working-doc-121119.xlsx" TargetMode="External"/><Relationship Id="rId2" Type="http://schemas.microsoft.com/office/2011/relationships/chartColorStyle" Target="colors106.xml"/><Relationship Id="rId1" Type="http://schemas.microsoft.com/office/2011/relationships/chartStyle" Target="style106.xml"/></Relationships>
</file>

<file path=word/charts/_rels/chart99.xml.rels><?xml version="1.0" encoding="UTF-8" standalone="yes"?>
<Relationships xmlns="http://schemas.openxmlformats.org/package/2006/relationships"><Relationship Id="rId3" Type="http://schemas.openxmlformats.org/officeDocument/2006/relationships/themeOverride" Target="../theme/themeOverride82.xml"/><Relationship Id="rId2" Type="http://schemas.microsoft.com/office/2011/relationships/chartColorStyle" Target="colors107.xml"/><Relationship Id="rId1" Type="http://schemas.microsoft.com/office/2011/relationships/chartStyle" Target="style107.xml"/><Relationship Id="rId5" Type="http://schemas.openxmlformats.org/officeDocument/2006/relationships/chartUserShapes" Target="../drawings/drawing71.xml"/><Relationship Id="rId4" Type="http://schemas.openxmlformats.org/officeDocument/2006/relationships/oleObject" Target="file:///A:\Dropbox\Dropbox\BBI\grants_proposals\wintac\ita\ITA%20Tracking%20Sheet%20Year%204-Q4-charts-activities-outcomes%20charts.xlsx" TargetMode="External"/></Relationships>
</file>

<file path=word/charts/_rels/chartEx1.xml.rels><?xml version="1.0" encoding="UTF-8" standalone="yes"?>
<Relationships xmlns="http://schemas.openxmlformats.org/package/2006/relationships"><Relationship Id="rId3" Type="http://schemas.microsoft.com/office/2011/relationships/chartColorStyle" Target="colors19.xml"/><Relationship Id="rId2" Type="http://schemas.microsoft.com/office/2011/relationships/chartStyle" Target="style19.xml"/><Relationship Id="rId1" Type="http://schemas.openxmlformats.org/officeDocument/2006/relationships/oleObject" Target="file:///C:\Users\madya\AppData\Local\Microsoft\Windows\INetCache\Content.Outlook\XPCQMEUU\Pre-ETS%20Summary%20of%20activity-MAcalcs-charts-co.xlsx" TargetMode="External"/></Relationships>
</file>

<file path=word/charts/_rels/chartEx10.xml.rels><?xml version="1.0" encoding="UTF-8" standalone="yes"?>
<Relationships xmlns="http://schemas.openxmlformats.org/package/2006/relationships"><Relationship Id="rId3" Type="http://schemas.microsoft.com/office/2011/relationships/chartColorStyle" Target="colors280.xml"/><Relationship Id="rId2" Type="http://schemas.microsoft.com/office/2011/relationships/chartStyle" Target="style280.xml"/><Relationship Id="rId1" Type="http://schemas.openxmlformats.org/officeDocument/2006/relationships/oleObject" Target="file:///C:\Users\madya\Documents\Meera%20Work\WINTAC\Reports\Yr%204\Yr-End\Pre-ETS\Pre-ETS%20Summary%20of%20activity-MAcalcs-charts.xlsx" TargetMode="External"/></Relationships>
</file>

<file path=word/charts/_rels/chartEx11.xml.rels><?xml version="1.0" encoding="UTF-8" standalone="yes"?>
<Relationships xmlns="http://schemas.openxmlformats.org/package/2006/relationships"><Relationship Id="rId3" Type="http://schemas.microsoft.com/office/2011/relationships/chartColorStyle" Target="colors290.xml"/><Relationship Id="rId2" Type="http://schemas.microsoft.com/office/2011/relationships/chartStyle" Target="style290.xml"/><Relationship Id="rId1" Type="http://schemas.openxmlformats.org/officeDocument/2006/relationships/oleObject" Target="file:///C:\Users\madya\Documents\Meera%20Work\WINTAC\Reports\Yr%204\Yr-End\Pre-ETS\Pre-ETS%20Summary%20of%20activity-MAcalcs-charts.xlsx" TargetMode="External"/></Relationships>
</file>

<file path=word/charts/_rels/chartEx12.xml.rels><?xml version="1.0" encoding="UTF-8" standalone="yes"?>
<Relationships xmlns="http://schemas.openxmlformats.org/package/2006/relationships"><Relationship Id="rId3" Type="http://schemas.microsoft.com/office/2011/relationships/chartColorStyle" Target="colors300.xml"/><Relationship Id="rId2" Type="http://schemas.microsoft.com/office/2011/relationships/chartStyle" Target="style300.xml"/><Relationship Id="rId1" Type="http://schemas.openxmlformats.org/officeDocument/2006/relationships/oleObject" Target="file:///C:\Users\madya\Documents\Meera%20Work\WINTAC\Reports\Yr%204\Yr-End\Pre-ETS\Pre-ETS%20Summary%20of%20activity-MAcalcs-charts.xlsx" TargetMode="External"/></Relationships>
</file>

<file path=word/charts/_rels/chartEx13.xml.rels><?xml version="1.0" encoding="UTF-8" standalone="yes"?>
<Relationships xmlns="http://schemas.openxmlformats.org/package/2006/relationships"><Relationship Id="rId3" Type="http://schemas.microsoft.com/office/2011/relationships/chartColorStyle" Target="colors310.xml"/><Relationship Id="rId2" Type="http://schemas.microsoft.com/office/2011/relationships/chartStyle" Target="style310.xml"/><Relationship Id="rId1" Type="http://schemas.openxmlformats.org/officeDocument/2006/relationships/oleObject" Target="file:///C:\Users\madya\Documents\Meera%20Work\WINTAC\Reports\Yr%204\Yr-End\Pre-ETS\Pre-ETS%20Summary%20of%20activity-MAcalcs-charts.xlsx" TargetMode="External"/></Relationships>
</file>

<file path=word/charts/_rels/chartEx14.xml.rels><?xml version="1.0" encoding="UTF-8" standalone="yes"?>
<Relationships xmlns="http://schemas.openxmlformats.org/package/2006/relationships"><Relationship Id="rId3" Type="http://schemas.microsoft.com/office/2011/relationships/chartColorStyle" Target="colors320.xml"/><Relationship Id="rId2" Type="http://schemas.microsoft.com/office/2011/relationships/chartStyle" Target="style320.xml"/><Relationship Id="rId1" Type="http://schemas.openxmlformats.org/officeDocument/2006/relationships/oleObject" Target="file:///C:\Users\madya\Documents\Meera%20Work\WINTAC\Reports\Yr%204\Yr-End\Pre-ETS\Pre-ETS%20Summary%20of%20activity-MAcalcs-charts.xlsx" TargetMode="External"/></Relationships>
</file>

<file path=word/charts/_rels/chartEx15.xml.rels><?xml version="1.0" encoding="UTF-8" standalone="yes"?>
<Relationships xmlns="http://schemas.openxmlformats.org/package/2006/relationships"><Relationship Id="rId3" Type="http://schemas.microsoft.com/office/2011/relationships/chartColorStyle" Target="colors97.xml"/><Relationship Id="rId2" Type="http://schemas.microsoft.com/office/2011/relationships/chartStyle" Target="style97.xml"/><Relationship Id="rId1" Type="http://schemas.openxmlformats.org/officeDocument/2006/relationships/oleObject" Target="file:///C:\Users\madya\Documents\Meera%20Work\WINTAC\Reports\Yr%204\Yr-End\TCI+LMI\TCI%20Usage%20Data%20-%20All%20-%20Y4.xlsx" TargetMode="External"/></Relationships>
</file>

<file path=word/charts/_rels/chartEx16.xml.rels><?xml version="1.0" encoding="UTF-8" standalone="yes"?>
<Relationships xmlns="http://schemas.openxmlformats.org/package/2006/relationships"><Relationship Id="rId3" Type="http://schemas.microsoft.com/office/2011/relationships/chartColorStyle" Target="colors1060.xml"/><Relationship Id="rId2" Type="http://schemas.microsoft.com/office/2011/relationships/chartStyle" Target="style1060.xml"/><Relationship Id="rId1" Type="http://schemas.openxmlformats.org/officeDocument/2006/relationships/oleObject" Target="file:///C:\Users\madya\Documents\Meera%20Work\WINTAC\Reports\Yr%204\Yr-End\TCI+LMI\TCI%20Usage%20Data%20-%20All%20-%20Y4.xlsx" TargetMode="External"/></Relationships>
</file>

<file path=word/charts/_rels/chartEx2.xml.rels><?xml version="1.0" encoding="UTF-8" standalone="yes"?>
<Relationships xmlns="http://schemas.openxmlformats.org/package/2006/relationships"><Relationship Id="rId3" Type="http://schemas.microsoft.com/office/2011/relationships/chartColorStyle" Target="colors20.xml"/><Relationship Id="rId2" Type="http://schemas.microsoft.com/office/2011/relationships/chartStyle" Target="style20.xml"/><Relationship Id="rId1" Type="http://schemas.openxmlformats.org/officeDocument/2006/relationships/oleObject" Target="file:///C:\Users\madya\AppData\Local\Microsoft\Windows\INetCache\Content.Outlook\XPCQMEUU\Pre-ETS%20Summary%20of%20activity-MAcalcs-charts-co.xlsx" TargetMode="External"/></Relationships>
</file>

<file path=word/charts/_rels/chartEx3.xml.rels><?xml version="1.0" encoding="UTF-8" standalone="yes"?>
<Relationships xmlns="http://schemas.openxmlformats.org/package/2006/relationships"><Relationship Id="rId3" Type="http://schemas.microsoft.com/office/2011/relationships/chartColorStyle" Target="colors21.xml"/><Relationship Id="rId2" Type="http://schemas.microsoft.com/office/2011/relationships/chartStyle" Target="style21.xml"/><Relationship Id="rId1" Type="http://schemas.openxmlformats.org/officeDocument/2006/relationships/oleObject" Target="file:///C:\Users\madya\AppData\Local\Microsoft\Windows\INetCache\Content.Outlook\XPCQMEUU\Pre-ETS%20Summary%20of%20activity-MAcalcs-charts-co.xlsx" TargetMode="External"/></Relationships>
</file>

<file path=word/charts/_rels/chartEx4.xml.rels><?xml version="1.0" encoding="UTF-8" standalone="yes"?>
<Relationships xmlns="http://schemas.openxmlformats.org/package/2006/relationships"><Relationship Id="rId3" Type="http://schemas.microsoft.com/office/2011/relationships/chartColorStyle" Target="colors22.xml"/><Relationship Id="rId2" Type="http://schemas.microsoft.com/office/2011/relationships/chartStyle" Target="style22.xml"/><Relationship Id="rId1" Type="http://schemas.openxmlformats.org/officeDocument/2006/relationships/oleObject" Target="file:///C:\Users\madya\Documents\Meera%20Work\WINTAC\Reports\Yr%204\Yr-End\Pre-ETS\Pre-ETS%20Summary%20of%20activity-MAcalcs-charts.xlsx" TargetMode="External"/></Relationships>
</file>

<file path=word/charts/_rels/chartEx5.xml.rels><?xml version="1.0" encoding="UTF-8" standalone="yes"?>
<Relationships xmlns="http://schemas.openxmlformats.org/package/2006/relationships"><Relationship Id="rId3" Type="http://schemas.microsoft.com/office/2011/relationships/chartColorStyle" Target="colors23.xml"/><Relationship Id="rId2" Type="http://schemas.microsoft.com/office/2011/relationships/chartStyle" Target="style23.xml"/><Relationship Id="rId1" Type="http://schemas.openxmlformats.org/officeDocument/2006/relationships/oleObject" Target="file:///C:\Users\madya\Documents\Meera%20Work\WINTAC\Reports\Yr%204\Yr-End\Pre-ETS\Pre-ETS%20Summary%20of%20activity-MAcalcs-charts.xlsx" TargetMode="External"/></Relationships>
</file>

<file path=word/charts/_rels/chartEx6.xml.rels><?xml version="1.0" encoding="UTF-8" standalone="yes"?>
<Relationships xmlns="http://schemas.openxmlformats.org/package/2006/relationships"><Relationship Id="rId3" Type="http://schemas.microsoft.com/office/2011/relationships/chartColorStyle" Target="colors24.xml"/><Relationship Id="rId2" Type="http://schemas.microsoft.com/office/2011/relationships/chartStyle" Target="style24.xml"/><Relationship Id="rId1" Type="http://schemas.openxmlformats.org/officeDocument/2006/relationships/oleObject" Target="file:///C:\Users\madya\Documents\Meera%20Work\WINTAC\Reports\Yr%204\Yr-End\Pre-ETS\Pre-ETS%20Summary%20of%20activity-MAcalcs-charts.xlsx" TargetMode="External"/></Relationships>
</file>

<file path=word/charts/_rels/chartEx7.xml.rels><?xml version="1.0" encoding="UTF-8" standalone="yes"?>
<Relationships xmlns="http://schemas.openxmlformats.org/package/2006/relationships"><Relationship Id="rId3" Type="http://schemas.microsoft.com/office/2011/relationships/chartColorStyle" Target="colors25.xml"/><Relationship Id="rId2" Type="http://schemas.microsoft.com/office/2011/relationships/chartStyle" Target="style25.xml"/><Relationship Id="rId1" Type="http://schemas.openxmlformats.org/officeDocument/2006/relationships/oleObject" Target="file:///C:\Users\madya\AppData\Local\Microsoft\Windows\INetCache\Content.Outlook\XPCQMEUU\Pre-ETS%20Summary%20of%20activity-MAcalcs-charts.xlsx" TargetMode="External"/></Relationships>
</file>

<file path=word/charts/_rels/chartEx8.xml.rels><?xml version="1.0" encoding="UTF-8" standalone="yes"?>
<Relationships xmlns="http://schemas.openxmlformats.org/package/2006/relationships"><Relationship Id="rId3" Type="http://schemas.microsoft.com/office/2011/relationships/chartColorStyle" Target="colors260.xml"/><Relationship Id="rId2" Type="http://schemas.microsoft.com/office/2011/relationships/chartStyle" Target="style260.xml"/><Relationship Id="rId1" Type="http://schemas.openxmlformats.org/officeDocument/2006/relationships/oleObject" Target="file:///C:\Users\madya\Documents\Meera%20Work\WINTAC\Reports\Yr%204\Yr-End\Pre-ETS\Pre-ETS%20Summary%20of%20activity-MAcalcs-charts.xlsx" TargetMode="External"/></Relationships>
</file>

<file path=word/charts/_rels/chartEx9.xml.rels><?xml version="1.0" encoding="UTF-8" standalone="yes"?>
<Relationships xmlns="http://schemas.openxmlformats.org/package/2006/relationships"><Relationship Id="rId3" Type="http://schemas.microsoft.com/office/2011/relationships/chartColorStyle" Target="colors270.xml"/><Relationship Id="rId2" Type="http://schemas.microsoft.com/office/2011/relationships/chartStyle" Target="style270.xml"/><Relationship Id="rId1" Type="http://schemas.openxmlformats.org/officeDocument/2006/relationships/oleObject" Target="file:///C:\Users\madya\Documents\Meera%20Work\WINTAC\Reports\Yr%204\Yr-End\Pre-ETS\Pre-ETS%20Summary%20of%20activity-MAcalcs-charts.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800" b="1" i="0" cap="all" baseline="0">
                <a:effectLst/>
              </a:rPr>
              <a:t>Intensive TA Activities Progress    </a:t>
            </a:r>
            <a:br>
              <a:rPr lang="en-US" sz="1800" b="1" i="0" cap="all" baseline="0">
                <a:effectLst/>
              </a:rPr>
            </a:br>
            <a:r>
              <a:rPr lang="en-US" sz="1800" b="1" i="0" cap="all" baseline="0">
                <a:effectLst/>
              </a:rPr>
              <a:t>All Activities</a:t>
            </a:r>
            <a:endParaRPr lang="en-US">
              <a:effectLst/>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5.1686351706036748E-2"/>
          <c:y val="0.49650189033230052"/>
          <c:w val="0.90331903223635512"/>
          <c:h val="0.47040488170025679"/>
        </c:manualLayout>
      </c:layout>
      <c:barChart>
        <c:barDir val="bar"/>
        <c:grouping val="stacked"/>
        <c:varyColors val="0"/>
        <c:ser>
          <c:idx val="2"/>
          <c:order val="2"/>
          <c:tx>
            <c:strRef>
              <c:f>'activities-percent-completed'!$D$3</c:f>
              <c:strCache>
                <c:ptCount val="1"/>
                <c:pt idx="0">
                  <c:v>Completed</c:v>
                </c:pt>
              </c:strCache>
            </c:strRef>
          </c:tx>
          <c:spPr>
            <a:solidFill>
              <a:srgbClr val="99221F"/>
            </a:solidFill>
            <a:ln>
              <a:noFill/>
            </a:ln>
            <a:effectLst/>
          </c:spPr>
          <c:invertIfNegative val="0"/>
          <c:dLbls>
            <c:dLbl>
              <c:idx val="0"/>
              <c:layout>
                <c:manualLayout>
                  <c:x val="-6.4102564102564491E-3"/>
                  <c:y val="-0.15403090859129973"/>
                </c:manualLayout>
              </c:layout>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6A9C-4C61-855D-ABAFF583EAA4}"/>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'activities-percent-completed'!$A$4:$A$18</c:f>
              <c:strCache>
                <c:ptCount val="1"/>
                <c:pt idx="0">
                  <c:v>All</c:v>
                </c:pt>
              </c:strCache>
            </c:strRef>
          </c:cat>
          <c:val>
            <c:numRef>
              <c:f>'activities-percent-completed'!$D$4:$D$18</c:f>
              <c:numCache>
                <c:formatCode>0%</c:formatCode>
                <c:ptCount val="1"/>
                <c:pt idx="0">
                  <c:v>0.51876019575856447</c:v>
                </c:pt>
              </c:numCache>
            </c:numRef>
          </c:val>
          <c:extLst>
            <c:ext xmlns:c16="http://schemas.microsoft.com/office/drawing/2014/chart" uri="{C3380CC4-5D6E-409C-BE32-E72D297353CC}">
              <c16:uniqueId val="{00000000-6A9C-4C61-855D-ABAFF583EAA4}"/>
            </c:ext>
          </c:extLst>
        </c:ser>
        <c:ser>
          <c:idx val="3"/>
          <c:order val="3"/>
          <c:tx>
            <c:strRef>
              <c:f>'activities-percent-completed'!$E$3</c:f>
              <c:strCache>
                <c:ptCount val="1"/>
                <c:pt idx="0">
                  <c:v>90%</c:v>
                </c:pt>
              </c:strCache>
            </c:strRef>
          </c:tx>
          <c:spPr>
            <a:solidFill>
              <a:srgbClr val="FF9900"/>
            </a:solidFill>
            <a:ln>
              <a:noFill/>
            </a:ln>
            <a:effectLst/>
          </c:spPr>
          <c:invertIfNegative val="0"/>
          <c:dLbls>
            <c:dLbl>
              <c:idx val="0"/>
              <c:layout>
                <c:manualLayout>
                  <c:x val="0"/>
                  <c:y val="-0.15403090859129973"/>
                </c:manualLayout>
              </c:layout>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6A9C-4C61-855D-ABAFF583EAA4}"/>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'activities-percent-completed'!$A$4:$A$18</c:f>
              <c:strCache>
                <c:ptCount val="1"/>
                <c:pt idx="0">
                  <c:v>All</c:v>
                </c:pt>
              </c:strCache>
            </c:strRef>
          </c:cat>
          <c:val>
            <c:numRef>
              <c:f>'activities-percent-completed'!$E$4:$E$18</c:f>
              <c:numCache>
                <c:formatCode>0%</c:formatCode>
                <c:ptCount val="1"/>
                <c:pt idx="0">
                  <c:v>2.7732463295269169E-2</c:v>
                </c:pt>
              </c:numCache>
            </c:numRef>
          </c:val>
          <c:extLst>
            <c:ext xmlns:c16="http://schemas.microsoft.com/office/drawing/2014/chart" uri="{C3380CC4-5D6E-409C-BE32-E72D297353CC}">
              <c16:uniqueId val="{00000001-6A9C-4C61-855D-ABAFF583EAA4}"/>
            </c:ext>
          </c:extLst>
        </c:ser>
        <c:ser>
          <c:idx val="4"/>
          <c:order val="4"/>
          <c:tx>
            <c:strRef>
              <c:f>'activities-percent-completed'!$F$3</c:f>
              <c:strCache>
                <c:ptCount val="1"/>
                <c:pt idx="0">
                  <c:v>75%</c:v>
                </c:pt>
              </c:strCache>
            </c:strRef>
          </c:tx>
          <c:spPr>
            <a:solidFill>
              <a:srgbClr val="FFFF66"/>
            </a:solidFill>
            <a:ln>
              <a:noFill/>
            </a:ln>
            <a:effectLst/>
          </c:spPr>
          <c:invertIfNegative val="0"/>
          <c:dLbls>
            <c:dLbl>
              <c:idx val="0"/>
              <c:layout>
                <c:manualLayout>
                  <c:x val="2.1367521367520585E-3"/>
                  <c:y val="-0.15884400731497011"/>
                </c:manualLayout>
              </c:layout>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6A9C-4C61-855D-ABAFF583EAA4}"/>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'activities-percent-completed'!$A$4:$A$18</c:f>
              <c:strCache>
                <c:ptCount val="1"/>
                <c:pt idx="0">
                  <c:v>All</c:v>
                </c:pt>
              </c:strCache>
            </c:strRef>
          </c:cat>
          <c:val>
            <c:numRef>
              <c:f>'activities-percent-completed'!$F$4:$F$18</c:f>
              <c:numCache>
                <c:formatCode>0%</c:formatCode>
                <c:ptCount val="1"/>
                <c:pt idx="0">
                  <c:v>6.6884176182707991E-2</c:v>
                </c:pt>
              </c:numCache>
            </c:numRef>
          </c:val>
          <c:extLst>
            <c:ext xmlns:c16="http://schemas.microsoft.com/office/drawing/2014/chart" uri="{C3380CC4-5D6E-409C-BE32-E72D297353CC}">
              <c16:uniqueId val="{00000002-6A9C-4C61-855D-ABAFF583EAA4}"/>
            </c:ext>
          </c:extLst>
        </c:ser>
        <c:ser>
          <c:idx val="5"/>
          <c:order val="5"/>
          <c:tx>
            <c:strRef>
              <c:f>'activities-percent-completed'!$G$3</c:f>
              <c:strCache>
                <c:ptCount val="1"/>
                <c:pt idx="0">
                  <c:v>50%</c:v>
                </c:pt>
              </c:strCache>
            </c:strRef>
          </c:tx>
          <c:spPr>
            <a:solidFill>
              <a:schemeClr val="accent6"/>
            </a:solidFill>
            <a:ln>
              <a:noFill/>
            </a:ln>
            <a:effectLst/>
          </c:spPr>
          <c:invertIfNegative val="0"/>
          <c:dLbls>
            <c:dLbl>
              <c:idx val="0"/>
              <c:layout>
                <c:manualLayout>
                  <c:x val="-2.136752136752215E-3"/>
                  <c:y val="-0.14921743085363409"/>
                </c:manualLayout>
              </c:layout>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6A9C-4C61-855D-ABAFF583EAA4}"/>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'activities-percent-completed'!$A$4:$A$18</c:f>
              <c:strCache>
                <c:ptCount val="1"/>
                <c:pt idx="0">
                  <c:v>All</c:v>
                </c:pt>
              </c:strCache>
            </c:strRef>
          </c:cat>
          <c:val>
            <c:numRef>
              <c:f>'activities-percent-completed'!$G$4:$G$18</c:f>
              <c:numCache>
                <c:formatCode>0%</c:formatCode>
                <c:ptCount val="1"/>
                <c:pt idx="0">
                  <c:v>9.2985318107667206E-2</c:v>
                </c:pt>
              </c:numCache>
            </c:numRef>
          </c:val>
          <c:extLst>
            <c:ext xmlns:c16="http://schemas.microsoft.com/office/drawing/2014/chart" uri="{C3380CC4-5D6E-409C-BE32-E72D297353CC}">
              <c16:uniqueId val="{00000003-6A9C-4C61-855D-ABAFF583EAA4}"/>
            </c:ext>
          </c:extLst>
        </c:ser>
        <c:ser>
          <c:idx val="6"/>
          <c:order val="6"/>
          <c:tx>
            <c:strRef>
              <c:f>'activities-percent-completed'!$H$3</c:f>
              <c:strCache>
                <c:ptCount val="1"/>
                <c:pt idx="0">
                  <c:v>25%</c:v>
                </c:pt>
              </c:strCache>
            </c:strRef>
          </c:tx>
          <c:spPr>
            <a:solidFill>
              <a:srgbClr val="15FFFF"/>
            </a:solidFill>
            <a:ln>
              <a:noFill/>
            </a:ln>
            <a:effectLst/>
          </c:spPr>
          <c:invertIfNegative val="0"/>
          <c:dLbls>
            <c:dLbl>
              <c:idx val="0"/>
              <c:layout>
                <c:manualLayout>
                  <c:x val="-2.136752136752137E-3"/>
                  <c:y val="-0.1444043321299639"/>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6A9C-4C61-855D-ABAFF583EAA4}"/>
                </c:ext>
              </c:extLst>
            </c:dLbl>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'activities-percent-completed'!$A$4:$A$18</c:f>
              <c:strCache>
                <c:ptCount val="1"/>
                <c:pt idx="0">
                  <c:v>All</c:v>
                </c:pt>
              </c:strCache>
            </c:strRef>
          </c:cat>
          <c:val>
            <c:numRef>
              <c:f>'activities-percent-completed'!$H$4:$H$18</c:f>
              <c:numCache>
                <c:formatCode>0%</c:formatCode>
                <c:ptCount val="1"/>
                <c:pt idx="0">
                  <c:v>0.15171288743882544</c:v>
                </c:pt>
              </c:numCache>
            </c:numRef>
          </c:val>
          <c:extLst>
            <c:ext xmlns:c16="http://schemas.microsoft.com/office/drawing/2014/chart" uri="{C3380CC4-5D6E-409C-BE32-E72D297353CC}">
              <c16:uniqueId val="{00000004-6A9C-4C61-855D-ABAFF583EAA4}"/>
            </c:ext>
          </c:extLst>
        </c:ser>
        <c:ser>
          <c:idx val="7"/>
          <c:order val="7"/>
          <c:tx>
            <c:strRef>
              <c:f>'activities-percent-completed'!$I$3</c:f>
              <c:strCache>
                <c:ptCount val="1"/>
                <c:pt idx="0">
                  <c:v>10%</c:v>
                </c:pt>
              </c:strCache>
            </c:strRef>
          </c:tx>
          <c:spPr>
            <a:solidFill>
              <a:srgbClr val="3399FF"/>
            </a:solidFill>
            <a:ln>
              <a:noFill/>
            </a:ln>
            <a:effectLst/>
          </c:spPr>
          <c:invertIfNegative val="0"/>
          <c:cat>
            <c:strRef>
              <c:f>'activities-percent-completed'!$A$4:$A$18</c:f>
              <c:strCache>
                <c:ptCount val="1"/>
                <c:pt idx="0">
                  <c:v>All</c:v>
                </c:pt>
              </c:strCache>
            </c:strRef>
          </c:cat>
          <c:val>
            <c:numRef>
              <c:f>'activities-percent-completed'!$I$4:$I$18</c:f>
              <c:numCache>
                <c:formatCode>0%</c:formatCode>
                <c:ptCount val="1"/>
                <c:pt idx="0">
                  <c:v>0</c:v>
                </c:pt>
              </c:numCache>
            </c:numRef>
          </c:val>
          <c:extLst>
            <c:ext xmlns:c16="http://schemas.microsoft.com/office/drawing/2014/chart" uri="{C3380CC4-5D6E-409C-BE32-E72D297353CC}">
              <c16:uniqueId val="{00000005-6A9C-4C61-855D-ABAFF583EAA4}"/>
            </c:ext>
          </c:extLst>
        </c:ser>
        <c:ser>
          <c:idx val="8"/>
          <c:order val="8"/>
          <c:tx>
            <c:strRef>
              <c:f>'activities-percent-completed'!$J$3</c:f>
              <c:strCache>
                <c:ptCount val="1"/>
                <c:pt idx="0">
                  <c:v>Not started</c:v>
                </c:pt>
              </c:strCache>
            </c:strRef>
          </c:tx>
          <c:spPr>
            <a:solidFill>
              <a:srgbClr val="7030A0"/>
            </a:solidFill>
            <a:ln>
              <a:noFill/>
            </a:ln>
            <a:effectLst/>
          </c:spPr>
          <c:invertIfNegative val="0"/>
          <c:dLbls>
            <c:dLbl>
              <c:idx val="0"/>
              <c:layout>
                <c:manualLayout>
                  <c:x val="0"/>
                  <c:y val="-0.14921743085363409"/>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6A9C-4C61-855D-ABAFF583EAA4}"/>
                </c:ext>
              </c:extLst>
            </c:dLbl>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'activities-percent-completed'!$A$4:$A$18</c:f>
              <c:strCache>
                <c:ptCount val="1"/>
                <c:pt idx="0">
                  <c:v>All</c:v>
                </c:pt>
              </c:strCache>
            </c:strRef>
          </c:cat>
          <c:val>
            <c:numRef>
              <c:f>'activities-percent-completed'!$J$4:$J$18</c:f>
              <c:numCache>
                <c:formatCode>0%</c:formatCode>
                <c:ptCount val="1"/>
                <c:pt idx="0">
                  <c:v>0.15660685154975529</c:v>
                </c:pt>
              </c:numCache>
            </c:numRef>
          </c:val>
          <c:extLst>
            <c:ext xmlns:c16="http://schemas.microsoft.com/office/drawing/2014/chart" uri="{C3380CC4-5D6E-409C-BE32-E72D297353CC}">
              <c16:uniqueId val="{00000006-6A9C-4C61-855D-ABAFF583EAA4}"/>
            </c:ext>
          </c:extLst>
        </c:ser>
        <c:dLbls>
          <c:showLegendKey val="0"/>
          <c:showVal val="0"/>
          <c:showCatName val="0"/>
          <c:showSerName val="0"/>
          <c:showPercent val="0"/>
          <c:showBubbleSize val="0"/>
        </c:dLbls>
        <c:gapWidth val="150"/>
        <c:overlap val="100"/>
        <c:axId val="851305688"/>
        <c:axId val="851301752"/>
        <c:extLst>
          <c:ext xmlns:c15="http://schemas.microsoft.com/office/drawing/2012/chart" uri="{02D57815-91ED-43cb-92C2-25804820EDAC}">
            <c15:filteredBarSeries>
              <c15:ser>
                <c:idx val="0"/>
                <c:order val="0"/>
                <c:tx>
                  <c:strRef>
                    <c:extLst>
                      <c:ext uri="{02D57815-91ED-43cb-92C2-25804820EDAC}">
                        <c15:formulaRef>
                          <c15:sqref>'activities-percent-completed'!$B$3</c15:sqref>
                        </c15:formulaRef>
                      </c:ext>
                    </c:extLst>
                    <c:strCache>
                      <c:ptCount val="1"/>
                      <c:pt idx="0">
                        <c:v># of Total Activities</c:v>
                      </c:pt>
                    </c:strCache>
                  </c:strRef>
                </c:tx>
                <c:spPr>
                  <a:solidFill>
                    <a:schemeClr val="accent1"/>
                  </a:solidFill>
                  <a:ln>
                    <a:noFill/>
                  </a:ln>
                  <a:effectLst/>
                </c:spPr>
                <c:invertIfNegative val="0"/>
                <c:cat>
                  <c:strRef>
                    <c:extLst>
                      <c:ext uri="{02D57815-91ED-43cb-92C2-25804820EDAC}">
                        <c15:formulaRef>
                          <c15:sqref>'activities-percent-completed'!$A$4:$A$18</c15:sqref>
                        </c15:formulaRef>
                      </c:ext>
                    </c:extLst>
                    <c:strCache>
                      <c:ptCount val="1"/>
                      <c:pt idx="0">
                        <c:v>All</c:v>
                      </c:pt>
                    </c:strCache>
                  </c:strRef>
                </c:cat>
                <c:val>
                  <c:numRef>
                    <c:extLst>
                      <c:ext uri="{02D57815-91ED-43cb-92C2-25804820EDAC}">
                        <c15:formulaRef>
                          <c15:sqref>'activities-percent-completed'!$B$4:$B$18</c15:sqref>
                        </c15:formulaRef>
                      </c:ext>
                    </c:extLst>
                    <c:numCache>
                      <c:formatCode>0</c:formatCode>
                      <c:ptCount val="1"/>
                      <c:pt idx="0">
                        <c:v>613</c:v>
                      </c:pt>
                    </c:numCache>
                  </c:numRef>
                </c:val>
                <c:extLst>
                  <c:ext xmlns:c16="http://schemas.microsoft.com/office/drawing/2014/chart" uri="{C3380CC4-5D6E-409C-BE32-E72D297353CC}">
                    <c16:uniqueId val="{00000007-6A9C-4C61-855D-ABAFF583EAA4}"/>
                  </c:ext>
                </c:extLst>
              </c15:ser>
            </c15:filteredBarSeries>
            <c15:filteredBarSeries>
              <c15:ser>
                <c:idx val="1"/>
                <c:order val="1"/>
                <c:tx>
                  <c:strRef>
                    <c:extLst xmlns:c15="http://schemas.microsoft.com/office/drawing/2012/chart">
                      <c:ext xmlns:c15="http://schemas.microsoft.com/office/drawing/2012/chart" uri="{02D57815-91ED-43cb-92C2-25804820EDAC}">
                        <c15:formulaRef>
                          <c15:sqref>'activities-percent-completed'!$C$3</c15:sqref>
                        </c15:formulaRef>
                      </c:ext>
                    </c:extLst>
                    <c:strCache>
                      <c:ptCount val="1"/>
                      <c:pt idx="0">
                        <c:v>Average Progress on Activities (%)</c:v>
                      </c:pt>
                    </c:strCache>
                  </c:strRef>
                </c:tx>
                <c:spPr>
                  <a:solidFill>
                    <a:schemeClr val="accent2"/>
                  </a:solidFill>
                  <a:ln>
                    <a:noFill/>
                  </a:ln>
                  <a:effectLst/>
                </c:spPr>
                <c:invertIfNegative val="0"/>
                <c:cat>
                  <c:strRef>
                    <c:extLst xmlns:c15="http://schemas.microsoft.com/office/drawing/2012/chart">
                      <c:ext xmlns:c15="http://schemas.microsoft.com/office/drawing/2012/chart" uri="{02D57815-91ED-43cb-92C2-25804820EDAC}">
                        <c15:formulaRef>
                          <c15:sqref>'activities-percent-completed'!$A$4:$A$18</c15:sqref>
                        </c15:formulaRef>
                      </c:ext>
                    </c:extLst>
                    <c:strCache>
                      <c:ptCount val="1"/>
                      <c:pt idx="0">
                        <c:v>All</c:v>
                      </c:pt>
                    </c:strCache>
                  </c:strRef>
                </c:cat>
                <c:val>
                  <c:numRef>
                    <c:extLst xmlns:c15="http://schemas.microsoft.com/office/drawing/2012/chart">
                      <c:ext xmlns:c15="http://schemas.microsoft.com/office/drawing/2012/chart" uri="{02D57815-91ED-43cb-92C2-25804820EDAC}">
                        <c15:formulaRef>
                          <c15:sqref>'activities-percent-completed'!$C$4:$C$18</c15:sqref>
                        </c15:formulaRef>
                      </c:ext>
                    </c:extLst>
                    <c:numCache>
                      <c:formatCode>0%</c:formatCode>
                      <c:ptCount val="1"/>
                      <c:pt idx="0">
                        <c:v>0.6684887459807074</c:v>
                      </c:pt>
                    </c:numCache>
                  </c:numRef>
                </c:val>
                <c:extLst xmlns:c15="http://schemas.microsoft.com/office/drawing/2012/chart">
                  <c:ext xmlns:c16="http://schemas.microsoft.com/office/drawing/2014/chart" uri="{C3380CC4-5D6E-409C-BE32-E72D297353CC}">
                    <c16:uniqueId val="{00000008-6A9C-4C61-855D-ABAFF583EAA4}"/>
                  </c:ext>
                </c:extLst>
              </c15:ser>
            </c15:filteredBarSeries>
            <c15:filteredBarSeries>
              <c15:ser>
                <c:idx val="9"/>
                <c:order val="9"/>
                <c:tx>
                  <c:strRef>
                    <c:extLst xmlns:c15="http://schemas.microsoft.com/office/drawing/2012/chart">
                      <c:ext xmlns:c15="http://schemas.microsoft.com/office/drawing/2012/chart" uri="{02D57815-91ED-43cb-92C2-25804820EDAC}">
                        <c15:formulaRef>
                          <c15:sqref>'activities-percent-completed'!$K$3</c15:sqref>
                        </c15:formulaRef>
                      </c:ext>
                    </c:extLst>
                    <c:strCache>
                      <c:ptCount val="1"/>
                      <c:pt idx="0">
                        <c:v>In Progress</c:v>
                      </c:pt>
                    </c:strCache>
                  </c:strRef>
                </c:tx>
                <c:spPr>
                  <a:solidFill>
                    <a:schemeClr val="accent4">
                      <a:lumMod val="60000"/>
                    </a:schemeClr>
                  </a:solidFill>
                  <a:ln>
                    <a:noFill/>
                  </a:ln>
                  <a:effectLst/>
                </c:spPr>
                <c:invertIfNegative val="0"/>
                <c:cat>
                  <c:strRef>
                    <c:extLst xmlns:c15="http://schemas.microsoft.com/office/drawing/2012/chart">
                      <c:ext xmlns:c15="http://schemas.microsoft.com/office/drawing/2012/chart" uri="{02D57815-91ED-43cb-92C2-25804820EDAC}">
                        <c15:formulaRef>
                          <c15:sqref>'activities-percent-completed'!$A$4:$A$18</c15:sqref>
                        </c15:formulaRef>
                      </c:ext>
                    </c:extLst>
                    <c:strCache>
                      <c:ptCount val="1"/>
                      <c:pt idx="0">
                        <c:v>All</c:v>
                      </c:pt>
                    </c:strCache>
                  </c:strRef>
                </c:cat>
                <c:val>
                  <c:numRef>
                    <c:extLst xmlns:c15="http://schemas.microsoft.com/office/drawing/2012/chart">
                      <c:ext xmlns:c15="http://schemas.microsoft.com/office/drawing/2012/chart" uri="{02D57815-91ED-43cb-92C2-25804820EDAC}">
                        <c15:formulaRef>
                          <c15:sqref>'activities-percent-completed'!$K$4:$K$18</c15:sqref>
                        </c15:formulaRef>
                      </c:ext>
                    </c:extLst>
                    <c:numCache>
                      <c:formatCode>0%</c:formatCode>
                      <c:ptCount val="1"/>
                      <c:pt idx="0">
                        <c:v>0.33931484502446985</c:v>
                      </c:pt>
                    </c:numCache>
                  </c:numRef>
                </c:val>
                <c:extLst xmlns:c15="http://schemas.microsoft.com/office/drawing/2012/chart">
                  <c:ext xmlns:c16="http://schemas.microsoft.com/office/drawing/2014/chart" uri="{C3380CC4-5D6E-409C-BE32-E72D297353CC}">
                    <c16:uniqueId val="{00000009-6A9C-4C61-855D-ABAFF583EAA4}"/>
                  </c:ext>
                </c:extLst>
              </c15:ser>
            </c15:filteredBarSeries>
          </c:ext>
        </c:extLst>
      </c:barChart>
      <c:catAx>
        <c:axId val="851305688"/>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51301752"/>
        <c:crosses val="autoZero"/>
        <c:auto val="1"/>
        <c:lblAlgn val="ctr"/>
        <c:lblOffset val="100"/>
        <c:noMultiLvlLbl val="0"/>
      </c:catAx>
      <c:valAx>
        <c:axId val="851301752"/>
        <c:scaling>
          <c:orientation val="minMax"/>
          <c:max val="1"/>
        </c:scaling>
        <c:delete val="0"/>
        <c:axPos val="t"/>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51305688"/>
        <c:crosses val="autoZero"/>
        <c:crossBetween val="between"/>
      </c:valAx>
      <c:spPr>
        <a:noFill/>
        <a:ln>
          <a:noFill/>
        </a:ln>
        <a:effectLst/>
      </c:spPr>
    </c:plotArea>
    <c:legend>
      <c:legendPos val="b"/>
      <c:layout>
        <c:manualLayout>
          <c:xMode val="edge"/>
          <c:yMode val="edge"/>
          <c:x val="0.22346423043273436"/>
          <c:y val="0.288206411021727"/>
          <c:w val="0.5872595733225654"/>
          <c:h val="8.1228005344097326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4"/>
    </mc:Choice>
    <mc:Fallback>
      <c:style val="4"/>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Topic Area - Pre-ETS </a:t>
            </a:r>
            <a:br>
              <a:rPr lang="en-US"/>
            </a:br>
            <a:r>
              <a:rPr lang="en-US"/>
              <a:t>Activity #3</a:t>
            </a:r>
          </a:p>
        </c:rich>
      </c:tx>
      <c:layout>
        <c:manualLayout>
          <c:xMode val="edge"/>
          <c:yMode val="edge"/>
          <c:x val="0.15852625564661557"/>
          <c:y val="1.4306151645207439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6017916604892113"/>
          <c:y val="0.23265365094271845"/>
          <c:w val="0.78942722632790041"/>
          <c:h val="0.66602748393145406"/>
        </c:manualLayout>
      </c:layout>
      <c:barChart>
        <c:barDir val="col"/>
        <c:grouping val="percentStacked"/>
        <c:varyColors val="0"/>
        <c:ser>
          <c:idx val="3"/>
          <c:order val="3"/>
          <c:tx>
            <c:strRef>
              <c:f>'individual-chart-pre-ets'!$F$2</c:f>
              <c:strCache>
                <c:ptCount val="1"/>
                <c:pt idx="0">
                  <c:v>Completed</c:v>
                </c:pt>
              </c:strCache>
            </c:strRef>
          </c:tx>
          <c:spPr>
            <a:solidFill>
              <a:srgbClr val="99221F"/>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800" b="0"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'individual-chart-pre-ets'!$B$3:$B$46</c:f>
              <c:strCache>
                <c:ptCount val="2"/>
                <c:pt idx="0">
                  <c:v>Activity</c:v>
                </c:pt>
                <c:pt idx="1">
                  <c:v>Outputs</c:v>
                </c:pt>
              </c:strCache>
              <c:extLst/>
            </c:strRef>
          </c:cat>
          <c:val>
            <c:numRef>
              <c:f>'individual-chart-pre-ets'!$F$3:$F$46</c:f>
              <c:numCache>
                <c:formatCode>0%</c:formatCode>
                <c:ptCount val="2"/>
                <c:pt idx="0">
                  <c:v>0.55555555555555558</c:v>
                </c:pt>
                <c:pt idx="1">
                  <c:v>0.55555555555555558</c:v>
                </c:pt>
              </c:numCache>
              <c:extLst/>
            </c:numRef>
          </c:val>
          <c:extLst>
            <c:ext xmlns:c16="http://schemas.microsoft.com/office/drawing/2014/chart" uri="{C3380CC4-5D6E-409C-BE32-E72D297353CC}">
              <c16:uniqueId val="{00000000-1073-4599-AE8B-3EEEA14D76FD}"/>
            </c:ext>
          </c:extLst>
        </c:ser>
        <c:ser>
          <c:idx val="4"/>
          <c:order val="4"/>
          <c:tx>
            <c:strRef>
              <c:f>'individual-chart-pre-ets'!$G$2</c:f>
              <c:strCache>
                <c:ptCount val="1"/>
                <c:pt idx="0">
                  <c:v>90%</c:v>
                </c:pt>
              </c:strCache>
            </c:strRef>
          </c:tx>
          <c:spPr>
            <a:solidFill>
              <a:srgbClr val="D73D39"/>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'individual-chart-pre-ets'!$B$3:$B$46</c:f>
              <c:strCache>
                <c:ptCount val="2"/>
                <c:pt idx="0">
                  <c:v>Activity</c:v>
                </c:pt>
                <c:pt idx="1">
                  <c:v>Outputs</c:v>
                </c:pt>
              </c:strCache>
              <c:extLst/>
            </c:strRef>
          </c:cat>
          <c:val>
            <c:numRef>
              <c:f>'individual-chart-pre-ets'!$G$3:$G$46</c:f>
              <c:numCache>
                <c:formatCode>0%</c:formatCode>
                <c:ptCount val="2"/>
                <c:pt idx="0">
                  <c:v>0.1111111111111111</c:v>
                </c:pt>
                <c:pt idx="1">
                  <c:v>0.1111111111111111</c:v>
                </c:pt>
              </c:numCache>
              <c:extLst/>
            </c:numRef>
          </c:val>
          <c:extLst>
            <c:ext xmlns:c16="http://schemas.microsoft.com/office/drawing/2014/chart" uri="{C3380CC4-5D6E-409C-BE32-E72D297353CC}">
              <c16:uniqueId val="{00000001-1073-4599-AE8B-3EEEA14D76FD}"/>
            </c:ext>
          </c:extLst>
        </c:ser>
        <c:ser>
          <c:idx val="5"/>
          <c:order val="5"/>
          <c:tx>
            <c:strRef>
              <c:f>'individual-chart-pre-ets'!$H$2</c:f>
              <c:strCache>
                <c:ptCount val="1"/>
                <c:pt idx="0">
                  <c:v>75%</c:v>
                </c:pt>
              </c:strCache>
            </c:strRef>
          </c:tx>
          <c:spPr>
            <a:solidFill>
              <a:srgbClr val="DC535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'individual-chart-pre-ets'!$B$3:$B$46</c:f>
              <c:strCache>
                <c:ptCount val="2"/>
                <c:pt idx="0">
                  <c:v>Activity</c:v>
                </c:pt>
                <c:pt idx="1">
                  <c:v>Outputs</c:v>
                </c:pt>
              </c:strCache>
              <c:extLst/>
            </c:strRef>
          </c:cat>
          <c:val>
            <c:numRef>
              <c:f>'individual-chart-pre-ets'!$H$3:$H$46</c:f>
              <c:numCache>
                <c:formatCode>0%</c:formatCode>
                <c:ptCount val="2"/>
                <c:pt idx="0">
                  <c:v>0.1111111111111111</c:v>
                </c:pt>
                <c:pt idx="1">
                  <c:v>0.1111111111111111</c:v>
                </c:pt>
              </c:numCache>
              <c:extLst/>
            </c:numRef>
          </c:val>
          <c:extLst>
            <c:ext xmlns:c16="http://schemas.microsoft.com/office/drawing/2014/chart" uri="{C3380CC4-5D6E-409C-BE32-E72D297353CC}">
              <c16:uniqueId val="{00000002-1073-4599-AE8B-3EEEA14D76FD}"/>
            </c:ext>
          </c:extLst>
        </c:ser>
        <c:ser>
          <c:idx val="6"/>
          <c:order val="6"/>
          <c:tx>
            <c:strRef>
              <c:f>'individual-chart-pre-ets'!$I$2</c:f>
              <c:strCache>
                <c:ptCount val="1"/>
                <c:pt idx="0">
                  <c:v>50%</c:v>
                </c:pt>
              </c:strCache>
            </c:strRef>
          </c:tx>
          <c:spPr>
            <a:solidFill>
              <a:srgbClr val="EBA19F"/>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'individual-chart-pre-ets'!$B$3:$B$46</c:f>
              <c:strCache>
                <c:ptCount val="2"/>
                <c:pt idx="0">
                  <c:v>Activity</c:v>
                </c:pt>
                <c:pt idx="1">
                  <c:v>Outputs</c:v>
                </c:pt>
              </c:strCache>
              <c:extLst/>
            </c:strRef>
          </c:cat>
          <c:val>
            <c:numRef>
              <c:f>'individual-chart-pre-ets'!$I$3:$I$46</c:f>
              <c:numCache>
                <c:formatCode>0%</c:formatCode>
                <c:ptCount val="2"/>
                <c:pt idx="0">
                  <c:v>7.407407407407407E-2</c:v>
                </c:pt>
                <c:pt idx="1">
                  <c:v>7.407407407407407E-2</c:v>
                </c:pt>
              </c:numCache>
              <c:extLst/>
            </c:numRef>
          </c:val>
          <c:extLst>
            <c:ext xmlns:c16="http://schemas.microsoft.com/office/drawing/2014/chart" uri="{C3380CC4-5D6E-409C-BE32-E72D297353CC}">
              <c16:uniqueId val="{00000003-1073-4599-AE8B-3EEEA14D76FD}"/>
            </c:ext>
          </c:extLst>
        </c:ser>
        <c:ser>
          <c:idx val="7"/>
          <c:order val="7"/>
          <c:tx>
            <c:strRef>
              <c:f>'individual-chart-pre-ets'!$J$2</c:f>
              <c:strCache>
                <c:ptCount val="1"/>
                <c:pt idx="0">
                  <c:v>25%</c:v>
                </c:pt>
              </c:strCache>
            </c:strRef>
          </c:tx>
          <c:spPr>
            <a:solidFill>
              <a:srgbClr val="F3C6C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'individual-chart-pre-ets'!$B$3:$B$46</c:f>
              <c:strCache>
                <c:ptCount val="2"/>
                <c:pt idx="0">
                  <c:v>Activity</c:v>
                </c:pt>
                <c:pt idx="1">
                  <c:v>Outputs</c:v>
                </c:pt>
              </c:strCache>
              <c:extLst/>
            </c:strRef>
          </c:cat>
          <c:val>
            <c:numRef>
              <c:f>'individual-chart-pre-ets'!$J$3:$J$46</c:f>
              <c:numCache>
                <c:formatCode>0%</c:formatCode>
                <c:ptCount val="2"/>
                <c:pt idx="0">
                  <c:v>0.1111111111111111</c:v>
                </c:pt>
                <c:pt idx="1">
                  <c:v>0.1111111111111111</c:v>
                </c:pt>
              </c:numCache>
              <c:extLst/>
            </c:numRef>
          </c:val>
          <c:extLst>
            <c:ext xmlns:c16="http://schemas.microsoft.com/office/drawing/2014/chart" uri="{C3380CC4-5D6E-409C-BE32-E72D297353CC}">
              <c16:uniqueId val="{00000004-1073-4599-AE8B-3EEEA14D76FD}"/>
            </c:ext>
          </c:extLst>
        </c:ser>
        <c:ser>
          <c:idx val="8"/>
          <c:order val="8"/>
          <c:tx>
            <c:strRef>
              <c:f>'individual-chart-pre-ets'!$K$2</c:f>
              <c:strCache>
                <c:ptCount val="1"/>
                <c:pt idx="0">
                  <c:v>10%</c:v>
                </c:pt>
              </c:strCache>
            </c:strRef>
          </c:tx>
          <c:spPr>
            <a:solidFill>
              <a:schemeClr val="accent2">
                <a:tint val="56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'individual-chart-pre-ets'!$B$3:$B$46</c:f>
              <c:strCache>
                <c:ptCount val="2"/>
                <c:pt idx="0">
                  <c:v>Activity</c:v>
                </c:pt>
                <c:pt idx="1">
                  <c:v>Outputs</c:v>
                </c:pt>
              </c:strCache>
              <c:extLst/>
            </c:strRef>
          </c:cat>
          <c:val>
            <c:numRef>
              <c:f>'individual-chart-pre-ets'!$K$3:$K$46</c:f>
              <c:numCache>
                <c:formatCode>General</c:formatCode>
                <c:ptCount val="2"/>
              </c:numCache>
              <c:extLst/>
            </c:numRef>
          </c:val>
          <c:extLst>
            <c:ext xmlns:c16="http://schemas.microsoft.com/office/drawing/2014/chart" uri="{C3380CC4-5D6E-409C-BE32-E72D297353CC}">
              <c16:uniqueId val="{00000005-1073-4599-AE8B-3EEEA14D76FD}"/>
            </c:ext>
          </c:extLst>
        </c:ser>
        <c:ser>
          <c:idx val="9"/>
          <c:order val="9"/>
          <c:tx>
            <c:strRef>
              <c:f>'individual-chart-pre-ets'!$L$2</c:f>
              <c:strCache>
                <c:ptCount val="1"/>
                <c:pt idx="0">
                  <c:v>Not Started</c:v>
                </c:pt>
              </c:strCache>
            </c:strRef>
          </c:tx>
          <c:spPr>
            <a:solidFill>
              <a:srgbClr val="FCF2F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'individual-chart-pre-ets'!$B$3:$B$46</c:f>
              <c:strCache>
                <c:ptCount val="2"/>
                <c:pt idx="0">
                  <c:v>Activity</c:v>
                </c:pt>
                <c:pt idx="1">
                  <c:v>Outputs</c:v>
                </c:pt>
              </c:strCache>
              <c:extLst/>
            </c:strRef>
          </c:cat>
          <c:val>
            <c:numRef>
              <c:f>'individual-chart-pre-ets'!$L$3:$L$46</c:f>
              <c:numCache>
                <c:formatCode>0%</c:formatCode>
                <c:ptCount val="2"/>
                <c:pt idx="0">
                  <c:v>3.7037037037037035E-2</c:v>
                </c:pt>
                <c:pt idx="1">
                  <c:v>3.7037037037037035E-2</c:v>
                </c:pt>
              </c:numCache>
              <c:extLst/>
            </c:numRef>
          </c:val>
          <c:extLst>
            <c:ext xmlns:c16="http://schemas.microsoft.com/office/drawing/2014/chart" uri="{C3380CC4-5D6E-409C-BE32-E72D297353CC}">
              <c16:uniqueId val="{00000006-1073-4599-AE8B-3EEEA14D76FD}"/>
            </c:ext>
          </c:extLst>
        </c:ser>
        <c:dLbls>
          <c:dLblPos val="ctr"/>
          <c:showLegendKey val="0"/>
          <c:showVal val="1"/>
          <c:showCatName val="0"/>
          <c:showSerName val="0"/>
          <c:showPercent val="0"/>
          <c:showBubbleSize val="0"/>
        </c:dLbls>
        <c:gapWidth val="150"/>
        <c:overlap val="100"/>
        <c:axId val="790958128"/>
        <c:axId val="790961408"/>
        <c:extLst>
          <c:ext xmlns:c15="http://schemas.microsoft.com/office/drawing/2012/chart" uri="{02D57815-91ED-43cb-92C2-25804820EDAC}">
            <c15:filteredBarSeries>
              <c15:ser>
                <c:idx val="0"/>
                <c:order val="0"/>
                <c:tx>
                  <c:strRef>
                    <c:extLst>
                      <c:ext uri="{02D57815-91ED-43cb-92C2-25804820EDAC}">
                        <c15:formulaRef>
                          <c15:sqref>'individual-chart-pre-ets'!$C$2</c15:sqref>
                        </c15:formulaRef>
                      </c:ext>
                    </c:extLst>
                    <c:strCache>
                      <c:ptCount val="1"/>
                      <c:pt idx="0">
                        <c:v>Completed</c:v>
                      </c:pt>
                    </c:strCache>
                  </c:strRef>
                </c:tx>
                <c:spPr>
                  <a:solidFill>
                    <a:schemeClr val="accent2">
                      <a:shade val="42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c:ext uri="{02D57815-91ED-43cb-92C2-25804820EDAC}">
                        <c15:formulaRef>
                          <c15:sqref>'individual-chart-pre-ets'!$B$3:$B$46</c15:sqref>
                        </c15:formulaRef>
                      </c:ext>
                    </c:extLst>
                    <c:strCache>
                      <c:ptCount val="2"/>
                      <c:pt idx="0">
                        <c:v>Activity</c:v>
                      </c:pt>
                      <c:pt idx="1">
                        <c:v>Outputs</c:v>
                      </c:pt>
                    </c:strCache>
                  </c:strRef>
                </c:cat>
                <c:val>
                  <c:numRef>
                    <c:extLst>
                      <c:ext uri="{02D57815-91ED-43cb-92C2-25804820EDAC}">
                        <c15:formulaRef>
                          <c15:sqref>'individual-chart-pre-ets'!$C$3:$C$46</c15:sqref>
                        </c15:formulaRef>
                      </c:ext>
                    </c:extLst>
                    <c:numCache>
                      <c:formatCode>0%</c:formatCode>
                      <c:ptCount val="2"/>
                      <c:pt idx="0">
                        <c:v>0.55555555555555558</c:v>
                      </c:pt>
                      <c:pt idx="1">
                        <c:v>0.55555555555555558</c:v>
                      </c:pt>
                    </c:numCache>
                  </c:numRef>
                </c:val>
                <c:extLst>
                  <c:ext xmlns:c16="http://schemas.microsoft.com/office/drawing/2014/chart" uri="{C3380CC4-5D6E-409C-BE32-E72D297353CC}">
                    <c16:uniqueId val="{00000007-1073-4599-AE8B-3EEEA14D76FD}"/>
                  </c:ext>
                </c:extLst>
              </c15:ser>
            </c15:filteredBarSeries>
            <c15:filteredBarSeries>
              <c15:ser>
                <c:idx val="1"/>
                <c:order val="1"/>
                <c:tx>
                  <c:strRef>
                    <c:extLst xmlns:c15="http://schemas.microsoft.com/office/drawing/2012/chart">
                      <c:ext xmlns:c15="http://schemas.microsoft.com/office/drawing/2012/chart" uri="{02D57815-91ED-43cb-92C2-25804820EDAC}">
                        <c15:formulaRef>
                          <c15:sqref>'individual-chart-pre-ets'!$D$2</c15:sqref>
                        </c15:formulaRef>
                      </c:ext>
                    </c:extLst>
                    <c:strCache>
                      <c:ptCount val="1"/>
                      <c:pt idx="0">
                        <c:v>In progress</c:v>
                      </c:pt>
                    </c:strCache>
                  </c:strRef>
                </c:tx>
                <c:spPr>
                  <a:solidFill>
                    <a:schemeClr val="accent2">
                      <a:shade val="5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'individual-chart-pre-ets'!$B$3:$B$46</c15:sqref>
                        </c15:formulaRef>
                      </c:ext>
                    </c:extLst>
                    <c:strCache>
                      <c:ptCount val="2"/>
                      <c:pt idx="0">
                        <c:v>Activity</c:v>
                      </c:pt>
                      <c:pt idx="1">
                        <c:v>Outputs</c:v>
                      </c:pt>
                    </c:strCache>
                  </c:strRef>
                </c:cat>
                <c:val>
                  <c:numRef>
                    <c:extLst xmlns:c15="http://schemas.microsoft.com/office/drawing/2012/chart">
                      <c:ext xmlns:c15="http://schemas.microsoft.com/office/drawing/2012/chart" uri="{02D57815-91ED-43cb-92C2-25804820EDAC}">
                        <c15:formulaRef>
                          <c15:sqref>'individual-chart-pre-ets'!$D$3:$D$46</c15:sqref>
                        </c15:formulaRef>
                      </c:ext>
                    </c:extLst>
                    <c:numCache>
                      <c:formatCode>0%</c:formatCode>
                      <c:ptCount val="2"/>
                      <c:pt idx="0">
                        <c:v>0.40740740740740738</c:v>
                      </c:pt>
                      <c:pt idx="1">
                        <c:v>0.40740740740740738</c:v>
                      </c:pt>
                    </c:numCache>
                  </c:numRef>
                </c:val>
                <c:extLst xmlns:c15="http://schemas.microsoft.com/office/drawing/2012/chart">
                  <c:ext xmlns:c16="http://schemas.microsoft.com/office/drawing/2014/chart" uri="{C3380CC4-5D6E-409C-BE32-E72D297353CC}">
                    <c16:uniqueId val="{00000008-1073-4599-AE8B-3EEEA14D76FD}"/>
                  </c:ext>
                </c:extLst>
              </c15:ser>
            </c15:filteredBarSeries>
            <c15:filteredBarSeries>
              <c15:ser>
                <c:idx val="2"/>
                <c:order val="2"/>
                <c:tx>
                  <c:strRef>
                    <c:extLst xmlns:c15="http://schemas.microsoft.com/office/drawing/2012/chart">
                      <c:ext xmlns:c15="http://schemas.microsoft.com/office/drawing/2012/chart" uri="{02D57815-91ED-43cb-92C2-25804820EDAC}">
                        <c15:formulaRef>
                          <c15:sqref>'individual-chart-pre-ets'!$E$2</c15:sqref>
                        </c15:formulaRef>
                      </c:ext>
                    </c:extLst>
                    <c:strCache>
                      <c:ptCount val="1"/>
                      <c:pt idx="0">
                        <c:v>Not started</c:v>
                      </c:pt>
                    </c:strCache>
                  </c:strRef>
                </c:tx>
                <c:spPr>
                  <a:solidFill>
                    <a:schemeClr val="accent2">
                      <a:shade val="68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'individual-chart-pre-ets'!$B$3:$B$46</c15:sqref>
                        </c15:formulaRef>
                      </c:ext>
                    </c:extLst>
                    <c:strCache>
                      <c:ptCount val="2"/>
                      <c:pt idx="0">
                        <c:v>Activity</c:v>
                      </c:pt>
                      <c:pt idx="1">
                        <c:v>Outputs</c:v>
                      </c:pt>
                    </c:strCache>
                  </c:strRef>
                </c:cat>
                <c:val>
                  <c:numRef>
                    <c:extLst xmlns:c15="http://schemas.microsoft.com/office/drawing/2012/chart">
                      <c:ext xmlns:c15="http://schemas.microsoft.com/office/drawing/2012/chart" uri="{02D57815-91ED-43cb-92C2-25804820EDAC}">
                        <c15:formulaRef>
                          <c15:sqref>'individual-chart-pre-ets'!$E$3:$E$46</c15:sqref>
                        </c15:formulaRef>
                      </c:ext>
                    </c:extLst>
                    <c:numCache>
                      <c:formatCode>0%</c:formatCode>
                      <c:ptCount val="2"/>
                      <c:pt idx="0">
                        <c:v>3.7037037037037035E-2</c:v>
                      </c:pt>
                      <c:pt idx="1">
                        <c:v>3.7037037037037035E-2</c:v>
                      </c:pt>
                    </c:numCache>
                  </c:numRef>
                </c:val>
                <c:extLst xmlns:c15="http://schemas.microsoft.com/office/drawing/2012/chart">
                  <c:ext xmlns:c16="http://schemas.microsoft.com/office/drawing/2014/chart" uri="{C3380CC4-5D6E-409C-BE32-E72D297353CC}">
                    <c16:uniqueId val="{00000009-1073-4599-AE8B-3EEEA14D76FD}"/>
                  </c:ext>
                </c:extLst>
              </c15:ser>
            </c15:filteredBarSeries>
          </c:ext>
        </c:extLst>
      </c:barChart>
      <c:catAx>
        <c:axId val="7909581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n-US"/>
          </a:p>
        </c:txPr>
        <c:crossAx val="790961408"/>
        <c:crosses val="autoZero"/>
        <c:auto val="1"/>
        <c:lblAlgn val="ctr"/>
        <c:lblOffset val="100"/>
        <c:noMultiLvlLbl val="0"/>
      </c:catAx>
      <c:valAx>
        <c:axId val="790961408"/>
        <c:scaling>
          <c:orientation val="minMax"/>
          <c:min val="0"/>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90958128"/>
        <c:crossesAt val="1"/>
        <c:crossBetween val="between"/>
      </c:valAx>
      <c:spPr>
        <a:noFill/>
        <a:ln>
          <a:noFill/>
        </a:ln>
        <a:effectLst/>
      </c:spPr>
    </c:plotArea>
    <c:legend>
      <c:legendPos val="t"/>
      <c:layout>
        <c:manualLayout>
          <c:xMode val="edge"/>
          <c:yMode val="edge"/>
          <c:x val="0.16878354491402861"/>
          <c:y val="0.14071530758226036"/>
          <c:w val="0.78488188976377948"/>
          <c:h val="8.3691663005643596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userShapes r:id="rId5"/>
</c:chartSpace>
</file>

<file path=word/charts/chart10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4"/>
    </mc:Choice>
    <mc:Fallback>
      <c:style val="4"/>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Topic Area - </a:t>
            </a:r>
            <a:r>
              <a:rPr lang="en-US" sz="1400" b="0" i="0" u="none" strike="noStrike" baseline="0">
                <a:effectLst/>
              </a:rPr>
              <a:t>Business Engagement</a:t>
            </a:r>
            <a:r>
              <a:rPr lang="en-US"/>
              <a:t>  Activity #2</a:t>
            </a:r>
          </a:p>
        </c:rich>
      </c:tx>
      <c:layout>
        <c:manualLayout>
          <c:xMode val="edge"/>
          <c:yMode val="edge"/>
          <c:x val="0.20401584330345343"/>
          <c:y val="0"/>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6017916604892113"/>
          <c:y val="0.23265365094271845"/>
          <c:w val="0.78942722632790041"/>
          <c:h val="0.66602748393145406"/>
        </c:manualLayout>
      </c:layout>
      <c:barChart>
        <c:barDir val="col"/>
        <c:grouping val="percentStacked"/>
        <c:varyColors val="0"/>
        <c:ser>
          <c:idx val="3"/>
          <c:order val="3"/>
          <c:tx>
            <c:strRef>
              <c:f>'individual-business'!$F$2</c:f>
              <c:strCache>
                <c:ptCount val="1"/>
                <c:pt idx="0">
                  <c:v>Completed</c:v>
                </c:pt>
              </c:strCache>
            </c:strRef>
          </c:tx>
          <c:spPr>
            <a:solidFill>
              <a:srgbClr val="99221F"/>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600" b="0"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'individual-business'!$B$3:$B$46</c:f>
              <c:strCache>
                <c:ptCount val="2"/>
                <c:pt idx="0">
                  <c:v>Activity</c:v>
                </c:pt>
                <c:pt idx="1">
                  <c:v>Outputs</c:v>
                </c:pt>
              </c:strCache>
              <c:extLst/>
            </c:strRef>
          </c:cat>
          <c:val>
            <c:numRef>
              <c:f>'individual-business'!$F$3:$F$46</c:f>
              <c:numCache>
                <c:formatCode>General</c:formatCode>
                <c:ptCount val="2"/>
              </c:numCache>
              <c:extLst/>
            </c:numRef>
          </c:val>
          <c:extLst>
            <c:ext xmlns:c16="http://schemas.microsoft.com/office/drawing/2014/chart" uri="{C3380CC4-5D6E-409C-BE32-E72D297353CC}">
              <c16:uniqueId val="{00000000-0FCB-4793-8935-01CB1B9CF15E}"/>
            </c:ext>
          </c:extLst>
        </c:ser>
        <c:ser>
          <c:idx val="4"/>
          <c:order val="4"/>
          <c:tx>
            <c:strRef>
              <c:f>'individual-business'!$G$2</c:f>
              <c:strCache>
                <c:ptCount val="1"/>
                <c:pt idx="0">
                  <c:v>90%</c:v>
                </c:pt>
              </c:strCache>
            </c:strRef>
          </c:tx>
          <c:spPr>
            <a:solidFill>
              <a:srgbClr val="D73D39"/>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'individual-business'!$B$3:$B$46</c:f>
              <c:strCache>
                <c:ptCount val="2"/>
                <c:pt idx="0">
                  <c:v>Activity</c:v>
                </c:pt>
                <c:pt idx="1">
                  <c:v>Outputs</c:v>
                </c:pt>
              </c:strCache>
              <c:extLst/>
            </c:strRef>
          </c:cat>
          <c:val>
            <c:numRef>
              <c:f>'individual-business'!$G$3:$G$46</c:f>
              <c:numCache>
                <c:formatCode>0%</c:formatCode>
                <c:ptCount val="2"/>
                <c:pt idx="0">
                  <c:v>0.16666666666666666</c:v>
                </c:pt>
                <c:pt idx="1">
                  <c:v>0.16666666666666666</c:v>
                </c:pt>
              </c:numCache>
              <c:extLst/>
            </c:numRef>
          </c:val>
          <c:extLst>
            <c:ext xmlns:c16="http://schemas.microsoft.com/office/drawing/2014/chart" uri="{C3380CC4-5D6E-409C-BE32-E72D297353CC}">
              <c16:uniqueId val="{00000001-0FCB-4793-8935-01CB1B9CF15E}"/>
            </c:ext>
          </c:extLst>
        </c:ser>
        <c:ser>
          <c:idx val="5"/>
          <c:order val="5"/>
          <c:tx>
            <c:strRef>
              <c:f>'individual-business'!$H$2</c:f>
              <c:strCache>
                <c:ptCount val="1"/>
                <c:pt idx="0">
                  <c:v>75%</c:v>
                </c:pt>
              </c:strCache>
            </c:strRef>
          </c:tx>
          <c:spPr>
            <a:solidFill>
              <a:srgbClr val="DC535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'individual-business'!$B$3:$B$46</c:f>
              <c:strCache>
                <c:ptCount val="2"/>
                <c:pt idx="0">
                  <c:v>Activity</c:v>
                </c:pt>
                <c:pt idx="1">
                  <c:v>Outputs</c:v>
                </c:pt>
              </c:strCache>
              <c:extLst/>
            </c:strRef>
          </c:cat>
          <c:val>
            <c:numRef>
              <c:f>'individual-business'!$H$3:$H$46</c:f>
              <c:numCache>
                <c:formatCode>General</c:formatCode>
                <c:ptCount val="2"/>
              </c:numCache>
              <c:extLst/>
            </c:numRef>
          </c:val>
          <c:extLst>
            <c:ext xmlns:c16="http://schemas.microsoft.com/office/drawing/2014/chart" uri="{C3380CC4-5D6E-409C-BE32-E72D297353CC}">
              <c16:uniqueId val="{00000002-0FCB-4793-8935-01CB1B9CF15E}"/>
            </c:ext>
          </c:extLst>
        </c:ser>
        <c:ser>
          <c:idx val="6"/>
          <c:order val="6"/>
          <c:tx>
            <c:strRef>
              <c:f>'individual-business'!$I$2</c:f>
              <c:strCache>
                <c:ptCount val="1"/>
                <c:pt idx="0">
                  <c:v>50%</c:v>
                </c:pt>
              </c:strCache>
            </c:strRef>
          </c:tx>
          <c:spPr>
            <a:solidFill>
              <a:srgbClr val="EBA19F"/>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'individual-business'!$B$3:$B$46</c:f>
              <c:strCache>
                <c:ptCount val="2"/>
                <c:pt idx="0">
                  <c:v>Activity</c:v>
                </c:pt>
                <c:pt idx="1">
                  <c:v>Outputs</c:v>
                </c:pt>
              </c:strCache>
              <c:extLst/>
            </c:strRef>
          </c:cat>
          <c:val>
            <c:numRef>
              <c:f>'individual-business'!$I$3:$I$46</c:f>
              <c:numCache>
                <c:formatCode>0%</c:formatCode>
                <c:ptCount val="2"/>
                <c:pt idx="0">
                  <c:v>0.16666666666666666</c:v>
                </c:pt>
                <c:pt idx="1">
                  <c:v>0.16666666666666666</c:v>
                </c:pt>
              </c:numCache>
              <c:extLst/>
            </c:numRef>
          </c:val>
          <c:extLst>
            <c:ext xmlns:c16="http://schemas.microsoft.com/office/drawing/2014/chart" uri="{C3380CC4-5D6E-409C-BE32-E72D297353CC}">
              <c16:uniqueId val="{00000003-0FCB-4793-8935-01CB1B9CF15E}"/>
            </c:ext>
          </c:extLst>
        </c:ser>
        <c:ser>
          <c:idx val="7"/>
          <c:order val="7"/>
          <c:tx>
            <c:strRef>
              <c:f>'individual-business'!$J$2</c:f>
              <c:strCache>
                <c:ptCount val="1"/>
                <c:pt idx="0">
                  <c:v>25%</c:v>
                </c:pt>
              </c:strCache>
            </c:strRef>
          </c:tx>
          <c:spPr>
            <a:solidFill>
              <a:srgbClr val="F3C6C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'individual-business'!$B$3:$B$46</c:f>
              <c:strCache>
                <c:ptCount val="2"/>
                <c:pt idx="0">
                  <c:v>Activity</c:v>
                </c:pt>
                <c:pt idx="1">
                  <c:v>Outputs</c:v>
                </c:pt>
              </c:strCache>
              <c:extLst/>
            </c:strRef>
          </c:cat>
          <c:val>
            <c:numRef>
              <c:f>'individual-business'!$J$3:$J$46</c:f>
              <c:numCache>
                <c:formatCode>0%</c:formatCode>
                <c:ptCount val="2"/>
                <c:pt idx="0">
                  <c:v>0.66666666666666663</c:v>
                </c:pt>
                <c:pt idx="1">
                  <c:v>0.5</c:v>
                </c:pt>
              </c:numCache>
              <c:extLst/>
            </c:numRef>
          </c:val>
          <c:extLst>
            <c:ext xmlns:c16="http://schemas.microsoft.com/office/drawing/2014/chart" uri="{C3380CC4-5D6E-409C-BE32-E72D297353CC}">
              <c16:uniqueId val="{00000004-0FCB-4793-8935-01CB1B9CF15E}"/>
            </c:ext>
          </c:extLst>
        </c:ser>
        <c:ser>
          <c:idx val="8"/>
          <c:order val="8"/>
          <c:tx>
            <c:strRef>
              <c:f>'individual-business'!$K$2</c:f>
              <c:strCache>
                <c:ptCount val="1"/>
                <c:pt idx="0">
                  <c:v>10%</c:v>
                </c:pt>
              </c:strCache>
            </c:strRef>
          </c:tx>
          <c:spPr>
            <a:solidFill>
              <a:schemeClr val="accent2">
                <a:tint val="56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'individual-business'!$B$3:$B$46</c:f>
              <c:strCache>
                <c:ptCount val="2"/>
                <c:pt idx="0">
                  <c:v>Activity</c:v>
                </c:pt>
                <c:pt idx="1">
                  <c:v>Outputs</c:v>
                </c:pt>
              </c:strCache>
              <c:extLst/>
            </c:strRef>
          </c:cat>
          <c:val>
            <c:numRef>
              <c:f>'individual-business'!$K$3:$K$46</c:f>
              <c:numCache>
                <c:formatCode>General</c:formatCode>
                <c:ptCount val="2"/>
              </c:numCache>
              <c:extLst/>
            </c:numRef>
          </c:val>
          <c:extLst>
            <c:ext xmlns:c16="http://schemas.microsoft.com/office/drawing/2014/chart" uri="{C3380CC4-5D6E-409C-BE32-E72D297353CC}">
              <c16:uniqueId val="{00000005-0FCB-4793-8935-01CB1B9CF15E}"/>
            </c:ext>
          </c:extLst>
        </c:ser>
        <c:ser>
          <c:idx val="9"/>
          <c:order val="9"/>
          <c:tx>
            <c:strRef>
              <c:f>'individual-business'!$L$2</c:f>
              <c:strCache>
                <c:ptCount val="1"/>
                <c:pt idx="0">
                  <c:v>Not Started</c:v>
                </c:pt>
              </c:strCache>
            </c:strRef>
          </c:tx>
          <c:spPr>
            <a:solidFill>
              <a:srgbClr val="FCF2F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'individual-business'!$B$3:$B$46</c:f>
              <c:strCache>
                <c:ptCount val="2"/>
                <c:pt idx="0">
                  <c:v>Activity</c:v>
                </c:pt>
                <c:pt idx="1">
                  <c:v>Outputs</c:v>
                </c:pt>
              </c:strCache>
              <c:extLst/>
            </c:strRef>
          </c:cat>
          <c:val>
            <c:numRef>
              <c:f>'individual-business'!$L$3:$L$46</c:f>
              <c:numCache>
                <c:formatCode>0%</c:formatCode>
                <c:ptCount val="2"/>
                <c:pt idx="1">
                  <c:v>0.16666666666666666</c:v>
                </c:pt>
              </c:numCache>
              <c:extLst/>
            </c:numRef>
          </c:val>
          <c:extLst>
            <c:ext xmlns:c16="http://schemas.microsoft.com/office/drawing/2014/chart" uri="{C3380CC4-5D6E-409C-BE32-E72D297353CC}">
              <c16:uniqueId val="{00000006-0FCB-4793-8935-01CB1B9CF15E}"/>
            </c:ext>
          </c:extLst>
        </c:ser>
        <c:dLbls>
          <c:dLblPos val="ctr"/>
          <c:showLegendKey val="0"/>
          <c:showVal val="1"/>
          <c:showCatName val="0"/>
          <c:showSerName val="0"/>
          <c:showPercent val="0"/>
          <c:showBubbleSize val="0"/>
        </c:dLbls>
        <c:gapWidth val="150"/>
        <c:overlap val="100"/>
        <c:axId val="790958128"/>
        <c:axId val="790961408"/>
        <c:extLst>
          <c:ext xmlns:c15="http://schemas.microsoft.com/office/drawing/2012/chart" uri="{02D57815-91ED-43cb-92C2-25804820EDAC}">
            <c15:filteredBarSeries>
              <c15:ser>
                <c:idx val="0"/>
                <c:order val="0"/>
                <c:tx>
                  <c:strRef>
                    <c:extLst>
                      <c:ext uri="{02D57815-91ED-43cb-92C2-25804820EDAC}">
                        <c15:formulaRef>
                          <c15:sqref>'individual-business'!$C$2</c15:sqref>
                        </c15:formulaRef>
                      </c:ext>
                    </c:extLst>
                    <c:strCache>
                      <c:ptCount val="1"/>
                      <c:pt idx="0">
                        <c:v>Completed</c:v>
                      </c:pt>
                    </c:strCache>
                  </c:strRef>
                </c:tx>
                <c:spPr>
                  <a:solidFill>
                    <a:schemeClr val="accent2">
                      <a:shade val="42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c:ext uri="{02D57815-91ED-43cb-92C2-25804820EDAC}">
                        <c15:formulaRef>
                          <c15:sqref>'individual-business'!$B$3:$B$46</c15:sqref>
                        </c15:formulaRef>
                      </c:ext>
                    </c:extLst>
                    <c:strCache>
                      <c:ptCount val="2"/>
                      <c:pt idx="0">
                        <c:v>Activity</c:v>
                      </c:pt>
                      <c:pt idx="1">
                        <c:v>Outputs</c:v>
                      </c:pt>
                    </c:strCache>
                  </c:strRef>
                </c:cat>
                <c:val>
                  <c:numRef>
                    <c:extLst>
                      <c:ext uri="{02D57815-91ED-43cb-92C2-25804820EDAC}">
                        <c15:formulaRef>
                          <c15:sqref>'individual-business'!$C$3:$C$46</c15:sqref>
                        </c15:formulaRef>
                      </c:ext>
                    </c:extLst>
                    <c:numCache>
                      <c:formatCode>General</c:formatCode>
                      <c:ptCount val="2"/>
                    </c:numCache>
                  </c:numRef>
                </c:val>
                <c:extLst>
                  <c:ext xmlns:c16="http://schemas.microsoft.com/office/drawing/2014/chart" uri="{C3380CC4-5D6E-409C-BE32-E72D297353CC}">
                    <c16:uniqueId val="{00000007-0FCB-4793-8935-01CB1B9CF15E}"/>
                  </c:ext>
                </c:extLst>
              </c15:ser>
            </c15:filteredBarSeries>
            <c15:filteredBarSeries>
              <c15:ser>
                <c:idx val="1"/>
                <c:order val="1"/>
                <c:tx>
                  <c:strRef>
                    <c:extLst xmlns:c15="http://schemas.microsoft.com/office/drawing/2012/chart">
                      <c:ext xmlns:c15="http://schemas.microsoft.com/office/drawing/2012/chart" uri="{02D57815-91ED-43cb-92C2-25804820EDAC}">
                        <c15:formulaRef>
                          <c15:sqref>'individual-business'!$D$2</c15:sqref>
                        </c15:formulaRef>
                      </c:ext>
                    </c:extLst>
                    <c:strCache>
                      <c:ptCount val="1"/>
                      <c:pt idx="0">
                        <c:v>In progress</c:v>
                      </c:pt>
                    </c:strCache>
                  </c:strRef>
                </c:tx>
                <c:spPr>
                  <a:solidFill>
                    <a:schemeClr val="accent2">
                      <a:shade val="5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'individual-business'!$B$3:$B$46</c15:sqref>
                        </c15:formulaRef>
                      </c:ext>
                    </c:extLst>
                    <c:strCache>
                      <c:ptCount val="2"/>
                      <c:pt idx="0">
                        <c:v>Activity</c:v>
                      </c:pt>
                      <c:pt idx="1">
                        <c:v>Outputs</c:v>
                      </c:pt>
                    </c:strCache>
                  </c:strRef>
                </c:cat>
                <c:val>
                  <c:numRef>
                    <c:extLst xmlns:c15="http://schemas.microsoft.com/office/drawing/2012/chart">
                      <c:ext xmlns:c15="http://schemas.microsoft.com/office/drawing/2012/chart" uri="{02D57815-91ED-43cb-92C2-25804820EDAC}">
                        <c15:formulaRef>
                          <c15:sqref>'individual-business'!$D$3:$D$46</c15:sqref>
                        </c15:formulaRef>
                      </c:ext>
                    </c:extLst>
                    <c:numCache>
                      <c:formatCode>0%</c:formatCode>
                      <c:ptCount val="2"/>
                      <c:pt idx="0">
                        <c:v>1</c:v>
                      </c:pt>
                      <c:pt idx="1">
                        <c:v>0.83333333333333337</c:v>
                      </c:pt>
                    </c:numCache>
                  </c:numRef>
                </c:val>
                <c:extLst xmlns:c15="http://schemas.microsoft.com/office/drawing/2012/chart">
                  <c:ext xmlns:c16="http://schemas.microsoft.com/office/drawing/2014/chart" uri="{C3380CC4-5D6E-409C-BE32-E72D297353CC}">
                    <c16:uniqueId val="{00000008-0FCB-4793-8935-01CB1B9CF15E}"/>
                  </c:ext>
                </c:extLst>
              </c15:ser>
            </c15:filteredBarSeries>
            <c15:filteredBarSeries>
              <c15:ser>
                <c:idx val="2"/>
                <c:order val="2"/>
                <c:tx>
                  <c:strRef>
                    <c:extLst xmlns:c15="http://schemas.microsoft.com/office/drawing/2012/chart">
                      <c:ext xmlns:c15="http://schemas.microsoft.com/office/drawing/2012/chart" uri="{02D57815-91ED-43cb-92C2-25804820EDAC}">
                        <c15:formulaRef>
                          <c15:sqref>'individual-business'!$E$2</c15:sqref>
                        </c15:formulaRef>
                      </c:ext>
                    </c:extLst>
                    <c:strCache>
                      <c:ptCount val="1"/>
                      <c:pt idx="0">
                        <c:v>Not started</c:v>
                      </c:pt>
                    </c:strCache>
                  </c:strRef>
                </c:tx>
                <c:spPr>
                  <a:solidFill>
                    <a:schemeClr val="accent2">
                      <a:shade val="68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'individual-business'!$B$3:$B$46</c15:sqref>
                        </c15:formulaRef>
                      </c:ext>
                    </c:extLst>
                    <c:strCache>
                      <c:ptCount val="2"/>
                      <c:pt idx="0">
                        <c:v>Activity</c:v>
                      </c:pt>
                      <c:pt idx="1">
                        <c:v>Outputs</c:v>
                      </c:pt>
                    </c:strCache>
                  </c:strRef>
                </c:cat>
                <c:val>
                  <c:numRef>
                    <c:extLst xmlns:c15="http://schemas.microsoft.com/office/drawing/2012/chart">
                      <c:ext xmlns:c15="http://schemas.microsoft.com/office/drawing/2012/chart" uri="{02D57815-91ED-43cb-92C2-25804820EDAC}">
                        <c15:formulaRef>
                          <c15:sqref>'individual-business'!$E$3:$E$46</c15:sqref>
                        </c15:formulaRef>
                      </c:ext>
                    </c:extLst>
                    <c:numCache>
                      <c:formatCode>0%</c:formatCode>
                      <c:ptCount val="2"/>
                      <c:pt idx="1">
                        <c:v>0.16666666666666666</c:v>
                      </c:pt>
                    </c:numCache>
                  </c:numRef>
                </c:val>
                <c:extLst xmlns:c15="http://schemas.microsoft.com/office/drawing/2012/chart">
                  <c:ext xmlns:c16="http://schemas.microsoft.com/office/drawing/2014/chart" uri="{C3380CC4-5D6E-409C-BE32-E72D297353CC}">
                    <c16:uniqueId val="{00000009-0FCB-4793-8935-01CB1B9CF15E}"/>
                  </c:ext>
                </c:extLst>
              </c15:ser>
            </c15:filteredBarSeries>
          </c:ext>
        </c:extLst>
      </c:barChart>
      <c:catAx>
        <c:axId val="7909581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n-US"/>
          </a:p>
        </c:txPr>
        <c:crossAx val="790961408"/>
        <c:crosses val="autoZero"/>
        <c:auto val="1"/>
        <c:lblAlgn val="ctr"/>
        <c:lblOffset val="100"/>
        <c:noMultiLvlLbl val="0"/>
      </c:catAx>
      <c:valAx>
        <c:axId val="790961408"/>
        <c:scaling>
          <c:orientation val="minMax"/>
          <c:min val="0"/>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90958128"/>
        <c:crossesAt val="1"/>
        <c:crossBetween val="between"/>
      </c:valAx>
      <c:spPr>
        <a:noFill/>
        <a:ln>
          <a:noFill/>
        </a:ln>
        <a:effectLst/>
      </c:spPr>
    </c:plotArea>
    <c:legend>
      <c:legendPos val="t"/>
      <c:layout>
        <c:manualLayout>
          <c:xMode val="edge"/>
          <c:yMode val="edge"/>
          <c:x val="0.16878354491402861"/>
          <c:y val="0.14071530758226036"/>
          <c:w val="0.78488188976377948"/>
          <c:h val="8.3691663005643596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userShapes r:id="rId5"/>
</c:chartSpace>
</file>

<file path=word/charts/chart10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4"/>
    </mc:Choice>
    <mc:Fallback>
      <c:style val="4"/>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Topic Area - </a:t>
            </a:r>
            <a:r>
              <a:rPr lang="en-US" sz="1400" b="0" i="0" u="none" strike="noStrike" baseline="0">
                <a:effectLst/>
              </a:rPr>
              <a:t>Business Engagement</a:t>
            </a:r>
            <a:r>
              <a:rPr lang="en-US"/>
              <a:t>  Activity #3</a:t>
            </a:r>
          </a:p>
        </c:rich>
      </c:tx>
      <c:layout>
        <c:manualLayout>
          <c:xMode val="edge"/>
          <c:yMode val="edge"/>
          <c:x val="0.20401584330345343"/>
          <c:y val="0"/>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6017916604892113"/>
          <c:y val="0.23265365094271845"/>
          <c:w val="0.78942722632790041"/>
          <c:h val="0.66602748393145406"/>
        </c:manualLayout>
      </c:layout>
      <c:barChart>
        <c:barDir val="col"/>
        <c:grouping val="percentStacked"/>
        <c:varyColors val="0"/>
        <c:ser>
          <c:idx val="3"/>
          <c:order val="3"/>
          <c:tx>
            <c:strRef>
              <c:f>'individual-business'!$F$2</c:f>
              <c:strCache>
                <c:ptCount val="1"/>
                <c:pt idx="0">
                  <c:v>Completed</c:v>
                </c:pt>
              </c:strCache>
            </c:strRef>
          </c:tx>
          <c:spPr>
            <a:solidFill>
              <a:srgbClr val="99221F"/>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600" b="0"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'individual-business'!$B$3:$B$46</c:f>
              <c:strCache>
                <c:ptCount val="2"/>
                <c:pt idx="0">
                  <c:v>Activity</c:v>
                </c:pt>
                <c:pt idx="1">
                  <c:v>Outputs</c:v>
                </c:pt>
              </c:strCache>
              <c:extLst/>
            </c:strRef>
          </c:cat>
          <c:val>
            <c:numRef>
              <c:f>'individual-business'!$F$3:$F$46</c:f>
              <c:numCache>
                <c:formatCode>General</c:formatCode>
                <c:ptCount val="2"/>
              </c:numCache>
              <c:extLst/>
            </c:numRef>
          </c:val>
          <c:extLst>
            <c:ext xmlns:c16="http://schemas.microsoft.com/office/drawing/2014/chart" uri="{C3380CC4-5D6E-409C-BE32-E72D297353CC}">
              <c16:uniqueId val="{00000000-389C-47E0-8FE8-BF8A718F0E57}"/>
            </c:ext>
          </c:extLst>
        </c:ser>
        <c:ser>
          <c:idx val="4"/>
          <c:order val="4"/>
          <c:tx>
            <c:strRef>
              <c:f>'individual-business'!$G$2</c:f>
              <c:strCache>
                <c:ptCount val="1"/>
                <c:pt idx="0">
                  <c:v>90%</c:v>
                </c:pt>
              </c:strCache>
            </c:strRef>
          </c:tx>
          <c:spPr>
            <a:solidFill>
              <a:srgbClr val="D73D39"/>
            </a:solidFill>
            <a:ln>
              <a:noFill/>
            </a:ln>
            <a:effectLst/>
          </c:spPr>
          <c:invertIfNegative val="0"/>
          <c:dLbls>
            <c:dLbl>
              <c:idx val="0"/>
              <c:layout>
                <c:manualLayout>
                  <c:x val="9.3088201070513892E-3"/>
                  <c:y val="-5.7971014492753714E-2"/>
                </c:manualLayout>
              </c:layout>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ysClr val="windowText" lastClr="000000"/>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389C-47E0-8FE8-BF8A718F0E57}"/>
                </c:ext>
              </c:extLst>
            </c:dLbl>
            <c:dLbl>
              <c:idx val="1"/>
              <c:layout>
                <c:manualLayout>
                  <c:x val="0"/>
                  <c:y val="-6.0491493383743003E-2"/>
                </c:manualLayout>
              </c:layout>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ysClr val="windowText" lastClr="000000"/>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389C-47E0-8FE8-BF8A718F0E57}"/>
                </c:ext>
              </c:extLst>
            </c:dLbl>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'individual-business'!$B$3:$B$46</c:f>
              <c:strCache>
                <c:ptCount val="2"/>
                <c:pt idx="0">
                  <c:v>Activity</c:v>
                </c:pt>
                <c:pt idx="1">
                  <c:v>Outputs</c:v>
                </c:pt>
              </c:strCache>
              <c:extLst/>
            </c:strRef>
          </c:cat>
          <c:val>
            <c:numRef>
              <c:f>'individual-business'!$G$3:$G$46</c:f>
              <c:numCache>
                <c:formatCode>0%</c:formatCode>
                <c:ptCount val="2"/>
                <c:pt idx="0">
                  <c:v>0.25</c:v>
                </c:pt>
                <c:pt idx="1">
                  <c:v>0.25</c:v>
                </c:pt>
              </c:numCache>
              <c:extLst/>
            </c:numRef>
          </c:val>
          <c:extLst>
            <c:ext xmlns:c16="http://schemas.microsoft.com/office/drawing/2014/chart" uri="{C3380CC4-5D6E-409C-BE32-E72D297353CC}">
              <c16:uniqueId val="{00000003-389C-47E0-8FE8-BF8A718F0E57}"/>
            </c:ext>
          </c:extLst>
        </c:ser>
        <c:ser>
          <c:idx val="5"/>
          <c:order val="5"/>
          <c:tx>
            <c:strRef>
              <c:f>'individual-business'!$H$2</c:f>
              <c:strCache>
                <c:ptCount val="1"/>
                <c:pt idx="0">
                  <c:v>75%</c:v>
                </c:pt>
              </c:strCache>
            </c:strRef>
          </c:tx>
          <c:spPr>
            <a:solidFill>
              <a:srgbClr val="DC535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ysClr val="windowText" lastClr="000000"/>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'individual-business'!$B$3:$B$46</c:f>
              <c:strCache>
                <c:ptCount val="2"/>
                <c:pt idx="0">
                  <c:v>Activity</c:v>
                </c:pt>
                <c:pt idx="1">
                  <c:v>Outputs</c:v>
                </c:pt>
              </c:strCache>
              <c:extLst/>
            </c:strRef>
          </c:cat>
          <c:val>
            <c:numRef>
              <c:f>'individual-business'!$H$3:$H$46</c:f>
              <c:numCache>
                <c:formatCode>0%</c:formatCode>
                <c:ptCount val="2"/>
                <c:pt idx="0">
                  <c:v>0.25</c:v>
                </c:pt>
                <c:pt idx="1">
                  <c:v>0.25</c:v>
                </c:pt>
              </c:numCache>
              <c:extLst/>
            </c:numRef>
          </c:val>
          <c:extLst>
            <c:ext xmlns:c16="http://schemas.microsoft.com/office/drawing/2014/chart" uri="{C3380CC4-5D6E-409C-BE32-E72D297353CC}">
              <c16:uniqueId val="{00000004-389C-47E0-8FE8-BF8A718F0E57}"/>
            </c:ext>
          </c:extLst>
        </c:ser>
        <c:ser>
          <c:idx val="6"/>
          <c:order val="6"/>
          <c:tx>
            <c:strRef>
              <c:f>'individual-business'!$I$2</c:f>
              <c:strCache>
                <c:ptCount val="1"/>
                <c:pt idx="0">
                  <c:v>50%</c:v>
                </c:pt>
              </c:strCache>
            </c:strRef>
          </c:tx>
          <c:spPr>
            <a:solidFill>
              <a:srgbClr val="EBA19F"/>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ysClr val="windowText" lastClr="000000"/>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'individual-business'!$B$3:$B$46</c:f>
              <c:strCache>
                <c:ptCount val="2"/>
                <c:pt idx="0">
                  <c:v>Activity</c:v>
                </c:pt>
                <c:pt idx="1">
                  <c:v>Outputs</c:v>
                </c:pt>
              </c:strCache>
              <c:extLst/>
            </c:strRef>
          </c:cat>
          <c:val>
            <c:numRef>
              <c:f>'individual-business'!$I$3:$I$46</c:f>
              <c:numCache>
                <c:formatCode>0%</c:formatCode>
                <c:ptCount val="2"/>
                <c:pt idx="0">
                  <c:v>0.25</c:v>
                </c:pt>
                <c:pt idx="1">
                  <c:v>0.25</c:v>
                </c:pt>
              </c:numCache>
              <c:extLst/>
            </c:numRef>
          </c:val>
          <c:extLst>
            <c:ext xmlns:c16="http://schemas.microsoft.com/office/drawing/2014/chart" uri="{C3380CC4-5D6E-409C-BE32-E72D297353CC}">
              <c16:uniqueId val="{00000005-389C-47E0-8FE8-BF8A718F0E57}"/>
            </c:ext>
          </c:extLst>
        </c:ser>
        <c:ser>
          <c:idx val="7"/>
          <c:order val="7"/>
          <c:tx>
            <c:strRef>
              <c:f>'individual-business'!$J$2</c:f>
              <c:strCache>
                <c:ptCount val="1"/>
                <c:pt idx="0">
                  <c:v>25%</c:v>
                </c:pt>
              </c:strCache>
            </c:strRef>
          </c:tx>
          <c:spPr>
            <a:solidFill>
              <a:srgbClr val="F3C6C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'individual-business'!$B$3:$B$46</c:f>
              <c:strCache>
                <c:ptCount val="2"/>
                <c:pt idx="0">
                  <c:v>Activity</c:v>
                </c:pt>
                <c:pt idx="1">
                  <c:v>Outputs</c:v>
                </c:pt>
              </c:strCache>
              <c:extLst/>
            </c:strRef>
          </c:cat>
          <c:val>
            <c:numRef>
              <c:f>'individual-business'!$J$3:$J$46</c:f>
              <c:numCache>
                <c:formatCode>0%</c:formatCode>
                <c:ptCount val="2"/>
                <c:pt idx="0">
                  <c:v>0.25</c:v>
                </c:pt>
                <c:pt idx="1">
                  <c:v>0.25</c:v>
                </c:pt>
              </c:numCache>
              <c:extLst/>
            </c:numRef>
          </c:val>
          <c:extLst>
            <c:ext xmlns:c16="http://schemas.microsoft.com/office/drawing/2014/chart" uri="{C3380CC4-5D6E-409C-BE32-E72D297353CC}">
              <c16:uniqueId val="{00000006-389C-47E0-8FE8-BF8A718F0E57}"/>
            </c:ext>
          </c:extLst>
        </c:ser>
        <c:ser>
          <c:idx val="8"/>
          <c:order val="8"/>
          <c:tx>
            <c:strRef>
              <c:f>'individual-business'!$K$2</c:f>
              <c:strCache>
                <c:ptCount val="1"/>
                <c:pt idx="0">
                  <c:v>10%</c:v>
                </c:pt>
              </c:strCache>
            </c:strRef>
          </c:tx>
          <c:spPr>
            <a:solidFill>
              <a:schemeClr val="accent2">
                <a:tint val="56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'individual-business'!$B$3:$B$46</c:f>
              <c:strCache>
                <c:ptCount val="2"/>
                <c:pt idx="0">
                  <c:v>Activity</c:v>
                </c:pt>
                <c:pt idx="1">
                  <c:v>Outputs</c:v>
                </c:pt>
              </c:strCache>
              <c:extLst/>
            </c:strRef>
          </c:cat>
          <c:val>
            <c:numRef>
              <c:f>'individual-business'!$K$3:$K$46</c:f>
              <c:numCache>
                <c:formatCode>General</c:formatCode>
                <c:ptCount val="2"/>
              </c:numCache>
              <c:extLst/>
            </c:numRef>
          </c:val>
          <c:extLst>
            <c:ext xmlns:c16="http://schemas.microsoft.com/office/drawing/2014/chart" uri="{C3380CC4-5D6E-409C-BE32-E72D297353CC}">
              <c16:uniqueId val="{00000007-389C-47E0-8FE8-BF8A718F0E57}"/>
            </c:ext>
          </c:extLst>
        </c:ser>
        <c:ser>
          <c:idx val="9"/>
          <c:order val="9"/>
          <c:tx>
            <c:strRef>
              <c:f>'individual-business'!$L$2</c:f>
              <c:strCache>
                <c:ptCount val="1"/>
                <c:pt idx="0">
                  <c:v>Not Started</c:v>
                </c:pt>
              </c:strCache>
            </c:strRef>
          </c:tx>
          <c:spPr>
            <a:solidFill>
              <a:srgbClr val="FCF2F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'individual-business'!$B$3:$B$46</c:f>
              <c:strCache>
                <c:ptCount val="2"/>
                <c:pt idx="0">
                  <c:v>Activity</c:v>
                </c:pt>
                <c:pt idx="1">
                  <c:v>Outputs</c:v>
                </c:pt>
              </c:strCache>
              <c:extLst/>
            </c:strRef>
          </c:cat>
          <c:val>
            <c:numRef>
              <c:f>'individual-business'!$L$3:$L$46</c:f>
              <c:numCache>
                <c:formatCode>General</c:formatCode>
                <c:ptCount val="2"/>
              </c:numCache>
              <c:extLst/>
            </c:numRef>
          </c:val>
          <c:extLst>
            <c:ext xmlns:c16="http://schemas.microsoft.com/office/drawing/2014/chart" uri="{C3380CC4-5D6E-409C-BE32-E72D297353CC}">
              <c16:uniqueId val="{00000008-389C-47E0-8FE8-BF8A718F0E57}"/>
            </c:ext>
          </c:extLst>
        </c:ser>
        <c:dLbls>
          <c:dLblPos val="ctr"/>
          <c:showLegendKey val="0"/>
          <c:showVal val="1"/>
          <c:showCatName val="0"/>
          <c:showSerName val="0"/>
          <c:showPercent val="0"/>
          <c:showBubbleSize val="0"/>
        </c:dLbls>
        <c:gapWidth val="150"/>
        <c:overlap val="100"/>
        <c:axId val="790958128"/>
        <c:axId val="790961408"/>
        <c:extLst>
          <c:ext xmlns:c15="http://schemas.microsoft.com/office/drawing/2012/chart" uri="{02D57815-91ED-43cb-92C2-25804820EDAC}">
            <c15:filteredBarSeries>
              <c15:ser>
                <c:idx val="0"/>
                <c:order val="0"/>
                <c:tx>
                  <c:strRef>
                    <c:extLst>
                      <c:ext uri="{02D57815-91ED-43cb-92C2-25804820EDAC}">
                        <c15:formulaRef>
                          <c15:sqref>'individual-business'!$C$2</c15:sqref>
                        </c15:formulaRef>
                      </c:ext>
                    </c:extLst>
                    <c:strCache>
                      <c:ptCount val="1"/>
                      <c:pt idx="0">
                        <c:v>Completed</c:v>
                      </c:pt>
                    </c:strCache>
                  </c:strRef>
                </c:tx>
                <c:spPr>
                  <a:solidFill>
                    <a:schemeClr val="accent2">
                      <a:shade val="42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c:ext uri="{02D57815-91ED-43cb-92C2-25804820EDAC}">
                        <c15:formulaRef>
                          <c15:sqref>'individual-business'!$B$3:$B$46</c15:sqref>
                        </c15:formulaRef>
                      </c:ext>
                    </c:extLst>
                    <c:strCache>
                      <c:ptCount val="2"/>
                      <c:pt idx="0">
                        <c:v>Activity</c:v>
                      </c:pt>
                      <c:pt idx="1">
                        <c:v>Outputs</c:v>
                      </c:pt>
                    </c:strCache>
                  </c:strRef>
                </c:cat>
                <c:val>
                  <c:numRef>
                    <c:extLst>
                      <c:ext uri="{02D57815-91ED-43cb-92C2-25804820EDAC}">
                        <c15:formulaRef>
                          <c15:sqref>'individual-business'!$C$3:$C$46</c15:sqref>
                        </c15:formulaRef>
                      </c:ext>
                    </c:extLst>
                    <c:numCache>
                      <c:formatCode>General</c:formatCode>
                      <c:ptCount val="2"/>
                    </c:numCache>
                  </c:numRef>
                </c:val>
                <c:extLst>
                  <c:ext xmlns:c16="http://schemas.microsoft.com/office/drawing/2014/chart" uri="{C3380CC4-5D6E-409C-BE32-E72D297353CC}">
                    <c16:uniqueId val="{00000009-389C-47E0-8FE8-BF8A718F0E57}"/>
                  </c:ext>
                </c:extLst>
              </c15:ser>
            </c15:filteredBarSeries>
            <c15:filteredBarSeries>
              <c15:ser>
                <c:idx val="1"/>
                <c:order val="1"/>
                <c:tx>
                  <c:strRef>
                    <c:extLst xmlns:c15="http://schemas.microsoft.com/office/drawing/2012/chart">
                      <c:ext xmlns:c15="http://schemas.microsoft.com/office/drawing/2012/chart" uri="{02D57815-91ED-43cb-92C2-25804820EDAC}">
                        <c15:formulaRef>
                          <c15:sqref>'individual-business'!$D$2</c15:sqref>
                        </c15:formulaRef>
                      </c:ext>
                    </c:extLst>
                    <c:strCache>
                      <c:ptCount val="1"/>
                      <c:pt idx="0">
                        <c:v>In progress</c:v>
                      </c:pt>
                    </c:strCache>
                  </c:strRef>
                </c:tx>
                <c:spPr>
                  <a:solidFill>
                    <a:schemeClr val="accent2">
                      <a:shade val="5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'individual-business'!$B$3:$B$46</c15:sqref>
                        </c15:formulaRef>
                      </c:ext>
                    </c:extLst>
                    <c:strCache>
                      <c:ptCount val="2"/>
                      <c:pt idx="0">
                        <c:v>Activity</c:v>
                      </c:pt>
                      <c:pt idx="1">
                        <c:v>Outputs</c:v>
                      </c:pt>
                    </c:strCache>
                  </c:strRef>
                </c:cat>
                <c:val>
                  <c:numRef>
                    <c:extLst xmlns:c15="http://schemas.microsoft.com/office/drawing/2012/chart">
                      <c:ext xmlns:c15="http://schemas.microsoft.com/office/drawing/2012/chart" uri="{02D57815-91ED-43cb-92C2-25804820EDAC}">
                        <c15:formulaRef>
                          <c15:sqref>'individual-business'!$D$3:$D$46</c15:sqref>
                        </c15:formulaRef>
                      </c:ext>
                    </c:extLst>
                    <c:numCache>
                      <c:formatCode>0%</c:formatCode>
                      <c:ptCount val="2"/>
                      <c:pt idx="0">
                        <c:v>1</c:v>
                      </c:pt>
                      <c:pt idx="1">
                        <c:v>1</c:v>
                      </c:pt>
                    </c:numCache>
                  </c:numRef>
                </c:val>
                <c:extLst xmlns:c15="http://schemas.microsoft.com/office/drawing/2012/chart">
                  <c:ext xmlns:c16="http://schemas.microsoft.com/office/drawing/2014/chart" uri="{C3380CC4-5D6E-409C-BE32-E72D297353CC}">
                    <c16:uniqueId val="{0000000A-389C-47E0-8FE8-BF8A718F0E57}"/>
                  </c:ext>
                </c:extLst>
              </c15:ser>
            </c15:filteredBarSeries>
            <c15:filteredBarSeries>
              <c15:ser>
                <c:idx val="2"/>
                <c:order val="2"/>
                <c:tx>
                  <c:strRef>
                    <c:extLst xmlns:c15="http://schemas.microsoft.com/office/drawing/2012/chart">
                      <c:ext xmlns:c15="http://schemas.microsoft.com/office/drawing/2012/chart" uri="{02D57815-91ED-43cb-92C2-25804820EDAC}">
                        <c15:formulaRef>
                          <c15:sqref>'individual-business'!$E$2</c15:sqref>
                        </c15:formulaRef>
                      </c:ext>
                    </c:extLst>
                    <c:strCache>
                      <c:ptCount val="1"/>
                      <c:pt idx="0">
                        <c:v>Not started</c:v>
                      </c:pt>
                    </c:strCache>
                  </c:strRef>
                </c:tx>
                <c:spPr>
                  <a:solidFill>
                    <a:schemeClr val="accent2">
                      <a:shade val="68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'individual-business'!$B$3:$B$46</c15:sqref>
                        </c15:formulaRef>
                      </c:ext>
                    </c:extLst>
                    <c:strCache>
                      <c:ptCount val="2"/>
                      <c:pt idx="0">
                        <c:v>Activity</c:v>
                      </c:pt>
                      <c:pt idx="1">
                        <c:v>Outputs</c:v>
                      </c:pt>
                    </c:strCache>
                  </c:strRef>
                </c:cat>
                <c:val>
                  <c:numRef>
                    <c:extLst xmlns:c15="http://schemas.microsoft.com/office/drawing/2012/chart">
                      <c:ext xmlns:c15="http://schemas.microsoft.com/office/drawing/2012/chart" uri="{02D57815-91ED-43cb-92C2-25804820EDAC}">
                        <c15:formulaRef>
                          <c15:sqref>'individual-business'!$E$3:$E$46</c15:sqref>
                        </c15:formulaRef>
                      </c:ext>
                    </c:extLst>
                    <c:numCache>
                      <c:formatCode>General</c:formatCode>
                      <c:ptCount val="2"/>
                    </c:numCache>
                  </c:numRef>
                </c:val>
                <c:extLst xmlns:c15="http://schemas.microsoft.com/office/drawing/2012/chart">
                  <c:ext xmlns:c16="http://schemas.microsoft.com/office/drawing/2014/chart" uri="{C3380CC4-5D6E-409C-BE32-E72D297353CC}">
                    <c16:uniqueId val="{0000000B-389C-47E0-8FE8-BF8A718F0E57}"/>
                  </c:ext>
                </c:extLst>
              </c15:ser>
            </c15:filteredBarSeries>
          </c:ext>
        </c:extLst>
      </c:barChart>
      <c:catAx>
        <c:axId val="7909581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n-US"/>
          </a:p>
        </c:txPr>
        <c:crossAx val="790961408"/>
        <c:crosses val="autoZero"/>
        <c:auto val="1"/>
        <c:lblAlgn val="ctr"/>
        <c:lblOffset val="100"/>
        <c:noMultiLvlLbl val="0"/>
      </c:catAx>
      <c:valAx>
        <c:axId val="790961408"/>
        <c:scaling>
          <c:orientation val="minMax"/>
          <c:min val="0"/>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90958128"/>
        <c:crossesAt val="1"/>
        <c:crossBetween val="between"/>
      </c:valAx>
      <c:spPr>
        <a:noFill/>
        <a:ln>
          <a:noFill/>
        </a:ln>
        <a:effectLst/>
      </c:spPr>
    </c:plotArea>
    <c:legend>
      <c:legendPos val="t"/>
      <c:layout>
        <c:manualLayout>
          <c:xMode val="edge"/>
          <c:yMode val="edge"/>
          <c:x val="0.16878354491402861"/>
          <c:y val="0.14071530758226036"/>
          <c:w val="0.78488188976377948"/>
          <c:h val="8.3691663005643596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userShapes r:id="rId5"/>
</c:chartSpace>
</file>

<file path=word/charts/chart10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4"/>
    </mc:Choice>
    <mc:Fallback>
      <c:style val="4"/>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Topic Area - </a:t>
            </a:r>
            <a:r>
              <a:rPr lang="en-US" sz="1400" b="0" i="0" u="none" strike="noStrike" baseline="0">
                <a:effectLst/>
              </a:rPr>
              <a:t>Business Engagement</a:t>
            </a:r>
            <a:r>
              <a:rPr lang="en-US"/>
              <a:t>  Activity #4</a:t>
            </a:r>
          </a:p>
        </c:rich>
      </c:tx>
      <c:layout>
        <c:manualLayout>
          <c:xMode val="edge"/>
          <c:yMode val="edge"/>
          <c:x val="0.20401584330345343"/>
          <c:y val="0"/>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6017916604892113"/>
          <c:y val="0.23265365094271845"/>
          <c:w val="0.78942722632790041"/>
          <c:h val="0.66602748393145406"/>
        </c:manualLayout>
      </c:layout>
      <c:barChart>
        <c:barDir val="col"/>
        <c:grouping val="percentStacked"/>
        <c:varyColors val="0"/>
        <c:ser>
          <c:idx val="3"/>
          <c:order val="3"/>
          <c:tx>
            <c:strRef>
              <c:f>'individual-business'!$F$2</c:f>
              <c:strCache>
                <c:ptCount val="1"/>
                <c:pt idx="0">
                  <c:v>Completed</c:v>
                </c:pt>
              </c:strCache>
            </c:strRef>
          </c:tx>
          <c:spPr>
            <a:solidFill>
              <a:srgbClr val="99221F"/>
            </a:solidFill>
            <a:ln>
              <a:noFill/>
            </a:ln>
            <a:effectLst/>
          </c:spPr>
          <c:invertIfNegative val="0"/>
          <c:dLbls>
            <c:dLbl>
              <c:idx val="0"/>
              <c:layout>
                <c:manualLayout>
                  <c:x val="0"/>
                  <c:y val="-4.1961097262286202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48DD-47C6-806D-D14752E91D9C}"/>
                </c:ext>
              </c:extLst>
            </c:dLbl>
            <c:dLbl>
              <c:idx val="1"/>
              <c:layout>
                <c:manualLayout>
                  <c:x val="0"/>
                  <c:y val="-3.9492797423328285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48DD-47C6-806D-D14752E91D9C}"/>
                </c:ext>
              </c:extLst>
            </c:dLbl>
            <c:spPr>
              <a:noFill/>
              <a:ln>
                <a:noFill/>
              </a:ln>
              <a:effectLst/>
            </c:spPr>
            <c:txPr>
              <a:bodyPr rot="0" spcFirstLastPara="1" vertOverflow="ellipsis" vert="horz" wrap="square" lIns="38100" tIns="19050" rIns="38100" bIns="19050" anchor="ctr" anchorCtr="1">
                <a:spAutoFit/>
              </a:bodyPr>
              <a:lstStyle/>
              <a:p>
                <a:pPr>
                  <a:defRPr sz="1800" b="0"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'individual-business'!$B$3:$B$46</c:f>
              <c:strCache>
                <c:ptCount val="2"/>
                <c:pt idx="0">
                  <c:v>Activity</c:v>
                </c:pt>
                <c:pt idx="1">
                  <c:v>Outputs</c:v>
                </c:pt>
              </c:strCache>
            </c:strRef>
          </c:cat>
          <c:val>
            <c:numRef>
              <c:f>'individual-business'!$F$3:$F$46</c:f>
              <c:numCache>
                <c:formatCode>General</c:formatCode>
                <c:ptCount val="2"/>
              </c:numCache>
            </c:numRef>
          </c:val>
          <c:extLst>
            <c:ext xmlns:c16="http://schemas.microsoft.com/office/drawing/2014/chart" uri="{C3380CC4-5D6E-409C-BE32-E72D297353CC}">
              <c16:uniqueId val="{00000002-48DD-47C6-806D-D14752E91D9C}"/>
            </c:ext>
          </c:extLst>
        </c:ser>
        <c:ser>
          <c:idx val="4"/>
          <c:order val="4"/>
          <c:tx>
            <c:strRef>
              <c:f>'individual-business'!$G$2</c:f>
              <c:strCache>
                <c:ptCount val="1"/>
                <c:pt idx="0">
                  <c:v>90%</c:v>
                </c:pt>
              </c:strCache>
            </c:strRef>
          </c:tx>
          <c:spPr>
            <a:solidFill>
              <a:srgbClr val="D73D39"/>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'individual-business'!$B$3:$B$46</c:f>
              <c:strCache>
                <c:ptCount val="2"/>
                <c:pt idx="0">
                  <c:v>Activity</c:v>
                </c:pt>
                <c:pt idx="1">
                  <c:v>Outputs</c:v>
                </c:pt>
              </c:strCache>
            </c:strRef>
          </c:cat>
          <c:val>
            <c:numRef>
              <c:f>'individual-business'!$G$3:$G$46</c:f>
              <c:numCache>
                <c:formatCode>General</c:formatCode>
                <c:ptCount val="2"/>
              </c:numCache>
            </c:numRef>
          </c:val>
          <c:extLst>
            <c:ext xmlns:c16="http://schemas.microsoft.com/office/drawing/2014/chart" uri="{C3380CC4-5D6E-409C-BE32-E72D297353CC}">
              <c16:uniqueId val="{00000003-48DD-47C6-806D-D14752E91D9C}"/>
            </c:ext>
          </c:extLst>
        </c:ser>
        <c:ser>
          <c:idx val="5"/>
          <c:order val="5"/>
          <c:tx>
            <c:strRef>
              <c:f>'individual-business'!$H$2</c:f>
              <c:strCache>
                <c:ptCount val="1"/>
                <c:pt idx="0">
                  <c:v>75%</c:v>
                </c:pt>
              </c:strCache>
            </c:strRef>
          </c:tx>
          <c:spPr>
            <a:solidFill>
              <a:srgbClr val="DC535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'individual-business'!$B$3:$B$46</c:f>
              <c:strCache>
                <c:ptCount val="2"/>
                <c:pt idx="0">
                  <c:v>Activity</c:v>
                </c:pt>
                <c:pt idx="1">
                  <c:v>Outputs</c:v>
                </c:pt>
              </c:strCache>
            </c:strRef>
          </c:cat>
          <c:val>
            <c:numRef>
              <c:f>'individual-business'!$H$3:$H$46</c:f>
              <c:numCache>
                <c:formatCode>General</c:formatCode>
                <c:ptCount val="2"/>
              </c:numCache>
            </c:numRef>
          </c:val>
          <c:extLst>
            <c:ext xmlns:c16="http://schemas.microsoft.com/office/drawing/2014/chart" uri="{C3380CC4-5D6E-409C-BE32-E72D297353CC}">
              <c16:uniqueId val="{00000004-48DD-47C6-806D-D14752E91D9C}"/>
            </c:ext>
          </c:extLst>
        </c:ser>
        <c:ser>
          <c:idx val="6"/>
          <c:order val="6"/>
          <c:tx>
            <c:strRef>
              <c:f>'individual-business'!$I$2</c:f>
              <c:strCache>
                <c:ptCount val="1"/>
                <c:pt idx="0">
                  <c:v>50%</c:v>
                </c:pt>
              </c:strCache>
            </c:strRef>
          </c:tx>
          <c:spPr>
            <a:solidFill>
              <a:srgbClr val="EBA19F"/>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'individual-business'!$B$3:$B$46</c:f>
              <c:strCache>
                <c:ptCount val="2"/>
                <c:pt idx="0">
                  <c:v>Activity</c:v>
                </c:pt>
                <c:pt idx="1">
                  <c:v>Outputs</c:v>
                </c:pt>
              </c:strCache>
            </c:strRef>
          </c:cat>
          <c:val>
            <c:numRef>
              <c:f>'individual-business'!$I$3:$I$46</c:f>
              <c:numCache>
                <c:formatCode>General</c:formatCode>
                <c:ptCount val="2"/>
              </c:numCache>
            </c:numRef>
          </c:val>
          <c:extLst>
            <c:ext xmlns:c16="http://schemas.microsoft.com/office/drawing/2014/chart" uri="{C3380CC4-5D6E-409C-BE32-E72D297353CC}">
              <c16:uniqueId val="{00000005-48DD-47C6-806D-D14752E91D9C}"/>
            </c:ext>
          </c:extLst>
        </c:ser>
        <c:ser>
          <c:idx val="7"/>
          <c:order val="7"/>
          <c:tx>
            <c:strRef>
              <c:f>'individual-business'!$J$2</c:f>
              <c:strCache>
                <c:ptCount val="1"/>
                <c:pt idx="0">
                  <c:v>25%</c:v>
                </c:pt>
              </c:strCache>
            </c:strRef>
          </c:tx>
          <c:spPr>
            <a:solidFill>
              <a:srgbClr val="F3C6C5"/>
            </a:solidFill>
            <a:ln>
              <a:noFill/>
            </a:ln>
            <a:effectLst/>
          </c:spPr>
          <c:invertIfNegative val="0"/>
          <c:dLbls>
            <c:dLbl>
              <c:idx val="0"/>
              <c:layout>
                <c:manualLayout>
                  <c:x val="-4.2664307181772137E-17"/>
                  <c:y val="-2.5204783907678344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48DD-47C6-806D-D14752E91D9C}"/>
                </c:ext>
              </c:extLst>
            </c:dLbl>
            <c:dLbl>
              <c:idx val="1"/>
              <c:layout>
                <c:manualLayout>
                  <c:x val="0"/>
                  <c:y val="-1.7643348735374775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48DD-47C6-806D-D14752E91D9C}"/>
                </c:ext>
              </c:extLst>
            </c:dLbl>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ysClr val="windowText" lastClr="000000"/>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'individual-business'!$B$3:$B$46</c:f>
              <c:strCache>
                <c:ptCount val="2"/>
                <c:pt idx="0">
                  <c:v>Activity</c:v>
                </c:pt>
                <c:pt idx="1">
                  <c:v>Outputs</c:v>
                </c:pt>
              </c:strCache>
            </c:strRef>
          </c:cat>
          <c:val>
            <c:numRef>
              <c:f>'individual-business'!$J$3:$J$46</c:f>
              <c:numCache>
                <c:formatCode>0%</c:formatCode>
                <c:ptCount val="2"/>
                <c:pt idx="0">
                  <c:v>0.5</c:v>
                </c:pt>
                <c:pt idx="1">
                  <c:v>0.5</c:v>
                </c:pt>
              </c:numCache>
            </c:numRef>
          </c:val>
          <c:extLst>
            <c:ext xmlns:c16="http://schemas.microsoft.com/office/drawing/2014/chart" uri="{C3380CC4-5D6E-409C-BE32-E72D297353CC}">
              <c16:uniqueId val="{00000008-48DD-47C6-806D-D14752E91D9C}"/>
            </c:ext>
          </c:extLst>
        </c:ser>
        <c:ser>
          <c:idx val="8"/>
          <c:order val="8"/>
          <c:tx>
            <c:strRef>
              <c:f>'individual-business'!$K$2</c:f>
              <c:strCache>
                <c:ptCount val="1"/>
                <c:pt idx="0">
                  <c:v>10%</c:v>
                </c:pt>
              </c:strCache>
            </c:strRef>
          </c:tx>
          <c:spPr>
            <a:solidFill>
              <a:schemeClr val="accent2">
                <a:tint val="56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'individual-business'!$B$3:$B$46</c:f>
              <c:strCache>
                <c:ptCount val="2"/>
                <c:pt idx="0">
                  <c:v>Activity</c:v>
                </c:pt>
                <c:pt idx="1">
                  <c:v>Outputs</c:v>
                </c:pt>
              </c:strCache>
            </c:strRef>
          </c:cat>
          <c:val>
            <c:numRef>
              <c:f>'individual-business'!$K$3:$K$46</c:f>
              <c:numCache>
                <c:formatCode>General</c:formatCode>
                <c:ptCount val="2"/>
              </c:numCache>
            </c:numRef>
          </c:val>
          <c:extLst>
            <c:ext xmlns:c16="http://schemas.microsoft.com/office/drawing/2014/chart" uri="{C3380CC4-5D6E-409C-BE32-E72D297353CC}">
              <c16:uniqueId val="{00000009-48DD-47C6-806D-D14752E91D9C}"/>
            </c:ext>
          </c:extLst>
        </c:ser>
        <c:ser>
          <c:idx val="9"/>
          <c:order val="9"/>
          <c:tx>
            <c:strRef>
              <c:f>'individual-business'!$L$2</c:f>
              <c:strCache>
                <c:ptCount val="1"/>
                <c:pt idx="0">
                  <c:v>Not Started</c:v>
                </c:pt>
              </c:strCache>
            </c:strRef>
          </c:tx>
          <c:spPr>
            <a:solidFill>
              <a:srgbClr val="FCF2F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ysClr val="windowText" lastClr="000000"/>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'individual-business'!$B$3:$B$46</c:f>
              <c:strCache>
                <c:ptCount val="2"/>
                <c:pt idx="0">
                  <c:v>Activity</c:v>
                </c:pt>
                <c:pt idx="1">
                  <c:v>Outputs</c:v>
                </c:pt>
              </c:strCache>
            </c:strRef>
          </c:cat>
          <c:val>
            <c:numRef>
              <c:f>'individual-business'!$L$3:$L$46</c:f>
              <c:numCache>
                <c:formatCode>0%</c:formatCode>
                <c:ptCount val="2"/>
                <c:pt idx="0">
                  <c:v>0.5</c:v>
                </c:pt>
                <c:pt idx="1">
                  <c:v>0.5</c:v>
                </c:pt>
              </c:numCache>
            </c:numRef>
          </c:val>
          <c:extLst>
            <c:ext xmlns:c16="http://schemas.microsoft.com/office/drawing/2014/chart" uri="{C3380CC4-5D6E-409C-BE32-E72D297353CC}">
              <c16:uniqueId val="{0000000A-48DD-47C6-806D-D14752E91D9C}"/>
            </c:ext>
          </c:extLst>
        </c:ser>
        <c:dLbls>
          <c:dLblPos val="ctr"/>
          <c:showLegendKey val="0"/>
          <c:showVal val="1"/>
          <c:showCatName val="0"/>
          <c:showSerName val="0"/>
          <c:showPercent val="0"/>
          <c:showBubbleSize val="0"/>
        </c:dLbls>
        <c:gapWidth val="150"/>
        <c:overlap val="100"/>
        <c:axId val="790958128"/>
        <c:axId val="790961408"/>
        <c:extLst>
          <c:ext xmlns:c15="http://schemas.microsoft.com/office/drawing/2012/chart" uri="{02D57815-91ED-43cb-92C2-25804820EDAC}">
            <c15:filteredBarSeries>
              <c15:ser>
                <c:idx val="0"/>
                <c:order val="0"/>
                <c:tx>
                  <c:strRef>
                    <c:extLst>
                      <c:ext uri="{02D57815-91ED-43cb-92C2-25804820EDAC}">
                        <c15:formulaRef>
                          <c15:sqref>'individual-business'!$C$2</c15:sqref>
                        </c15:formulaRef>
                      </c:ext>
                    </c:extLst>
                    <c:strCache>
                      <c:ptCount val="1"/>
                      <c:pt idx="0">
                        <c:v>Completed</c:v>
                      </c:pt>
                    </c:strCache>
                  </c:strRef>
                </c:tx>
                <c:spPr>
                  <a:solidFill>
                    <a:schemeClr val="accent2">
                      <a:shade val="42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c:ext uri="{02D57815-91ED-43cb-92C2-25804820EDAC}">
                        <c15:formulaRef>
                          <c15:sqref>'individual-business'!$B$3:$B$46</c15:sqref>
                        </c15:formulaRef>
                      </c:ext>
                    </c:extLst>
                    <c:strCache>
                      <c:ptCount val="2"/>
                      <c:pt idx="0">
                        <c:v>Activity</c:v>
                      </c:pt>
                      <c:pt idx="1">
                        <c:v>Outputs</c:v>
                      </c:pt>
                    </c:strCache>
                  </c:strRef>
                </c:cat>
                <c:val>
                  <c:numRef>
                    <c:extLst>
                      <c:ext uri="{02D57815-91ED-43cb-92C2-25804820EDAC}">
                        <c15:formulaRef>
                          <c15:sqref>'individual-business'!$C$3:$C$46</c15:sqref>
                        </c15:formulaRef>
                      </c:ext>
                    </c:extLst>
                    <c:numCache>
                      <c:formatCode>General</c:formatCode>
                      <c:ptCount val="2"/>
                    </c:numCache>
                  </c:numRef>
                </c:val>
                <c:extLst>
                  <c:ext xmlns:c16="http://schemas.microsoft.com/office/drawing/2014/chart" uri="{C3380CC4-5D6E-409C-BE32-E72D297353CC}">
                    <c16:uniqueId val="{0000000B-48DD-47C6-806D-D14752E91D9C}"/>
                  </c:ext>
                </c:extLst>
              </c15:ser>
            </c15:filteredBarSeries>
            <c15:filteredBarSeries>
              <c15:ser>
                <c:idx val="1"/>
                <c:order val="1"/>
                <c:tx>
                  <c:strRef>
                    <c:extLst xmlns:c15="http://schemas.microsoft.com/office/drawing/2012/chart">
                      <c:ext xmlns:c15="http://schemas.microsoft.com/office/drawing/2012/chart" uri="{02D57815-91ED-43cb-92C2-25804820EDAC}">
                        <c15:formulaRef>
                          <c15:sqref>'individual-business'!$D$2</c15:sqref>
                        </c15:formulaRef>
                      </c:ext>
                    </c:extLst>
                    <c:strCache>
                      <c:ptCount val="1"/>
                      <c:pt idx="0">
                        <c:v>In progress</c:v>
                      </c:pt>
                    </c:strCache>
                  </c:strRef>
                </c:tx>
                <c:spPr>
                  <a:solidFill>
                    <a:schemeClr val="accent2">
                      <a:shade val="5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'individual-business'!$B$3:$B$46</c15:sqref>
                        </c15:formulaRef>
                      </c:ext>
                    </c:extLst>
                    <c:strCache>
                      <c:ptCount val="2"/>
                      <c:pt idx="0">
                        <c:v>Activity</c:v>
                      </c:pt>
                      <c:pt idx="1">
                        <c:v>Outputs</c:v>
                      </c:pt>
                    </c:strCache>
                  </c:strRef>
                </c:cat>
                <c:val>
                  <c:numRef>
                    <c:extLst xmlns:c15="http://schemas.microsoft.com/office/drawing/2012/chart">
                      <c:ext xmlns:c15="http://schemas.microsoft.com/office/drawing/2012/chart" uri="{02D57815-91ED-43cb-92C2-25804820EDAC}">
                        <c15:formulaRef>
                          <c15:sqref>'individual-business'!$D$3:$D$46</c15:sqref>
                        </c15:formulaRef>
                      </c:ext>
                    </c:extLst>
                    <c:numCache>
                      <c:formatCode>0%</c:formatCode>
                      <c:ptCount val="2"/>
                      <c:pt idx="0">
                        <c:v>0.5</c:v>
                      </c:pt>
                      <c:pt idx="1">
                        <c:v>0.5</c:v>
                      </c:pt>
                    </c:numCache>
                  </c:numRef>
                </c:val>
                <c:extLst xmlns:c15="http://schemas.microsoft.com/office/drawing/2012/chart">
                  <c:ext xmlns:c16="http://schemas.microsoft.com/office/drawing/2014/chart" uri="{C3380CC4-5D6E-409C-BE32-E72D297353CC}">
                    <c16:uniqueId val="{0000000C-48DD-47C6-806D-D14752E91D9C}"/>
                  </c:ext>
                </c:extLst>
              </c15:ser>
            </c15:filteredBarSeries>
            <c15:filteredBarSeries>
              <c15:ser>
                <c:idx val="2"/>
                <c:order val="2"/>
                <c:tx>
                  <c:strRef>
                    <c:extLst xmlns:c15="http://schemas.microsoft.com/office/drawing/2012/chart">
                      <c:ext xmlns:c15="http://schemas.microsoft.com/office/drawing/2012/chart" uri="{02D57815-91ED-43cb-92C2-25804820EDAC}">
                        <c15:formulaRef>
                          <c15:sqref>'individual-business'!$E$2</c15:sqref>
                        </c15:formulaRef>
                      </c:ext>
                    </c:extLst>
                    <c:strCache>
                      <c:ptCount val="1"/>
                      <c:pt idx="0">
                        <c:v>Not started</c:v>
                      </c:pt>
                    </c:strCache>
                  </c:strRef>
                </c:tx>
                <c:spPr>
                  <a:solidFill>
                    <a:schemeClr val="accent2">
                      <a:shade val="68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'individual-business'!$B$3:$B$46</c15:sqref>
                        </c15:formulaRef>
                      </c:ext>
                    </c:extLst>
                    <c:strCache>
                      <c:ptCount val="2"/>
                      <c:pt idx="0">
                        <c:v>Activity</c:v>
                      </c:pt>
                      <c:pt idx="1">
                        <c:v>Outputs</c:v>
                      </c:pt>
                    </c:strCache>
                  </c:strRef>
                </c:cat>
                <c:val>
                  <c:numRef>
                    <c:extLst xmlns:c15="http://schemas.microsoft.com/office/drawing/2012/chart">
                      <c:ext xmlns:c15="http://schemas.microsoft.com/office/drawing/2012/chart" uri="{02D57815-91ED-43cb-92C2-25804820EDAC}">
                        <c15:formulaRef>
                          <c15:sqref>'individual-business'!$E$3:$E$46</c15:sqref>
                        </c15:formulaRef>
                      </c:ext>
                    </c:extLst>
                    <c:numCache>
                      <c:formatCode>0%</c:formatCode>
                      <c:ptCount val="2"/>
                      <c:pt idx="0">
                        <c:v>0.5</c:v>
                      </c:pt>
                      <c:pt idx="1">
                        <c:v>0.5</c:v>
                      </c:pt>
                    </c:numCache>
                  </c:numRef>
                </c:val>
                <c:extLst xmlns:c15="http://schemas.microsoft.com/office/drawing/2012/chart">
                  <c:ext xmlns:c16="http://schemas.microsoft.com/office/drawing/2014/chart" uri="{C3380CC4-5D6E-409C-BE32-E72D297353CC}">
                    <c16:uniqueId val="{0000000D-48DD-47C6-806D-D14752E91D9C}"/>
                  </c:ext>
                </c:extLst>
              </c15:ser>
            </c15:filteredBarSeries>
          </c:ext>
        </c:extLst>
      </c:barChart>
      <c:catAx>
        <c:axId val="7909581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n-US"/>
          </a:p>
        </c:txPr>
        <c:crossAx val="790961408"/>
        <c:crosses val="autoZero"/>
        <c:auto val="1"/>
        <c:lblAlgn val="ctr"/>
        <c:lblOffset val="100"/>
        <c:noMultiLvlLbl val="0"/>
      </c:catAx>
      <c:valAx>
        <c:axId val="790961408"/>
        <c:scaling>
          <c:orientation val="minMax"/>
          <c:min val="0"/>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90958128"/>
        <c:crossesAt val="1"/>
        <c:crossBetween val="between"/>
      </c:valAx>
      <c:spPr>
        <a:noFill/>
        <a:ln>
          <a:noFill/>
        </a:ln>
        <a:effectLst/>
      </c:spPr>
    </c:plotArea>
    <c:legend>
      <c:legendPos val="t"/>
      <c:layout>
        <c:manualLayout>
          <c:xMode val="edge"/>
          <c:yMode val="edge"/>
          <c:x val="0.16878354491402861"/>
          <c:y val="0.14071530758226036"/>
          <c:w val="0.78488188976377948"/>
          <c:h val="8.3691663005643596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userShapes r:id="rId5"/>
</c:chartSpace>
</file>

<file path=word/charts/chart10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4"/>
    </mc:Choice>
    <mc:Fallback>
      <c:style val="4"/>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Topic Area - </a:t>
            </a:r>
            <a:r>
              <a:rPr lang="en-US" sz="1400" b="0" i="0" u="none" strike="noStrike" baseline="0">
                <a:effectLst/>
              </a:rPr>
              <a:t>Business Engagement</a:t>
            </a:r>
            <a:r>
              <a:rPr lang="en-US"/>
              <a:t> Activity #5</a:t>
            </a:r>
          </a:p>
        </c:rich>
      </c:tx>
      <c:layout>
        <c:manualLayout>
          <c:xMode val="edge"/>
          <c:yMode val="edge"/>
          <c:x val="0.20401584330345343"/>
          <c:y val="0"/>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6017916604892113"/>
          <c:y val="0.23265365094271845"/>
          <c:w val="0.78942722632790041"/>
          <c:h val="0.66602748393145406"/>
        </c:manualLayout>
      </c:layout>
      <c:barChart>
        <c:barDir val="col"/>
        <c:grouping val="percentStacked"/>
        <c:varyColors val="0"/>
        <c:ser>
          <c:idx val="3"/>
          <c:order val="3"/>
          <c:tx>
            <c:strRef>
              <c:f>'individual-business'!$F$2</c:f>
              <c:strCache>
                <c:ptCount val="1"/>
                <c:pt idx="0">
                  <c:v>Completed</c:v>
                </c:pt>
              </c:strCache>
            </c:strRef>
          </c:tx>
          <c:spPr>
            <a:solidFill>
              <a:srgbClr val="99221F"/>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800" b="0"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'individual-business'!$B$3:$B$46</c:f>
              <c:strCache>
                <c:ptCount val="2"/>
                <c:pt idx="0">
                  <c:v>Activity</c:v>
                </c:pt>
                <c:pt idx="1">
                  <c:v>Outputs</c:v>
                </c:pt>
              </c:strCache>
            </c:strRef>
          </c:cat>
          <c:val>
            <c:numRef>
              <c:f>'individual-business'!$F$3:$F$46</c:f>
              <c:numCache>
                <c:formatCode>0%</c:formatCode>
                <c:ptCount val="2"/>
                <c:pt idx="0">
                  <c:v>0.1111111111111111</c:v>
                </c:pt>
                <c:pt idx="1">
                  <c:v>0.1111111111111111</c:v>
                </c:pt>
              </c:numCache>
            </c:numRef>
          </c:val>
          <c:extLst>
            <c:ext xmlns:c16="http://schemas.microsoft.com/office/drawing/2014/chart" uri="{C3380CC4-5D6E-409C-BE32-E72D297353CC}">
              <c16:uniqueId val="{00000000-C9F1-435A-9213-F2B88AF49F54}"/>
            </c:ext>
          </c:extLst>
        </c:ser>
        <c:ser>
          <c:idx val="4"/>
          <c:order val="4"/>
          <c:tx>
            <c:strRef>
              <c:f>'individual-business'!$G$2</c:f>
              <c:strCache>
                <c:ptCount val="1"/>
                <c:pt idx="0">
                  <c:v>90%</c:v>
                </c:pt>
              </c:strCache>
            </c:strRef>
          </c:tx>
          <c:spPr>
            <a:solidFill>
              <a:srgbClr val="D73D39"/>
            </a:solidFill>
            <a:ln>
              <a:noFill/>
            </a:ln>
            <a:effectLst/>
          </c:spPr>
          <c:invertIfNegative val="0"/>
          <c:dLbls>
            <c:dLbl>
              <c:idx val="0"/>
              <c:layout>
                <c:manualLayout>
                  <c:x val="-4.2664932621710008E-17"/>
                  <c:y val="-1.5122873345935635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C9F1-435A-9213-F2B88AF49F54}"/>
                </c:ext>
              </c:extLst>
            </c:dLbl>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ysClr val="windowText" lastClr="000000"/>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'individual-business'!$B$3:$B$46</c:f>
              <c:strCache>
                <c:ptCount val="2"/>
                <c:pt idx="0">
                  <c:v>Activity</c:v>
                </c:pt>
                <c:pt idx="1">
                  <c:v>Outputs</c:v>
                </c:pt>
              </c:strCache>
            </c:strRef>
          </c:cat>
          <c:val>
            <c:numRef>
              <c:f>'individual-business'!$G$3:$G$46</c:f>
              <c:numCache>
                <c:formatCode>0%</c:formatCode>
                <c:ptCount val="2"/>
                <c:pt idx="0">
                  <c:v>0.1111111111111111</c:v>
                </c:pt>
                <c:pt idx="1">
                  <c:v>0.22222222222222221</c:v>
                </c:pt>
              </c:numCache>
            </c:numRef>
          </c:val>
          <c:extLst>
            <c:ext xmlns:c16="http://schemas.microsoft.com/office/drawing/2014/chart" uri="{C3380CC4-5D6E-409C-BE32-E72D297353CC}">
              <c16:uniqueId val="{00000002-C9F1-435A-9213-F2B88AF49F54}"/>
            </c:ext>
          </c:extLst>
        </c:ser>
        <c:ser>
          <c:idx val="5"/>
          <c:order val="5"/>
          <c:tx>
            <c:strRef>
              <c:f>'individual-business'!$H$2</c:f>
              <c:strCache>
                <c:ptCount val="1"/>
                <c:pt idx="0">
                  <c:v>75%</c:v>
                </c:pt>
              </c:strCache>
            </c:strRef>
          </c:tx>
          <c:spPr>
            <a:solidFill>
              <a:srgbClr val="DC535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ysClr val="windowText" lastClr="000000"/>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'individual-business'!$B$3:$B$46</c:f>
              <c:strCache>
                <c:ptCount val="2"/>
                <c:pt idx="0">
                  <c:v>Activity</c:v>
                </c:pt>
                <c:pt idx="1">
                  <c:v>Outputs</c:v>
                </c:pt>
              </c:strCache>
            </c:strRef>
          </c:cat>
          <c:val>
            <c:numRef>
              <c:f>'individual-business'!$H$3:$H$46</c:f>
              <c:numCache>
                <c:formatCode>General</c:formatCode>
                <c:ptCount val="2"/>
                <c:pt idx="0" formatCode="0%">
                  <c:v>0.22222222222222221</c:v>
                </c:pt>
              </c:numCache>
            </c:numRef>
          </c:val>
          <c:extLst>
            <c:ext xmlns:c16="http://schemas.microsoft.com/office/drawing/2014/chart" uri="{C3380CC4-5D6E-409C-BE32-E72D297353CC}">
              <c16:uniqueId val="{00000003-C9F1-435A-9213-F2B88AF49F54}"/>
            </c:ext>
          </c:extLst>
        </c:ser>
        <c:ser>
          <c:idx val="6"/>
          <c:order val="6"/>
          <c:tx>
            <c:strRef>
              <c:f>'individual-business'!$I$2</c:f>
              <c:strCache>
                <c:ptCount val="1"/>
                <c:pt idx="0">
                  <c:v>50%</c:v>
                </c:pt>
              </c:strCache>
            </c:strRef>
          </c:tx>
          <c:spPr>
            <a:solidFill>
              <a:srgbClr val="EBA19F"/>
            </a:solidFill>
            <a:ln>
              <a:noFill/>
            </a:ln>
            <a:effectLst/>
          </c:spPr>
          <c:invertIfNegative val="0"/>
          <c:dLbls>
            <c:dLbl>
              <c:idx val="0"/>
              <c:layout>
                <c:manualLayout>
                  <c:x val="-0.16290202350333538"/>
                  <c:y val="-2.5204783907678712E-3"/>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C9F1-435A-9213-F2B88AF49F54}"/>
                </c:ext>
              </c:extLst>
            </c:dLbl>
            <c:dLbl>
              <c:idx val="1"/>
              <c:layout>
                <c:manualLayout>
                  <c:x val="-0.15824767997466865"/>
                  <c:y val="-1.2602391953839125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C9F1-435A-9213-F2B88AF49F54}"/>
                </c:ext>
              </c:extLst>
            </c:dLbl>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'individual-business'!$B$3:$B$46</c:f>
              <c:strCache>
                <c:ptCount val="2"/>
                <c:pt idx="0">
                  <c:v>Activity</c:v>
                </c:pt>
                <c:pt idx="1">
                  <c:v>Outputs</c:v>
                </c:pt>
              </c:strCache>
            </c:strRef>
          </c:cat>
          <c:val>
            <c:numRef>
              <c:f>'individual-business'!$I$3:$I$46</c:f>
              <c:numCache>
                <c:formatCode>General</c:formatCode>
                <c:ptCount val="2"/>
              </c:numCache>
            </c:numRef>
          </c:val>
          <c:extLst>
            <c:ext xmlns:c16="http://schemas.microsoft.com/office/drawing/2014/chart" uri="{C3380CC4-5D6E-409C-BE32-E72D297353CC}">
              <c16:uniqueId val="{00000006-C9F1-435A-9213-F2B88AF49F54}"/>
            </c:ext>
          </c:extLst>
        </c:ser>
        <c:ser>
          <c:idx val="7"/>
          <c:order val="7"/>
          <c:tx>
            <c:strRef>
              <c:f>'individual-business'!$J$2</c:f>
              <c:strCache>
                <c:ptCount val="1"/>
                <c:pt idx="0">
                  <c:v>25%</c:v>
                </c:pt>
              </c:strCache>
            </c:strRef>
          </c:tx>
          <c:spPr>
            <a:solidFill>
              <a:srgbClr val="F3C6C5"/>
            </a:solidFill>
            <a:ln>
              <a:noFill/>
            </a:ln>
            <a:effectLst/>
          </c:spPr>
          <c:invertIfNegative val="0"/>
          <c:dLbls>
            <c:dLbl>
              <c:idx val="0"/>
              <c:layout>
                <c:manualLayout>
                  <c:x val="2.5654228641053675E-6"/>
                  <c:y val="-5.040957781978668E-3"/>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C9F1-435A-9213-F2B88AF49F54}"/>
                </c:ext>
              </c:extLst>
            </c:dLbl>
            <c:dLbl>
              <c:idx val="1"/>
              <c:layout>
                <c:manualLayout>
                  <c:x val="-4.6522111196421597E-3"/>
                  <c:y val="-1.5122873345935728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C9F1-435A-9213-F2B88AF49F54}"/>
                </c:ext>
              </c:extLst>
            </c:dLbl>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ysClr val="windowText" lastClr="000000"/>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'individual-business'!$B$3:$B$46</c:f>
              <c:strCache>
                <c:ptCount val="2"/>
                <c:pt idx="0">
                  <c:v>Activity</c:v>
                </c:pt>
                <c:pt idx="1">
                  <c:v>Outputs</c:v>
                </c:pt>
              </c:strCache>
            </c:strRef>
          </c:cat>
          <c:val>
            <c:numRef>
              <c:f>'individual-business'!$J$3:$J$46</c:f>
              <c:numCache>
                <c:formatCode>0%</c:formatCode>
                <c:ptCount val="2"/>
                <c:pt idx="0">
                  <c:v>0.22222222222222221</c:v>
                </c:pt>
                <c:pt idx="1">
                  <c:v>0.22222222222222221</c:v>
                </c:pt>
              </c:numCache>
            </c:numRef>
          </c:val>
          <c:extLst>
            <c:ext xmlns:c16="http://schemas.microsoft.com/office/drawing/2014/chart" uri="{C3380CC4-5D6E-409C-BE32-E72D297353CC}">
              <c16:uniqueId val="{00000009-C9F1-435A-9213-F2B88AF49F54}"/>
            </c:ext>
          </c:extLst>
        </c:ser>
        <c:ser>
          <c:idx val="8"/>
          <c:order val="8"/>
          <c:tx>
            <c:strRef>
              <c:f>'individual-business'!$K$2</c:f>
              <c:strCache>
                <c:ptCount val="1"/>
                <c:pt idx="0">
                  <c:v>10%</c:v>
                </c:pt>
              </c:strCache>
            </c:strRef>
          </c:tx>
          <c:spPr>
            <a:solidFill>
              <a:schemeClr val="accent2">
                <a:tint val="56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'individual-business'!$B$3:$B$46</c:f>
              <c:strCache>
                <c:ptCount val="2"/>
                <c:pt idx="0">
                  <c:v>Activity</c:v>
                </c:pt>
                <c:pt idx="1">
                  <c:v>Outputs</c:v>
                </c:pt>
              </c:strCache>
            </c:strRef>
          </c:cat>
          <c:val>
            <c:numRef>
              <c:f>'individual-business'!$K$3:$K$46</c:f>
              <c:numCache>
                <c:formatCode>General</c:formatCode>
                <c:ptCount val="2"/>
              </c:numCache>
            </c:numRef>
          </c:val>
          <c:extLst>
            <c:ext xmlns:c16="http://schemas.microsoft.com/office/drawing/2014/chart" uri="{C3380CC4-5D6E-409C-BE32-E72D297353CC}">
              <c16:uniqueId val="{0000000A-C9F1-435A-9213-F2B88AF49F54}"/>
            </c:ext>
          </c:extLst>
        </c:ser>
        <c:ser>
          <c:idx val="9"/>
          <c:order val="9"/>
          <c:tx>
            <c:strRef>
              <c:f>'individual-business'!$L$2</c:f>
              <c:strCache>
                <c:ptCount val="1"/>
                <c:pt idx="0">
                  <c:v>Not Started</c:v>
                </c:pt>
              </c:strCache>
            </c:strRef>
          </c:tx>
          <c:spPr>
            <a:solidFill>
              <a:srgbClr val="FCF2F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ysClr val="windowText" lastClr="000000"/>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'individual-business'!$B$3:$B$46</c:f>
              <c:strCache>
                <c:ptCount val="2"/>
                <c:pt idx="0">
                  <c:v>Activity</c:v>
                </c:pt>
                <c:pt idx="1">
                  <c:v>Outputs</c:v>
                </c:pt>
              </c:strCache>
            </c:strRef>
          </c:cat>
          <c:val>
            <c:numRef>
              <c:f>'individual-business'!$L$3:$L$46</c:f>
              <c:numCache>
                <c:formatCode>0%</c:formatCode>
                <c:ptCount val="2"/>
                <c:pt idx="0">
                  <c:v>0.33333333333333331</c:v>
                </c:pt>
                <c:pt idx="1">
                  <c:v>0.44444444444444442</c:v>
                </c:pt>
              </c:numCache>
            </c:numRef>
          </c:val>
          <c:extLst>
            <c:ext xmlns:c16="http://schemas.microsoft.com/office/drawing/2014/chart" uri="{C3380CC4-5D6E-409C-BE32-E72D297353CC}">
              <c16:uniqueId val="{0000000B-C9F1-435A-9213-F2B88AF49F54}"/>
            </c:ext>
          </c:extLst>
        </c:ser>
        <c:dLbls>
          <c:dLblPos val="ctr"/>
          <c:showLegendKey val="0"/>
          <c:showVal val="1"/>
          <c:showCatName val="0"/>
          <c:showSerName val="0"/>
          <c:showPercent val="0"/>
          <c:showBubbleSize val="0"/>
        </c:dLbls>
        <c:gapWidth val="150"/>
        <c:overlap val="100"/>
        <c:axId val="790958128"/>
        <c:axId val="790961408"/>
        <c:extLst>
          <c:ext xmlns:c15="http://schemas.microsoft.com/office/drawing/2012/chart" uri="{02D57815-91ED-43cb-92C2-25804820EDAC}">
            <c15:filteredBarSeries>
              <c15:ser>
                <c:idx val="0"/>
                <c:order val="0"/>
                <c:tx>
                  <c:strRef>
                    <c:extLst>
                      <c:ext uri="{02D57815-91ED-43cb-92C2-25804820EDAC}">
                        <c15:formulaRef>
                          <c15:sqref>'individual-business'!$C$2</c15:sqref>
                        </c15:formulaRef>
                      </c:ext>
                    </c:extLst>
                    <c:strCache>
                      <c:ptCount val="1"/>
                      <c:pt idx="0">
                        <c:v>Completed</c:v>
                      </c:pt>
                    </c:strCache>
                  </c:strRef>
                </c:tx>
                <c:spPr>
                  <a:solidFill>
                    <a:schemeClr val="accent2">
                      <a:shade val="42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c:ext uri="{02D57815-91ED-43cb-92C2-25804820EDAC}">
                        <c15:formulaRef>
                          <c15:sqref>'individual-business'!$B$3:$B$46</c15:sqref>
                        </c15:formulaRef>
                      </c:ext>
                    </c:extLst>
                    <c:strCache>
                      <c:ptCount val="2"/>
                      <c:pt idx="0">
                        <c:v>Activity</c:v>
                      </c:pt>
                      <c:pt idx="1">
                        <c:v>Outputs</c:v>
                      </c:pt>
                    </c:strCache>
                  </c:strRef>
                </c:cat>
                <c:val>
                  <c:numRef>
                    <c:extLst>
                      <c:ext uri="{02D57815-91ED-43cb-92C2-25804820EDAC}">
                        <c15:formulaRef>
                          <c15:sqref>'individual-business'!$C$3:$C$46</c15:sqref>
                        </c15:formulaRef>
                      </c:ext>
                    </c:extLst>
                    <c:numCache>
                      <c:formatCode>0%</c:formatCode>
                      <c:ptCount val="2"/>
                      <c:pt idx="0">
                        <c:v>0.1111111111111111</c:v>
                      </c:pt>
                      <c:pt idx="1">
                        <c:v>0.1111111111111111</c:v>
                      </c:pt>
                    </c:numCache>
                  </c:numRef>
                </c:val>
                <c:extLst>
                  <c:ext xmlns:c16="http://schemas.microsoft.com/office/drawing/2014/chart" uri="{C3380CC4-5D6E-409C-BE32-E72D297353CC}">
                    <c16:uniqueId val="{0000000C-C9F1-435A-9213-F2B88AF49F54}"/>
                  </c:ext>
                </c:extLst>
              </c15:ser>
            </c15:filteredBarSeries>
            <c15:filteredBarSeries>
              <c15:ser>
                <c:idx val="1"/>
                <c:order val="1"/>
                <c:tx>
                  <c:strRef>
                    <c:extLst xmlns:c15="http://schemas.microsoft.com/office/drawing/2012/chart">
                      <c:ext xmlns:c15="http://schemas.microsoft.com/office/drawing/2012/chart" uri="{02D57815-91ED-43cb-92C2-25804820EDAC}">
                        <c15:formulaRef>
                          <c15:sqref>'individual-business'!$D$2</c15:sqref>
                        </c15:formulaRef>
                      </c:ext>
                    </c:extLst>
                    <c:strCache>
                      <c:ptCount val="1"/>
                      <c:pt idx="0">
                        <c:v>In progress</c:v>
                      </c:pt>
                    </c:strCache>
                  </c:strRef>
                </c:tx>
                <c:spPr>
                  <a:solidFill>
                    <a:schemeClr val="accent2">
                      <a:shade val="5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'individual-business'!$B$3:$B$46</c15:sqref>
                        </c15:formulaRef>
                      </c:ext>
                    </c:extLst>
                    <c:strCache>
                      <c:ptCount val="2"/>
                      <c:pt idx="0">
                        <c:v>Activity</c:v>
                      </c:pt>
                      <c:pt idx="1">
                        <c:v>Outputs</c:v>
                      </c:pt>
                    </c:strCache>
                  </c:strRef>
                </c:cat>
                <c:val>
                  <c:numRef>
                    <c:extLst xmlns:c15="http://schemas.microsoft.com/office/drawing/2012/chart">
                      <c:ext xmlns:c15="http://schemas.microsoft.com/office/drawing/2012/chart" uri="{02D57815-91ED-43cb-92C2-25804820EDAC}">
                        <c15:formulaRef>
                          <c15:sqref>'individual-business'!$D$3:$D$46</c15:sqref>
                        </c15:formulaRef>
                      </c:ext>
                    </c:extLst>
                    <c:numCache>
                      <c:formatCode>0%</c:formatCode>
                      <c:ptCount val="2"/>
                      <c:pt idx="0">
                        <c:v>0.55555555555555558</c:v>
                      </c:pt>
                      <c:pt idx="1">
                        <c:v>0.44444444444444442</c:v>
                      </c:pt>
                    </c:numCache>
                  </c:numRef>
                </c:val>
                <c:extLst xmlns:c15="http://schemas.microsoft.com/office/drawing/2012/chart">
                  <c:ext xmlns:c16="http://schemas.microsoft.com/office/drawing/2014/chart" uri="{C3380CC4-5D6E-409C-BE32-E72D297353CC}">
                    <c16:uniqueId val="{0000000D-C9F1-435A-9213-F2B88AF49F54}"/>
                  </c:ext>
                </c:extLst>
              </c15:ser>
            </c15:filteredBarSeries>
            <c15:filteredBarSeries>
              <c15:ser>
                <c:idx val="2"/>
                <c:order val="2"/>
                <c:tx>
                  <c:strRef>
                    <c:extLst xmlns:c15="http://schemas.microsoft.com/office/drawing/2012/chart">
                      <c:ext xmlns:c15="http://schemas.microsoft.com/office/drawing/2012/chart" uri="{02D57815-91ED-43cb-92C2-25804820EDAC}">
                        <c15:formulaRef>
                          <c15:sqref>'individual-business'!$E$2</c15:sqref>
                        </c15:formulaRef>
                      </c:ext>
                    </c:extLst>
                    <c:strCache>
                      <c:ptCount val="1"/>
                      <c:pt idx="0">
                        <c:v>Not started</c:v>
                      </c:pt>
                    </c:strCache>
                  </c:strRef>
                </c:tx>
                <c:spPr>
                  <a:solidFill>
                    <a:schemeClr val="accent2">
                      <a:shade val="68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'individual-business'!$B$3:$B$46</c15:sqref>
                        </c15:formulaRef>
                      </c:ext>
                    </c:extLst>
                    <c:strCache>
                      <c:ptCount val="2"/>
                      <c:pt idx="0">
                        <c:v>Activity</c:v>
                      </c:pt>
                      <c:pt idx="1">
                        <c:v>Outputs</c:v>
                      </c:pt>
                    </c:strCache>
                  </c:strRef>
                </c:cat>
                <c:val>
                  <c:numRef>
                    <c:extLst xmlns:c15="http://schemas.microsoft.com/office/drawing/2012/chart">
                      <c:ext xmlns:c15="http://schemas.microsoft.com/office/drawing/2012/chart" uri="{02D57815-91ED-43cb-92C2-25804820EDAC}">
                        <c15:formulaRef>
                          <c15:sqref>'individual-business'!$E$3:$E$46</c15:sqref>
                        </c15:formulaRef>
                      </c:ext>
                    </c:extLst>
                    <c:numCache>
                      <c:formatCode>0%</c:formatCode>
                      <c:ptCount val="2"/>
                      <c:pt idx="0">
                        <c:v>0.33333333333333331</c:v>
                      </c:pt>
                      <c:pt idx="1">
                        <c:v>0.44444444444444442</c:v>
                      </c:pt>
                    </c:numCache>
                  </c:numRef>
                </c:val>
                <c:extLst xmlns:c15="http://schemas.microsoft.com/office/drawing/2012/chart">
                  <c:ext xmlns:c16="http://schemas.microsoft.com/office/drawing/2014/chart" uri="{C3380CC4-5D6E-409C-BE32-E72D297353CC}">
                    <c16:uniqueId val="{0000000E-C9F1-435A-9213-F2B88AF49F54}"/>
                  </c:ext>
                </c:extLst>
              </c15:ser>
            </c15:filteredBarSeries>
          </c:ext>
        </c:extLst>
      </c:barChart>
      <c:catAx>
        <c:axId val="7909581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n-US"/>
          </a:p>
        </c:txPr>
        <c:crossAx val="790961408"/>
        <c:crosses val="autoZero"/>
        <c:auto val="1"/>
        <c:lblAlgn val="ctr"/>
        <c:lblOffset val="100"/>
        <c:noMultiLvlLbl val="0"/>
      </c:catAx>
      <c:valAx>
        <c:axId val="790961408"/>
        <c:scaling>
          <c:orientation val="minMax"/>
          <c:min val="0"/>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90958128"/>
        <c:crossesAt val="1"/>
        <c:crossBetween val="between"/>
      </c:valAx>
      <c:spPr>
        <a:noFill/>
        <a:ln>
          <a:noFill/>
        </a:ln>
        <a:effectLst/>
      </c:spPr>
    </c:plotArea>
    <c:legend>
      <c:legendPos val="t"/>
      <c:layout>
        <c:manualLayout>
          <c:xMode val="edge"/>
          <c:yMode val="edge"/>
          <c:x val="0.16878354491402861"/>
          <c:y val="0.14071530758226036"/>
          <c:w val="0.78488188976377948"/>
          <c:h val="8.3691663005643596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userShapes r:id="rId5"/>
</c:chartSpace>
</file>

<file path=word/charts/chart10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4"/>
    </mc:Choice>
    <mc:Fallback>
      <c:style val="4"/>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Topic Area - </a:t>
            </a:r>
            <a:r>
              <a:rPr lang="en-US" sz="1400" b="0" i="0" u="none" strike="noStrike" baseline="0">
                <a:effectLst/>
              </a:rPr>
              <a:t>Business Engagement</a:t>
            </a:r>
            <a:r>
              <a:rPr lang="en-US"/>
              <a:t>  Activity #6</a:t>
            </a:r>
          </a:p>
        </c:rich>
      </c:tx>
      <c:layout>
        <c:manualLayout>
          <c:xMode val="edge"/>
          <c:yMode val="edge"/>
          <c:x val="0.20401584330345343"/>
          <c:y val="0"/>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6017916604892113"/>
          <c:y val="0.23265365094271845"/>
          <c:w val="0.78942722632790041"/>
          <c:h val="0.66602748393145406"/>
        </c:manualLayout>
      </c:layout>
      <c:barChart>
        <c:barDir val="col"/>
        <c:grouping val="percentStacked"/>
        <c:varyColors val="0"/>
        <c:ser>
          <c:idx val="3"/>
          <c:order val="3"/>
          <c:tx>
            <c:strRef>
              <c:f>'individual-business'!$F$2</c:f>
              <c:strCache>
                <c:ptCount val="1"/>
                <c:pt idx="0">
                  <c:v>Completed</c:v>
                </c:pt>
              </c:strCache>
            </c:strRef>
          </c:tx>
          <c:spPr>
            <a:solidFill>
              <a:srgbClr val="99221F"/>
            </a:solidFill>
            <a:ln>
              <a:noFill/>
            </a:ln>
            <a:effectLst/>
          </c:spPr>
          <c:invertIfNegative val="0"/>
          <c:dLbls>
            <c:dLbl>
              <c:idx val="0"/>
              <c:layout>
                <c:manualLayout>
                  <c:x val="0"/>
                  <c:y val="-5.2930056710775136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2404-422B-A3FE-A8B03D384DD9}"/>
                </c:ext>
              </c:extLst>
            </c:dLbl>
            <c:dLbl>
              <c:idx val="1"/>
              <c:layout>
                <c:manualLayout>
                  <c:x val="-4.6544100535257154E-3"/>
                  <c:y val="-4.5368620037807186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2404-422B-A3FE-A8B03D384DD9}"/>
                </c:ext>
              </c:extLst>
            </c:dLbl>
            <c:spPr>
              <a:noFill/>
              <a:ln>
                <a:noFill/>
              </a:ln>
              <a:effectLst/>
            </c:spPr>
            <c:txPr>
              <a:bodyPr rot="0" spcFirstLastPara="1" vertOverflow="ellipsis" vert="horz" wrap="square" lIns="38100" tIns="19050" rIns="38100" bIns="19050" anchor="ctr" anchorCtr="1">
                <a:spAutoFit/>
              </a:bodyPr>
              <a:lstStyle/>
              <a:p>
                <a:pPr>
                  <a:defRPr sz="1800" b="0"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'individual-business'!$B$3:$B$46</c:f>
              <c:strCache>
                <c:ptCount val="2"/>
                <c:pt idx="0">
                  <c:v>Activity</c:v>
                </c:pt>
                <c:pt idx="1">
                  <c:v>Outputs</c:v>
                </c:pt>
              </c:strCache>
              <c:extLst/>
            </c:strRef>
          </c:cat>
          <c:val>
            <c:numRef>
              <c:f>'individual-business'!$F$3:$F$46</c:f>
              <c:numCache>
                <c:formatCode>0%</c:formatCode>
                <c:ptCount val="2"/>
                <c:pt idx="0">
                  <c:v>0.25</c:v>
                </c:pt>
                <c:pt idx="1">
                  <c:v>0.25</c:v>
                </c:pt>
              </c:numCache>
              <c:extLst/>
            </c:numRef>
          </c:val>
          <c:extLst>
            <c:ext xmlns:c16="http://schemas.microsoft.com/office/drawing/2014/chart" uri="{C3380CC4-5D6E-409C-BE32-E72D297353CC}">
              <c16:uniqueId val="{00000002-2404-422B-A3FE-A8B03D384DD9}"/>
            </c:ext>
          </c:extLst>
        </c:ser>
        <c:ser>
          <c:idx val="4"/>
          <c:order val="4"/>
          <c:tx>
            <c:strRef>
              <c:f>'individual-business'!$G$2</c:f>
              <c:strCache>
                <c:ptCount val="1"/>
                <c:pt idx="0">
                  <c:v>90%</c:v>
                </c:pt>
              </c:strCache>
            </c:strRef>
          </c:tx>
          <c:spPr>
            <a:solidFill>
              <a:srgbClr val="D73D39"/>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'individual-business'!$B$3:$B$46</c:f>
              <c:strCache>
                <c:ptCount val="2"/>
                <c:pt idx="0">
                  <c:v>Activity</c:v>
                </c:pt>
                <c:pt idx="1">
                  <c:v>Outputs</c:v>
                </c:pt>
              </c:strCache>
              <c:extLst/>
            </c:strRef>
          </c:cat>
          <c:val>
            <c:numRef>
              <c:f>'individual-business'!$G$3:$G$46</c:f>
              <c:numCache>
                <c:formatCode>General</c:formatCode>
                <c:ptCount val="2"/>
              </c:numCache>
              <c:extLst/>
            </c:numRef>
          </c:val>
          <c:extLst>
            <c:ext xmlns:c16="http://schemas.microsoft.com/office/drawing/2014/chart" uri="{C3380CC4-5D6E-409C-BE32-E72D297353CC}">
              <c16:uniqueId val="{00000003-2404-422B-A3FE-A8B03D384DD9}"/>
            </c:ext>
          </c:extLst>
        </c:ser>
        <c:ser>
          <c:idx val="5"/>
          <c:order val="5"/>
          <c:tx>
            <c:strRef>
              <c:f>'individual-business'!$H$2</c:f>
              <c:strCache>
                <c:ptCount val="1"/>
                <c:pt idx="0">
                  <c:v>75%</c:v>
                </c:pt>
              </c:strCache>
            </c:strRef>
          </c:tx>
          <c:spPr>
            <a:solidFill>
              <a:srgbClr val="DC535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'individual-business'!$B$3:$B$46</c:f>
              <c:strCache>
                <c:ptCount val="2"/>
                <c:pt idx="0">
                  <c:v>Activity</c:v>
                </c:pt>
                <c:pt idx="1">
                  <c:v>Outputs</c:v>
                </c:pt>
              </c:strCache>
              <c:extLst/>
            </c:strRef>
          </c:cat>
          <c:val>
            <c:numRef>
              <c:f>'individual-business'!$H$3:$H$46</c:f>
              <c:numCache>
                <c:formatCode>General</c:formatCode>
                <c:ptCount val="2"/>
              </c:numCache>
              <c:extLst/>
            </c:numRef>
          </c:val>
          <c:extLst>
            <c:ext xmlns:c16="http://schemas.microsoft.com/office/drawing/2014/chart" uri="{C3380CC4-5D6E-409C-BE32-E72D297353CC}">
              <c16:uniqueId val="{00000004-2404-422B-A3FE-A8B03D384DD9}"/>
            </c:ext>
          </c:extLst>
        </c:ser>
        <c:ser>
          <c:idx val="6"/>
          <c:order val="6"/>
          <c:tx>
            <c:strRef>
              <c:f>'individual-business'!$I$2</c:f>
              <c:strCache>
                <c:ptCount val="1"/>
                <c:pt idx="0">
                  <c:v>50%</c:v>
                </c:pt>
              </c:strCache>
            </c:strRef>
          </c:tx>
          <c:spPr>
            <a:solidFill>
              <a:srgbClr val="EBA19F"/>
            </a:solidFill>
            <a:ln>
              <a:noFill/>
            </a:ln>
            <a:effectLst/>
          </c:spPr>
          <c:invertIfNegative val="0"/>
          <c:dLbls>
            <c:dLbl>
              <c:idx val="0"/>
              <c:layout>
                <c:manualLayout>
                  <c:x val="-0.16755624421872317"/>
                  <c:y val="0"/>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2404-422B-A3FE-A8B03D384DD9}"/>
                </c:ext>
              </c:extLst>
            </c:dLbl>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'individual-business'!$B$3:$B$46</c:f>
              <c:strCache>
                <c:ptCount val="2"/>
                <c:pt idx="0">
                  <c:v>Activity</c:v>
                </c:pt>
                <c:pt idx="1">
                  <c:v>Outputs</c:v>
                </c:pt>
              </c:strCache>
              <c:extLst/>
            </c:strRef>
          </c:cat>
          <c:val>
            <c:numRef>
              <c:f>'individual-business'!$I$3:$I$46</c:f>
              <c:numCache>
                <c:formatCode>General</c:formatCode>
                <c:ptCount val="2"/>
              </c:numCache>
              <c:extLst/>
            </c:numRef>
          </c:val>
          <c:extLst>
            <c:ext xmlns:c16="http://schemas.microsoft.com/office/drawing/2014/chart" uri="{C3380CC4-5D6E-409C-BE32-E72D297353CC}">
              <c16:uniqueId val="{00000006-2404-422B-A3FE-A8B03D384DD9}"/>
            </c:ext>
          </c:extLst>
        </c:ser>
        <c:ser>
          <c:idx val="7"/>
          <c:order val="7"/>
          <c:tx>
            <c:strRef>
              <c:f>'individual-business'!$J$2</c:f>
              <c:strCache>
                <c:ptCount val="1"/>
                <c:pt idx="0">
                  <c:v>25%</c:v>
                </c:pt>
              </c:strCache>
            </c:strRef>
          </c:tx>
          <c:spPr>
            <a:solidFill>
              <a:srgbClr val="F3C6C5"/>
            </a:solidFill>
            <a:ln>
              <a:noFill/>
            </a:ln>
            <a:effectLst/>
          </c:spPr>
          <c:invertIfNegative val="0"/>
          <c:dLbls>
            <c:dLbl>
              <c:idx val="0"/>
              <c:layout>
                <c:manualLayout>
                  <c:x val="2.1989338835127912E-6"/>
                  <c:y val="-2.5204788909892879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2404-422B-A3FE-A8B03D384DD9}"/>
                </c:ext>
              </c:extLst>
            </c:dLbl>
            <c:dLbl>
              <c:idx val="1"/>
              <c:layout>
                <c:manualLayout>
                  <c:x val="2.5654228640627024E-6"/>
                  <c:y val="-3.2766225582860742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2404-422B-A3FE-A8B03D384DD9}"/>
                </c:ext>
              </c:extLst>
            </c:dLbl>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'individual-business'!$B$3:$B$46</c:f>
              <c:strCache>
                <c:ptCount val="2"/>
                <c:pt idx="0">
                  <c:v>Activity</c:v>
                </c:pt>
                <c:pt idx="1">
                  <c:v>Outputs</c:v>
                </c:pt>
              </c:strCache>
              <c:extLst/>
            </c:strRef>
          </c:cat>
          <c:val>
            <c:numRef>
              <c:f>'individual-business'!$J$3:$J$46</c:f>
              <c:numCache>
                <c:formatCode>0%</c:formatCode>
                <c:ptCount val="2"/>
                <c:pt idx="0">
                  <c:v>0.5</c:v>
                </c:pt>
                <c:pt idx="1">
                  <c:v>0.5</c:v>
                </c:pt>
              </c:numCache>
              <c:extLst/>
            </c:numRef>
          </c:val>
          <c:extLst>
            <c:ext xmlns:c16="http://schemas.microsoft.com/office/drawing/2014/chart" uri="{C3380CC4-5D6E-409C-BE32-E72D297353CC}">
              <c16:uniqueId val="{00000009-2404-422B-A3FE-A8B03D384DD9}"/>
            </c:ext>
          </c:extLst>
        </c:ser>
        <c:ser>
          <c:idx val="8"/>
          <c:order val="8"/>
          <c:tx>
            <c:strRef>
              <c:f>'individual-business'!$K$2</c:f>
              <c:strCache>
                <c:ptCount val="1"/>
                <c:pt idx="0">
                  <c:v>10%</c:v>
                </c:pt>
              </c:strCache>
            </c:strRef>
          </c:tx>
          <c:spPr>
            <a:solidFill>
              <a:schemeClr val="accent2">
                <a:tint val="56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'individual-business'!$B$3:$B$46</c:f>
              <c:strCache>
                <c:ptCount val="2"/>
                <c:pt idx="0">
                  <c:v>Activity</c:v>
                </c:pt>
                <c:pt idx="1">
                  <c:v>Outputs</c:v>
                </c:pt>
              </c:strCache>
              <c:extLst/>
            </c:strRef>
          </c:cat>
          <c:val>
            <c:numRef>
              <c:f>'individual-business'!$K$3:$K$46</c:f>
              <c:numCache>
                <c:formatCode>General</c:formatCode>
                <c:ptCount val="2"/>
              </c:numCache>
              <c:extLst/>
            </c:numRef>
          </c:val>
          <c:extLst>
            <c:ext xmlns:c16="http://schemas.microsoft.com/office/drawing/2014/chart" uri="{C3380CC4-5D6E-409C-BE32-E72D297353CC}">
              <c16:uniqueId val="{0000000A-2404-422B-A3FE-A8B03D384DD9}"/>
            </c:ext>
          </c:extLst>
        </c:ser>
        <c:ser>
          <c:idx val="9"/>
          <c:order val="9"/>
          <c:tx>
            <c:strRef>
              <c:f>'individual-business'!$L$2</c:f>
              <c:strCache>
                <c:ptCount val="1"/>
                <c:pt idx="0">
                  <c:v>Not Started</c:v>
                </c:pt>
              </c:strCache>
            </c:strRef>
          </c:tx>
          <c:spPr>
            <a:solidFill>
              <a:srgbClr val="FCF2F2"/>
            </a:solidFill>
            <a:ln>
              <a:noFill/>
            </a:ln>
            <a:effectLst/>
          </c:spPr>
          <c:invertIfNegative val="0"/>
          <c:dLbls>
            <c:dLbl>
              <c:idx val="0"/>
              <c:layout>
                <c:manualLayout>
                  <c:x val="-9.3066211731678752E-3"/>
                  <c:y val="-5.0409577819785761E-3"/>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2404-422B-A3FE-A8B03D384DD9}"/>
                </c:ext>
              </c:extLst>
            </c:dLbl>
            <c:dLbl>
              <c:idx val="1"/>
              <c:layout>
                <c:manualLayout>
                  <c:x val="2.1989338835554563E-6"/>
                  <c:y val="5.0409577819785761E-3"/>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2404-422B-A3FE-A8B03D384DD9}"/>
                </c:ext>
              </c:extLst>
            </c:dLbl>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'individual-business'!$B$3:$B$46</c:f>
              <c:strCache>
                <c:ptCount val="2"/>
                <c:pt idx="0">
                  <c:v>Activity</c:v>
                </c:pt>
                <c:pt idx="1">
                  <c:v>Outputs</c:v>
                </c:pt>
              </c:strCache>
              <c:extLst/>
            </c:strRef>
          </c:cat>
          <c:val>
            <c:numRef>
              <c:f>'individual-business'!$L$3:$L$46</c:f>
              <c:numCache>
                <c:formatCode>0%</c:formatCode>
                <c:ptCount val="2"/>
                <c:pt idx="0">
                  <c:v>0.25</c:v>
                </c:pt>
                <c:pt idx="1">
                  <c:v>0.25</c:v>
                </c:pt>
              </c:numCache>
              <c:extLst/>
            </c:numRef>
          </c:val>
          <c:extLst>
            <c:ext xmlns:c16="http://schemas.microsoft.com/office/drawing/2014/chart" uri="{C3380CC4-5D6E-409C-BE32-E72D297353CC}">
              <c16:uniqueId val="{0000000D-2404-422B-A3FE-A8B03D384DD9}"/>
            </c:ext>
          </c:extLst>
        </c:ser>
        <c:dLbls>
          <c:dLblPos val="ctr"/>
          <c:showLegendKey val="0"/>
          <c:showVal val="1"/>
          <c:showCatName val="0"/>
          <c:showSerName val="0"/>
          <c:showPercent val="0"/>
          <c:showBubbleSize val="0"/>
        </c:dLbls>
        <c:gapWidth val="150"/>
        <c:overlap val="100"/>
        <c:axId val="790958128"/>
        <c:axId val="790961408"/>
        <c:extLst>
          <c:ext xmlns:c15="http://schemas.microsoft.com/office/drawing/2012/chart" uri="{02D57815-91ED-43cb-92C2-25804820EDAC}">
            <c15:filteredBarSeries>
              <c15:ser>
                <c:idx val="0"/>
                <c:order val="0"/>
                <c:tx>
                  <c:strRef>
                    <c:extLst>
                      <c:ext uri="{02D57815-91ED-43cb-92C2-25804820EDAC}">
                        <c15:formulaRef>
                          <c15:sqref>'individual-business'!$C$2</c15:sqref>
                        </c15:formulaRef>
                      </c:ext>
                    </c:extLst>
                    <c:strCache>
                      <c:ptCount val="1"/>
                      <c:pt idx="0">
                        <c:v>Completed</c:v>
                      </c:pt>
                    </c:strCache>
                  </c:strRef>
                </c:tx>
                <c:spPr>
                  <a:solidFill>
                    <a:schemeClr val="accent2">
                      <a:shade val="42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c:ext uri="{02D57815-91ED-43cb-92C2-25804820EDAC}">
                        <c15:formulaRef>
                          <c15:sqref>'individual-business'!$B$3:$B$46</c15:sqref>
                        </c15:formulaRef>
                      </c:ext>
                    </c:extLst>
                    <c:strCache>
                      <c:ptCount val="2"/>
                      <c:pt idx="0">
                        <c:v>Activity</c:v>
                      </c:pt>
                      <c:pt idx="1">
                        <c:v>Outputs</c:v>
                      </c:pt>
                    </c:strCache>
                  </c:strRef>
                </c:cat>
                <c:val>
                  <c:numRef>
                    <c:extLst>
                      <c:ext uri="{02D57815-91ED-43cb-92C2-25804820EDAC}">
                        <c15:formulaRef>
                          <c15:sqref>'individual-business'!$C$3:$C$46</c15:sqref>
                        </c15:formulaRef>
                      </c:ext>
                    </c:extLst>
                    <c:numCache>
                      <c:formatCode>0%</c:formatCode>
                      <c:ptCount val="2"/>
                      <c:pt idx="0">
                        <c:v>0.25</c:v>
                      </c:pt>
                      <c:pt idx="1">
                        <c:v>0.25</c:v>
                      </c:pt>
                    </c:numCache>
                  </c:numRef>
                </c:val>
                <c:extLst>
                  <c:ext xmlns:c16="http://schemas.microsoft.com/office/drawing/2014/chart" uri="{C3380CC4-5D6E-409C-BE32-E72D297353CC}">
                    <c16:uniqueId val="{0000000E-2404-422B-A3FE-A8B03D384DD9}"/>
                  </c:ext>
                </c:extLst>
              </c15:ser>
            </c15:filteredBarSeries>
            <c15:filteredBarSeries>
              <c15:ser>
                <c:idx val="1"/>
                <c:order val="1"/>
                <c:tx>
                  <c:strRef>
                    <c:extLst xmlns:c15="http://schemas.microsoft.com/office/drawing/2012/chart">
                      <c:ext xmlns:c15="http://schemas.microsoft.com/office/drawing/2012/chart" uri="{02D57815-91ED-43cb-92C2-25804820EDAC}">
                        <c15:formulaRef>
                          <c15:sqref>'individual-business'!$D$2</c15:sqref>
                        </c15:formulaRef>
                      </c:ext>
                    </c:extLst>
                    <c:strCache>
                      <c:ptCount val="1"/>
                      <c:pt idx="0">
                        <c:v>In progress</c:v>
                      </c:pt>
                    </c:strCache>
                  </c:strRef>
                </c:tx>
                <c:spPr>
                  <a:solidFill>
                    <a:schemeClr val="accent2">
                      <a:shade val="5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'individual-business'!$B$3:$B$46</c15:sqref>
                        </c15:formulaRef>
                      </c:ext>
                    </c:extLst>
                    <c:strCache>
                      <c:ptCount val="2"/>
                      <c:pt idx="0">
                        <c:v>Activity</c:v>
                      </c:pt>
                      <c:pt idx="1">
                        <c:v>Outputs</c:v>
                      </c:pt>
                    </c:strCache>
                  </c:strRef>
                </c:cat>
                <c:val>
                  <c:numRef>
                    <c:extLst xmlns:c15="http://schemas.microsoft.com/office/drawing/2012/chart">
                      <c:ext xmlns:c15="http://schemas.microsoft.com/office/drawing/2012/chart" uri="{02D57815-91ED-43cb-92C2-25804820EDAC}">
                        <c15:formulaRef>
                          <c15:sqref>'individual-business'!$D$3:$D$46</c15:sqref>
                        </c15:formulaRef>
                      </c:ext>
                    </c:extLst>
                    <c:numCache>
                      <c:formatCode>0%</c:formatCode>
                      <c:ptCount val="2"/>
                      <c:pt idx="0">
                        <c:v>0.5</c:v>
                      </c:pt>
                      <c:pt idx="1">
                        <c:v>0.5</c:v>
                      </c:pt>
                    </c:numCache>
                  </c:numRef>
                </c:val>
                <c:extLst xmlns:c15="http://schemas.microsoft.com/office/drawing/2012/chart">
                  <c:ext xmlns:c16="http://schemas.microsoft.com/office/drawing/2014/chart" uri="{C3380CC4-5D6E-409C-BE32-E72D297353CC}">
                    <c16:uniqueId val="{0000000F-2404-422B-A3FE-A8B03D384DD9}"/>
                  </c:ext>
                </c:extLst>
              </c15:ser>
            </c15:filteredBarSeries>
            <c15:filteredBarSeries>
              <c15:ser>
                <c:idx val="2"/>
                <c:order val="2"/>
                <c:tx>
                  <c:strRef>
                    <c:extLst xmlns:c15="http://schemas.microsoft.com/office/drawing/2012/chart">
                      <c:ext xmlns:c15="http://schemas.microsoft.com/office/drawing/2012/chart" uri="{02D57815-91ED-43cb-92C2-25804820EDAC}">
                        <c15:formulaRef>
                          <c15:sqref>'individual-business'!$E$2</c15:sqref>
                        </c15:formulaRef>
                      </c:ext>
                    </c:extLst>
                    <c:strCache>
                      <c:ptCount val="1"/>
                      <c:pt idx="0">
                        <c:v>Not started</c:v>
                      </c:pt>
                    </c:strCache>
                  </c:strRef>
                </c:tx>
                <c:spPr>
                  <a:solidFill>
                    <a:schemeClr val="accent2">
                      <a:shade val="68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'individual-business'!$B$3:$B$46</c15:sqref>
                        </c15:formulaRef>
                      </c:ext>
                    </c:extLst>
                    <c:strCache>
                      <c:ptCount val="2"/>
                      <c:pt idx="0">
                        <c:v>Activity</c:v>
                      </c:pt>
                      <c:pt idx="1">
                        <c:v>Outputs</c:v>
                      </c:pt>
                    </c:strCache>
                  </c:strRef>
                </c:cat>
                <c:val>
                  <c:numRef>
                    <c:extLst xmlns:c15="http://schemas.microsoft.com/office/drawing/2012/chart">
                      <c:ext xmlns:c15="http://schemas.microsoft.com/office/drawing/2012/chart" uri="{02D57815-91ED-43cb-92C2-25804820EDAC}">
                        <c15:formulaRef>
                          <c15:sqref>'individual-business'!$E$3:$E$46</c15:sqref>
                        </c15:formulaRef>
                      </c:ext>
                    </c:extLst>
                    <c:numCache>
                      <c:formatCode>0%</c:formatCode>
                      <c:ptCount val="2"/>
                      <c:pt idx="0">
                        <c:v>0.25</c:v>
                      </c:pt>
                      <c:pt idx="1">
                        <c:v>0.25</c:v>
                      </c:pt>
                    </c:numCache>
                  </c:numRef>
                </c:val>
                <c:extLst xmlns:c15="http://schemas.microsoft.com/office/drawing/2012/chart">
                  <c:ext xmlns:c16="http://schemas.microsoft.com/office/drawing/2014/chart" uri="{C3380CC4-5D6E-409C-BE32-E72D297353CC}">
                    <c16:uniqueId val="{00000010-2404-422B-A3FE-A8B03D384DD9}"/>
                  </c:ext>
                </c:extLst>
              </c15:ser>
            </c15:filteredBarSeries>
          </c:ext>
        </c:extLst>
      </c:barChart>
      <c:catAx>
        <c:axId val="7909581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n-US"/>
          </a:p>
        </c:txPr>
        <c:crossAx val="790961408"/>
        <c:crosses val="autoZero"/>
        <c:auto val="1"/>
        <c:lblAlgn val="ctr"/>
        <c:lblOffset val="100"/>
        <c:noMultiLvlLbl val="0"/>
      </c:catAx>
      <c:valAx>
        <c:axId val="790961408"/>
        <c:scaling>
          <c:orientation val="minMax"/>
          <c:min val="0"/>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90958128"/>
        <c:crossesAt val="1"/>
        <c:crossBetween val="between"/>
      </c:valAx>
      <c:spPr>
        <a:noFill/>
        <a:ln>
          <a:noFill/>
        </a:ln>
        <a:effectLst/>
      </c:spPr>
    </c:plotArea>
    <c:legend>
      <c:legendPos val="t"/>
      <c:layout>
        <c:manualLayout>
          <c:xMode val="edge"/>
          <c:yMode val="edge"/>
          <c:x val="0.16878354491402861"/>
          <c:y val="0.14071530758226036"/>
          <c:w val="0.78488188976377948"/>
          <c:h val="8.3691663005643596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userShapes r:id="rId5"/>
</c:chartSpace>
</file>

<file path=word/charts/chart10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4"/>
    </mc:Choice>
    <mc:Fallback>
      <c:style val="4"/>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Topic Area - </a:t>
            </a:r>
            <a:r>
              <a:rPr lang="en-US" sz="1400" b="0" i="0" u="none" strike="noStrike" baseline="0">
                <a:effectLst/>
              </a:rPr>
              <a:t>Business Engagement</a:t>
            </a:r>
            <a:r>
              <a:rPr lang="en-US"/>
              <a:t>  Activity Unique</a:t>
            </a:r>
          </a:p>
        </c:rich>
      </c:tx>
      <c:layout>
        <c:manualLayout>
          <c:xMode val="edge"/>
          <c:yMode val="edge"/>
          <c:x val="0.20401584330345343"/>
          <c:y val="0"/>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6017916604892113"/>
          <c:y val="0.23265365094271845"/>
          <c:w val="0.78942722632790041"/>
          <c:h val="0.66602748393145406"/>
        </c:manualLayout>
      </c:layout>
      <c:barChart>
        <c:barDir val="col"/>
        <c:grouping val="percentStacked"/>
        <c:varyColors val="0"/>
        <c:ser>
          <c:idx val="3"/>
          <c:order val="3"/>
          <c:tx>
            <c:strRef>
              <c:f>'individual-business'!$F$2</c:f>
              <c:strCache>
                <c:ptCount val="1"/>
                <c:pt idx="0">
                  <c:v>Completed</c:v>
                </c:pt>
              </c:strCache>
            </c:strRef>
          </c:tx>
          <c:spPr>
            <a:solidFill>
              <a:srgbClr val="99221F"/>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800" b="0"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'individual-business'!$B$3:$B$46</c:f>
              <c:strCache>
                <c:ptCount val="2"/>
                <c:pt idx="0">
                  <c:v>Activity</c:v>
                </c:pt>
                <c:pt idx="1">
                  <c:v>Outputs</c:v>
                </c:pt>
              </c:strCache>
              <c:extLst/>
            </c:strRef>
          </c:cat>
          <c:val>
            <c:numRef>
              <c:f>'individual-business'!$F$3:$F$46</c:f>
              <c:numCache>
                <c:formatCode>General</c:formatCode>
                <c:ptCount val="2"/>
              </c:numCache>
              <c:extLst/>
            </c:numRef>
          </c:val>
          <c:extLst>
            <c:ext xmlns:c16="http://schemas.microsoft.com/office/drawing/2014/chart" uri="{C3380CC4-5D6E-409C-BE32-E72D297353CC}">
              <c16:uniqueId val="{00000000-CD75-41D2-A019-C50CE44A2443}"/>
            </c:ext>
          </c:extLst>
        </c:ser>
        <c:ser>
          <c:idx val="4"/>
          <c:order val="4"/>
          <c:tx>
            <c:strRef>
              <c:f>'individual-business'!$G$2</c:f>
              <c:strCache>
                <c:ptCount val="1"/>
                <c:pt idx="0">
                  <c:v>90%</c:v>
                </c:pt>
              </c:strCache>
            </c:strRef>
          </c:tx>
          <c:spPr>
            <a:solidFill>
              <a:srgbClr val="D73D39"/>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'individual-business'!$B$3:$B$46</c:f>
              <c:strCache>
                <c:ptCount val="2"/>
                <c:pt idx="0">
                  <c:v>Activity</c:v>
                </c:pt>
                <c:pt idx="1">
                  <c:v>Outputs</c:v>
                </c:pt>
              </c:strCache>
              <c:extLst/>
            </c:strRef>
          </c:cat>
          <c:val>
            <c:numRef>
              <c:f>'individual-business'!$G$3:$G$46</c:f>
              <c:numCache>
                <c:formatCode>General</c:formatCode>
                <c:ptCount val="2"/>
              </c:numCache>
              <c:extLst/>
            </c:numRef>
          </c:val>
          <c:extLst>
            <c:ext xmlns:c16="http://schemas.microsoft.com/office/drawing/2014/chart" uri="{C3380CC4-5D6E-409C-BE32-E72D297353CC}">
              <c16:uniqueId val="{00000001-CD75-41D2-A019-C50CE44A2443}"/>
            </c:ext>
          </c:extLst>
        </c:ser>
        <c:ser>
          <c:idx val="5"/>
          <c:order val="5"/>
          <c:tx>
            <c:strRef>
              <c:f>'individual-business'!$H$2</c:f>
              <c:strCache>
                <c:ptCount val="1"/>
                <c:pt idx="0">
                  <c:v>75%</c:v>
                </c:pt>
              </c:strCache>
            </c:strRef>
          </c:tx>
          <c:spPr>
            <a:solidFill>
              <a:srgbClr val="DC535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'individual-business'!$B$3:$B$46</c:f>
              <c:strCache>
                <c:ptCount val="2"/>
                <c:pt idx="0">
                  <c:v>Activity</c:v>
                </c:pt>
                <c:pt idx="1">
                  <c:v>Outputs</c:v>
                </c:pt>
              </c:strCache>
              <c:extLst/>
            </c:strRef>
          </c:cat>
          <c:val>
            <c:numRef>
              <c:f>'individual-business'!$H$3:$H$46</c:f>
              <c:numCache>
                <c:formatCode>General</c:formatCode>
                <c:ptCount val="2"/>
              </c:numCache>
              <c:extLst/>
            </c:numRef>
          </c:val>
          <c:extLst>
            <c:ext xmlns:c16="http://schemas.microsoft.com/office/drawing/2014/chart" uri="{C3380CC4-5D6E-409C-BE32-E72D297353CC}">
              <c16:uniqueId val="{00000002-CD75-41D2-A019-C50CE44A2443}"/>
            </c:ext>
          </c:extLst>
        </c:ser>
        <c:ser>
          <c:idx val="6"/>
          <c:order val="6"/>
          <c:tx>
            <c:strRef>
              <c:f>'individual-business'!$I$2</c:f>
              <c:strCache>
                <c:ptCount val="1"/>
                <c:pt idx="0">
                  <c:v>50%</c:v>
                </c:pt>
              </c:strCache>
            </c:strRef>
          </c:tx>
          <c:spPr>
            <a:solidFill>
              <a:srgbClr val="EBA19F"/>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'individual-business'!$B$3:$B$46</c:f>
              <c:strCache>
                <c:ptCount val="2"/>
                <c:pt idx="0">
                  <c:v>Activity</c:v>
                </c:pt>
                <c:pt idx="1">
                  <c:v>Outputs</c:v>
                </c:pt>
              </c:strCache>
              <c:extLst/>
            </c:strRef>
          </c:cat>
          <c:val>
            <c:numRef>
              <c:f>'individual-business'!$I$3:$I$46</c:f>
              <c:numCache>
                <c:formatCode>General</c:formatCode>
                <c:ptCount val="2"/>
              </c:numCache>
              <c:extLst/>
            </c:numRef>
          </c:val>
          <c:extLst>
            <c:ext xmlns:c16="http://schemas.microsoft.com/office/drawing/2014/chart" uri="{C3380CC4-5D6E-409C-BE32-E72D297353CC}">
              <c16:uniqueId val="{00000003-CD75-41D2-A019-C50CE44A2443}"/>
            </c:ext>
          </c:extLst>
        </c:ser>
        <c:ser>
          <c:idx val="7"/>
          <c:order val="7"/>
          <c:tx>
            <c:strRef>
              <c:f>'individual-business'!$J$2</c:f>
              <c:strCache>
                <c:ptCount val="1"/>
                <c:pt idx="0">
                  <c:v>25%</c:v>
                </c:pt>
              </c:strCache>
            </c:strRef>
          </c:tx>
          <c:spPr>
            <a:solidFill>
              <a:srgbClr val="F3C6C5"/>
            </a:solidFill>
            <a:ln>
              <a:noFill/>
            </a:ln>
            <a:effectLst/>
          </c:spPr>
          <c:invertIfNegative val="0"/>
          <c:dLbls>
            <c:dLbl>
              <c:idx val="0"/>
              <c:layout>
                <c:manualLayout>
                  <c:x val="-4.6522111196421597E-3"/>
                  <c:y val="-5.040957781978668E-3"/>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CD75-41D2-A019-C50CE44A2443}"/>
                </c:ext>
              </c:extLst>
            </c:dLbl>
            <c:dLbl>
              <c:idx val="1"/>
              <c:layout>
                <c:manualLayout>
                  <c:x val="-4.6518446306615677E-3"/>
                  <c:y val="-7.5614366729678641E-3"/>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CD75-41D2-A019-C50CE44A2443}"/>
                </c:ext>
              </c:extLst>
            </c:dLbl>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'individual-business'!$B$3:$B$46</c:f>
              <c:strCache>
                <c:ptCount val="2"/>
                <c:pt idx="0">
                  <c:v>Activity</c:v>
                </c:pt>
                <c:pt idx="1">
                  <c:v>Outputs</c:v>
                </c:pt>
              </c:strCache>
              <c:extLst/>
            </c:strRef>
          </c:cat>
          <c:val>
            <c:numRef>
              <c:f>'individual-business'!$J$3:$J$46</c:f>
              <c:numCache>
                <c:formatCode>0%</c:formatCode>
                <c:ptCount val="2"/>
                <c:pt idx="0">
                  <c:v>1</c:v>
                </c:pt>
                <c:pt idx="1">
                  <c:v>1</c:v>
                </c:pt>
              </c:numCache>
              <c:extLst/>
            </c:numRef>
          </c:val>
          <c:extLst>
            <c:ext xmlns:c16="http://schemas.microsoft.com/office/drawing/2014/chart" uri="{C3380CC4-5D6E-409C-BE32-E72D297353CC}">
              <c16:uniqueId val="{00000006-CD75-41D2-A019-C50CE44A2443}"/>
            </c:ext>
          </c:extLst>
        </c:ser>
        <c:ser>
          <c:idx val="8"/>
          <c:order val="8"/>
          <c:tx>
            <c:strRef>
              <c:f>'individual-business'!$K$2</c:f>
              <c:strCache>
                <c:ptCount val="1"/>
                <c:pt idx="0">
                  <c:v>10%</c:v>
                </c:pt>
              </c:strCache>
            </c:strRef>
          </c:tx>
          <c:spPr>
            <a:solidFill>
              <a:schemeClr val="accent2">
                <a:tint val="56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'individual-business'!$B$3:$B$46</c:f>
              <c:strCache>
                <c:ptCount val="2"/>
                <c:pt idx="0">
                  <c:v>Activity</c:v>
                </c:pt>
                <c:pt idx="1">
                  <c:v>Outputs</c:v>
                </c:pt>
              </c:strCache>
              <c:extLst/>
            </c:strRef>
          </c:cat>
          <c:val>
            <c:numRef>
              <c:f>'individual-business'!$K$3:$K$46</c:f>
              <c:numCache>
                <c:formatCode>General</c:formatCode>
                <c:ptCount val="2"/>
              </c:numCache>
              <c:extLst/>
            </c:numRef>
          </c:val>
          <c:extLst>
            <c:ext xmlns:c16="http://schemas.microsoft.com/office/drawing/2014/chart" uri="{C3380CC4-5D6E-409C-BE32-E72D297353CC}">
              <c16:uniqueId val="{00000007-CD75-41D2-A019-C50CE44A2443}"/>
            </c:ext>
          </c:extLst>
        </c:ser>
        <c:ser>
          <c:idx val="9"/>
          <c:order val="9"/>
          <c:tx>
            <c:strRef>
              <c:f>'individual-business'!$L$2</c:f>
              <c:strCache>
                <c:ptCount val="1"/>
                <c:pt idx="0">
                  <c:v>Not Started</c:v>
                </c:pt>
              </c:strCache>
            </c:strRef>
          </c:tx>
          <c:spPr>
            <a:solidFill>
              <a:srgbClr val="FCF2F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'individual-business'!$B$3:$B$46</c:f>
              <c:strCache>
                <c:ptCount val="2"/>
                <c:pt idx="0">
                  <c:v>Activity</c:v>
                </c:pt>
                <c:pt idx="1">
                  <c:v>Outputs</c:v>
                </c:pt>
              </c:strCache>
              <c:extLst/>
            </c:strRef>
          </c:cat>
          <c:val>
            <c:numRef>
              <c:f>'individual-business'!$L$3:$L$46</c:f>
              <c:numCache>
                <c:formatCode>General</c:formatCode>
                <c:ptCount val="2"/>
              </c:numCache>
              <c:extLst/>
            </c:numRef>
          </c:val>
          <c:extLst>
            <c:ext xmlns:c16="http://schemas.microsoft.com/office/drawing/2014/chart" uri="{C3380CC4-5D6E-409C-BE32-E72D297353CC}">
              <c16:uniqueId val="{00000008-CD75-41D2-A019-C50CE44A2443}"/>
            </c:ext>
          </c:extLst>
        </c:ser>
        <c:dLbls>
          <c:dLblPos val="ctr"/>
          <c:showLegendKey val="0"/>
          <c:showVal val="1"/>
          <c:showCatName val="0"/>
          <c:showSerName val="0"/>
          <c:showPercent val="0"/>
          <c:showBubbleSize val="0"/>
        </c:dLbls>
        <c:gapWidth val="150"/>
        <c:overlap val="100"/>
        <c:axId val="790958128"/>
        <c:axId val="790961408"/>
        <c:extLst>
          <c:ext xmlns:c15="http://schemas.microsoft.com/office/drawing/2012/chart" uri="{02D57815-91ED-43cb-92C2-25804820EDAC}">
            <c15:filteredBarSeries>
              <c15:ser>
                <c:idx val="0"/>
                <c:order val="0"/>
                <c:tx>
                  <c:strRef>
                    <c:extLst>
                      <c:ext uri="{02D57815-91ED-43cb-92C2-25804820EDAC}">
                        <c15:formulaRef>
                          <c15:sqref>'individual-business'!$C$2</c15:sqref>
                        </c15:formulaRef>
                      </c:ext>
                    </c:extLst>
                    <c:strCache>
                      <c:ptCount val="1"/>
                      <c:pt idx="0">
                        <c:v>Completed</c:v>
                      </c:pt>
                    </c:strCache>
                  </c:strRef>
                </c:tx>
                <c:spPr>
                  <a:solidFill>
                    <a:schemeClr val="accent2">
                      <a:shade val="42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c:ext uri="{02D57815-91ED-43cb-92C2-25804820EDAC}">
                        <c15:formulaRef>
                          <c15:sqref>'individual-business'!$B$3:$B$46</c15:sqref>
                        </c15:formulaRef>
                      </c:ext>
                    </c:extLst>
                    <c:strCache>
                      <c:ptCount val="2"/>
                      <c:pt idx="0">
                        <c:v>Activity</c:v>
                      </c:pt>
                      <c:pt idx="1">
                        <c:v>Outputs</c:v>
                      </c:pt>
                    </c:strCache>
                  </c:strRef>
                </c:cat>
                <c:val>
                  <c:numRef>
                    <c:extLst>
                      <c:ext uri="{02D57815-91ED-43cb-92C2-25804820EDAC}">
                        <c15:formulaRef>
                          <c15:sqref>'individual-business'!$C$3:$C$46</c15:sqref>
                        </c15:formulaRef>
                      </c:ext>
                    </c:extLst>
                    <c:numCache>
                      <c:formatCode>General</c:formatCode>
                      <c:ptCount val="2"/>
                    </c:numCache>
                  </c:numRef>
                </c:val>
                <c:extLst>
                  <c:ext xmlns:c16="http://schemas.microsoft.com/office/drawing/2014/chart" uri="{C3380CC4-5D6E-409C-BE32-E72D297353CC}">
                    <c16:uniqueId val="{00000009-CD75-41D2-A019-C50CE44A2443}"/>
                  </c:ext>
                </c:extLst>
              </c15:ser>
            </c15:filteredBarSeries>
            <c15:filteredBarSeries>
              <c15:ser>
                <c:idx val="1"/>
                <c:order val="1"/>
                <c:tx>
                  <c:strRef>
                    <c:extLst xmlns:c15="http://schemas.microsoft.com/office/drawing/2012/chart">
                      <c:ext xmlns:c15="http://schemas.microsoft.com/office/drawing/2012/chart" uri="{02D57815-91ED-43cb-92C2-25804820EDAC}">
                        <c15:formulaRef>
                          <c15:sqref>'individual-business'!$D$2</c15:sqref>
                        </c15:formulaRef>
                      </c:ext>
                    </c:extLst>
                    <c:strCache>
                      <c:ptCount val="1"/>
                      <c:pt idx="0">
                        <c:v>In progress</c:v>
                      </c:pt>
                    </c:strCache>
                  </c:strRef>
                </c:tx>
                <c:spPr>
                  <a:solidFill>
                    <a:schemeClr val="accent2">
                      <a:shade val="5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'individual-business'!$B$3:$B$46</c15:sqref>
                        </c15:formulaRef>
                      </c:ext>
                    </c:extLst>
                    <c:strCache>
                      <c:ptCount val="2"/>
                      <c:pt idx="0">
                        <c:v>Activity</c:v>
                      </c:pt>
                      <c:pt idx="1">
                        <c:v>Outputs</c:v>
                      </c:pt>
                    </c:strCache>
                  </c:strRef>
                </c:cat>
                <c:val>
                  <c:numRef>
                    <c:extLst xmlns:c15="http://schemas.microsoft.com/office/drawing/2012/chart">
                      <c:ext xmlns:c15="http://schemas.microsoft.com/office/drawing/2012/chart" uri="{02D57815-91ED-43cb-92C2-25804820EDAC}">
                        <c15:formulaRef>
                          <c15:sqref>'individual-business'!$D$3:$D$46</c15:sqref>
                        </c15:formulaRef>
                      </c:ext>
                    </c:extLst>
                    <c:numCache>
                      <c:formatCode>0%</c:formatCode>
                      <c:ptCount val="2"/>
                      <c:pt idx="0">
                        <c:v>1</c:v>
                      </c:pt>
                      <c:pt idx="1">
                        <c:v>1</c:v>
                      </c:pt>
                    </c:numCache>
                  </c:numRef>
                </c:val>
                <c:extLst xmlns:c15="http://schemas.microsoft.com/office/drawing/2012/chart">
                  <c:ext xmlns:c16="http://schemas.microsoft.com/office/drawing/2014/chart" uri="{C3380CC4-5D6E-409C-BE32-E72D297353CC}">
                    <c16:uniqueId val="{0000000A-CD75-41D2-A019-C50CE44A2443}"/>
                  </c:ext>
                </c:extLst>
              </c15:ser>
            </c15:filteredBarSeries>
            <c15:filteredBarSeries>
              <c15:ser>
                <c:idx val="2"/>
                <c:order val="2"/>
                <c:tx>
                  <c:strRef>
                    <c:extLst xmlns:c15="http://schemas.microsoft.com/office/drawing/2012/chart">
                      <c:ext xmlns:c15="http://schemas.microsoft.com/office/drawing/2012/chart" uri="{02D57815-91ED-43cb-92C2-25804820EDAC}">
                        <c15:formulaRef>
                          <c15:sqref>'individual-business'!$E$2</c15:sqref>
                        </c15:formulaRef>
                      </c:ext>
                    </c:extLst>
                    <c:strCache>
                      <c:ptCount val="1"/>
                      <c:pt idx="0">
                        <c:v>Not started</c:v>
                      </c:pt>
                    </c:strCache>
                  </c:strRef>
                </c:tx>
                <c:spPr>
                  <a:solidFill>
                    <a:schemeClr val="accent2">
                      <a:shade val="68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'individual-business'!$B$3:$B$46</c15:sqref>
                        </c15:formulaRef>
                      </c:ext>
                    </c:extLst>
                    <c:strCache>
                      <c:ptCount val="2"/>
                      <c:pt idx="0">
                        <c:v>Activity</c:v>
                      </c:pt>
                      <c:pt idx="1">
                        <c:v>Outputs</c:v>
                      </c:pt>
                    </c:strCache>
                  </c:strRef>
                </c:cat>
                <c:val>
                  <c:numRef>
                    <c:extLst xmlns:c15="http://schemas.microsoft.com/office/drawing/2012/chart">
                      <c:ext xmlns:c15="http://schemas.microsoft.com/office/drawing/2012/chart" uri="{02D57815-91ED-43cb-92C2-25804820EDAC}">
                        <c15:formulaRef>
                          <c15:sqref>'individual-business'!$E$3:$E$46</c15:sqref>
                        </c15:formulaRef>
                      </c:ext>
                    </c:extLst>
                    <c:numCache>
                      <c:formatCode>General</c:formatCode>
                      <c:ptCount val="2"/>
                    </c:numCache>
                  </c:numRef>
                </c:val>
                <c:extLst xmlns:c15="http://schemas.microsoft.com/office/drawing/2012/chart">
                  <c:ext xmlns:c16="http://schemas.microsoft.com/office/drawing/2014/chart" uri="{C3380CC4-5D6E-409C-BE32-E72D297353CC}">
                    <c16:uniqueId val="{0000000B-CD75-41D2-A019-C50CE44A2443}"/>
                  </c:ext>
                </c:extLst>
              </c15:ser>
            </c15:filteredBarSeries>
          </c:ext>
        </c:extLst>
      </c:barChart>
      <c:catAx>
        <c:axId val="7909581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n-US"/>
          </a:p>
        </c:txPr>
        <c:crossAx val="790961408"/>
        <c:crosses val="autoZero"/>
        <c:auto val="1"/>
        <c:lblAlgn val="ctr"/>
        <c:lblOffset val="100"/>
        <c:noMultiLvlLbl val="0"/>
      </c:catAx>
      <c:valAx>
        <c:axId val="790961408"/>
        <c:scaling>
          <c:orientation val="minMax"/>
          <c:min val="0"/>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90958128"/>
        <c:crossesAt val="1"/>
        <c:crossBetween val="between"/>
      </c:valAx>
      <c:spPr>
        <a:noFill/>
        <a:ln>
          <a:noFill/>
        </a:ln>
        <a:effectLst/>
      </c:spPr>
    </c:plotArea>
    <c:legend>
      <c:legendPos val="t"/>
      <c:layout>
        <c:manualLayout>
          <c:xMode val="edge"/>
          <c:yMode val="edge"/>
          <c:x val="0.16878354491402861"/>
          <c:y val="0.14071530758226036"/>
          <c:w val="0.78488188976377948"/>
          <c:h val="8.3691663005643596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userShapes r:id="rId5"/>
</c:chartSpace>
</file>

<file path=word/charts/chart10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all" spc="120" normalizeH="0" baseline="0">
                <a:solidFill>
                  <a:schemeClr val="tx1">
                    <a:lumMod val="65000"/>
                    <a:lumOff val="35000"/>
                  </a:schemeClr>
                </a:solidFill>
                <a:latin typeface="+mn-lt"/>
                <a:ea typeface="+mn-ea"/>
                <a:cs typeface="+mn-cs"/>
              </a:defRPr>
            </a:pPr>
            <a:r>
              <a:rPr lang="en-US"/>
              <a:t>Progress </a:t>
            </a:r>
            <a:r>
              <a:rPr lang="en-US" sz="1600" b="1" i="0" u="none" strike="noStrike" cap="all" normalizeH="0" baseline="0">
                <a:effectLst/>
              </a:rPr>
              <a:t>Apprenticeships Activities </a:t>
            </a:r>
            <a:endParaRPr lang="en-US"/>
          </a:p>
        </c:rich>
      </c:tx>
      <c:overlay val="0"/>
      <c:spPr>
        <a:noFill/>
        <a:ln>
          <a:noFill/>
        </a:ln>
        <a:effectLst/>
      </c:spPr>
      <c:txPr>
        <a:bodyPr rot="0" spcFirstLastPara="1" vertOverflow="ellipsis" vert="horz" wrap="square" anchor="ctr" anchorCtr="1"/>
        <a:lstStyle/>
        <a:p>
          <a:pPr>
            <a:defRPr sz="1600" b="1" i="0" u="none" strike="noStrike" kern="1200" cap="all" spc="120" normalizeH="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3.3720388225764973E-2"/>
          <c:y val="0.14584098852712488"/>
          <c:w val="0.94109226599161167"/>
          <c:h val="0.62853727315905772"/>
        </c:manualLayout>
      </c:layout>
      <c:barChart>
        <c:barDir val="bar"/>
        <c:grouping val="stacked"/>
        <c:varyColors val="0"/>
        <c:ser>
          <c:idx val="2"/>
          <c:order val="2"/>
          <c:tx>
            <c:strRef>
              <c:f>'activities-percent-completed'!$D$3</c:f>
              <c:strCache>
                <c:ptCount val="1"/>
                <c:pt idx="0">
                  <c:v>Completed</c:v>
                </c:pt>
              </c:strCache>
            </c:strRef>
          </c:tx>
          <c:spPr>
            <a:solidFill>
              <a:srgbClr val="B22724"/>
            </a:solidFill>
            <a:ln>
              <a:noFill/>
            </a:ln>
            <a:effectLst/>
          </c:spPr>
          <c:invertIfNegative val="0"/>
          <c:dLbls>
            <c:dLbl>
              <c:idx val="0"/>
              <c:layout>
                <c:manualLayout>
                  <c:x val="4.7057219355560358E-3"/>
                  <c:y val="0.237285057728219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7B7E-42BB-A461-9F37095E0BEB}"/>
                </c:ext>
              </c:extLst>
            </c:dLbl>
            <c:spPr>
              <a:noFill/>
              <a:ln>
                <a:noFill/>
              </a:ln>
              <a:effectLst/>
            </c:spPr>
            <c:txPr>
              <a:bodyPr rot="0" spcFirstLastPara="1" vertOverflow="ellipsis" vert="horz" wrap="square" lIns="38100" tIns="19050" rIns="38100" bIns="19050" anchor="ctr" anchorCtr="1">
                <a:spAutoFit/>
              </a:bodyPr>
              <a:lstStyle/>
              <a:p>
                <a:pPr>
                  <a:defRPr sz="16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'activities-percent-completed'!$A$4:$A$15</c:f>
              <c:strCache>
                <c:ptCount val="1"/>
                <c:pt idx="0">
                  <c:v>Apprenticeships</c:v>
                </c:pt>
              </c:strCache>
              <c:extLst/>
            </c:strRef>
          </c:cat>
          <c:val>
            <c:numRef>
              <c:f>'activities-percent-completed'!$D$4:$D$15</c:f>
              <c:numCache>
                <c:formatCode>0%</c:formatCode>
                <c:ptCount val="1"/>
                <c:pt idx="0">
                  <c:v>0.4</c:v>
                </c:pt>
              </c:numCache>
              <c:extLst/>
            </c:numRef>
          </c:val>
          <c:extLst>
            <c:ext xmlns:c16="http://schemas.microsoft.com/office/drawing/2014/chart" uri="{C3380CC4-5D6E-409C-BE32-E72D297353CC}">
              <c16:uniqueId val="{00000001-7B7E-42BB-A461-9F37095E0BEB}"/>
            </c:ext>
          </c:extLst>
        </c:ser>
        <c:ser>
          <c:idx val="3"/>
          <c:order val="3"/>
          <c:tx>
            <c:strRef>
              <c:f>'activities-percent-completed'!$E$3</c:f>
              <c:strCache>
                <c:ptCount val="1"/>
                <c:pt idx="0">
                  <c:v>90%</c:v>
                </c:pt>
              </c:strCache>
            </c:strRef>
          </c:tx>
          <c:spPr>
            <a:solidFill>
              <a:schemeClr val="accent4"/>
            </a:solidFill>
            <a:ln>
              <a:noFill/>
            </a:ln>
            <a:effectLst/>
          </c:spPr>
          <c:invertIfNegative val="0"/>
          <c:dLbls>
            <c:delete val="1"/>
          </c:dLbls>
          <c:cat>
            <c:strRef>
              <c:f>'activities-percent-completed'!$A$4:$A$15</c:f>
              <c:strCache>
                <c:ptCount val="1"/>
                <c:pt idx="0">
                  <c:v>Apprenticeships</c:v>
                </c:pt>
              </c:strCache>
              <c:extLst/>
            </c:strRef>
          </c:cat>
          <c:val>
            <c:numRef>
              <c:f>'activities-percent-completed'!$E$4:$E$15</c:f>
              <c:numCache>
                <c:formatCode>0%</c:formatCode>
                <c:ptCount val="1"/>
                <c:pt idx="0">
                  <c:v>0</c:v>
                </c:pt>
              </c:numCache>
              <c:extLst/>
            </c:numRef>
          </c:val>
          <c:extLst>
            <c:ext xmlns:c16="http://schemas.microsoft.com/office/drawing/2014/chart" uri="{C3380CC4-5D6E-409C-BE32-E72D297353CC}">
              <c16:uniqueId val="{00000002-7B7E-42BB-A461-9F37095E0BEB}"/>
            </c:ext>
          </c:extLst>
        </c:ser>
        <c:ser>
          <c:idx val="4"/>
          <c:order val="4"/>
          <c:tx>
            <c:strRef>
              <c:f>'activities-percent-completed'!$F$3</c:f>
              <c:strCache>
                <c:ptCount val="1"/>
                <c:pt idx="0">
                  <c:v>75%</c:v>
                </c:pt>
              </c:strCache>
            </c:strRef>
          </c:tx>
          <c:spPr>
            <a:solidFill>
              <a:srgbClr val="FFFF66"/>
            </a:solidFill>
            <a:ln>
              <a:noFill/>
            </a:ln>
            <a:effectLst/>
          </c:spPr>
          <c:invertIfNegative val="0"/>
          <c:dLbls>
            <c:dLbl>
              <c:idx val="0"/>
              <c:layout>
                <c:manualLayout>
                  <c:x val="-3.1371479570373763E-3"/>
                  <c:y val="0.2372850577282192"/>
                </c:manualLayout>
              </c:layout>
              <c:spPr>
                <a:solidFill>
                  <a:sysClr val="window" lastClr="FFFFFF"/>
                </a:solidFill>
                <a:ln>
                  <a:noFill/>
                </a:ln>
                <a:effectLst/>
              </c:spPr>
              <c:txPr>
                <a:bodyPr rot="0" spcFirstLastPara="1" vertOverflow="ellipsis" vert="horz" wrap="square" lIns="38100" tIns="19050" rIns="38100" bIns="19050" anchor="ctr" anchorCtr="1">
                  <a:spAutoFit/>
                </a:bodyPr>
                <a:lstStyle/>
                <a:p>
                  <a:pPr>
                    <a:defRPr sz="16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7B7E-42BB-A461-9F37095E0BEB}"/>
                </c:ext>
              </c:extLst>
            </c:dLbl>
            <c:spPr>
              <a:solidFill>
                <a:srgbClr val="FFFF66"/>
              </a:solidFill>
              <a:ln>
                <a:noFill/>
              </a:ln>
              <a:effectLst/>
            </c:spPr>
            <c:txPr>
              <a:bodyPr rot="0" spcFirstLastPara="1" vertOverflow="ellipsis" vert="horz" wrap="square" lIns="38100" tIns="19050" rIns="38100" bIns="19050" anchor="ctr" anchorCtr="1">
                <a:spAutoFit/>
              </a:bodyPr>
              <a:lstStyle/>
              <a:p>
                <a:pPr>
                  <a:defRPr sz="14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'activities-percent-completed'!$A$4:$A$15</c:f>
              <c:strCache>
                <c:ptCount val="1"/>
                <c:pt idx="0">
                  <c:v>Apprenticeships</c:v>
                </c:pt>
              </c:strCache>
              <c:extLst/>
            </c:strRef>
          </c:cat>
          <c:val>
            <c:numRef>
              <c:f>'activities-percent-completed'!$F$4:$F$15</c:f>
              <c:numCache>
                <c:formatCode>0%</c:formatCode>
                <c:ptCount val="1"/>
                <c:pt idx="0">
                  <c:v>0.6</c:v>
                </c:pt>
              </c:numCache>
              <c:extLst/>
            </c:numRef>
          </c:val>
          <c:extLst>
            <c:ext xmlns:c16="http://schemas.microsoft.com/office/drawing/2014/chart" uri="{C3380CC4-5D6E-409C-BE32-E72D297353CC}">
              <c16:uniqueId val="{00000004-7B7E-42BB-A461-9F37095E0BEB}"/>
            </c:ext>
          </c:extLst>
        </c:ser>
        <c:ser>
          <c:idx val="5"/>
          <c:order val="5"/>
          <c:tx>
            <c:strRef>
              <c:f>'activities-percent-completed'!$G$3</c:f>
              <c:strCache>
                <c:ptCount val="1"/>
                <c:pt idx="0">
                  <c:v>50%</c:v>
                </c:pt>
              </c:strCache>
            </c:strRef>
          </c:tx>
          <c:spPr>
            <a:solidFill>
              <a:schemeClr val="accent6"/>
            </a:solidFill>
            <a:ln>
              <a:noFill/>
            </a:ln>
            <a:effectLst/>
          </c:spPr>
          <c:invertIfNegative val="0"/>
          <c:dLbls>
            <c:delete val="1"/>
          </c:dLbls>
          <c:cat>
            <c:strRef>
              <c:f>'activities-percent-completed'!$A$4:$A$15</c:f>
              <c:strCache>
                <c:ptCount val="1"/>
                <c:pt idx="0">
                  <c:v>Apprenticeships</c:v>
                </c:pt>
              </c:strCache>
              <c:extLst/>
            </c:strRef>
          </c:cat>
          <c:val>
            <c:numRef>
              <c:f>'activities-percent-completed'!$G$4:$G$15</c:f>
              <c:numCache>
                <c:formatCode>0%</c:formatCode>
                <c:ptCount val="1"/>
                <c:pt idx="0">
                  <c:v>0</c:v>
                </c:pt>
              </c:numCache>
              <c:extLst/>
            </c:numRef>
          </c:val>
          <c:extLst>
            <c:ext xmlns:c16="http://schemas.microsoft.com/office/drawing/2014/chart" uri="{C3380CC4-5D6E-409C-BE32-E72D297353CC}">
              <c16:uniqueId val="{00000005-7B7E-42BB-A461-9F37095E0BEB}"/>
            </c:ext>
          </c:extLst>
        </c:ser>
        <c:ser>
          <c:idx val="6"/>
          <c:order val="6"/>
          <c:tx>
            <c:strRef>
              <c:f>'activities-percent-completed'!$H$3</c:f>
              <c:strCache>
                <c:ptCount val="1"/>
                <c:pt idx="0">
                  <c:v>25%</c:v>
                </c:pt>
              </c:strCache>
            </c:strRef>
          </c:tx>
          <c:spPr>
            <a:solidFill>
              <a:srgbClr val="15FFFF"/>
            </a:solidFill>
            <a:ln>
              <a:noFill/>
            </a:ln>
            <a:effectLst/>
          </c:spPr>
          <c:invertIfNegative val="0"/>
          <c:dLbls>
            <c:delete val="1"/>
          </c:dLbls>
          <c:cat>
            <c:strRef>
              <c:f>'activities-percent-completed'!$A$4:$A$15</c:f>
              <c:strCache>
                <c:ptCount val="1"/>
                <c:pt idx="0">
                  <c:v>Apprenticeships</c:v>
                </c:pt>
              </c:strCache>
              <c:extLst/>
            </c:strRef>
          </c:cat>
          <c:val>
            <c:numRef>
              <c:f>'activities-percent-completed'!$H$4:$H$15</c:f>
              <c:numCache>
                <c:formatCode>0%</c:formatCode>
                <c:ptCount val="1"/>
                <c:pt idx="0">
                  <c:v>0</c:v>
                </c:pt>
              </c:numCache>
              <c:extLst/>
            </c:numRef>
          </c:val>
          <c:extLst>
            <c:ext xmlns:c16="http://schemas.microsoft.com/office/drawing/2014/chart" uri="{C3380CC4-5D6E-409C-BE32-E72D297353CC}">
              <c16:uniqueId val="{00000006-7B7E-42BB-A461-9F37095E0BEB}"/>
            </c:ext>
          </c:extLst>
        </c:ser>
        <c:ser>
          <c:idx val="7"/>
          <c:order val="7"/>
          <c:tx>
            <c:strRef>
              <c:f>'activities-percent-completed'!$I$3</c:f>
              <c:strCache>
                <c:ptCount val="1"/>
                <c:pt idx="0">
                  <c:v>10%</c:v>
                </c:pt>
              </c:strCache>
            </c:strRef>
          </c:tx>
          <c:spPr>
            <a:solidFill>
              <a:srgbClr val="3399FF"/>
            </a:solidFill>
            <a:ln>
              <a:noFill/>
            </a:ln>
            <a:effectLst/>
          </c:spPr>
          <c:invertIfNegative val="0"/>
          <c:dLbls>
            <c:delete val="1"/>
          </c:dLbls>
          <c:cat>
            <c:strRef>
              <c:f>'activities-percent-completed'!$A$4:$A$15</c:f>
              <c:strCache>
                <c:ptCount val="1"/>
                <c:pt idx="0">
                  <c:v>Apprenticeships</c:v>
                </c:pt>
              </c:strCache>
              <c:extLst/>
            </c:strRef>
          </c:cat>
          <c:val>
            <c:numRef>
              <c:f>'activities-percent-completed'!$I$4:$I$15</c:f>
              <c:numCache>
                <c:formatCode>0%</c:formatCode>
                <c:ptCount val="1"/>
                <c:pt idx="0">
                  <c:v>0</c:v>
                </c:pt>
              </c:numCache>
              <c:extLst/>
            </c:numRef>
          </c:val>
          <c:extLst xmlns:c15="http://schemas.microsoft.com/office/drawing/2012/chart">
            <c:ext xmlns:c16="http://schemas.microsoft.com/office/drawing/2014/chart" uri="{C3380CC4-5D6E-409C-BE32-E72D297353CC}">
              <c16:uniqueId val="{00000007-7B7E-42BB-A461-9F37095E0BEB}"/>
            </c:ext>
          </c:extLst>
        </c:ser>
        <c:ser>
          <c:idx val="8"/>
          <c:order val="8"/>
          <c:tx>
            <c:strRef>
              <c:f>'activities-percent-completed'!$J$3</c:f>
              <c:strCache>
                <c:ptCount val="1"/>
                <c:pt idx="0">
                  <c:v>Not started</c:v>
                </c:pt>
              </c:strCache>
            </c:strRef>
          </c:tx>
          <c:spPr>
            <a:solidFill>
              <a:srgbClr val="7030A0"/>
            </a:solidFill>
            <a:ln>
              <a:noFill/>
            </a:ln>
            <a:effectLst/>
          </c:spPr>
          <c:invertIfNegative val="0"/>
          <c:dLbls>
            <c:delete val="1"/>
          </c:dLbls>
          <c:cat>
            <c:strRef>
              <c:f>'activities-percent-completed'!$A$4:$A$15</c:f>
              <c:strCache>
                <c:ptCount val="1"/>
                <c:pt idx="0">
                  <c:v>Apprenticeships</c:v>
                </c:pt>
              </c:strCache>
              <c:extLst/>
            </c:strRef>
          </c:cat>
          <c:val>
            <c:numRef>
              <c:f>'activities-percent-completed'!$J$4:$J$15</c:f>
              <c:numCache>
                <c:formatCode>0%</c:formatCode>
                <c:ptCount val="1"/>
                <c:pt idx="0">
                  <c:v>0</c:v>
                </c:pt>
              </c:numCache>
              <c:extLst/>
            </c:numRef>
          </c:val>
          <c:extLst xmlns:c15="http://schemas.microsoft.com/office/drawing/2012/chart">
            <c:ext xmlns:c16="http://schemas.microsoft.com/office/drawing/2014/chart" uri="{C3380CC4-5D6E-409C-BE32-E72D297353CC}">
              <c16:uniqueId val="{00000008-7B7E-42BB-A461-9F37095E0BEB}"/>
            </c:ext>
          </c:extLst>
        </c:ser>
        <c:dLbls>
          <c:dLblPos val="ctr"/>
          <c:showLegendKey val="0"/>
          <c:showVal val="1"/>
          <c:showCatName val="0"/>
          <c:showSerName val="0"/>
          <c:showPercent val="0"/>
          <c:showBubbleSize val="0"/>
        </c:dLbls>
        <c:gapWidth val="79"/>
        <c:overlap val="100"/>
        <c:axId val="610520992"/>
        <c:axId val="610522632"/>
        <c:extLst>
          <c:ext xmlns:c15="http://schemas.microsoft.com/office/drawing/2012/chart" uri="{02D57815-91ED-43cb-92C2-25804820EDAC}">
            <c15:filteredBarSeries>
              <c15:ser>
                <c:idx val="0"/>
                <c:order val="0"/>
                <c:tx>
                  <c:strRef>
                    <c:extLst>
                      <c:ext uri="{02D57815-91ED-43cb-92C2-25804820EDAC}">
                        <c15:formulaRef>
                          <c15:sqref>'activities-percent-completed'!$B$3</c15:sqref>
                        </c15:formulaRef>
                      </c:ext>
                    </c:extLst>
                    <c:strCache>
                      <c:ptCount val="1"/>
                      <c:pt idx="0">
                        <c:v># of Total Activities</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showLeaderLines val="0"/>
                  <c:extLst>
                    <c:ext uri="{CE6537A1-D6FC-4f65-9D91-7224C49458BB}">
                      <c15:showLeaderLines val="1"/>
                      <c15:leaderLines>
                        <c:spPr>
                          <a:ln w="9525">
                            <a:solidFill>
                              <a:schemeClr val="tx1">
                                <a:lumMod val="35000"/>
                                <a:lumOff val="65000"/>
                              </a:schemeClr>
                            </a:solidFill>
                          </a:ln>
                          <a:effectLst/>
                        </c:spPr>
                      </c15:leaderLines>
                    </c:ext>
                  </c:extLst>
                </c:dLbls>
                <c:cat>
                  <c:strRef>
                    <c:extLst>
                      <c:ext uri="{02D57815-91ED-43cb-92C2-25804820EDAC}">
                        <c15:formulaRef>
                          <c15:sqref>'activities-percent-completed'!$A$4:$A$15</c15:sqref>
                        </c15:formulaRef>
                      </c:ext>
                    </c:extLst>
                    <c:strCache>
                      <c:ptCount val="1"/>
                      <c:pt idx="0">
                        <c:v>Apprenticeships</c:v>
                      </c:pt>
                    </c:strCache>
                  </c:strRef>
                </c:cat>
                <c:val>
                  <c:numRef>
                    <c:extLst>
                      <c:ext uri="{02D57815-91ED-43cb-92C2-25804820EDAC}">
                        <c15:formulaRef>
                          <c15:sqref>'activities-percent-completed'!$B$4:$B$15</c15:sqref>
                        </c15:formulaRef>
                      </c:ext>
                    </c:extLst>
                    <c:numCache>
                      <c:formatCode>0</c:formatCode>
                      <c:ptCount val="1"/>
                      <c:pt idx="0">
                        <c:v>5</c:v>
                      </c:pt>
                    </c:numCache>
                  </c:numRef>
                </c:val>
                <c:extLst>
                  <c:ext xmlns:c16="http://schemas.microsoft.com/office/drawing/2014/chart" uri="{C3380CC4-5D6E-409C-BE32-E72D297353CC}">
                    <c16:uniqueId val="{00000009-7B7E-42BB-A461-9F37095E0BEB}"/>
                  </c:ext>
                </c:extLst>
              </c15:ser>
            </c15:filteredBarSeries>
            <c15:filteredBarSeries>
              <c15:ser>
                <c:idx val="1"/>
                <c:order val="1"/>
                <c:tx>
                  <c:strRef>
                    <c:extLst xmlns:c15="http://schemas.microsoft.com/office/drawing/2012/chart">
                      <c:ext xmlns:c15="http://schemas.microsoft.com/office/drawing/2012/chart" uri="{02D57815-91ED-43cb-92C2-25804820EDAC}">
                        <c15:formulaRef>
                          <c15:sqref>'activities-percent-completed'!$C$3</c15:sqref>
                        </c15:formulaRef>
                      </c:ext>
                    </c:extLst>
                    <c:strCache>
                      <c:ptCount val="1"/>
                      <c:pt idx="0">
                        <c:v>Average Progress on Activities (%)</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extLst xmlns:c15="http://schemas.microsoft.com/office/drawing/2012/chart">
                      <c:ext xmlns:c15="http://schemas.microsoft.com/office/drawing/2012/chart" uri="{02D57815-91ED-43cb-92C2-25804820EDAC}">
                        <c15:formulaRef>
                          <c15:sqref>'activities-percent-completed'!$A$4:$A$15</c15:sqref>
                        </c15:formulaRef>
                      </c:ext>
                    </c:extLst>
                    <c:strCache>
                      <c:ptCount val="1"/>
                      <c:pt idx="0">
                        <c:v>Apprenticeships</c:v>
                      </c:pt>
                    </c:strCache>
                  </c:strRef>
                </c:cat>
                <c:val>
                  <c:numRef>
                    <c:extLst xmlns:c15="http://schemas.microsoft.com/office/drawing/2012/chart">
                      <c:ext xmlns:c15="http://schemas.microsoft.com/office/drawing/2012/chart" uri="{02D57815-91ED-43cb-92C2-25804820EDAC}">
                        <c15:formulaRef>
                          <c15:sqref>'activities-percent-completed'!$C$4:$C$15</c15:sqref>
                        </c15:formulaRef>
                      </c:ext>
                    </c:extLst>
                    <c:numCache>
                      <c:formatCode>0%</c:formatCode>
                      <c:ptCount val="1"/>
                      <c:pt idx="0">
                        <c:v>0.85</c:v>
                      </c:pt>
                    </c:numCache>
                  </c:numRef>
                </c:val>
                <c:extLst xmlns:c15="http://schemas.microsoft.com/office/drawing/2012/chart">
                  <c:ext xmlns:c16="http://schemas.microsoft.com/office/drawing/2014/chart" uri="{C3380CC4-5D6E-409C-BE32-E72D297353CC}">
                    <c16:uniqueId val="{0000000A-7B7E-42BB-A461-9F37095E0BEB}"/>
                  </c:ext>
                </c:extLst>
              </c15:ser>
            </c15:filteredBarSeries>
            <c15:filteredBarSeries>
              <c15:ser>
                <c:idx val="9"/>
                <c:order val="9"/>
                <c:tx>
                  <c:strRef>
                    <c:extLst xmlns:c15="http://schemas.microsoft.com/office/drawing/2012/chart">
                      <c:ext xmlns:c15="http://schemas.microsoft.com/office/drawing/2012/chart" uri="{02D57815-91ED-43cb-92C2-25804820EDAC}">
                        <c15:formulaRef>
                          <c15:sqref>'activities-percent-completed'!$K$3</c15:sqref>
                        </c15:formulaRef>
                      </c:ext>
                    </c:extLst>
                    <c:strCache>
                      <c:ptCount val="1"/>
                      <c:pt idx="0">
                        <c:v>In Progress</c:v>
                      </c:pt>
                    </c:strCache>
                  </c:strRef>
                </c:tx>
                <c:spPr>
                  <a:solidFill>
                    <a:schemeClr val="accent4">
                      <a:lumMod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en-US"/>
                    </a:p>
                  </c:txPr>
                  <c:dLblPos val="ct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extLst xmlns:c15="http://schemas.microsoft.com/office/drawing/2012/chart">
                      <c:ext xmlns:c15="http://schemas.microsoft.com/office/drawing/2012/chart" uri="{02D57815-91ED-43cb-92C2-25804820EDAC}">
                        <c15:formulaRef>
                          <c15:sqref>'activities-percent-completed'!$A$4:$A$15</c15:sqref>
                        </c15:formulaRef>
                      </c:ext>
                    </c:extLst>
                    <c:strCache>
                      <c:ptCount val="1"/>
                      <c:pt idx="0">
                        <c:v>Apprenticeships</c:v>
                      </c:pt>
                    </c:strCache>
                  </c:strRef>
                </c:cat>
                <c:val>
                  <c:numRef>
                    <c:extLst xmlns:c15="http://schemas.microsoft.com/office/drawing/2012/chart">
                      <c:ext xmlns:c15="http://schemas.microsoft.com/office/drawing/2012/chart" uri="{02D57815-91ED-43cb-92C2-25804820EDAC}">
                        <c15:formulaRef>
                          <c15:sqref>'activities-percent-completed'!$K$4:$K$15</c15:sqref>
                        </c15:formulaRef>
                      </c:ext>
                    </c:extLst>
                    <c:numCache>
                      <c:formatCode>0%</c:formatCode>
                      <c:ptCount val="1"/>
                      <c:pt idx="0">
                        <c:v>0.6</c:v>
                      </c:pt>
                    </c:numCache>
                  </c:numRef>
                </c:val>
                <c:extLst xmlns:c15="http://schemas.microsoft.com/office/drawing/2012/chart">
                  <c:ext xmlns:c16="http://schemas.microsoft.com/office/drawing/2014/chart" uri="{C3380CC4-5D6E-409C-BE32-E72D297353CC}">
                    <c16:uniqueId val="{0000000B-7B7E-42BB-A461-9F37095E0BEB}"/>
                  </c:ext>
                </c:extLst>
              </c15:ser>
            </c15:filteredBarSeries>
          </c:ext>
        </c:extLst>
      </c:barChart>
      <c:catAx>
        <c:axId val="610520992"/>
        <c:scaling>
          <c:orientation val="minMax"/>
        </c:scaling>
        <c:delete val="1"/>
        <c:axPos val="l"/>
        <c:majorGridlines>
          <c:spPr>
            <a:ln w="9525" cap="flat" cmpd="sng" algn="ctr">
              <a:solidFill>
                <a:schemeClr val="tx1">
                  <a:lumMod val="15000"/>
                  <a:lumOff val="85000"/>
                </a:schemeClr>
              </a:solidFill>
              <a:round/>
            </a:ln>
            <a:effectLst/>
          </c:spPr>
        </c:majorGridlines>
        <c:minorGridlines>
          <c:spPr>
            <a:ln>
              <a:solidFill>
                <a:schemeClr val="tx1">
                  <a:lumMod val="5000"/>
                  <a:lumOff val="95000"/>
                </a:schemeClr>
              </a:solidFill>
            </a:ln>
            <a:effectLst/>
          </c:spPr>
        </c:minorGridlines>
        <c:numFmt formatCode="General" sourceLinked="1"/>
        <c:majorTickMark val="out"/>
        <c:minorTickMark val="none"/>
        <c:tickLblPos val="nextTo"/>
        <c:crossAx val="610522632"/>
        <c:crosses val="autoZero"/>
        <c:auto val="1"/>
        <c:lblAlgn val="ctr"/>
        <c:lblOffset val="100"/>
        <c:noMultiLvlLbl val="0"/>
      </c:catAx>
      <c:valAx>
        <c:axId val="610522632"/>
        <c:scaling>
          <c:orientation val="minMax"/>
          <c:max val="1"/>
        </c:scaling>
        <c:delete val="0"/>
        <c:axPos val="b"/>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10520992"/>
        <c:crosses val="autoZero"/>
        <c:crossBetween val="between"/>
      </c:valAx>
      <c:spPr>
        <a:noFill/>
        <a:ln>
          <a:noFill/>
        </a:ln>
        <a:effectLst/>
      </c:spPr>
    </c:plotArea>
    <c:legend>
      <c:legendPos val="t"/>
      <c:layout>
        <c:manualLayout>
          <c:xMode val="edge"/>
          <c:yMode val="edge"/>
          <c:x val="0.16330256634587342"/>
          <c:y val="0.88928425603226235"/>
          <c:w val="0.57483332975155021"/>
          <c:h val="8.5354113285177044E-2"/>
        </c:manualLayout>
      </c:layout>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0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4"/>
    </mc:Choice>
    <mc:Fallback>
      <c:style val="4"/>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Topic Area - Apprenticeships Activity #1</a:t>
            </a:r>
          </a:p>
        </c:rich>
      </c:tx>
      <c:layout>
        <c:manualLayout>
          <c:xMode val="edge"/>
          <c:yMode val="edge"/>
          <c:x val="0.15852625564661557"/>
          <c:y val="1.4306151645207439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6017916604892113"/>
          <c:y val="0.23265365094271845"/>
          <c:w val="0.78942722632790041"/>
          <c:h val="0.66602748393145406"/>
        </c:manualLayout>
      </c:layout>
      <c:barChart>
        <c:barDir val="col"/>
        <c:grouping val="percentStacked"/>
        <c:varyColors val="0"/>
        <c:ser>
          <c:idx val="3"/>
          <c:order val="3"/>
          <c:tx>
            <c:strRef>
              <c:f>'individual-chart-apprenticeship'!$F$2</c:f>
              <c:strCache>
                <c:ptCount val="1"/>
                <c:pt idx="0">
                  <c:v>Completed</c:v>
                </c:pt>
              </c:strCache>
            </c:strRef>
          </c:tx>
          <c:spPr>
            <a:solidFill>
              <a:srgbClr val="99221F"/>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800" b="0"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'individual-chart-apprenticeship'!$B$3:$B$10</c:f>
              <c:strCache>
                <c:ptCount val="2"/>
                <c:pt idx="0">
                  <c:v>Activity</c:v>
                </c:pt>
                <c:pt idx="1">
                  <c:v>Outputs</c:v>
                </c:pt>
              </c:strCache>
              <c:extLst/>
            </c:strRef>
          </c:cat>
          <c:val>
            <c:numRef>
              <c:f>'individual-chart-apprenticeship'!$F$3:$F$10</c:f>
              <c:numCache>
                <c:formatCode>0%</c:formatCode>
                <c:ptCount val="2"/>
                <c:pt idx="0">
                  <c:v>0.66666666666666663</c:v>
                </c:pt>
                <c:pt idx="1">
                  <c:v>0.66666666666666663</c:v>
                </c:pt>
              </c:numCache>
              <c:extLst/>
            </c:numRef>
          </c:val>
          <c:extLst>
            <c:ext xmlns:c16="http://schemas.microsoft.com/office/drawing/2014/chart" uri="{C3380CC4-5D6E-409C-BE32-E72D297353CC}">
              <c16:uniqueId val="{00000000-96B0-419F-A200-6A1B4B57477E}"/>
            </c:ext>
          </c:extLst>
        </c:ser>
        <c:ser>
          <c:idx val="4"/>
          <c:order val="4"/>
          <c:tx>
            <c:strRef>
              <c:f>'individual-chart-apprenticeship'!$G$2</c:f>
              <c:strCache>
                <c:ptCount val="1"/>
                <c:pt idx="0">
                  <c:v>90%</c:v>
                </c:pt>
              </c:strCache>
            </c:strRef>
          </c:tx>
          <c:spPr>
            <a:solidFill>
              <a:srgbClr val="D73D39"/>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'individual-chart-apprenticeship'!$B$3:$B$10</c:f>
              <c:strCache>
                <c:ptCount val="2"/>
                <c:pt idx="0">
                  <c:v>Activity</c:v>
                </c:pt>
                <c:pt idx="1">
                  <c:v>Outputs</c:v>
                </c:pt>
              </c:strCache>
              <c:extLst/>
            </c:strRef>
          </c:cat>
          <c:val>
            <c:numRef>
              <c:f>'individual-chart-apprenticeship'!$G$3:$G$10</c:f>
              <c:numCache>
                <c:formatCode>General</c:formatCode>
                <c:ptCount val="2"/>
              </c:numCache>
              <c:extLst/>
            </c:numRef>
          </c:val>
          <c:extLst>
            <c:ext xmlns:c16="http://schemas.microsoft.com/office/drawing/2014/chart" uri="{C3380CC4-5D6E-409C-BE32-E72D297353CC}">
              <c16:uniqueId val="{00000001-96B0-419F-A200-6A1B4B57477E}"/>
            </c:ext>
          </c:extLst>
        </c:ser>
        <c:ser>
          <c:idx val="5"/>
          <c:order val="5"/>
          <c:tx>
            <c:strRef>
              <c:f>'individual-chart-apprenticeship'!$H$2</c:f>
              <c:strCache>
                <c:ptCount val="1"/>
                <c:pt idx="0">
                  <c:v>75%</c:v>
                </c:pt>
              </c:strCache>
            </c:strRef>
          </c:tx>
          <c:spPr>
            <a:solidFill>
              <a:srgbClr val="DC5350"/>
            </a:solidFill>
            <a:ln>
              <a:noFill/>
            </a:ln>
            <a:effectLst/>
          </c:spPr>
          <c:invertIfNegative val="0"/>
          <c:dLbls>
            <c:dLbl>
              <c:idx val="0"/>
              <c:layout>
                <c:manualLayout>
                  <c:x val="1.7090698057647253E-2"/>
                  <c:y val="-1.9524682347316271E-3"/>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96B0-419F-A200-6A1B4B57477E}"/>
                </c:ext>
              </c:extLst>
            </c:dLbl>
            <c:dLbl>
              <c:idx val="1"/>
              <c:layout>
                <c:manualLayout>
                  <c:x val="-5.593846947475431E-3"/>
                  <c:y val="-5.8311644641062667E-7"/>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96B0-419F-A200-6A1B4B57477E}"/>
                </c:ext>
              </c:extLst>
            </c:dLbl>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ysClr val="windowText" lastClr="000000"/>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'individual-chart-apprenticeship'!$B$3:$B$10</c:f>
              <c:strCache>
                <c:ptCount val="2"/>
                <c:pt idx="0">
                  <c:v>Activity</c:v>
                </c:pt>
                <c:pt idx="1">
                  <c:v>Outputs</c:v>
                </c:pt>
              </c:strCache>
              <c:extLst/>
            </c:strRef>
          </c:cat>
          <c:val>
            <c:numRef>
              <c:f>'individual-chart-apprenticeship'!$H$3:$H$10</c:f>
              <c:numCache>
                <c:formatCode>0%</c:formatCode>
                <c:ptCount val="2"/>
                <c:pt idx="0">
                  <c:v>0.33333333333333331</c:v>
                </c:pt>
                <c:pt idx="1">
                  <c:v>0.33333333333333331</c:v>
                </c:pt>
              </c:numCache>
              <c:extLst/>
            </c:numRef>
          </c:val>
          <c:extLst>
            <c:ext xmlns:c16="http://schemas.microsoft.com/office/drawing/2014/chart" uri="{C3380CC4-5D6E-409C-BE32-E72D297353CC}">
              <c16:uniqueId val="{00000004-96B0-419F-A200-6A1B4B57477E}"/>
            </c:ext>
          </c:extLst>
        </c:ser>
        <c:ser>
          <c:idx val="6"/>
          <c:order val="6"/>
          <c:tx>
            <c:strRef>
              <c:f>'individual-chart-apprenticeship'!$I$2</c:f>
              <c:strCache>
                <c:ptCount val="1"/>
                <c:pt idx="0">
                  <c:v>50%</c:v>
                </c:pt>
              </c:strCache>
            </c:strRef>
          </c:tx>
          <c:spPr>
            <a:solidFill>
              <a:srgbClr val="EBA19F"/>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'individual-chart-apprenticeship'!$B$3:$B$10</c:f>
              <c:strCache>
                <c:ptCount val="2"/>
                <c:pt idx="0">
                  <c:v>Activity</c:v>
                </c:pt>
                <c:pt idx="1">
                  <c:v>Outputs</c:v>
                </c:pt>
              </c:strCache>
              <c:extLst/>
            </c:strRef>
          </c:cat>
          <c:val>
            <c:numRef>
              <c:f>'individual-chart-apprenticeship'!$I$3:$I$10</c:f>
              <c:numCache>
                <c:formatCode>General</c:formatCode>
                <c:ptCount val="2"/>
              </c:numCache>
              <c:extLst/>
            </c:numRef>
          </c:val>
          <c:extLst>
            <c:ext xmlns:c16="http://schemas.microsoft.com/office/drawing/2014/chart" uri="{C3380CC4-5D6E-409C-BE32-E72D297353CC}">
              <c16:uniqueId val="{00000005-96B0-419F-A200-6A1B4B57477E}"/>
            </c:ext>
          </c:extLst>
        </c:ser>
        <c:ser>
          <c:idx val="7"/>
          <c:order val="7"/>
          <c:tx>
            <c:strRef>
              <c:f>'individual-chart-apprenticeship'!$J$2</c:f>
              <c:strCache>
                <c:ptCount val="1"/>
                <c:pt idx="0">
                  <c:v>25%</c:v>
                </c:pt>
              </c:strCache>
            </c:strRef>
          </c:tx>
          <c:spPr>
            <a:solidFill>
              <a:srgbClr val="F3C6C5"/>
            </a:solidFill>
            <a:ln>
              <a:noFill/>
            </a:ln>
            <a:effectLst/>
          </c:spPr>
          <c:invertIfNegative val="0"/>
          <c:dLbls>
            <c:dLbl>
              <c:idx val="0"/>
              <c:layout>
                <c:manualLayout>
                  <c:x val="-0.17408700815279832"/>
                  <c:y val="0"/>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96B0-419F-A200-6A1B4B57477E}"/>
                </c:ext>
              </c:extLst>
            </c:dLbl>
            <c:dLbl>
              <c:idx val="1"/>
              <c:layout>
                <c:manualLayout>
                  <c:x val="-0.16034329698284064"/>
                  <c:y val="0"/>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96B0-419F-A200-6A1B4B57477E}"/>
                </c:ext>
              </c:extLst>
            </c:dLbl>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'individual-chart-apprenticeship'!$B$3:$B$10</c:f>
              <c:strCache>
                <c:ptCount val="2"/>
                <c:pt idx="0">
                  <c:v>Activity</c:v>
                </c:pt>
                <c:pt idx="1">
                  <c:v>Outputs</c:v>
                </c:pt>
              </c:strCache>
              <c:extLst/>
            </c:strRef>
          </c:cat>
          <c:val>
            <c:numRef>
              <c:f>'individual-chart-apprenticeship'!$J$3:$J$10</c:f>
              <c:numCache>
                <c:formatCode>General</c:formatCode>
                <c:ptCount val="2"/>
              </c:numCache>
              <c:extLst/>
            </c:numRef>
          </c:val>
          <c:extLst>
            <c:ext xmlns:c16="http://schemas.microsoft.com/office/drawing/2014/chart" uri="{C3380CC4-5D6E-409C-BE32-E72D297353CC}">
              <c16:uniqueId val="{00000008-96B0-419F-A200-6A1B4B57477E}"/>
            </c:ext>
          </c:extLst>
        </c:ser>
        <c:ser>
          <c:idx val="8"/>
          <c:order val="8"/>
          <c:tx>
            <c:strRef>
              <c:f>'individual-chart-apprenticeship'!$K$2</c:f>
              <c:strCache>
                <c:ptCount val="1"/>
                <c:pt idx="0">
                  <c:v>10%</c:v>
                </c:pt>
              </c:strCache>
            </c:strRef>
          </c:tx>
          <c:spPr>
            <a:solidFill>
              <a:schemeClr val="accent2">
                <a:tint val="56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'individual-chart-apprenticeship'!$B$3:$B$10</c:f>
              <c:strCache>
                <c:ptCount val="2"/>
                <c:pt idx="0">
                  <c:v>Activity</c:v>
                </c:pt>
                <c:pt idx="1">
                  <c:v>Outputs</c:v>
                </c:pt>
              </c:strCache>
              <c:extLst/>
            </c:strRef>
          </c:cat>
          <c:val>
            <c:numRef>
              <c:f>'individual-chart-apprenticeship'!$K$3:$K$10</c:f>
              <c:numCache>
                <c:formatCode>General</c:formatCode>
                <c:ptCount val="2"/>
              </c:numCache>
              <c:extLst/>
            </c:numRef>
          </c:val>
          <c:extLst>
            <c:ext xmlns:c16="http://schemas.microsoft.com/office/drawing/2014/chart" uri="{C3380CC4-5D6E-409C-BE32-E72D297353CC}">
              <c16:uniqueId val="{00000009-96B0-419F-A200-6A1B4B57477E}"/>
            </c:ext>
          </c:extLst>
        </c:ser>
        <c:ser>
          <c:idx val="9"/>
          <c:order val="9"/>
          <c:tx>
            <c:strRef>
              <c:f>'individual-chart-apprenticeship'!$L$2</c:f>
              <c:strCache>
                <c:ptCount val="1"/>
                <c:pt idx="0">
                  <c:v>Not Started</c:v>
                </c:pt>
              </c:strCache>
            </c:strRef>
          </c:tx>
          <c:spPr>
            <a:solidFill>
              <a:srgbClr val="FCF2F2"/>
            </a:solidFill>
            <a:ln>
              <a:noFill/>
            </a:ln>
            <a:effectLst/>
          </c:spPr>
          <c:invertIfNegative val="0"/>
          <c:dLbls>
            <c:dLbl>
              <c:idx val="1"/>
              <c:layout>
                <c:manualLayout>
                  <c:x val="-0.14659958581288288"/>
                  <c:y val="0"/>
                </c:manualLayout>
              </c:layout>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96B0-419F-A200-6A1B4B57477E}"/>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'individual-chart-apprenticeship'!$B$3:$B$10</c:f>
              <c:strCache>
                <c:ptCount val="2"/>
                <c:pt idx="0">
                  <c:v>Activity</c:v>
                </c:pt>
                <c:pt idx="1">
                  <c:v>Outputs</c:v>
                </c:pt>
              </c:strCache>
              <c:extLst/>
            </c:strRef>
          </c:cat>
          <c:val>
            <c:numRef>
              <c:f>'individual-chart-apprenticeship'!$L$3:$L$10</c:f>
              <c:numCache>
                <c:formatCode>General</c:formatCode>
                <c:ptCount val="2"/>
              </c:numCache>
              <c:extLst/>
            </c:numRef>
          </c:val>
          <c:extLst>
            <c:ext xmlns:c16="http://schemas.microsoft.com/office/drawing/2014/chart" uri="{C3380CC4-5D6E-409C-BE32-E72D297353CC}">
              <c16:uniqueId val="{0000000B-96B0-419F-A200-6A1B4B57477E}"/>
            </c:ext>
          </c:extLst>
        </c:ser>
        <c:dLbls>
          <c:dLblPos val="ctr"/>
          <c:showLegendKey val="0"/>
          <c:showVal val="1"/>
          <c:showCatName val="0"/>
          <c:showSerName val="0"/>
          <c:showPercent val="0"/>
          <c:showBubbleSize val="0"/>
        </c:dLbls>
        <c:gapWidth val="150"/>
        <c:overlap val="100"/>
        <c:axId val="790958128"/>
        <c:axId val="790961408"/>
        <c:extLst>
          <c:ext xmlns:c15="http://schemas.microsoft.com/office/drawing/2012/chart" uri="{02D57815-91ED-43cb-92C2-25804820EDAC}">
            <c15:filteredBarSeries>
              <c15:ser>
                <c:idx val="0"/>
                <c:order val="0"/>
                <c:tx>
                  <c:strRef>
                    <c:extLst>
                      <c:ext uri="{02D57815-91ED-43cb-92C2-25804820EDAC}">
                        <c15:formulaRef>
                          <c15:sqref>'individual-chart-apprenticeship'!$C$2</c15:sqref>
                        </c15:formulaRef>
                      </c:ext>
                    </c:extLst>
                    <c:strCache>
                      <c:ptCount val="1"/>
                      <c:pt idx="0">
                        <c:v>Completed</c:v>
                      </c:pt>
                    </c:strCache>
                  </c:strRef>
                </c:tx>
                <c:spPr>
                  <a:solidFill>
                    <a:schemeClr val="accent2">
                      <a:shade val="42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c:ext uri="{02D57815-91ED-43cb-92C2-25804820EDAC}">
                        <c15:formulaRef>
                          <c15:sqref>'individual-chart-apprenticeship'!$B$3:$B$10</c15:sqref>
                        </c15:formulaRef>
                      </c:ext>
                    </c:extLst>
                    <c:strCache>
                      <c:ptCount val="2"/>
                      <c:pt idx="0">
                        <c:v>Activity</c:v>
                      </c:pt>
                      <c:pt idx="1">
                        <c:v>Outputs</c:v>
                      </c:pt>
                    </c:strCache>
                  </c:strRef>
                </c:cat>
                <c:val>
                  <c:numRef>
                    <c:extLst>
                      <c:ext uri="{02D57815-91ED-43cb-92C2-25804820EDAC}">
                        <c15:formulaRef>
                          <c15:sqref>'individual-chart-apprenticeship'!$C$3:$C$10</c15:sqref>
                        </c15:formulaRef>
                      </c:ext>
                    </c:extLst>
                    <c:numCache>
                      <c:formatCode>0%</c:formatCode>
                      <c:ptCount val="2"/>
                      <c:pt idx="0">
                        <c:v>0.66666666666666663</c:v>
                      </c:pt>
                      <c:pt idx="1">
                        <c:v>0.66666666666666663</c:v>
                      </c:pt>
                    </c:numCache>
                  </c:numRef>
                </c:val>
                <c:extLst>
                  <c:ext xmlns:c16="http://schemas.microsoft.com/office/drawing/2014/chart" uri="{C3380CC4-5D6E-409C-BE32-E72D297353CC}">
                    <c16:uniqueId val="{0000000C-96B0-419F-A200-6A1B4B57477E}"/>
                  </c:ext>
                </c:extLst>
              </c15:ser>
            </c15:filteredBarSeries>
            <c15:filteredBarSeries>
              <c15:ser>
                <c:idx val="1"/>
                <c:order val="1"/>
                <c:tx>
                  <c:strRef>
                    <c:extLst xmlns:c15="http://schemas.microsoft.com/office/drawing/2012/chart">
                      <c:ext xmlns:c15="http://schemas.microsoft.com/office/drawing/2012/chart" uri="{02D57815-91ED-43cb-92C2-25804820EDAC}">
                        <c15:formulaRef>
                          <c15:sqref>'individual-chart-apprenticeship'!$D$2</c15:sqref>
                        </c15:formulaRef>
                      </c:ext>
                    </c:extLst>
                    <c:strCache>
                      <c:ptCount val="1"/>
                      <c:pt idx="0">
                        <c:v>In progress</c:v>
                      </c:pt>
                    </c:strCache>
                  </c:strRef>
                </c:tx>
                <c:spPr>
                  <a:solidFill>
                    <a:schemeClr val="accent2">
                      <a:shade val="5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'individual-chart-apprenticeship'!$B$3:$B$10</c15:sqref>
                        </c15:formulaRef>
                      </c:ext>
                    </c:extLst>
                    <c:strCache>
                      <c:ptCount val="2"/>
                      <c:pt idx="0">
                        <c:v>Activity</c:v>
                      </c:pt>
                      <c:pt idx="1">
                        <c:v>Outputs</c:v>
                      </c:pt>
                    </c:strCache>
                  </c:strRef>
                </c:cat>
                <c:val>
                  <c:numRef>
                    <c:extLst xmlns:c15="http://schemas.microsoft.com/office/drawing/2012/chart">
                      <c:ext xmlns:c15="http://schemas.microsoft.com/office/drawing/2012/chart" uri="{02D57815-91ED-43cb-92C2-25804820EDAC}">
                        <c15:formulaRef>
                          <c15:sqref>'individual-chart-apprenticeship'!$D$3:$D$10</c15:sqref>
                        </c15:formulaRef>
                      </c:ext>
                    </c:extLst>
                    <c:numCache>
                      <c:formatCode>0%</c:formatCode>
                      <c:ptCount val="2"/>
                      <c:pt idx="0">
                        <c:v>0.33333333333333331</c:v>
                      </c:pt>
                      <c:pt idx="1">
                        <c:v>0.33333333333333331</c:v>
                      </c:pt>
                    </c:numCache>
                  </c:numRef>
                </c:val>
                <c:extLst xmlns:c15="http://schemas.microsoft.com/office/drawing/2012/chart">
                  <c:ext xmlns:c16="http://schemas.microsoft.com/office/drawing/2014/chart" uri="{C3380CC4-5D6E-409C-BE32-E72D297353CC}">
                    <c16:uniqueId val="{0000000D-96B0-419F-A200-6A1B4B57477E}"/>
                  </c:ext>
                </c:extLst>
              </c15:ser>
            </c15:filteredBarSeries>
            <c15:filteredBarSeries>
              <c15:ser>
                <c:idx val="2"/>
                <c:order val="2"/>
                <c:tx>
                  <c:strRef>
                    <c:extLst xmlns:c15="http://schemas.microsoft.com/office/drawing/2012/chart">
                      <c:ext xmlns:c15="http://schemas.microsoft.com/office/drawing/2012/chart" uri="{02D57815-91ED-43cb-92C2-25804820EDAC}">
                        <c15:formulaRef>
                          <c15:sqref>'individual-chart-apprenticeship'!$E$2</c15:sqref>
                        </c15:formulaRef>
                      </c:ext>
                    </c:extLst>
                    <c:strCache>
                      <c:ptCount val="1"/>
                      <c:pt idx="0">
                        <c:v>Not started</c:v>
                      </c:pt>
                    </c:strCache>
                  </c:strRef>
                </c:tx>
                <c:spPr>
                  <a:solidFill>
                    <a:schemeClr val="accent2">
                      <a:shade val="68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'individual-chart-apprenticeship'!$B$3:$B$10</c15:sqref>
                        </c15:formulaRef>
                      </c:ext>
                    </c:extLst>
                    <c:strCache>
                      <c:ptCount val="2"/>
                      <c:pt idx="0">
                        <c:v>Activity</c:v>
                      </c:pt>
                      <c:pt idx="1">
                        <c:v>Outputs</c:v>
                      </c:pt>
                    </c:strCache>
                  </c:strRef>
                </c:cat>
                <c:val>
                  <c:numRef>
                    <c:extLst xmlns:c15="http://schemas.microsoft.com/office/drawing/2012/chart">
                      <c:ext xmlns:c15="http://schemas.microsoft.com/office/drawing/2012/chart" uri="{02D57815-91ED-43cb-92C2-25804820EDAC}">
                        <c15:formulaRef>
                          <c15:sqref>'individual-chart-apprenticeship'!$E$3:$E$10</c15:sqref>
                        </c15:formulaRef>
                      </c:ext>
                    </c:extLst>
                    <c:numCache>
                      <c:formatCode>General</c:formatCode>
                      <c:ptCount val="2"/>
                    </c:numCache>
                  </c:numRef>
                </c:val>
                <c:extLst xmlns:c15="http://schemas.microsoft.com/office/drawing/2012/chart">
                  <c:ext xmlns:c16="http://schemas.microsoft.com/office/drawing/2014/chart" uri="{C3380CC4-5D6E-409C-BE32-E72D297353CC}">
                    <c16:uniqueId val="{0000000E-96B0-419F-A200-6A1B4B57477E}"/>
                  </c:ext>
                </c:extLst>
              </c15:ser>
            </c15:filteredBarSeries>
          </c:ext>
        </c:extLst>
      </c:barChart>
      <c:catAx>
        <c:axId val="7909581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n-US"/>
          </a:p>
        </c:txPr>
        <c:crossAx val="790961408"/>
        <c:crosses val="autoZero"/>
        <c:auto val="1"/>
        <c:lblAlgn val="ctr"/>
        <c:lblOffset val="100"/>
        <c:noMultiLvlLbl val="0"/>
      </c:catAx>
      <c:valAx>
        <c:axId val="790961408"/>
        <c:scaling>
          <c:orientation val="minMax"/>
          <c:min val="0"/>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90958128"/>
        <c:crossesAt val="1"/>
        <c:crossBetween val="between"/>
      </c:valAx>
      <c:spPr>
        <a:noFill/>
        <a:ln>
          <a:noFill/>
        </a:ln>
        <a:effectLst/>
      </c:spPr>
    </c:plotArea>
    <c:legend>
      <c:legendPos val="t"/>
      <c:layout>
        <c:manualLayout>
          <c:xMode val="edge"/>
          <c:yMode val="edge"/>
          <c:x val="0.16878354491402861"/>
          <c:y val="0.14071530758226036"/>
          <c:w val="0.78488188976377948"/>
          <c:h val="8.3691663005643596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userShapes r:id="rId5"/>
</c:chartSpace>
</file>

<file path=word/charts/chart10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4"/>
    </mc:Choice>
    <mc:Fallback>
      <c:style val="4"/>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Topic Area - Apprenticeships Activity #2</a:t>
            </a:r>
          </a:p>
        </c:rich>
      </c:tx>
      <c:layout>
        <c:manualLayout>
          <c:xMode val="edge"/>
          <c:yMode val="edge"/>
          <c:x val="0.15852625564661557"/>
          <c:y val="1.4306151645207439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6017916604892113"/>
          <c:y val="0.23265365094271845"/>
          <c:w val="0.78942722632790041"/>
          <c:h val="0.66602748393145406"/>
        </c:manualLayout>
      </c:layout>
      <c:barChart>
        <c:barDir val="col"/>
        <c:grouping val="percentStacked"/>
        <c:varyColors val="0"/>
        <c:ser>
          <c:idx val="3"/>
          <c:order val="3"/>
          <c:tx>
            <c:strRef>
              <c:f>'individual-chart-apprenticeship'!$F$2</c:f>
              <c:strCache>
                <c:ptCount val="1"/>
                <c:pt idx="0">
                  <c:v>Completed</c:v>
                </c:pt>
              </c:strCache>
            </c:strRef>
          </c:tx>
          <c:spPr>
            <a:solidFill>
              <a:srgbClr val="99221F"/>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800" b="0"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'individual-chart-apprenticeship'!$B$3:$B$10</c:f>
              <c:strCache>
                <c:ptCount val="2"/>
                <c:pt idx="0">
                  <c:v>Activity</c:v>
                </c:pt>
                <c:pt idx="1">
                  <c:v>Outputs</c:v>
                </c:pt>
              </c:strCache>
              <c:extLst/>
            </c:strRef>
          </c:cat>
          <c:val>
            <c:numRef>
              <c:f>'individual-chart-apprenticeship'!$F$3:$F$10</c:f>
              <c:numCache>
                <c:formatCode>General</c:formatCode>
                <c:ptCount val="2"/>
              </c:numCache>
              <c:extLst/>
            </c:numRef>
          </c:val>
          <c:extLst>
            <c:ext xmlns:c16="http://schemas.microsoft.com/office/drawing/2014/chart" uri="{C3380CC4-5D6E-409C-BE32-E72D297353CC}">
              <c16:uniqueId val="{00000000-268E-4653-984B-0C638CA2A86A}"/>
            </c:ext>
          </c:extLst>
        </c:ser>
        <c:ser>
          <c:idx val="4"/>
          <c:order val="4"/>
          <c:tx>
            <c:strRef>
              <c:f>'individual-chart-apprenticeship'!$G$2</c:f>
              <c:strCache>
                <c:ptCount val="1"/>
                <c:pt idx="0">
                  <c:v>90%</c:v>
                </c:pt>
              </c:strCache>
            </c:strRef>
          </c:tx>
          <c:spPr>
            <a:solidFill>
              <a:srgbClr val="D73D39"/>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'individual-chart-apprenticeship'!$B$3:$B$10</c:f>
              <c:strCache>
                <c:ptCount val="2"/>
                <c:pt idx="0">
                  <c:v>Activity</c:v>
                </c:pt>
                <c:pt idx="1">
                  <c:v>Outputs</c:v>
                </c:pt>
              </c:strCache>
              <c:extLst/>
            </c:strRef>
          </c:cat>
          <c:val>
            <c:numRef>
              <c:f>'individual-chart-apprenticeship'!$G$3:$G$10</c:f>
              <c:numCache>
                <c:formatCode>General</c:formatCode>
                <c:ptCount val="2"/>
              </c:numCache>
              <c:extLst/>
            </c:numRef>
          </c:val>
          <c:extLst>
            <c:ext xmlns:c16="http://schemas.microsoft.com/office/drawing/2014/chart" uri="{C3380CC4-5D6E-409C-BE32-E72D297353CC}">
              <c16:uniqueId val="{00000001-268E-4653-984B-0C638CA2A86A}"/>
            </c:ext>
          </c:extLst>
        </c:ser>
        <c:ser>
          <c:idx val="5"/>
          <c:order val="5"/>
          <c:tx>
            <c:strRef>
              <c:f>'individual-chart-apprenticeship'!$H$2</c:f>
              <c:strCache>
                <c:ptCount val="1"/>
                <c:pt idx="0">
                  <c:v>75%</c:v>
                </c:pt>
              </c:strCache>
            </c:strRef>
          </c:tx>
          <c:spPr>
            <a:solidFill>
              <a:srgbClr val="DC535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600" b="0" i="0" u="none" strike="noStrike" kern="1200" baseline="0">
                    <a:solidFill>
                      <a:sysClr val="windowText" lastClr="000000"/>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'individual-chart-apprenticeship'!$B$3:$B$10</c:f>
              <c:strCache>
                <c:ptCount val="2"/>
                <c:pt idx="0">
                  <c:v>Activity</c:v>
                </c:pt>
                <c:pt idx="1">
                  <c:v>Outputs</c:v>
                </c:pt>
              </c:strCache>
              <c:extLst/>
            </c:strRef>
          </c:cat>
          <c:val>
            <c:numRef>
              <c:f>'individual-chart-apprenticeship'!$H$3:$H$10</c:f>
              <c:numCache>
                <c:formatCode>0%</c:formatCode>
                <c:ptCount val="2"/>
                <c:pt idx="0">
                  <c:v>1</c:v>
                </c:pt>
                <c:pt idx="1">
                  <c:v>1</c:v>
                </c:pt>
              </c:numCache>
              <c:extLst/>
            </c:numRef>
          </c:val>
          <c:extLst>
            <c:ext xmlns:c16="http://schemas.microsoft.com/office/drawing/2014/chart" uri="{C3380CC4-5D6E-409C-BE32-E72D297353CC}">
              <c16:uniqueId val="{00000002-268E-4653-984B-0C638CA2A86A}"/>
            </c:ext>
          </c:extLst>
        </c:ser>
        <c:ser>
          <c:idx val="6"/>
          <c:order val="6"/>
          <c:tx>
            <c:strRef>
              <c:f>'individual-chart-apprenticeship'!$I$2</c:f>
              <c:strCache>
                <c:ptCount val="1"/>
                <c:pt idx="0">
                  <c:v>50%</c:v>
                </c:pt>
              </c:strCache>
            </c:strRef>
          </c:tx>
          <c:spPr>
            <a:solidFill>
              <a:srgbClr val="EBA19F"/>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'individual-chart-apprenticeship'!$B$3:$B$10</c:f>
              <c:strCache>
                <c:ptCount val="2"/>
                <c:pt idx="0">
                  <c:v>Activity</c:v>
                </c:pt>
                <c:pt idx="1">
                  <c:v>Outputs</c:v>
                </c:pt>
              </c:strCache>
              <c:extLst/>
            </c:strRef>
          </c:cat>
          <c:val>
            <c:numRef>
              <c:f>'individual-chart-apprenticeship'!$I$3:$I$10</c:f>
              <c:numCache>
                <c:formatCode>General</c:formatCode>
                <c:ptCount val="2"/>
              </c:numCache>
              <c:extLst/>
            </c:numRef>
          </c:val>
          <c:extLst>
            <c:ext xmlns:c16="http://schemas.microsoft.com/office/drawing/2014/chart" uri="{C3380CC4-5D6E-409C-BE32-E72D297353CC}">
              <c16:uniqueId val="{00000003-268E-4653-984B-0C638CA2A86A}"/>
            </c:ext>
          </c:extLst>
        </c:ser>
        <c:ser>
          <c:idx val="7"/>
          <c:order val="7"/>
          <c:tx>
            <c:strRef>
              <c:f>'individual-chart-apprenticeship'!$J$2</c:f>
              <c:strCache>
                <c:ptCount val="1"/>
                <c:pt idx="0">
                  <c:v>25%</c:v>
                </c:pt>
              </c:strCache>
            </c:strRef>
          </c:tx>
          <c:spPr>
            <a:solidFill>
              <a:srgbClr val="F3C6C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'individual-chart-apprenticeship'!$B$3:$B$10</c:f>
              <c:strCache>
                <c:ptCount val="2"/>
                <c:pt idx="0">
                  <c:v>Activity</c:v>
                </c:pt>
                <c:pt idx="1">
                  <c:v>Outputs</c:v>
                </c:pt>
              </c:strCache>
              <c:extLst/>
            </c:strRef>
          </c:cat>
          <c:val>
            <c:numRef>
              <c:f>'individual-chart-apprenticeship'!$J$3:$J$10</c:f>
              <c:numCache>
                <c:formatCode>General</c:formatCode>
                <c:ptCount val="2"/>
              </c:numCache>
              <c:extLst/>
            </c:numRef>
          </c:val>
          <c:extLst>
            <c:ext xmlns:c16="http://schemas.microsoft.com/office/drawing/2014/chart" uri="{C3380CC4-5D6E-409C-BE32-E72D297353CC}">
              <c16:uniqueId val="{00000004-268E-4653-984B-0C638CA2A86A}"/>
            </c:ext>
          </c:extLst>
        </c:ser>
        <c:ser>
          <c:idx val="8"/>
          <c:order val="8"/>
          <c:tx>
            <c:strRef>
              <c:f>'individual-chart-apprenticeship'!$K$2</c:f>
              <c:strCache>
                <c:ptCount val="1"/>
                <c:pt idx="0">
                  <c:v>10%</c:v>
                </c:pt>
              </c:strCache>
            </c:strRef>
          </c:tx>
          <c:spPr>
            <a:solidFill>
              <a:schemeClr val="accent2">
                <a:tint val="56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'individual-chart-apprenticeship'!$B$3:$B$10</c:f>
              <c:strCache>
                <c:ptCount val="2"/>
                <c:pt idx="0">
                  <c:v>Activity</c:v>
                </c:pt>
                <c:pt idx="1">
                  <c:v>Outputs</c:v>
                </c:pt>
              </c:strCache>
              <c:extLst/>
            </c:strRef>
          </c:cat>
          <c:val>
            <c:numRef>
              <c:f>'individual-chart-apprenticeship'!$K$3:$K$10</c:f>
              <c:numCache>
                <c:formatCode>General</c:formatCode>
                <c:ptCount val="2"/>
              </c:numCache>
              <c:extLst/>
            </c:numRef>
          </c:val>
          <c:extLst>
            <c:ext xmlns:c16="http://schemas.microsoft.com/office/drawing/2014/chart" uri="{C3380CC4-5D6E-409C-BE32-E72D297353CC}">
              <c16:uniqueId val="{00000005-268E-4653-984B-0C638CA2A86A}"/>
            </c:ext>
          </c:extLst>
        </c:ser>
        <c:ser>
          <c:idx val="9"/>
          <c:order val="9"/>
          <c:tx>
            <c:strRef>
              <c:f>'individual-chart-apprenticeship'!$L$2</c:f>
              <c:strCache>
                <c:ptCount val="1"/>
                <c:pt idx="0">
                  <c:v>Not Started</c:v>
                </c:pt>
              </c:strCache>
            </c:strRef>
          </c:tx>
          <c:spPr>
            <a:solidFill>
              <a:srgbClr val="FCF2F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'individual-chart-apprenticeship'!$B$3:$B$10</c:f>
              <c:strCache>
                <c:ptCount val="2"/>
                <c:pt idx="0">
                  <c:v>Activity</c:v>
                </c:pt>
                <c:pt idx="1">
                  <c:v>Outputs</c:v>
                </c:pt>
              </c:strCache>
              <c:extLst/>
            </c:strRef>
          </c:cat>
          <c:val>
            <c:numRef>
              <c:f>'individual-chart-apprenticeship'!$L$3:$L$10</c:f>
              <c:numCache>
                <c:formatCode>General</c:formatCode>
                <c:ptCount val="2"/>
              </c:numCache>
              <c:extLst/>
            </c:numRef>
          </c:val>
          <c:extLst>
            <c:ext xmlns:c16="http://schemas.microsoft.com/office/drawing/2014/chart" uri="{C3380CC4-5D6E-409C-BE32-E72D297353CC}">
              <c16:uniqueId val="{00000006-268E-4653-984B-0C638CA2A86A}"/>
            </c:ext>
          </c:extLst>
        </c:ser>
        <c:dLbls>
          <c:dLblPos val="ctr"/>
          <c:showLegendKey val="0"/>
          <c:showVal val="1"/>
          <c:showCatName val="0"/>
          <c:showSerName val="0"/>
          <c:showPercent val="0"/>
          <c:showBubbleSize val="0"/>
        </c:dLbls>
        <c:gapWidth val="150"/>
        <c:overlap val="100"/>
        <c:axId val="790958128"/>
        <c:axId val="790961408"/>
        <c:extLst>
          <c:ext xmlns:c15="http://schemas.microsoft.com/office/drawing/2012/chart" uri="{02D57815-91ED-43cb-92C2-25804820EDAC}">
            <c15:filteredBarSeries>
              <c15:ser>
                <c:idx val="0"/>
                <c:order val="0"/>
                <c:tx>
                  <c:strRef>
                    <c:extLst>
                      <c:ext uri="{02D57815-91ED-43cb-92C2-25804820EDAC}">
                        <c15:formulaRef>
                          <c15:sqref>'individual-chart-apprenticeship'!$C$2</c15:sqref>
                        </c15:formulaRef>
                      </c:ext>
                    </c:extLst>
                    <c:strCache>
                      <c:ptCount val="1"/>
                      <c:pt idx="0">
                        <c:v>Completed</c:v>
                      </c:pt>
                    </c:strCache>
                  </c:strRef>
                </c:tx>
                <c:spPr>
                  <a:solidFill>
                    <a:schemeClr val="accent2">
                      <a:shade val="42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c:ext uri="{02D57815-91ED-43cb-92C2-25804820EDAC}">
                        <c15:formulaRef>
                          <c15:sqref>'individual-chart-apprenticeship'!$B$3:$B$10</c15:sqref>
                        </c15:formulaRef>
                      </c:ext>
                    </c:extLst>
                    <c:strCache>
                      <c:ptCount val="2"/>
                      <c:pt idx="0">
                        <c:v>Activity</c:v>
                      </c:pt>
                      <c:pt idx="1">
                        <c:v>Outputs</c:v>
                      </c:pt>
                    </c:strCache>
                  </c:strRef>
                </c:cat>
                <c:val>
                  <c:numRef>
                    <c:extLst>
                      <c:ext uri="{02D57815-91ED-43cb-92C2-25804820EDAC}">
                        <c15:formulaRef>
                          <c15:sqref>'individual-chart-apprenticeship'!$C$3:$C$10</c15:sqref>
                        </c15:formulaRef>
                      </c:ext>
                    </c:extLst>
                    <c:numCache>
                      <c:formatCode>General</c:formatCode>
                      <c:ptCount val="2"/>
                    </c:numCache>
                  </c:numRef>
                </c:val>
                <c:extLst>
                  <c:ext xmlns:c16="http://schemas.microsoft.com/office/drawing/2014/chart" uri="{C3380CC4-5D6E-409C-BE32-E72D297353CC}">
                    <c16:uniqueId val="{00000007-268E-4653-984B-0C638CA2A86A}"/>
                  </c:ext>
                </c:extLst>
              </c15:ser>
            </c15:filteredBarSeries>
            <c15:filteredBarSeries>
              <c15:ser>
                <c:idx val="1"/>
                <c:order val="1"/>
                <c:tx>
                  <c:strRef>
                    <c:extLst xmlns:c15="http://schemas.microsoft.com/office/drawing/2012/chart">
                      <c:ext xmlns:c15="http://schemas.microsoft.com/office/drawing/2012/chart" uri="{02D57815-91ED-43cb-92C2-25804820EDAC}">
                        <c15:formulaRef>
                          <c15:sqref>'individual-chart-apprenticeship'!$D$2</c15:sqref>
                        </c15:formulaRef>
                      </c:ext>
                    </c:extLst>
                    <c:strCache>
                      <c:ptCount val="1"/>
                      <c:pt idx="0">
                        <c:v>In progress</c:v>
                      </c:pt>
                    </c:strCache>
                  </c:strRef>
                </c:tx>
                <c:spPr>
                  <a:solidFill>
                    <a:schemeClr val="accent2">
                      <a:shade val="5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'individual-chart-apprenticeship'!$B$3:$B$10</c15:sqref>
                        </c15:formulaRef>
                      </c:ext>
                    </c:extLst>
                    <c:strCache>
                      <c:ptCount val="2"/>
                      <c:pt idx="0">
                        <c:v>Activity</c:v>
                      </c:pt>
                      <c:pt idx="1">
                        <c:v>Outputs</c:v>
                      </c:pt>
                    </c:strCache>
                  </c:strRef>
                </c:cat>
                <c:val>
                  <c:numRef>
                    <c:extLst xmlns:c15="http://schemas.microsoft.com/office/drawing/2012/chart">
                      <c:ext xmlns:c15="http://schemas.microsoft.com/office/drawing/2012/chart" uri="{02D57815-91ED-43cb-92C2-25804820EDAC}">
                        <c15:formulaRef>
                          <c15:sqref>'individual-chart-apprenticeship'!$D$3:$D$10</c15:sqref>
                        </c15:formulaRef>
                      </c:ext>
                    </c:extLst>
                    <c:numCache>
                      <c:formatCode>0%</c:formatCode>
                      <c:ptCount val="2"/>
                      <c:pt idx="0">
                        <c:v>1</c:v>
                      </c:pt>
                      <c:pt idx="1">
                        <c:v>1</c:v>
                      </c:pt>
                    </c:numCache>
                  </c:numRef>
                </c:val>
                <c:extLst xmlns:c15="http://schemas.microsoft.com/office/drawing/2012/chart">
                  <c:ext xmlns:c16="http://schemas.microsoft.com/office/drawing/2014/chart" uri="{C3380CC4-5D6E-409C-BE32-E72D297353CC}">
                    <c16:uniqueId val="{00000008-268E-4653-984B-0C638CA2A86A}"/>
                  </c:ext>
                </c:extLst>
              </c15:ser>
            </c15:filteredBarSeries>
            <c15:filteredBarSeries>
              <c15:ser>
                <c:idx val="2"/>
                <c:order val="2"/>
                <c:tx>
                  <c:strRef>
                    <c:extLst xmlns:c15="http://schemas.microsoft.com/office/drawing/2012/chart">
                      <c:ext xmlns:c15="http://schemas.microsoft.com/office/drawing/2012/chart" uri="{02D57815-91ED-43cb-92C2-25804820EDAC}">
                        <c15:formulaRef>
                          <c15:sqref>'individual-chart-apprenticeship'!$E$2</c15:sqref>
                        </c15:formulaRef>
                      </c:ext>
                    </c:extLst>
                    <c:strCache>
                      <c:ptCount val="1"/>
                      <c:pt idx="0">
                        <c:v>Not started</c:v>
                      </c:pt>
                    </c:strCache>
                  </c:strRef>
                </c:tx>
                <c:spPr>
                  <a:solidFill>
                    <a:schemeClr val="accent2">
                      <a:shade val="68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'individual-chart-apprenticeship'!$B$3:$B$10</c15:sqref>
                        </c15:formulaRef>
                      </c:ext>
                    </c:extLst>
                    <c:strCache>
                      <c:ptCount val="2"/>
                      <c:pt idx="0">
                        <c:v>Activity</c:v>
                      </c:pt>
                      <c:pt idx="1">
                        <c:v>Outputs</c:v>
                      </c:pt>
                    </c:strCache>
                  </c:strRef>
                </c:cat>
                <c:val>
                  <c:numRef>
                    <c:extLst xmlns:c15="http://schemas.microsoft.com/office/drawing/2012/chart">
                      <c:ext xmlns:c15="http://schemas.microsoft.com/office/drawing/2012/chart" uri="{02D57815-91ED-43cb-92C2-25804820EDAC}">
                        <c15:formulaRef>
                          <c15:sqref>'individual-chart-apprenticeship'!$E$3:$E$10</c15:sqref>
                        </c15:formulaRef>
                      </c:ext>
                    </c:extLst>
                    <c:numCache>
                      <c:formatCode>General</c:formatCode>
                      <c:ptCount val="2"/>
                    </c:numCache>
                  </c:numRef>
                </c:val>
                <c:extLst xmlns:c15="http://schemas.microsoft.com/office/drawing/2012/chart">
                  <c:ext xmlns:c16="http://schemas.microsoft.com/office/drawing/2014/chart" uri="{C3380CC4-5D6E-409C-BE32-E72D297353CC}">
                    <c16:uniqueId val="{00000009-268E-4653-984B-0C638CA2A86A}"/>
                  </c:ext>
                </c:extLst>
              </c15:ser>
            </c15:filteredBarSeries>
          </c:ext>
        </c:extLst>
      </c:barChart>
      <c:catAx>
        <c:axId val="7909581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n-US"/>
          </a:p>
        </c:txPr>
        <c:crossAx val="790961408"/>
        <c:crosses val="autoZero"/>
        <c:auto val="1"/>
        <c:lblAlgn val="ctr"/>
        <c:lblOffset val="100"/>
        <c:noMultiLvlLbl val="0"/>
      </c:catAx>
      <c:valAx>
        <c:axId val="790961408"/>
        <c:scaling>
          <c:orientation val="minMax"/>
          <c:min val="0"/>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90958128"/>
        <c:crossesAt val="1"/>
        <c:crossBetween val="between"/>
      </c:valAx>
      <c:spPr>
        <a:noFill/>
        <a:ln>
          <a:noFill/>
        </a:ln>
        <a:effectLst/>
      </c:spPr>
    </c:plotArea>
    <c:legend>
      <c:legendPos val="t"/>
      <c:layout>
        <c:manualLayout>
          <c:xMode val="edge"/>
          <c:yMode val="edge"/>
          <c:x val="0.16878354491402861"/>
          <c:y val="0.14071530758226036"/>
          <c:w val="0.78488188976377948"/>
          <c:h val="8.3691663005643596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userShapes r:id="rId5"/>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4"/>
    </mc:Choice>
    <mc:Fallback>
      <c:style val="4"/>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Topic Area - Pre-ETS </a:t>
            </a:r>
            <a:br>
              <a:rPr lang="en-US"/>
            </a:br>
            <a:r>
              <a:rPr lang="en-US"/>
              <a:t>Activity #4</a:t>
            </a:r>
          </a:p>
        </c:rich>
      </c:tx>
      <c:layout>
        <c:manualLayout>
          <c:xMode val="edge"/>
          <c:yMode val="edge"/>
          <c:x val="0.15852625564661557"/>
          <c:y val="1.4306151645207439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6017916604892113"/>
          <c:y val="0.23265365094271845"/>
          <c:w val="0.78942722632790041"/>
          <c:h val="0.66602748393145406"/>
        </c:manualLayout>
      </c:layout>
      <c:barChart>
        <c:barDir val="col"/>
        <c:grouping val="percentStacked"/>
        <c:varyColors val="0"/>
        <c:ser>
          <c:idx val="3"/>
          <c:order val="3"/>
          <c:tx>
            <c:strRef>
              <c:f>'individual-chart-pre-ets'!$F$2</c:f>
              <c:strCache>
                <c:ptCount val="1"/>
                <c:pt idx="0">
                  <c:v>Completed</c:v>
                </c:pt>
              </c:strCache>
            </c:strRef>
          </c:tx>
          <c:spPr>
            <a:solidFill>
              <a:srgbClr val="99221F"/>
            </a:solidFill>
            <a:ln>
              <a:noFill/>
            </a:ln>
            <a:effectLst/>
          </c:spPr>
          <c:invertIfNegative val="0"/>
          <c:dLbls>
            <c:dLbl>
              <c:idx val="0"/>
              <c:layout>
                <c:manualLayout>
                  <c:x val="5.5836164292172507E-3"/>
                  <c:y val="-4.4614812188555689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A8ED-4B7F-8753-D59F71460FDC}"/>
                </c:ext>
              </c:extLst>
            </c:dLbl>
            <c:dLbl>
              <c:idx val="1"/>
              <c:layout>
                <c:manualLayout>
                  <c:x val="-4.3293919363760099E-3"/>
                  <c:y val="-5.2011166219264653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A8ED-4B7F-8753-D59F71460FDC}"/>
                </c:ext>
              </c:extLst>
            </c:dLbl>
            <c:spPr>
              <a:noFill/>
              <a:ln>
                <a:noFill/>
              </a:ln>
              <a:effectLst/>
            </c:spPr>
            <c:txPr>
              <a:bodyPr rot="0" spcFirstLastPara="1" vertOverflow="ellipsis" vert="horz" wrap="square" lIns="38100" tIns="19050" rIns="38100" bIns="19050" anchor="ctr" anchorCtr="1">
                <a:spAutoFit/>
              </a:bodyPr>
              <a:lstStyle/>
              <a:p>
                <a:pPr>
                  <a:defRPr sz="1800" b="0"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'individual-chart-pre-ets'!$B$3:$B$46</c:f>
              <c:strCache>
                <c:ptCount val="2"/>
                <c:pt idx="0">
                  <c:v>Activity</c:v>
                </c:pt>
                <c:pt idx="1">
                  <c:v>Outputs</c:v>
                </c:pt>
              </c:strCache>
              <c:extLst/>
            </c:strRef>
          </c:cat>
          <c:val>
            <c:numRef>
              <c:f>'individual-chart-pre-ets'!$F$3:$F$46</c:f>
              <c:numCache>
                <c:formatCode>0%</c:formatCode>
                <c:ptCount val="2"/>
                <c:pt idx="0">
                  <c:v>0.17857142857142858</c:v>
                </c:pt>
                <c:pt idx="1">
                  <c:v>0.21428571428571427</c:v>
                </c:pt>
              </c:numCache>
              <c:extLst/>
            </c:numRef>
          </c:val>
          <c:extLst>
            <c:ext xmlns:c16="http://schemas.microsoft.com/office/drawing/2014/chart" uri="{C3380CC4-5D6E-409C-BE32-E72D297353CC}">
              <c16:uniqueId val="{00000002-A8ED-4B7F-8753-D59F71460FDC}"/>
            </c:ext>
          </c:extLst>
        </c:ser>
        <c:ser>
          <c:idx val="4"/>
          <c:order val="4"/>
          <c:tx>
            <c:strRef>
              <c:f>'individual-chart-pre-ets'!$G$2</c:f>
              <c:strCache>
                <c:ptCount val="1"/>
                <c:pt idx="0">
                  <c:v>90%</c:v>
                </c:pt>
              </c:strCache>
            </c:strRef>
          </c:tx>
          <c:spPr>
            <a:solidFill>
              <a:srgbClr val="D73D39"/>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'individual-chart-pre-ets'!$B$3:$B$46</c:f>
              <c:strCache>
                <c:ptCount val="2"/>
                <c:pt idx="0">
                  <c:v>Activity</c:v>
                </c:pt>
                <c:pt idx="1">
                  <c:v>Outputs</c:v>
                </c:pt>
              </c:strCache>
              <c:extLst/>
            </c:strRef>
          </c:cat>
          <c:val>
            <c:numRef>
              <c:f>'individual-chart-pre-ets'!$G$3:$G$46</c:f>
              <c:numCache>
                <c:formatCode>General</c:formatCode>
                <c:ptCount val="2"/>
              </c:numCache>
              <c:extLst/>
            </c:numRef>
          </c:val>
          <c:extLst>
            <c:ext xmlns:c16="http://schemas.microsoft.com/office/drawing/2014/chart" uri="{C3380CC4-5D6E-409C-BE32-E72D297353CC}">
              <c16:uniqueId val="{00000003-A8ED-4B7F-8753-D59F71460FDC}"/>
            </c:ext>
          </c:extLst>
        </c:ser>
        <c:ser>
          <c:idx val="5"/>
          <c:order val="5"/>
          <c:tx>
            <c:strRef>
              <c:f>'individual-chart-pre-ets'!$H$2</c:f>
              <c:strCache>
                <c:ptCount val="1"/>
                <c:pt idx="0">
                  <c:v>75%</c:v>
                </c:pt>
              </c:strCache>
            </c:strRef>
          </c:tx>
          <c:spPr>
            <a:solidFill>
              <a:srgbClr val="DC535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'individual-chart-pre-ets'!$B$3:$B$46</c:f>
              <c:strCache>
                <c:ptCount val="2"/>
                <c:pt idx="0">
                  <c:v>Activity</c:v>
                </c:pt>
                <c:pt idx="1">
                  <c:v>Outputs</c:v>
                </c:pt>
              </c:strCache>
              <c:extLst/>
            </c:strRef>
          </c:cat>
          <c:val>
            <c:numRef>
              <c:f>'individual-chart-pre-ets'!$H$3:$H$46</c:f>
              <c:numCache>
                <c:formatCode>0%</c:formatCode>
                <c:ptCount val="2"/>
                <c:pt idx="0">
                  <c:v>0.21428571428571427</c:v>
                </c:pt>
                <c:pt idx="1">
                  <c:v>0.14285714285714285</c:v>
                </c:pt>
              </c:numCache>
              <c:extLst/>
            </c:numRef>
          </c:val>
          <c:extLst>
            <c:ext xmlns:c16="http://schemas.microsoft.com/office/drawing/2014/chart" uri="{C3380CC4-5D6E-409C-BE32-E72D297353CC}">
              <c16:uniqueId val="{00000004-A8ED-4B7F-8753-D59F71460FDC}"/>
            </c:ext>
          </c:extLst>
        </c:ser>
        <c:ser>
          <c:idx val="6"/>
          <c:order val="6"/>
          <c:tx>
            <c:strRef>
              <c:f>'individual-chart-pre-ets'!$I$2</c:f>
              <c:strCache>
                <c:ptCount val="1"/>
                <c:pt idx="0">
                  <c:v>50%</c:v>
                </c:pt>
              </c:strCache>
            </c:strRef>
          </c:tx>
          <c:spPr>
            <a:solidFill>
              <a:srgbClr val="EBA19F"/>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'individual-chart-pre-ets'!$B$3:$B$46</c:f>
              <c:strCache>
                <c:ptCount val="2"/>
                <c:pt idx="0">
                  <c:v>Activity</c:v>
                </c:pt>
                <c:pt idx="1">
                  <c:v>Outputs</c:v>
                </c:pt>
              </c:strCache>
              <c:extLst/>
            </c:strRef>
          </c:cat>
          <c:val>
            <c:numRef>
              <c:f>'individual-chart-pre-ets'!$I$3:$I$46</c:f>
              <c:numCache>
                <c:formatCode>0%</c:formatCode>
                <c:ptCount val="2"/>
                <c:pt idx="0">
                  <c:v>0.10714285714285714</c:v>
                </c:pt>
                <c:pt idx="1">
                  <c:v>0.10714285714285714</c:v>
                </c:pt>
              </c:numCache>
              <c:extLst/>
            </c:numRef>
          </c:val>
          <c:extLst>
            <c:ext xmlns:c16="http://schemas.microsoft.com/office/drawing/2014/chart" uri="{C3380CC4-5D6E-409C-BE32-E72D297353CC}">
              <c16:uniqueId val="{00000005-A8ED-4B7F-8753-D59F71460FDC}"/>
            </c:ext>
          </c:extLst>
        </c:ser>
        <c:ser>
          <c:idx val="7"/>
          <c:order val="7"/>
          <c:tx>
            <c:strRef>
              <c:f>'individual-chart-pre-ets'!$J$2</c:f>
              <c:strCache>
                <c:ptCount val="1"/>
                <c:pt idx="0">
                  <c:v>25%</c:v>
                </c:pt>
              </c:strCache>
            </c:strRef>
          </c:tx>
          <c:spPr>
            <a:solidFill>
              <a:srgbClr val="F3C6C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'individual-chart-pre-ets'!$B$3:$B$46</c:f>
              <c:strCache>
                <c:ptCount val="2"/>
                <c:pt idx="0">
                  <c:v>Activity</c:v>
                </c:pt>
                <c:pt idx="1">
                  <c:v>Outputs</c:v>
                </c:pt>
              </c:strCache>
              <c:extLst/>
            </c:strRef>
          </c:cat>
          <c:val>
            <c:numRef>
              <c:f>'individual-chart-pre-ets'!$J$3:$J$46</c:f>
              <c:numCache>
                <c:formatCode>0%</c:formatCode>
                <c:ptCount val="2"/>
                <c:pt idx="0">
                  <c:v>0.10714285714285714</c:v>
                </c:pt>
                <c:pt idx="1">
                  <c:v>0.10714285714285714</c:v>
                </c:pt>
              </c:numCache>
              <c:extLst/>
            </c:numRef>
          </c:val>
          <c:extLst>
            <c:ext xmlns:c16="http://schemas.microsoft.com/office/drawing/2014/chart" uri="{C3380CC4-5D6E-409C-BE32-E72D297353CC}">
              <c16:uniqueId val="{00000006-A8ED-4B7F-8753-D59F71460FDC}"/>
            </c:ext>
          </c:extLst>
        </c:ser>
        <c:ser>
          <c:idx val="8"/>
          <c:order val="8"/>
          <c:tx>
            <c:strRef>
              <c:f>'individual-chart-pre-ets'!$K$2</c:f>
              <c:strCache>
                <c:ptCount val="1"/>
                <c:pt idx="0">
                  <c:v>10%</c:v>
                </c:pt>
              </c:strCache>
            </c:strRef>
          </c:tx>
          <c:spPr>
            <a:solidFill>
              <a:schemeClr val="accent2">
                <a:tint val="56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'individual-chart-pre-ets'!$B$3:$B$46</c:f>
              <c:strCache>
                <c:ptCount val="2"/>
                <c:pt idx="0">
                  <c:v>Activity</c:v>
                </c:pt>
                <c:pt idx="1">
                  <c:v>Outputs</c:v>
                </c:pt>
              </c:strCache>
              <c:extLst/>
            </c:strRef>
          </c:cat>
          <c:val>
            <c:numRef>
              <c:f>'individual-chart-pre-ets'!$K$3:$K$46</c:f>
              <c:numCache>
                <c:formatCode>General</c:formatCode>
                <c:ptCount val="2"/>
              </c:numCache>
              <c:extLst/>
            </c:numRef>
          </c:val>
          <c:extLst>
            <c:ext xmlns:c16="http://schemas.microsoft.com/office/drawing/2014/chart" uri="{C3380CC4-5D6E-409C-BE32-E72D297353CC}">
              <c16:uniqueId val="{00000007-A8ED-4B7F-8753-D59F71460FDC}"/>
            </c:ext>
          </c:extLst>
        </c:ser>
        <c:ser>
          <c:idx val="9"/>
          <c:order val="9"/>
          <c:tx>
            <c:strRef>
              <c:f>'individual-chart-pre-ets'!$L$2</c:f>
              <c:strCache>
                <c:ptCount val="1"/>
                <c:pt idx="0">
                  <c:v>Not Started</c:v>
                </c:pt>
              </c:strCache>
            </c:strRef>
          </c:tx>
          <c:spPr>
            <a:solidFill>
              <a:srgbClr val="FCF2F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'individual-chart-pre-ets'!$B$3:$B$46</c:f>
              <c:strCache>
                <c:ptCount val="2"/>
                <c:pt idx="0">
                  <c:v>Activity</c:v>
                </c:pt>
                <c:pt idx="1">
                  <c:v>Outputs</c:v>
                </c:pt>
              </c:strCache>
              <c:extLst/>
            </c:strRef>
          </c:cat>
          <c:val>
            <c:numRef>
              <c:f>'individual-chart-pre-ets'!$L$3:$L$46</c:f>
              <c:numCache>
                <c:formatCode>0%</c:formatCode>
                <c:ptCount val="2"/>
                <c:pt idx="0">
                  <c:v>0.39285714285714285</c:v>
                </c:pt>
                <c:pt idx="1">
                  <c:v>0.42857142857142855</c:v>
                </c:pt>
              </c:numCache>
              <c:extLst/>
            </c:numRef>
          </c:val>
          <c:extLst>
            <c:ext xmlns:c16="http://schemas.microsoft.com/office/drawing/2014/chart" uri="{C3380CC4-5D6E-409C-BE32-E72D297353CC}">
              <c16:uniqueId val="{00000008-A8ED-4B7F-8753-D59F71460FDC}"/>
            </c:ext>
          </c:extLst>
        </c:ser>
        <c:dLbls>
          <c:dLblPos val="ctr"/>
          <c:showLegendKey val="0"/>
          <c:showVal val="1"/>
          <c:showCatName val="0"/>
          <c:showSerName val="0"/>
          <c:showPercent val="0"/>
          <c:showBubbleSize val="0"/>
        </c:dLbls>
        <c:gapWidth val="150"/>
        <c:overlap val="100"/>
        <c:axId val="790958128"/>
        <c:axId val="790961408"/>
        <c:extLst>
          <c:ext xmlns:c15="http://schemas.microsoft.com/office/drawing/2012/chart" uri="{02D57815-91ED-43cb-92C2-25804820EDAC}">
            <c15:filteredBarSeries>
              <c15:ser>
                <c:idx val="0"/>
                <c:order val="0"/>
                <c:tx>
                  <c:strRef>
                    <c:extLst>
                      <c:ext uri="{02D57815-91ED-43cb-92C2-25804820EDAC}">
                        <c15:formulaRef>
                          <c15:sqref>'individual-chart-pre-ets'!$C$2</c15:sqref>
                        </c15:formulaRef>
                      </c:ext>
                    </c:extLst>
                    <c:strCache>
                      <c:ptCount val="1"/>
                      <c:pt idx="0">
                        <c:v>Completed</c:v>
                      </c:pt>
                    </c:strCache>
                  </c:strRef>
                </c:tx>
                <c:spPr>
                  <a:solidFill>
                    <a:schemeClr val="accent2">
                      <a:shade val="42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c:ext uri="{02D57815-91ED-43cb-92C2-25804820EDAC}">
                        <c15:formulaRef>
                          <c15:sqref>'individual-chart-pre-ets'!$B$3:$B$46</c15:sqref>
                        </c15:formulaRef>
                      </c:ext>
                    </c:extLst>
                    <c:strCache>
                      <c:ptCount val="2"/>
                      <c:pt idx="0">
                        <c:v>Activity</c:v>
                      </c:pt>
                      <c:pt idx="1">
                        <c:v>Outputs</c:v>
                      </c:pt>
                    </c:strCache>
                  </c:strRef>
                </c:cat>
                <c:val>
                  <c:numRef>
                    <c:extLst>
                      <c:ext uri="{02D57815-91ED-43cb-92C2-25804820EDAC}">
                        <c15:formulaRef>
                          <c15:sqref>'individual-chart-pre-ets'!$C$3:$C$46</c15:sqref>
                        </c15:formulaRef>
                      </c:ext>
                    </c:extLst>
                    <c:numCache>
                      <c:formatCode>0%</c:formatCode>
                      <c:ptCount val="2"/>
                      <c:pt idx="0">
                        <c:v>0.17857142857142858</c:v>
                      </c:pt>
                      <c:pt idx="1">
                        <c:v>0.21428571428571427</c:v>
                      </c:pt>
                    </c:numCache>
                  </c:numRef>
                </c:val>
                <c:extLst>
                  <c:ext xmlns:c16="http://schemas.microsoft.com/office/drawing/2014/chart" uri="{C3380CC4-5D6E-409C-BE32-E72D297353CC}">
                    <c16:uniqueId val="{00000009-A8ED-4B7F-8753-D59F71460FDC}"/>
                  </c:ext>
                </c:extLst>
              </c15:ser>
            </c15:filteredBarSeries>
            <c15:filteredBarSeries>
              <c15:ser>
                <c:idx val="1"/>
                <c:order val="1"/>
                <c:tx>
                  <c:strRef>
                    <c:extLst xmlns:c15="http://schemas.microsoft.com/office/drawing/2012/chart">
                      <c:ext xmlns:c15="http://schemas.microsoft.com/office/drawing/2012/chart" uri="{02D57815-91ED-43cb-92C2-25804820EDAC}">
                        <c15:formulaRef>
                          <c15:sqref>'individual-chart-pre-ets'!$D$2</c15:sqref>
                        </c15:formulaRef>
                      </c:ext>
                    </c:extLst>
                    <c:strCache>
                      <c:ptCount val="1"/>
                      <c:pt idx="0">
                        <c:v>In progress</c:v>
                      </c:pt>
                    </c:strCache>
                  </c:strRef>
                </c:tx>
                <c:spPr>
                  <a:solidFill>
                    <a:schemeClr val="accent2">
                      <a:shade val="5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'individual-chart-pre-ets'!$B$3:$B$46</c15:sqref>
                        </c15:formulaRef>
                      </c:ext>
                    </c:extLst>
                    <c:strCache>
                      <c:ptCount val="2"/>
                      <c:pt idx="0">
                        <c:v>Activity</c:v>
                      </c:pt>
                      <c:pt idx="1">
                        <c:v>Outputs</c:v>
                      </c:pt>
                    </c:strCache>
                  </c:strRef>
                </c:cat>
                <c:val>
                  <c:numRef>
                    <c:extLst xmlns:c15="http://schemas.microsoft.com/office/drawing/2012/chart">
                      <c:ext xmlns:c15="http://schemas.microsoft.com/office/drawing/2012/chart" uri="{02D57815-91ED-43cb-92C2-25804820EDAC}">
                        <c15:formulaRef>
                          <c15:sqref>'individual-chart-pre-ets'!$D$3:$D$46</c15:sqref>
                        </c15:formulaRef>
                      </c:ext>
                    </c:extLst>
                    <c:numCache>
                      <c:formatCode>0%</c:formatCode>
                      <c:ptCount val="2"/>
                      <c:pt idx="0">
                        <c:v>0.42857142857142855</c:v>
                      </c:pt>
                      <c:pt idx="1">
                        <c:v>0.35714285714285715</c:v>
                      </c:pt>
                    </c:numCache>
                  </c:numRef>
                </c:val>
                <c:extLst xmlns:c15="http://schemas.microsoft.com/office/drawing/2012/chart">
                  <c:ext xmlns:c16="http://schemas.microsoft.com/office/drawing/2014/chart" uri="{C3380CC4-5D6E-409C-BE32-E72D297353CC}">
                    <c16:uniqueId val="{0000000A-A8ED-4B7F-8753-D59F71460FDC}"/>
                  </c:ext>
                </c:extLst>
              </c15:ser>
            </c15:filteredBarSeries>
            <c15:filteredBarSeries>
              <c15:ser>
                <c:idx val="2"/>
                <c:order val="2"/>
                <c:tx>
                  <c:strRef>
                    <c:extLst xmlns:c15="http://schemas.microsoft.com/office/drawing/2012/chart">
                      <c:ext xmlns:c15="http://schemas.microsoft.com/office/drawing/2012/chart" uri="{02D57815-91ED-43cb-92C2-25804820EDAC}">
                        <c15:formulaRef>
                          <c15:sqref>'individual-chart-pre-ets'!$E$2</c15:sqref>
                        </c15:formulaRef>
                      </c:ext>
                    </c:extLst>
                    <c:strCache>
                      <c:ptCount val="1"/>
                      <c:pt idx="0">
                        <c:v>Not started</c:v>
                      </c:pt>
                    </c:strCache>
                  </c:strRef>
                </c:tx>
                <c:spPr>
                  <a:solidFill>
                    <a:schemeClr val="accent2">
                      <a:shade val="68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'individual-chart-pre-ets'!$B$3:$B$46</c15:sqref>
                        </c15:formulaRef>
                      </c:ext>
                    </c:extLst>
                    <c:strCache>
                      <c:ptCount val="2"/>
                      <c:pt idx="0">
                        <c:v>Activity</c:v>
                      </c:pt>
                      <c:pt idx="1">
                        <c:v>Outputs</c:v>
                      </c:pt>
                    </c:strCache>
                  </c:strRef>
                </c:cat>
                <c:val>
                  <c:numRef>
                    <c:extLst xmlns:c15="http://schemas.microsoft.com/office/drawing/2012/chart">
                      <c:ext xmlns:c15="http://schemas.microsoft.com/office/drawing/2012/chart" uri="{02D57815-91ED-43cb-92C2-25804820EDAC}">
                        <c15:formulaRef>
                          <c15:sqref>'individual-chart-pre-ets'!$E$3:$E$46</c15:sqref>
                        </c15:formulaRef>
                      </c:ext>
                    </c:extLst>
                    <c:numCache>
                      <c:formatCode>0%</c:formatCode>
                      <c:ptCount val="2"/>
                      <c:pt idx="0">
                        <c:v>0.39285714285714285</c:v>
                      </c:pt>
                      <c:pt idx="1">
                        <c:v>0.42857142857142855</c:v>
                      </c:pt>
                    </c:numCache>
                  </c:numRef>
                </c:val>
                <c:extLst xmlns:c15="http://schemas.microsoft.com/office/drawing/2012/chart">
                  <c:ext xmlns:c16="http://schemas.microsoft.com/office/drawing/2014/chart" uri="{C3380CC4-5D6E-409C-BE32-E72D297353CC}">
                    <c16:uniqueId val="{0000000B-A8ED-4B7F-8753-D59F71460FDC}"/>
                  </c:ext>
                </c:extLst>
              </c15:ser>
            </c15:filteredBarSeries>
          </c:ext>
        </c:extLst>
      </c:barChart>
      <c:catAx>
        <c:axId val="7909581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n-US"/>
          </a:p>
        </c:txPr>
        <c:crossAx val="790961408"/>
        <c:crosses val="autoZero"/>
        <c:auto val="1"/>
        <c:lblAlgn val="ctr"/>
        <c:lblOffset val="100"/>
        <c:noMultiLvlLbl val="0"/>
      </c:catAx>
      <c:valAx>
        <c:axId val="790961408"/>
        <c:scaling>
          <c:orientation val="minMax"/>
          <c:min val="0"/>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90958128"/>
        <c:crossesAt val="1"/>
        <c:crossBetween val="between"/>
      </c:valAx>
      <c:spPr>
        <a:noFill/>
        <a:ln>
          <a:noFill/>
        </a:ln>
        <a:effectLst/>
      </c:spPr>
    </c:plotArea>
    <c:legend>
      <c:legendPos val="t"/>
      <c:layout>
        <c:manualLayout>
          <c:xMode val="edge"/>
          <c:yMode val="edge"/>
          <c:x val="0.16878354491402861"/>
          <c:y val="0.14071530758226036"/>
          <c:w val="0.78488188976377948"/>
          <c:h val="8.3691663005643596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4"/>
    </mc:Choice>
    <mc:Fallback>
      <c:style val="4"/>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Topic Area - Pre-ETS </a:t>
            </a:r>
            <a:br>
              <a:rPr lang="en-US"/>
            </a:br>
            <a:r>
              <a:rPr lang="en-US"/>
              <a:t>Activity #5</a:t>
            </a:r>
          </a:p>
        </c:rich>
      </c:tx>
      <c:layout>
        <c:manualLayout>
          <c:xMode val="edge"/>
          <c:yMode val="edge"/>
          <c:x val="0.15852625564661557"/>
          <c:y val="1.4306151645207439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6017916604892113"/>
          <c:y val="0.23265365094271845"/>
          <c:w val="0.78942722632790041"/>
          <c:h val="0.66602748393145406"/>
        </c:manualLayout>
      </c:layout>
      <c:barChart>
        <c:barDir val="col"/>
        <c:grouping val="percentStacked"/>
        <c:varyColors val="0"/>
        <c:ser>
          <c:idx val="3"/>
          <c:order val="3"/>
          <c:tx>
            <c:strRef>
              <c:f>'individual-chart-pre-ets'!$F$2</c:f>
              <c:strCache>
                <c:ptCount val="1"/>
                <c:pt idx="0">
                  <c:v>Completed</c:v>
                </c:pt>
              </c:strCache>
            </c:strRef>
          </c:tx>
          <c:spPr>
            <a:solidFill>
              <a:srgbClr val="99221F"/>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800" b="0"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'individual-chart-pre-ets'!$B$3:$B$46</c:f>
              <c:strCache>
                <c:ptCount val="2"/>
                <c:pt idx="0">
                  <c:v>Activity</c:v>
                </c:pt>
                <c:pt idx="1">
                  <c:v>Outputs</c:v>
                </c:pt>
              </c:strCache>
              <c:extLst/>
            </c:strRef>
          </c:cat>
          <c:val>
            <c:numRef>
              <c:f>'individual-chart-pre-ets'!$F$3:$F$46</c:f>
              <c:numCache>
                <c:formatCode>0%</c:formatCode>
                <c:ptCount val="2"/>
                <c:pt idx="0">
                  <c:v>0.84615384615384615</c:v>
                </c:pt>
                <c:pt idx="1">
                  <c:v>0.80769230769230771</c:v>
                </c:pt>
              </c:numCache>
              <c:extLst/>
            </c:numRef>
          </c:val>
          <c:extLst>
            <c:ext xmlns:c16="http://schemas.microsoft.com/office/drawing/2014/chart" uri="{C3380CC4-5D6E-409C-BE32-E72D297353CC}">
              <c16:uniqueId val="{00000000-8E1F-4DCA-B342-3A74A44ECDBE}"/>
            </c:ext>
          </c:extLst>
        </c:ser>
        <c:ser>
          <c:idx val="4"/>
          <c:order val="4"/>
          <c:tx>
            <c:strRef>
              <c:f>'individual-chart-pre-ets'!$G$2</c:f>
              <c:strCache>
                <c:ptCount val="1"/>
                <c:pt idx="0">
                  <c:v>90%</c:v>
                </c:pt>
              </c:strCache>
            </c:strRef>
          </c:tx>
          <c:spPr>
            <a:solidFill>
              <a:srgbClr val="D73D39"/>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'individual-chart-pre-ets'!$B$3:$B$46</c:f>
              <c:strCache>
                <c:ptCount val="2"/>
                <c:pt idx="0">
                  <c:v>Activity</c:v>
                </c:pt>
                <c:pt idx="1">
                  <c:v>Outputs</c:v>
                </c:pt>
              </c:strCache>
              <c:extLst/>
            </c:strRef>
          </c:cat>
          <c:val>
            <c:numRef>
              <c:f>'individual-chart-pre-ets'!$G$3:$G$46</c:f>
              <c:numCache>
                <c:formatCode>General</c:formatCode>
                <c:ptCount val="2"/>
              </c:numCache>
              <c:extLst/>
            </c:numRef>
          </c:val>
          <c:extLst>
            <c:ext xmlns:c16="http://schemas.microsoft.com/office/drawing/2014/chart" uri="{C3380CC4-5D6E-409C-BE32-E72D297353CC}">
              <c16:uniqueId val="{00000001-8E1F-4DCA-B342-3A74A44ECDBE}"/>
            </c:ext>
          </c:extLst>
        </c:ser>
        <c:ser>
          <c:idx val="5"/>
          <c:order val="5"/>
          <c:tx>
            <c:strRef>
              <c:f>'individual-chart-pre-ets'!$H$2</c:f>
              <c:strCache>
                <c:ptCount val="1"/>
                <c:pt idx="0">
                  <c:v>75%</c:v>
                </c:pt>
              </c:strCache>
            </c:strRef>
          </c:tx>
          <c:spPr>
            <a:solidFill>
              <a:srgbClr val="DC535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'individual-chart-pre-ets'!$B$3:$B$46</c:f>
              <c:strCache>
                <c:ptCount val="2"/>
                <c:pt idx="0">
                  <c:v>Activity</c:v>
                </c:pt>
                <c:pt idx="1">
                  <c:v>Outputs</c:v>
                </c:pt>
              </c:strCache>
              <c:extLst/>
            </c:strRef>
          </c:cat>
          <c:val>
            <c:numRef>
              <c:f>'individual-chart-pre-ets'!$H$3:$H$46</c:f>
              <c:numCache>
                <c:formatCode>0%</c:formatCode>
                <c:ptCount val="2"/>
                <c:pt idx="0">
                  <c:v>3.8461538461538464E-2</c:v>
                </c:pt>
                <c:pt idx="1">
                  <c:v>3.8461538461538464E-2</c:v>
                </c:pt>
              </c:numCache>
              <c:extLst/>
            </c:numRef>
          </c:val>
          <c:extLst>
            <c:ext xmlns:c16="http://schemas.microsoft.com/office/drawing/2014/chart" uri="{C3380CC4-5D6E-409C-BE32-E72D297353CC}">
              <c16:uniqueId val="{00000002-8E1F-4DCA-B342-3A74A44ECDBE}"/>
            </c:ext>
          </c:extLst>
        </c:ser>
        <c:ser>
          <c:idx val="6"/>
          <c:order val="6"/>
          <c:tx>
            <c:strRef>
              <c:f>'individual-chart-pre-ets'!$I$2</c:f>
              <c:strCache>
                <c:ptCount val="1"/>
                <c:pt idx="0">
                  <c:v>50%</c:v>
                </c:pt>
              </c:strCache>
            </c:strRef>
          </c:tx>
          <c:spPr>
            <a:solidFill>
              <a:srgbClr val="EBA19F"/>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'individual-chart-pre-ets'!$B$3:$B$46</c:f>
              <c:strCache>
                <c:ptCount val="2"/>
                <c:pt idx="0">
                  <c:v>Activity</c:v>
                </c:pt>
                <c:pt idx="1">
                  <c:v>Outputs</c:v>
                </c:pt>
              </c:strCache>
              <c:extLst/>
            </c:strRef>
          </c:cat>
          <c:val>
            <c:numRef>
              <c:f>'individual-chart-pre-ets'!$I$3:$I$46</c:f>
              <c:numCache>
                <c:formatCode>General</c:formatCode>
                <c:ptCount val="2"/>
              </c:numCache>
              <c:extLst/>
            </c:numRef>
          </c:val>
          <c:extLst>
            <c:ext xmlns:c16="http://schemas.microsoft.com/office/drawing/2014/chart" uri="{C3380CC4-5D6E-409C-BE32-E72D297353CC}">
              <c16:uniqueId val="{00000003-8E1F-4DCA-B342-3A74A44ECDBE}"/>
            </c:ext>
          </c:extLst>
        </c:ser>
        <c:ser>
          <c:idx val="7"/>
          <c:order val="7"/>
          <c:tx>
            <c:strRef>
              <c:f>'individual-chart-pre-ets'!$J$2</c:f>
              <c:strCache>
                <c:ptCount val="1"/>
                <c:pt idx="0">
                  <c:v>25%</c:v>
                </c:pt>
              </c:strCache>
            </c:strRef>
          </c:tx>
          <c:spPr>
            <a:solidFill>
              <a:srgbClr val="F3C6C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'individual-chart-pre-ets'!$B$3:$B$46</c:f>
              <c:strCache>
                <c:ptCount val="2"/>
                <c:pt idx="0">
                  <c:v>Activity</c:v>
                </c:pt>
                <c:pt idx="1">
                  <c:v>Outputs</c:v>
                </c:pt>
              </c:strCache>
              <c:extLst/>
            </c:strRef>
          </c:cat>
          <c:val>
            <c:numRef>
              <c:f>'individual-chart-pre-ets'!$J$3:$J$46</c:f>
              <c:numCache>
                <c:formatCode>0%</c:formatCode>
                <c:ptCount val="2"/>
                <c:pt idx="0">
                  <c:v>3.8461538461538464E-2</c:v>
                </c:pt>
                <c:pt idx="1">
                  <c:v>7.6923076923076927E-2</c:v>
                </c:pt>
              </c:numCache>
              <c:extLst/>
            </c:numRef>
          </c:val>
          <c:extLst>
            <c:ext xmlns:c16="http://schemas.microsoft.com/office/drawing/2014/chart" uri="{C3380CC4-5D6E-409C-BE32-E72D297353CC}">
              <c16:uniqueId val="{00000004-8E1F-4DCA-B342-3A74A44ECDBE}"/>
            </c:ext>
          </c:extLst>
        </c:ser>
        <c:ser>
          <c:idx val="8"/>
          <c:order val="8"/>
          <c:tx>
            <c:strRef>
              <c:f>'individual-chart-pre-ets'!$K$2</c:f>
              <c:strCache>
                <c:ptCount val="1"/>
                <c:pt idx="0">
                  <c:v>10%</c:v>
                </c:pt>
              </c:strCache>
            </c:strRef>
          </c:tx>
          <c:spPr>
            <a:solidFill>
              <a:schemeClr val="accent2">
                <a:tint val="56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'individual-chart-pre-ets'!$B$3:$B$46</c:f>
              <c:strCache>
                <c:ptCount val="2"/>
                <c:pt idx="0">
                  <c:v>Activity</c:v>
                </c:pt>
                <c:pt idx="1">
                  <c:v>Outputs</c:v>
                </c:pt>
              </c:strCache>
              <c:extLst/>
            </c:strRef>
          </c:cat>
          <c:val>
            <c:numRef>
              <c:f>'individual-chart-pre-ets'!$K$3:$K$46</c:f>
              <c:numCache>
                <c:formatCode>General</c:formatCode>
                <c:ptCount val="2"/>
              </c:numCache>
              <c:extLst/>
            </c:numRef>
          </c:val>
          <c:extLst>
            <c:ext xmlns:c16="http://schemas.microsoft.com/office/drawing/2014/chart" uri="{C3380CC4-5D6E-409C-BE32-E72D297353CC}">
              <c16:uniqueId val="{00000005-8E1F-4DCA-B342-3A74A44ECDBE}"/>
            </c:ext>
          </c:extLst>
        </c:ser>
        <c:ser>
          <c:idx val="9"/>
          <c:order val="9"/>
          <c:tx>
            <c:strRef>
              <c:f>'individual-chart-pre-ets'!$L$2</c:f>
              <c:strCache>
                <c:ptCount val="1"/>
                <c:pt idx="0">
                  <c:v>Not Started</c:v>
                </c:pt>
              </c:strCache>
            </c:strRef>
          </c:tx>
          <c:spPr>
            <a:solidFill>
              <a:srgbClr val="FCF2F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'individual-chart-pre-ets'!$B$3:$B$46</c:f>
              <c:strCache>
                <c:ptCount val="2"/>
                <c:pt idx="0">
                  <c:v>Activity</c:v>
                </c:pt>
                <c:pt idx="1">
                  <c:v>Outputs</c:v>
                </c:pt>
              </c:strCache>
              <c:extLst/>
            </c:strRef>
          </c:cat>
          <c:val>
            <c:numRef>
              <c:f>'individual-chart-pre-ets'!$L$3:$L$46</c:f>
              <c:numCache>
                <c:formatCode>0%</c:formatCode>
                <c:ptCount val="2"/>
                <c:pt idx="0">
                  <c:v>7.6923076923076927E-2</c:v>
                </c:pt>
                <c:pt idx="1">
                  <c:v>7.6923076923076927E-2</c:v>
                </c:pt>
              </c:numCache>
              <c:extLst/>
            </c:numRef>
          </c:val>
          <c:extLst>
            <c:ext xmlns:c16="http://schemas.microsoft.com/office/drawing/2014/chart" uri="{C3380CC4-5D6E-409C-BE32-E72D297353CC}">
              <c16:uniqueId val="{00000006-8E1F-4DCA-B342-3A74A44ECDBE}"/>
            </c:ext>
          </c:extLst>
        </c:ser>
        <c:dLbls>
          <c:dLblPos val="ctr"/>
          <c:showLegendKey val="0"/>
          <c:showVal val="1"/>
          <c:showCatName val="0"/>
          <c:showSerName val="0"/>
          <c:showPercent val="0"/>
          <c:showBubbleSize val="0"/>
        </c:dLbls>
        <c:gapWidth val="150"/>
        <c:overlap val="100"/>
        <c:axId val="790958128"/>
        <c:axId val="790961408"/>
        <c:extLst>
          <c:ext xmlns:c15="http://schemas.microsoft.com/office/drawing/2012/chart" uri="{02D57815-91ED-43cb-92C2-25804820EDAC}">
            <c15:filteredBarSeries>
              <c15:ser>
                <c:idx val="0"/>
                <c:order val="0"/>
                <c:tx>
                  <c:strRef>
                    <c:extLst>
                      <c:ext uri="{02D57815-91ED-43cb-92C2-25804820EDAC}">
                        <c15:formulaRef>
                          <c15:sqref>'individual-chart-pre-ets'!$C$2</c15:sqref>
                        </c15:formulaRef>
                      </c:ext>
                    </c:extLst>
                    <c:strCache>
                      <c:ptCount val="1"/>
                      <c:pt idx="0">
                        <c:v>Completed</c:v>
                      </c:pt>
                    </c:strCache>
                  </c:strRef>
                </c:tx>
                <c:spPr>
                  <a:solidFill>
                    <a:schemeClr val="accent2">
                      <a:shade val="42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c:ext uri="{02D57815-91ED-43cb-92C2-25804820EDAC}">
                        <c15:formulaRef>
                          <c15:sqref>'individual-chart-pre-ets'!$B$3:$B$46</c15:sqref>
                        </c15:formulaRef>
                      </c:ext>
                    </c:extLst>
                    <c:strCache>
                      <c:ptCount val="2"/>
                      <c:pt idx="0">
                        <c:v>Activity</c:v>
                      </c:pt>
                      <c:pt idx="1">
                        <c:v>Outputs</c:v>
                      </c:pt>
                    </c:strCache>
                  </c:strRef>
                </c:cat>
                <c:val>
                  <c:numRef>
                    <c:extLst>
                      <c:ext uri="{02D57815-91ED-43cb-92C2-25804820EDAC}">
                        <c15:formulaRef>
                          <c15:sqref>'individual-chart-pre-ets'!$C$3:$C$46</c15:sqref>
                        </c15:formulaRef>
                      </c:ext>
                    </c:extLst>
                    <c:numCache>
                      <c:formatCode>0%</c:formatCode>
                      <c:ptCount val="2"/>
                      <c:pt idx="0">
                        <c:v>0.84615384615384615</c:v>
                      </c:pt>
                      <c:pt idx="1">
                        <c:v>0.80769230769230771</c:v>
                      </c:pt>
                    </c:numCache>
                  </c:numRef>
                </c:val>
                <c:extLst>
                  <c:ext xmlns:c16="http://schemas.microsoft.com/office/drawing/2014/chart" uri="{C3380CC4-5D6E-409C-BE32-E72D297353CC}">
                    <c16:uniqueId val="{00000007-8E1F-4DCA-B342-3A74A44ECDBE}"/>
                  </c:ext>
                </c:extLst>
              </c15:ser>
            </c15:filteredBarSeries>
            <c15:filteredBarSeries>
              <c15:ser>
                <c:idx val="1"/>
                <c:order val="1"/>
                <c:tx>
                  <c:strRef>
                    <c:extLst xmlns:c15="http://schemas.microsoft.com/office/drawing/2012/chart">
                      <c:ext xmlns:c15="http://schemas.microsoft.com/office/drawing/2012/chart" uri="{02D57815-91ED-43cb-92C2-25804820EDAC}">
                        <c15:formulaRef>
                          <c15:sqref>'individual-chart-pre-ets'!$D$2</c15:sqref>
                        </c15:formulaRef>
                      </c:ext>
                    </c:extLst>
                    <c:strCache>
                      <c:ptCount val="1"/>
                      <c:pt idx="0">
                        <c:v>In progress</c:v>
                      </c:pt>
                    </c:strCache>
                  </c:strRef>
                </c:tx>
                <c:spPr>
                  <a:solidFill>
                    <a:schemeClr val="accent2">
                      <a:shade val="5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'individual-chart-pre-ets'!$B$3:$B$46</c15:sqref>
                        </c15:formulaRef>
                      </c:ext>
                    </c:extLst>
                    <c:strCache>
                      <c:ptCount val="2"/>
                      <c:pt idx="0">
                        <c:v>Activity</c:v>
                      </c:pt>
                      <c:pt idx="1">
                        <c:v>Outputs</c:v>
                      </c:pt>
                    </c:strCache>
                  </c:strRef>
                </c:cat>
                <c:val>
                  <c:numRef>
                    <c:extLst xmlns:c15="http://schemas.microsoft.com/office/drawing/2012/chart">
                      <c:ext xmlns:c15="http://schemas.microsoft.com/office/drawing/2012/chart" uri="{02D57815-91ED-43cb-92C2-25804820EDAC}">
                        <c15:formulaRef>
                          <c15:sqref>'individual-chart-pre-ets'!$D$3:$D$46</c15:sqref>
                        </c15:formulaRef>
                      </c:ext>
                    </c:extLst>
                    <c:numCache>
                      <c:formatCode>0%</c:formatCode>
                      <c:ptCount val="2"/>
                      <c:pt idx="0">
                        <c:v>7.6923076923076927E-2</c:v>
                      </c:pt>
                      <c:pt idx="1">
                        <c:v>0.11538461538461539</c:v>
                      </c:pt>
                    </c:numCache>
                  </c:numRef>
                </c:val>
                <c:extLst xmlns:c15="http://schemas.microsoft.com/office/drawing/2012/chart">
                  <c:ext xmlns:c16="http://schemas.microsoft.com/office/drawing/2014/chart" uri="{C3380CC4-5D6E-409C-BE32-E72D297353CC}">
                    <c16:uniqueId val="{00000008-8E1F-4DCA-B342-3A74A44ECDBE}"/>
                  </c:ext>
                </c:extLst>
              </c15:ser>
            </c15:filteredBarSeries>
            <c15:filteredBarSeries>
              <c15:ser>
                <c:idx val="2"/>
                <c:order val="2"/>
                <c:tx>
                  <c:strRef>
                    <c:extLst xmlns:c15="http://schemas.microsoft.com/office/drawing/2012/chart">
                      <c:ext xmlns:c15="http://schemas.microsoft.com/office/drawing/2012/chart" uri="{02D57815-91ED-43cb-92C2-25804820EDAC}">
                        <c15:formulaRef>
                          <c15:sqref>'individual-chart-pre-ets'!$E$2</c15:sqref>
                        </c15:formulaRef>
                      </c:ext>
                    </c:extLst>
                    <c:strCache>
                      <c:ptCount val="1"/>
                      <c:pt idx="0">
                        <c:v>Not started</c:v>
                      </c:pt>
                    </c:strCache>
                  </c:strRef>
                </c:tx>
                <c:spPr>
                  <a:solidFill>
                    <a:schemeClr val="accent2">
                      <a:shade val="68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'individual-chart-pre-ets'!$B$3:$B$46</c15:sqref>
                        </c15:formulaRef>
                      </c:ext>
                    </c:extLst>
                    <c:strCache>
                      <c:ptCount val="2"/>
                      <c:pt idx="0">
                        <c:v>Activity</c:v>
                      </c:pt>
                      <c:pt idx="1">
                        <c:v>Outputs</c:v>
                      </c:pt>
                    </c:strCache>
                  </c:strRef>
                </c:cat>
                <c:val>
                  <c:numRef>
                    <c:extLst xmlns:c15="http://schemas.microsoft.com/office/drawing/2012/chart">
                      <c:ext xmlns:c15="http://schemas.microsoft.com/office/drawing/2012/chart" uri="{02D57815-91ED-43cb-92C2-25804820EDAC}">
                        <c15:formulaRef>
                          <c15:sqref>'individual-chart-pre-ets'!$E$3:$E$46</c15:sqref>
                        </c15:formulaRef>
                      </c:ext>
                    </c:extLst>
                    <c:numCache>
                      <c:formatCode>0%</c:formatCode>
                      <c:ptCount val="2"/>
                      <c:pt idx="0">
                        <c:v>7.6923076923076927E-2</c:v>
                      </c:pt>
                      <c:pt idx="1">
                        <c:v>7.6923076923076927E-2</c:v>
                      </c:pt>
                    </c:numCache>
                  </c:numRef>
                </c:val>
                <c:extLst xmlns:c15="http://schemas.microsoft.com/office/drawing/2012/chart">
                  <c:ext xmlns:c16="http://schemas.microsoft.com/office/drawing/2014/chart" uri="{C3380CC4-5D6E-409C-BE32-E72D297353CC}">
                    <c16:uniqueId val="{00000009-8E1F-4DCA-B342-3A74A44ECDBE}"/>
                  </c:ext>
                </c:extLst>
              </c15:ser>
            </c15:filteredBarSeries>
          </c:ext>
        </c:extLst>
      </c:barChart>
      <c:catAx>
        <c:axId val="7909581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n-US"/>
          </a:p>
        </c:txPr>
        <c:crossAx val="790961408"/>
        <c:crosses val="autoZero"/>
        <c:auto val="1"/>
        <c:lblAlgn val="ctr"/>
        <c:lblOffset val="100"/>
        <c:noMultiLvlLbl val="0"/>
      </c:catAx>
      <c:valAx>
        <c:axId val="790961408"/>
        <c:scaling>
          <c:orientation val="minMax"/>
          <c:min val="0"/>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90958128"/>
        <c:crossesAt val="1"/>
        <c:crossBetween val="between"/>
      </c:valAx>
      <c:spPr>
        <a:noFill/>
        <a:ln>
          <a:noFill/>
        </a:ln>
        <a:effectLst/>
      </c:spPr>
    </c:plotArea>
    <c:legend>
      <c:legendPos val="t"/>
      <c:layout>
        <c:manualLayout>
          <c:xMode val="edge"/>
          <c:yMode val="edge"/>
          <c:x val="0.16878354491402861"/>
          <c:y val="0.14071530758226036"/>
          <c:w val="0.78488188976377948"/>
          <c:h val="8.3691663005643596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userShapes r:id="rId5"/>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4"/>
    </mc:Choice>
    <mc:Fallback>
      <c:style val="4"/>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Topic Area - Pre-ETS </a:t>
            </a:r>
            <a:br>
              <a:rPr lang="en-US"/>
            </a:br>
            <a:r>
              <a:rPr lang="en-US"/>
              <a:t>Activity #6</a:t>
            </a:r>
          </a:p>
        </c:rich>
      </c:tx>
      <c:layout>
        <c:manualLayout>
          <c:xMode val="edge"/>
          <c:yMode val="edge"/>
          <c:x val="0.15852625564661557"/>
          <c:y val="1.4306151645207439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6017916604892113"/>
          <c:y val="0.23265365094271845"/>
          <c:w val="0.78942722632790041"/>
          <c:h val="0.66602748393145406"/>
        </c:manualLayout>
      </c:layout>
      <c:barChart>
        <c:barDir val="col"/>
        <c:grouping val="percentStacked"/>
        <c:varyColors val="0"/>
        <c:ser>
          <c:idx val="3"/>
          <c:order val="3"/>
          <c:tx>
            <c:strRef>
              <c:f>'individual-chart-pre-ets'!$F$2</c:f>
              <c:strCache>
                <c:ptCount val="1"/>
                <c:pt idx="0">
                  <c:v>Completed</c:v>
                </c:pt>
              </c:strCache>
            </c:strRef>
          </c:tx>
          <c:spPr>
            <a:solidFill>
              <a:srgbClr val="99221F"/>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800" b="0"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'individual-chart-pre-ets'!$B$3:$B$46</c:f>
              <c:strCache>
                <c:ptCount val="2"/>
                <c:pt idx="0">
                  <c:v>Activity</c:v>
                </c:pt>
                <c:pt idx="1">
                  <c:v>Outputs</c:v>
                </c:pt>
              </c:strCache>
              <c:extLst/>
            </c:strRef>
          </c:cat>
          <c:val>
            <c:numRef>
              <c:f>'individual-chart-pre-ets'!$F$3:$F$46</c:f>
              <c:numCache>
                <c:formatCode>0%</c:formatCode>
                <c:ptCount val="2"/>
                <c:pt idx="0">
                  <c:v>0.62962962962962965</c:v>
                </c:pt>
                <c:pt idx="1">
                  <c:v>0.59259259259259256</c:v>
                </c:pt>
              </c:numCache>
              <c:extLst/>
            </c:numRef>
          </c:val>
          <c:extLst>
            <c:ext xmlns:c16="http://schemas.microsoft.com/office/drawing/2014/chart" uri="{C3380CC4-5D6E-409C-BE32-E72D297353CC}">
              <c16:uniqueId val="{00000000-1538-4ADA-8DC0-7670E07E493F}"/>
            </c:ext>
          </c:extLst>
        </c:ser>
        <c:ser>
          <c:idx val="4"/>
          <c:order val="4"/>
          <c:tx>
            <c:strRef>
              <c:f>'individual-chart-pre-ets'!$G$2</c:f>
              <c:strCache>
                <c:ptCount val="1"/>
                <c:pt idx="0">
                  <c:v>90%</c:v>
                </c:pt>
              </c:strCache>
            </c:strRef>
          </c:tx>
          <c:spPr>
            <a:solidFill>
              <a:srgbClr val="D73D39"/>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'individual-chart-pre-ets'!$B$3:$B$46</c:f>
              <c:strCache>
                <c:ptCount val="2"/>
                <c:pt idx="0">
                  <c:v>Activity</c:v>
                </c:pt>
                <c:pt idx="1">
                  <c:v>Outputs</c:v>
                </c:pt>
              </c:strCache>
              <c:extLst/>
            </c:strRef>
          </c:cat>
          <c:val>
            <c:numRef>
              <c:f>'individual-chart-pre-ets'!$G$3:$G$46</c:f>
              <c:numCache>
                <c:formatCode>0%</c:formatCode>
                <c:ptCount val="2"/>
                <c:pt idx="0">
                  <c:v>3.7037037037037035E-2</c:v>
                </c:pt>
                <c:pt idx="1">
                  <c:v>3.7037037037037035E-2</c:v>
                </c:pt>
              </c:numCache>
              <c:extLst/>
            </c:numRef>
          </c:val>
          <c:extLst>
            <c:ext xmlns:c16="http://schemas.microsoft.com/office/drawing/2014/chart" uri="{C3380CC4-5D6E-409C-BE32-E72D297353CC}">
              <c16:uniqueId val="{00000001-1538-4ADA-8DC0-7670E07E493F}"/>
            </c:ext>
          </c:extLst>
        </c:ser>
        <c:ser>
          <c:idx val="5"/>
          <c:order val="5"/>
          <c:tx>
            <c:strRef>
              <c:f>'individual-chart-pre-ets'!$H$2</c:f>
              <c:strCache>
                <c:ptCount val="1"/>
                <c:pt idx="0">
                  <c:v>75%</c:v>
                </c:pt>
              </c:strCache>
            </c:strRef>
          </c:tx>
          <c:spPr>
            <a:solidFill>
              <a:srgbClr val="DC535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'individual-chart-pre-ets'!$B$3:$B$46</c:f>
              <c:strCache>
                <c:ptCount val="2"/>
                <c:pt idx="0">
                  <c:v>Activity</c:v>
                </c:pt>
                <c:pt idx="1">
                  <c:v>Outputs</c:v>
                </c:pt>
              </c:strCache>
              <c:extLst/>
            </c:strRef>
          </c:cat>
          <c:val>
            <c:numRef>
              <c:f>'individual-chart-pre-ets'!$H$3:$H$46</c:f>
              <c:numCache>
                <c:formatCode>0%</c:formatCode>
                <c:ptCount val="2"/>
                <c:pt idx="1">
                  <c:v>3.7037037037037035E-2</c:v>
                </c:pt>
              </c:numCache>
              <c:extLst/>
            </c:numRef>
          </c:val>
          <c:extLst>
            <c:ext xmlns:c16="http://schemas.microsoft.com/office/drawing/2014/chart" uri="{C3380CC4-5D6E-409C-BE32-E72D297353CC}">
              <c16:uniqueId val="{00000002-1538-4ADA-8DC0-7670E07E493F}"/>
            </c:ext>
          </c:extLst>
        </c:ser>
        <c:ser>
          <c:idx val="6"/>
          <c:order val="6"/>
          <c:tx>
            <c:strRef>
              <c:f>'individual-chart-pre-ets'!$I$2</c:f>
              <c:strCache>
                <c:ptCount val="1"/>
                <c:pt idx="0">
                  <c:v>50%</c:v>
                </c:pt>
              </c:strCache>
            </c:strRef>
          </c:tx>
          <c:spPr>
            <a:solidFill>
              <a:srgbClr val="EBA19F"/>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'individual-chart-pre-ets'!$B$3:$B$46</c:f>
              <c:strCache>
                <c:ptCount val="2"/>
                <c:pt idx="0">
                  <c:v>Activity</c:v>
                </c:pt>
                <c:pt idx="1">
                  <c:v>Outputs</c:v>
                </c:pt>
              </c:strCache>
              <c:extLst/>
            </c:strRef>
          </c:cat>
          <c:val>
            <c:numRef>
              <c:f>'individual-chart-pre-ets'!$I$3:$I$46</c:f>
              <c:numCache>
                <c:formatCode>0%</c:formatCode>
                <c:ptCount val="2"/>
                <c:pt idx="0">
                  <c:v>7.407407407407407E-2</c:v>
                </c:pt>
                <c:pt idx="1">
                  <c:v>7.407407407407407E-2</c:v>
                </c:pt>
              </c:numCache>
              <c:extLst/>
            </c:numRef>
          </c:val>
          <c:extLst>
            <c:ext xmlns:c16="http://schemas.microsoft.com/office/drawing/2014/chart" uri="{C3380CC4-5D6E-409C-BE32-E72D297353CC}">
              <c16:uniqueId val="{00000003-1538-4ADA-8DC0-7670E07E493F}"/>
            </c:ext>
          </c:extLst>
        </c:ser>
        <c:ser>
          <c:idx val="7"/>
          <c:order val="7"/>
          <c:tx>
            <c:strRef>
              <c:f>'individual-chart-pre-ets'!$J$2</c:f>
              <c:strCache>
                <c:ptCount val="1"/>
                <c:pt idx="0">
                  <c:v>25%</c:v>
                </c:pt>
              </c:strCache>
            </c:strRef>
          </c:tx>
          <c:spPr>
            <a:solidFill>
              <a:srgbClr val="F3C6C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'individual-chart-pre-ets'!$B$3:$B$46</c:f>
              <c:strCache>
                <c:ptCount val="2"/>
                <c:pt idx="0">
                  <c:v>Activity</c:v>
                </c:pt>
                <c:pt idx="1">
                  <c:v>Outputs</c:v>
                </c:pt>
              </c:strCache>
              <c:extLst/>
            </c:strRef>
          </c:cat>
          <c:val>
            <c:numRef>
              <c:f>'individual-chart-pre-ets'!$J$3:$J$46</c:f>
              <c:numCache>
                <c:formatCode>General</c:formatCode>
                <c:ptCount val="2"/>
              </c:numCache>
              <c:extLst/>
            </c:numRef>
          </c:val>
          <c:extLst>
            <c:ext xmlns:c16="http://schemas.microsoft.com/office/drawing/2014/chart" uri="{C3380CC4-5D6E-409C-BE32-E72D297353CC}">
              <c16:uniqueId val="{00000004-1538-4ADA-8DC0-7670E07E493F}"/>
            </c:ext>
          </c:extLst>
        </c:ser>
        <c:ser>
          <c:idx val="8"/>
          <c:order val="8"/>
          <c:tx>
            <c:strRef>
              <c:f>'individual-chart-pre-ets'!$K$2</c:f>
              <c:strCache>
                <c:ptCount val="1"/>
                <c:pt idx="0">
                  <c:v>10%</c:v>
                </c:pt>
              </c:strCache>
            </c:strRef>
          </c:tx>
          <c:spPr>
            <a:solidFill>
              <a:schemeClr val="accent2">
                <a:tint val="56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'individual-chart-pre-ets'!$B$3:$B$46</c:f>
              <c:strCache>
                <c:ptCount val="2"/>
                <c:pt idx="0">
                  <c:v>Activity</c:v>
                </c:pt>
                <c:pt idx="1">
                  <c:v>Outputs</c:v>
                </c:pt>
              </c:strCache>
              <c:extLst/>
            </c:strRef>
          </c:cat>
          <c:val>
            <c:numRef>
              <c:f>'individual-chart-pre-ets'!$K$3:$K$46</c:f>
              <c:numCache>
                <c:formatCode>General</c:formatCode>
                <c:ptCount val="2"/>
              </c:numCache>
              <c:extLst/>
            </c:numRef>
          </c:val>
          <c:extLst>
            <c:ext xmlns:c16="http://schemas.microsoft.com/office/drawing/2014/chart" uri="{C3380CC4-5D6E-409C-BE32-E72D297353CC}">
              <c16:uniqueId val="{00000005-1538-4ADA-8DC0-7670E07E493F}"/>
            </c:ext>
          </c:extLst>
        </c:ser>
        <c:ser>
          <c:idx val="9"/>
          <c:order val="9"/>
          <c:tx>
            <c:strRef>
              <c:f>'individual-chart-pre-ets'!$L$2</c:f>
              <c:strCache>
                <c:ptCount val="1"/>
                <c:pt idx="0">
                  <c:v>Not Started</c:v>
                </c:pt>
              </c:strCache>
            </c:strRef>
          </c:tx>
          <c:spPr>
            <a:solidFill>
              <a:srgbClr val="FCF2F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'individual-chart-pre-ets'!$B$3:$B$46</c:f>
              <c:strCache>
                <c:ptCount val="2"/>
                <c:pt idx="0">
                  <c:v>Activity</c:v>
                </c:pt>
                <c:pt idx="1">
                  <c:v>Outputs</c:v>
                </c:pt>
              </c:strCache>
              <c:extLst/>
            </c:strRef>
          </c:cat>
          <c:val>
            <c:numRef>
              <c:f>'individual-chart-pre-ets'!$L$3:$L$46</c:f>
              <c:numCache>
                <c:formatCode>0%</c:formatCode>
                <c:ptCount val="2"/>
                <c:pt idx="0">
                  <c:v>0.25925925925925924</c:v>
                </c:pt>
                <c:pt idx="1">
                  <c:v>0.25925925925925924</c:v>
                </c:pt>
              </c:numCache>
              <c:extLst/>
            </c:numRef>
          </c:val>
          <c:extLst>
            <c:ext xmlns:c16="http://schemas.microsoft.com/office/drawing/2014/chart" uri="{C3380CC4-5D6E-409C-BE32-E72D297353CC}">
              <c16:uniqueId val="{00000006-1538-4ADA-8DC0-7670E07E493F}"/>
            </c:ext>
          </c:extLst>
        </c:ser>
        <c:dLbls>
          <c:dLblPos val="ctr"/>
          <c:showLegendKey val="0"/>
          <c:showVal val="1"/>
          <c:showCatName val="0"/>
          <c:showSerName val="0"/>
          <c:showPercent val="0"/>
          <c:showBubbleSize val="0"/>
        </c:dLbls>
        <c:gapWidth val="150"/>
        <c:overlap val="100"/>
        <c:axId val="790958128"/>
        <c:axId val="790961408"/>
        <c:extLst>
          <c:ext xmlns:c15="http://schemas.microsoft.com/office/drawing/2012/chart" uri="{02D57815-91ED-43cb-92C2-25804820EDAC}">
            <c15:filteredBarSeries>
              <c15:ser>
                <c:idx val="0"/>
                <c:order val="0"/>
                <c:tx>
                  <c:strRef>
                    <c:extLst>
                      <c:ext uri="{02D57815-91ED-43cb-92C2-25804820EDAC}">
                        <c15:formulaRef>
                          <c15:sqref>'individual-chart-pre-ets'!$C$2</c15:sqref>
                        </c15:formulaRef>
                      </c:ext>
                    </c:extLst>
                    <c:strCache>
                      <c:ptCount val="1"/>
                      <c:pt idx="0">
                        <c:v>Completed</c:v>
                      </c:pt>
                    </c:strCache>
                  </c:strRef>
                </c:tx>
                <c:spPr>
                  <a:solidFill>
                    <a:schemeClr val="accent2">
                      <a:shade val="42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c:ext uri="{02D57815-91ED-43cb-92C2-25804820EDAC}">
                        <c15:formulaRef>
                          <c15:sqref>'individual-chart-pre-ets'!$B$3:$B$46</c15:sqref>
                        </c15:formulaRef>
                      </c:ext>
                    </c:extLst>
                    <c:strCache>
                      <c:ptCount val="2"/>
                      <c:pt idx="0">
                        <c:v>Activity</c:v>
                      </c:pt>
                      <c:pt idx="1">
                        <c:v>Outputs</c:v>
                      </c:pt>
                    </c:strCache>
                  </c:strRef>
                </c:cat>
                <c:val>
                  <c:numRef>
                    <c:extLst>
                      <c:ext uri="{02D57815-91ED-43cb-92C2-25804820EDAC}">
                        <c15:formulaRef>
                          <c15:sqref>'individual-chart-pre-ets'!$C$3:$C$46</c15:sqref>
                        </c15:formulaRef>
                      </c:ext>
                    </c:extLst>
                    <c:numCache>
                      <c:formatCode>0%</c:formatCode>
                      <c:ptCount val="2"/>
                      <c:pt idx="0">
                        <c:v>0.62962962962962965</c:v>
                      </c:pt>
                      <c:pt idx="1">
                        <c:v>0.59259259259259256</c:v>
                      </c:pt>
                    </c:numCache>
                  </c:numRef>
                </c:val>
                <c:extLst>
                  <c:ext xmlns:c16="http://schemas.microsoft.com/office/drawing/2014/chart" uri="{C3380CC4-5D6E-409C-BE32-E72D297353CC}">
                    <c16:uniqueId val="{00000007-1538-4ADA-8DC0-7670E07E493F}"/>
                  </c:ext>
                </c:extLst>
              </c15:ser>
            </c15:filteredBarSeries>
            <c15:filteredBarSeries>
              <c15:ser>
                <c:idx val="1"/>
                <c:order val="1"/>
                <c:tx>
                  <c:strRef>
                    <c:extLst xmlns:c15="http://schemas.microsoft.com/office/drawing/2012/chart">
                      <c:ext xmlns:c15="http://schemas.microsoft.com/office/drawing/2012/chart" uri="{02D57815-91ED-43cb-92C2-25804820EDAC}">
                        <c15:formulaRef>
                          <c15:sqref>'individual-chart-pre-ets'!$D$2</c15:sqref>
                        </c15:formulaRef>
                      </c:ext>
                    </c:extLst>
                    <c:strCache>
                      <c:ptCount val="1"/>
                      <c:pt idx="0">
                        <c:v>In progress</c:v>
                      </c:pt>
                    </c:strCache>
                  </c:strRef>
                </c:tx>
                <c:spPr>
                  <a:solidFill>
                    <a:schemeClr val="accent2">
                      <a:shade val="5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'individual-chart-pre-ets'!$B$3:$B$46</c15:sqref>
                        </c15:formulaRef>
                      </c:ext>
                    </c:extLst>
                    <c:strCache>
                      <c:ptCount val="2"/>
                      <c:pt idx="0">
                        <c:v>Activity</c:v>
                      </c:pt>
                      <c:pt idx="1">
                        <c:v>Outputs</c:v>
                      </c:pt>
                    </c:strCache>
                  </c:strRef>
                </c:cat>
                <c:val>
                  <c:numRef>
                    <c:extLst xmlns:c15="http://schemas.microsoft.com/office/drawing/2012/chart">
                      <c:ext xmlns:c15="http://schemas.microsoft.com/office/drawing/2012/chart" uri="{02D57815-91ED-43cb-92C2-25804820EDAC}">
                        <c15:formulaRef>
                          <c15:sqref>'individual-chart-pre-ets'!$D$3:$D$46</c15:sqref>
                        </c15:formulaRef>
                      </c:ext>
                    </c:extLst>
                    <c:numCache>
                      <c:formatCode>0%</c:formatCode>
                      <c:ptCount val="2"/>
                      <c:pt idx="0">
                        <c:v>0.1111111111111111</c:v>
                      </c:pt>
                      <c:pt idx="1">
                        <c:v>0.14814814814814814</c:v>
                      </c:pt>
                    </c:numCache>
                  </c:numRef>
                </c:val>
                <c:extLst xmlns:c15="http://schemas.microsoft.com/office/drawing/2012/chart">
                  <c:ext xmlns:c16="http://schemas.microsoft.com/office/drawing/2014/chart" uri="{C3380CC4-5D6E-409C-BE32-E72D297353CC}">
                    <c16:uniqueId val="{00000008-1538-4ADA-8DC0-7670E07E493F}"/>
                  </c:ext>
                </c:extLst>
              </c15:ser>
            </c15:filteredBarSeries>
            <c15:filteredBarSeries>
              <c15:ser>
                <c:idx val="2"/>
                <c:order val="2"/>
                <c:tx>
                  <c:strRef>
                    <c:extLst xmlns:c15="http://schemas.microsoft.com/office/drawing/2012/chart">
                      <c:ext xmlns:c15="http://schemas.microsoft.com/office/drawing/2012/chart" uri="{02D57815-91ED-43cb-92C2-25804820EDAC}">
                        <c15:formulaRef>
                          <c15:sqref>'individual-chart-pre-ets'!$E$2</c15:sqref>
                        </c15:formulaRef>
                      </c:ext>
                    </c:extLst>
                    <c:strCache>
                      <c:ptCount val="1"/>
                      <c:pt idx="0">
                        <c:v>Not started</c:v>
                      </c:pt>
                    </c:strCache>
                  </c:strRef>
                </c:tx>
                <c:spPr>
                  <a:solidFill>
                    <a:schemeClr val="accent2">
                      <a:shade val="68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'individual-chart-pre-ets'!$B$3:$B$46</c15:sqref>
                        </c15:formulaRef>
                      </c:ext>
                    </c:extLst>
                    <c:strCache>
                      <c:ptCount val="2"/>
                      <c:pt idx="0">
                        <c:v>Activity</c:v>
                      </c:pt>
                      <c:pt idx="1">
                        <c:v>Outputs</c:v>
                      </c:pt>
                    </c:strCache>
                  </c:strRef>
                </c:cat>
                <c:val>
                  <c:numRef>
                    <c:extLst xmlns:c15="http://schemas.microsoft.com/office/drawing/2012/chart">
                      <c:ext xmlns:c15="http://schemas.microsoft.com/office/drawing/2012/chart" uri="{02D57815-91ED-43cb-92C2-25804820EDAC}">
                        <c15:formulaRef>
                          <c15:sqref>'individual-chart-pre-ets'!$E$3:$E$46</c15:sqref>
                        </c15:formulaRef>
                      </c:ext>
                    </c:extLst>
                    <c:numCache>
                      <c:formatCode>0%</c:formatCode>
                      <c:ptCount val="2"/>
                      <c:pt idx="0">
                        <c:v>0.25925925925925924</c:v>
                      </c:pt>
                      <c:pt idx="1">
                        <c:v>0.25925925925925924</c:v>
                      </c:pt>
                    </c:numCache>
                  </c:numRef>
                </c:val>
                <c:extLst xmlns:c15="http://schemas.microsoft.com/office/drawing/2012/chart">
                  <c:ext xmlns:c16="http://schemas.microsoft.com/office/drawing/2014/chart" uri="{C3380CC4-5D6E-409C-BE32-E72D297353CC}">
                    <c16:uniqueId val="{00000009-1538-4ADA-8DC0-7670E07E493F}"/>
                  </c:ext>
                </c:extLst>
              </c15:ser>
            </c15:filteredBarSeries>
          </c:ext>
        </c:extLst>
      </c:barChart>
      <c:catAx>
        <c:axId val="7909581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n-US"/>
          </a:p>
        </c:txPr>
        <c:crossAx val="790961408"/>
        <c:crosses val="autoZero"/>
        <c:auto val="1"/>
        <c:lblAlgn val="ctr"/>
        <c:lblOffset val="100"/>
        <c:noMultiLvlLbl val="0"/>
      </c:catAx>
      <c:valAx>
        <c:axId val="790961408"/>
        <c:scaling>
          <c:orientation val="minMax"/>
          <c:min val="0"/>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90958128"/>
        <c:crossesAt val="1"/>
        <c:crossBetween val="between"/>
      </c:valAx>
      <c:spPr>
        <a:noFill/>
        <a:ln>
          <a:noFill/>
        </a:ln>
        <a:effectLst/>
      </c:spPr>
    </c:plotArea>
    <c:legend>
      <c:legendPos val="t"/>
      <c:layout>
        <c:manualLayout>
          <c:xMode val="edge"/>
          <c:yMode val="edge"/>
          <c:x val="0.16878354491402861"/>
          <c:y val="0.14071530758226036"/>
          <c:w val="0.78488188976377948"/>
          <c:h val="8.3691663005643596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userShapes r:id="rId5"/>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4"/>
    </mc:Choice>
    <mc:Fallback>
      <c:style val="4"/>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Topic Area - Pre-ETS </a:t>
            </a:r>
            <a:br>
              <a:rPr lang="en-US"/>
            </a:br>
            <a:r>
              <a:rPr lang="en-US"/>
              <a:t>Activity #7</a:t>
            </a:r>
          </a:p>
        </c:rich>
      </c:tx>
      <c:layout>
        <c:manualLayout>
          <c:xMode val="edge"/>
          <c:yMode val="edge"/>
          <c:x val="0.15852625564661557"/>
          <c:y val="1.4306151645207439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6017916604892113"/>
          <c:y val="0.23265365094271845"/>
          <c:w val="0.78942722632790041"/>
          <c:h val="0.66602748393145406"/>
        </c:manualLayout>
      </c:layout>
      <c:barChart>
        <c:barDir val="col"/>
        <c:grouping val="percentStacked"/>
        <c:varyColors val="0"/>
        <c:ser>
          <c:idx val="3"/>
          <c:order val="3"/>
          <c:tx>
            <c:strRef>
              <c:f>'individual-chart-pre-ets'!$F$2</c:f>
              <c:strCache>
                <c:ptCount val="1"/>
                <c:pt idx="0">
                  <c:v>Completed</c:v>
                </c:pt>
              </c:strCache>
            </c:strRef>
          </c:tx>
          <c:spPr>
            <a:solidFill>
              <a:srgbClr val="99221F"/>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800" b="0"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'individual-chart-pre-ets'!$B$3:$B$46</c:f>
              <c:strCache>
                <c:ptCount val="2"/>
                <c:pt idx="0">
                  <c:v>Activity</c:v>
                </c:pt>
                <c:pt idx="1">
                  <c:v>Outputs</c:v>
                </c:pt>
              </c:strCache>
              <c:extLst/>
            </c:strRef>
          </c:cat>
          <c:val>
            <c:numRef>
              <c:f>'individual-chart-pre-ets'!$F$3:$F$46</c:f>
              <c:numCache>
                <c:formatCode>0%</c:formatCode>
                <c:ptCount val="2"/>
                <c:pt idx="0">
                  <c:v>0.66666666666666663</c:v>
                </c:pt>
                <c:pt idx="1">
                  <c:v>0.66666666666666663</c:v>
                </c:pt>
              </c:numCache>
              <c:extLst/>
            </c:numRef>
          </c:val>
          <c:extLst>
            <c:ext xmlns:c16="http://schemas.microsoft.com/office/drawing/2014/chart" uri="{C3380CC4-5D6E-409C-BE32-E72D297353CC}">
              <c16:uniqueId val="{00000000-AC7D-40E6-B47E-7D922707B6ED}"/>
            </c:ext>
          </c:extLst>
        </c:ser>
        <c:ser>
          <c:idx val="4"/>
          <c:order val="4"/>
          <c:tx>
            <c:strRef>
              <c:f>'individual-chart-pre-ets'!$G$2</c:f>
              <c:strCache>
                <c:ptCount val="1"/>
                <c:pt idx="0">
                  <c:v>90%</c:v>
                </c:pt>
              </c:strCache>
            </c:strRef>
          </c:tx>
          <c:spPr>
            <a:solidFill>
              <a:srgbClr val="D73D39"/>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'individual-chart-pre-ets'!$B$3:$B$46</c:f>
              <c:strCache>
                <c:ptCount val="2"/>
                <c:pt idx="0">
                  <c:v>Activity</c:v>
                </c:pt>
                <c:pt idx="1">
                  <c:v>Outputs</c:v>
                </c:pt>
              </c:strCache>
              <c:extLst/>
            </c:strRef>
          </c:cat>
          <c:val>
            <c:numRef>
              <c:f>'individual-chart-pre-ets'!$G$3:$G$46</c:f>
              <c:numCache>
                <c:formatCode>General</c:formatCode>
                <c:ptCount val="2"/>
              </c:numCache>
              <c:extLst/>
            </c:numRef>
          </c:val>
          <c:extLst>
            <c:ext xmlns:c16="http://schemas.microsoft.com/office/drawing/2014/chart" uri="{C3380CC4-5D6E-409C-BE32-E72D297353CC}">
              <c16:uniqueId val="{00000001-AC7D-40E6-B47E-7D922707B6ED}"/>
            </c:ext>
          </c:extLst>
        </c:ser>
        <c:ser>
          <c:idx val="5"/>
          <c:order val="5"/>
          <c:tx>
            <c:strRef>
              <c:f>'individual-chart-pre-ets'!$H$2</c:f>
              <c:strCache>
                <c:ptCount val="1"/>
                <c:pt idx="0">
                  <c:v>75%</c:v>
                </c:pt>
              </c:strCache>
            </c:strRef>
          </c:tx>
          <c:spPr>
            <a:solidFill>
              <a:srgbClr val="DC535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'individual-chart-pre-ets'!$B$3:$B$46</c:f>
              <c:strCache>
                <c:ptCount val="2"/>
                <c:pt idx="0">
                  <c:v>Activity</c:v>
                </c:pt>
                <c:pt idx="1">
                  <c:v>Outputs</c:v>
                </c:pt>
              </c:strCache>
              <c:extLst/>
            </c:strRef>
          </c:cat>
          <c:val>
            <c:numRef>
              <c:f>'individual-chart-pre-ets'!$H$3:$H$46</c:f>
              <c:numCache>
                <c:formatCode>General</c:formatCode>
                <c:ptCount val="2"/>
              </c:numCache>
              <c:extLst/>
            </c:numRef>
          </c:val>
          <c:extLst>
            <c:ext xmlns:c16="http://schemas.microsoft.com/office/drawing/2014/chart" uri="{C3380CC4-5D6E-409C-BE32-E72D297353CC}">
              <c16:uniqueId val="{00000002-AC7D-40E6-B47E-7D922707B6ED}"/>
            </c:ext>
          </c:extLst>
        </c:ser>
        <c:ser>
          <c:idx val="6"/>
          <c:order val="6"/>
          <c:tx>
            <c:strRef>
              <c:f>'individual-chart-pre-ets'!$I$2</c:f>
              <c:strCache>
                <c:ptCount val="1"/>
                <c:pt idx="0">
                  <c:v>50%</c:v>
                </c:pt>
              </c:strCache>
            </c:strRef>
          </c:tx>
          <c:spPr>
            <a:solidFill>
              <a:srgbClr val="EBA19F"/>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'individual-chart-pre-ets'!$B$3:$B$46</c:f>
              <c:strCache>
                <c:ptCount val="2"/>
                <c:pt idx="0">
                  <c:v>Activity</c:v>
                </c:pt>
                <c:pt idx="1">
                  <c:v>Outputs</c:v>
                </c:pt>
              </c:strCache>
              <c:extLst/>
            </c:strRef>
          </c:cat>
          <c:val>
            <c:numRef>
              <c:f>'individual-chart-pre-ets'!$I$3:$I$46</c:f>
              <c:numCache>
                <c:formatCode>General</c:formatCode>
                <c:ptCount val="2"/>
              </c:numCache>
              <c:extLst/>
            </c:numRef>
          </c:val>
          <c:extLst>
            <c:ext xmlns:c16="http://schemas.microsoft.com/office/drawing/2014/chart" uri="{C3380CC4-5D6E-409C-BE32-E72D297353CC}">
              <c16:uniqueId val="{00000003-AC7D-40E6-B47E-7D922707B6ED}"/>
            </c:ext>
          </c:extLst>
        </c:ser>
        <c:ser>
          <c:idx val="7"/>
          <c:order val="7"/>
          <c:tx>
            <c:strRef>
              <c:f>'individual-chart-pre-ets'!$J$2</c:f>
              <c:strCache>
                <c:ptCount val="1"/>
                <c:pt idx="0">
                  <c:v>25%</c:v>
                </c:pt>
              </c:strCache>
            </c:strRef>
          </c:tx>
          <c:spPr>
            <a:solidFill>
              <a:srgbClr val="F3C6C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'individual-chart-pre-ets'!$B$3:$B$46</c:f>
              <c:strCache>
                <c:ptCount val="2"/>
                <c:pt idx="0">
                  <c:v>Activity</c:v>
                </c:pt>
                <c:pt idx="1">
                  <c:v>Outputs</c:v>
                </c:pt>
              </c:strCache>
              <c:extLst/>
            </c:strRef>
          </c:cat>
          <c:val>
            <c:numRef>
              <c:f>'individual-chart-pre-ets'!$J$3:$J$46</c:f>
              <c:numCache>
                <c:formatCode>General</c:formatCode>
                <c:ptCount val="2"/>
                <c:pt idx="0" formatCode="0%">
                  <c:v>0.1111111111111111</c:v>
                </c:pt>
              </c:numCache>
              <c:extLst/>
            </c:numRef>
          </c:val>
          <c:extLst>
            <c:ext xmlns:c16="http://schemas.microsoft.com/office/drawing/2014/chart" uri="{C3380CC4-5D6E-409C-BE32-E72D297353CC}">
              <c16:uniqueId val="{00000004-AC7D-40E6-B47E-7D922707B6ED}"/>
            </c:ext>
          </c:extLst>
        </c:ser>
        <c:ser>
          <c:idx val="8"/>
          <c:order val="8"/>
          <c:tx>
            <c:strRef>
              <c:f>'individual-chart-pre-ets'!$K$2</c:f>
              <c:strCache>
                <c:ptCount val="1"/>
                <c:pt idx="0">
                  <c:v>10%</c:v>
                </c:pt>
              </c:strCache>
            </c:strRef>
          </c:tx>
          <c:spPr>
            <a:solidFill>
              <a:schemeClr val="accent2">
                <a:tint val="56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'individual-chart-pre-ets'!$B$3:$B$46</c:f>
              <c:strCache>
                <c:ptCount val="2"/>
                <c:pt idx="0">
                  <c:v>Activity</c:v>
                </c:pt>
                <c:pt idx="1">
                  <c:v>Outputs</c:v>
                </c:pt>
              </c:strCache>
              <c:extLst/>
            </c:strRef>
          </c:cat>
          <c:val>
            <c:numRef>
              <c:f>'individual-chart-pre-ets'!$K$3:$K$46</c:f>
              <c:numCache>
                <c:formatCode>General</c:formatCode>
                <c:ptCount val="2"/>
              </c:numCache>
              <c:extLst/>
            </c:numRef>
          </c:val>
          <c:extLst>
            <c:ext xmlns:c16="http://schemas.microsoft.com/office/drawing/2014/chart" uri="{C3380CC4-5D6E-409C-BE32-E72D297353CC}">
              <c16:uniqueId val="{00000005-AC7D-40E6-B47E-7D922707B6ED}"/>
            </c:ext>
          </c:extLst>
        </c:ser>
        <c:ser>
          <c:idx val="9"/>
          <c:order val="9"/>
          <c:tx>
            <c:strRef>
              <c:f>'individual-chart-pre-ets'!$L$2</c:f>
              <c:strCache>
                <c:ptCount val="1"/>
                <c:pt idx="0">
                  <c:v>Not Started</c:v>
                </c:pt>
              </c:strCache>
            </c:strRef>
          </c:tx>
          <c:spPr>
            <a:solidFill>
              <a:srgbClr val="FCF2F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'individual-chart-pre-ets'!$B$3:$B$46</c:f>
              <c:strCache>
                <c:ptCount val="2"/>
                <c:pt idx="0">
                  <c:v>Activity</c:v>
                </c:pt>
                <c:pt idx="1">
                  <c:v>Outputs</c:v>
                </c:pt>
              </c:strCache>
              <c:extLst/>
            </c:strRef>
          </c:cat>
          <c:val>
            <c:numRef>
              <c:f>'individual-chart-pre-ets'!$L$3:$L$46</c:f>
              <c:numCache>
                <c:formatCode>0%</c:formatCode>
                <c:ptCount val="2"/>
                <c:pt idx="0">
                  <c:v>0.22222222222222221</c:v>
                </c:pt>
                <c:pt idx="1">
                  <c:v>0.33333333333333331</c:v>
                </c:pt>
              </c:numCache>
              <c:extLst/>
            </c:numRef>
          </c:val>
          <c:extLst>
            <c:ext xmlns:c16="http://schemas.microsoft.com/office/drawing/2014/chart" uri="{C3380CC4-5D6E-409C-BE32-E72D297353CC}">
              <c16:uniqueId val="{00000006-AC7D-40E6-B47E-7D922707B6ED}"/>
            </c:ext>
          </c:extLst>
        </c:ser>
        <c:dLbls>
          <c:dLblPos val="ctr"/>
          <c:showLegendKey val="0"/>
          <c:showVal val="1"/>
          <c:showCatName val="0"/>
          <c:showSerName val="0"/>
          <c:showPercent val="0"/>
          <c:showBubbleSize val="0"/>
        </c:dLbls>
        <c:gapWidth val="150"/>
        <c:overlap val="100"/>
        <c:axId val="790958128"/>
        <c:axId val="790961408"/>
        <c:extLst>
          <c:ext xmlns:c15="http://schemas.microsoft.com/office/drawing/2012/chart" uri="{02D57815-91ED-43cb-92C2-25804820EDAC}">
            <c15:filteredBarSeries>
              <c15:ser>
                <c:idx val="0"/>
                <c:order val="0"/>
                <c:tx>
                  <c:strRef>
                    <c:extLst>
                      <c:ext uri="{02D57815-91ED-43cb-92C2-25804820EDAC}">
                        <c15:formulaRef>
                          <c15:sqref>'individual-chart-pre-ets'!$C$2</c15:sqref>
                        </c15:formulaRef>
                      </c:ext>
                    </c:extLst>
                    <c:strCache>
                      <c:ptCount val="1"/>
                      <c:pt idx="0">
                        <c:v>Completed</c:v>
                      </c:pt>
                    </c:strCache>
                  </c:strRef>
                </c:tx>
                <c:spPr>
                  <a:solidFill>
                    <a:schemeClr val="accent2">
                      <a:shade val="42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c:ext uri="{02D57815-91ED-43cb-92C2-25804820EDAC}">
                        <c15:formulaRef>
                          <c15:sqref>'individual-chart-pre-ets'!$B$3:$B$46</c15:sqref>
                        </c15:formulaRef>
                      </c:ext>
                    </c:extLst>
                    <c:strCache>
                      <c:ptCount val="2"/>
                      <c:pt idx="0">
                        <c:v>Activity</c:v>
                      </c:pt>
                      <c:pt idx="1">
                        <c:v>Outputs</c:v>
                      </c:pt>
                    </c:strCache>
                  </c:strRef>
                </c:cat>
                <c:val>
                  <c:numRef>
                    <c:extLst>
                      <c:ext uri="{02D57815-91ED-43cb-92C2-25804820EDAC}">
                        <c15:formulaRef>
                          <c15:sqref>'individual-chart-pre-ets'!$C$3:$C$46</c15:sqref>
                        </c15:formulaRef>
                      </c:ext>
                    </c:extLst>
                    <c:numCache>
                      <c:formatCode>0%</c:formatCode>
                      <c:ptCount val="2"/>
                      <c:pt idx="0">
                        <c:v>0.66666666666666663</c:v>
                      </c:pt>
                      <c:pt idx="1">
                        <c:v>0.66666666666666663</c:v>
                      </c:pt>
                    </c:numCache>
                  </c:numRef>
                </c:val>
                <c:extLst>
                  <c:ext xmlns:c16="http://schemas.microsoft.com/office/drawing/2014/chart" uri="{C3380CC4-5D6E-409C-BE32-E72D297353CC}">
                    <c16:uniqueId val="{00000007-AC7D-40E6-B47E-7D922707B6ED}"/>
                  </c:ext>
                </c:extLst>
              </c15:ser>
            </c15:filteredBarSeries>
            <c15:filteredBarSeries>
              <c15:ser>
                <c:idx val="1"/>
                <c:order val="1"/>
                <c:tx>
                  <c:strRef>
                    <c:extLst xmlns:c15="http://schemas.microsoft.com/office/drawing/2012/chart">
                      <c:ext xmlns:c15="http://schemas.microsoft.com/office/drawing/2012/chart" uri="{02D57815-91ED-43cb-92C2-25804820EDAC}">
                        <c15:formulaRef>
                          <c15:sqref>'individual-chart-pre-ets'!$D$2</c15:sqref>
                        </c15:formulaRef>
                      </c:ext>
                    </c:extLst>
                    <c:strCache>
                      <c:ptCount val="1"/>
                      <c:pt idx="0">
                        <c:v>In progress</c:v>
                      </c:pt>
                    </c:strCache>
                  </c:strRef>
                </c:tx>
                <c:spPr>
                  <a:solidFill>
                    <a:schemeClr val="accent2">
                      <a:shade val="5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'individual-chart-pre-ets'!$B$3:$B$46</c15:sqref>
                        </c15:formulaRef>
                      </c:ext>
                    </c:extLst>
                    <c:strCache>
                      <c:ptCount val="2"/>
                      <c:pt idx="0">
                        <c:v>Activity</c:v>
                      </c:pt>
                      <c:pt idx="1">
                        <c:v>Outputs</c:v>
                      </c:pt>
                    </c:strCache>
                  </c:strRef>
                </c:cat>
                <c:val>
                  <c:numRef>
                    <c:extLst xmlns:c15="http://schemas.microsoft.com/office/drawing/2012/chart">
                      <c:ext xmlns:c15="http://schemas.microsoft.com/office/drawing/2012/chart" uri="{02D57815-91ED-43cb-92C2-25804820EDAC}">
                        <c15:formulaRef>
                          <c15:sqref>'individual-chart-pre-ets'!$D$3:$D$46</c15:sqref>
                        </c15:formulaRef>
                      </c:ext>
                    </c:extLst>
                    <c:numCache>
                      <c:formatCode>General</c:formatCode>
                      <c:ptCount val="2"/>
                      <c:pt idx="0" formatCode="0%">
                        <c:v>0.1111111111111111</c:v>
                      </c:pt>
                    </c:numCache>
                  </c:numRef>
                </c:val>
                <c:extLst xmlns:c15="http://schemas.microsoft.com/office/drawing/2012/chart">
                  <c:ext xmlns:c16="http://schemas.microsoft.com/office/drawing/2014/chart" uri="{C3380CC4-5D6E-409C-BE32-E72D297353CC}">
                    <c16:uniqueId val="{00000008-AC7D-40E6-B47E-7D922707B6ED}"/>
                  </c:ext>
                </c:extLst>
              </c15:ser>
            </c15:filteredBarSeries>
            <c15:filteredBarSeries>
              <c15:ser>
                <c:idx val="2"/>
                <c:order val="2"/>
                <c:tx>
                  <c:strRef>
                    <c:extLst xmlns:c15="http://schemas.microsoft.com/office/drawing/2012/chart">
                      <c:ext xmlns:c15="http://schemas.microsoft.com/office/drawing/2012/chart" uri="{02D57815-91ED-43cb-92C2-25804820EDAC}">
                        <c15:formulaRef>
                          <c15:sqref>'individual-chart-pre-ets'!$E$2</c15:sqref>
                        </c15:formulaRef>
                      </c:ext>
                    </c:extLst>
                    <c:strCache>
                      <c:ptCount val="1"/>
                      <c:pt idx="0">
                        <c:v>Not started</c:v>
                      </c:pt>
                    </c:strCache>
                  </c:strRef>
                </c:tx>
                <c:spPr>
                  <a:solidFill>
                    <a:schemeClr val="accent2">
                      <a:shade val="68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'individual-chart-pre-ets'!$B$3:$B$46</c15:sqref>
                        </c15:formulaRef>
                      </c:ext>
                    </c:extLst>
                    <c:strCache>
                      <c:ptCount val="2"/>
                      <c:pt idx="0">
                        <c:v>Activity</c:v>
                      </c:pt>
                      <c:pt idx="1">
                        <c:v>Outputs</c:v>
                      </c:pt>
                    </c:strCache>
                  </c:strRef>
                </c:cat>
                <c:val>
                  <c:numRef>
                    <c:extLst xmlns:c15="http://schemas.microsoft.com/office/drawing/2012/chart">
                      <c:ext xmlns:c15="http://schemas.microsoft.com/office/drawing/2012/chart" uri="{02D57815-91ED-43cb-92C2-25804820EDAC}">
                        <c15:formulaRef>
                          <c15:sqref>'individual-chart-pre-ets'!$E$3:$E$46</c15:sqref>
                        </c15:formulaRef>
                      </c:ext>
                    </c:extLst>
                    <c:numCache>
                      <c:formatCode>0%</c:formatCode>
                      <c:ptCount val="2"/>
                      <c:pt idx="0">
                        <c:v>0.22222222222222221</c:v>
                      </c:pt>
                      <c:pt idx="1">
                        <c:v>0.33333333333333331</c:v>
                      </c:pt>
                    </c:numCache>
                  </c:numRef>
                </c:val>
                <c:extLst xmlns:c15="http://schemas.microsoft.com/office/drawing/2012/chart">
                  <c:ext xmlns:c16="http://schemas.microsoft.com/office/drawing/2014/chart" uri="{C3380CC4-5D6E-409C-BE32-E72D297353CC}">
                    <c16:uniqueId val="{00000009-AC7D-40E6-B47E-7D922707B6ED}"/>
                  </c:ext>
                </c:extLst>
              </c15:ser>
            </c15:filteredBarSeries>
          </c:ext>
        </c:extLst>
      </c:barChart>
      <c:catAx>
        <c:axId val="7909581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n-US"/>
          </a:p>
        </c:txPr>
        <c:crossAx val="790961408"/>
        <c:crosses val="autoZero"/>
        <c:auto val="1"/>
        <c:lblAlgn val="ctr"/>
        <c:lblOffset val="100"/>
        <c:noMultiLvlLbl val="0"/>
      </c:catAx>
      <c:valAx>
        <c:axId val="790961408"/>
        <c:scaling>
          <c:orientation val="minMax"/>
          <c:min val="0"/>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90958128"/>
        <c:crossesAt val="1"/>
        <c:crossBetween val="between"/>
      </c:valAx>
      <c:spPr>
        <a:noFill/>
        <a:ln>
          <a:noFill/>
        </a:ln>
        <a:effectLst/>
      </c:spPr>
    </c:plotArea>
    <c:legend>
      <c:legendPos val="t"/>
      <c:layout>
        <c:manualLayout>
          <c:xMode val="edge"/>
          <c:yMode val="edge"/>
          <c:x val="0.16878354491402861"/>
          <c:y val="0.14071530758226036"/>
          <c:w val="0.78488188976377948"/>
          <c:h val="8.3691663005643596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userShapes r:id="rId5"/>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4"/>
    </mc:Choice>
    <mc:Fallback>
      <c:style val="4"/>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Topic Area - Pre-ETS </a:t>
            </a:r>
            <a:br>
              <a:rPr lang="en-US"/>
            </a:br>
            <a:r>
              <a:rPr lang="en-US"/>
              <a:t>Activity #8</a:t>
            </a:r>
          </a:p>
        </c:rich>
      </c:tx>
      <c:layout>
        <c:manualLayout>
          <c:xMode val="edge"/>
          <c:yMode val="edge"/>
          <c:x val="0.15852625564661557"/>
          <c:y val="1.4306151645207439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6017916604892113"/>
          <c:y val="0.23265365094271845"/>
          <c:w val="0.78942722632790041"/>
          <c:h val="0.66602748393145406"/>
        </c:manualLayout>
      </c:layout>
      <c:barChart>
        <c:barDir val="col"/>
        <c:grouping val="percentStacked"/>
        <c:varyColors val="0"/>
        <c:ser>
          <c:idx val="3"/>
          <c:order val="3"/>
          <c:tx>
            <c:strRef>
              <c:f>'individual-chart-pre-ets'!$F$2</c:f>
              <c:strCache>
                <c:ptCount val="1"/>
                <c:pt idx="0">
                  <c:v>Completed</c:v>
                </c:pt>
              </c:strCache>
            </c:strRef>
          </c:tx>
          <c:spPr>
            <a:solidFill>
              <a:srgbClr val="99221F"/>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800" b="0"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'individual-chart-pre-ets'!$B$3:$B$46</c:f>
              <c:strCache>
                <c:ptCount val="2"/>
                <c:pt idx="0">
                  <c:v>Activity</c:v>
                </c:pt>
                <c:pt idx="1">
                  <c:v>Outputs</c:v>
                </c:pt>
              </c:strCache>
              <c:extLst/>
            </c:strRef>
          </c:cat>
          <c:val>
            <c:numRef>
              <c:f>'individual-chart-pre-ets'!$F$3:$F$46</c:f>
              <c:numCache>
                <c:formatCode>0%</c:formatCode>
                <c:ptCount val="2"/>
                <c:pt idx="0">
                  <c:v>0.75</c:v>
                </c:pt>
                <c:pt idx="1">
                  <c:v>0.75</c:v>
                </c:pt>
              </c:numCache>
              <c:extLst/>
            </c:numRef>
          </c:val>
          <c:extLst>
            <c:ext xmlns:c16="http://schemas.microsoft.com/office/drawing/2014/chart" uri="{C3380CC4-5D6E-409C-BE32-E72D297353CC}">
              <c16:uniqueId val="{00000000-52AC-4FCC-A26A-D91F7DA960C0}"/>
            </c:ext>
          </c:extLst>
        </c:ser>
        <c:ser>
          <c:idx val="4"/>
          <c:order val="4"/>
          <c:tx>
            <c:strRef>
              <c:f>'individual-chart-pre-ets'!$G$2</c:f>
              <c:strCache>
                <c:ptCount val="1"/>
                <c:pt idx="0">
                  <c:v>90%</c:v>
                </c:pt>
              </c:strCache>
            </c:strRef>
          </c:tx>
          <c:spPr>
            <a:solidFill>
              <a:srgbClr val="D73D39"/>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'individual-chart-pre-ets'!$B$3:$B$46</c:f>
              <c:strCache>
                <c:ptCount val="2"/>
                <c:pt idx="0">
                  <c:v>Activity</c:v>
                </c:pt>
                <c:pt idx="1">
                  <c:v>Outputs</c:v>
                </c:pt>
              </c:strCache>
              <c:extLst/>
            </c:strRef>
          </c:cat>
          <c:val>
            <c:numRef>
              <c:f>'individual-chart-pre-ets'!$G$3:$G$46</c:f>
              <c:numCache>
                <c:formatCode>General</c:formatCode>
                <c:ptCount val="2"/>
              </c:numCache>
              <c:extLst/>
            </c:numRef>
          </c:val>
          <c:extLst>
            <c:ext xmlns:c16="http://schemas.microsoft.com/office/drawing/2014/chart" uri="{C3380CC4-5D6E-409C-BE32-E72D297353CC}">
              <c16:uniqueId val="{00000001-52AC-4FCC-A26A-D91F7DA960C0}"/>
            </c:ext>
          </c:extLst>
        </c:ser>
        <c:ser>
          <c:idx val="5"/>
          <c:order val="5"/>
          <c:tx>
            <c:strRef>
              <c:f>'individual-chart-pre-ets'!$H$2</c:f>
              <c:strCache>
                <c:ptCount val="1"/>
                <c:pt idx="0">
                  <c:v>75%</c:v>
                </c:pt>
              </c:strCache>
            </c:strRef>
          </c:tx>
          <c:spPr>
            <a:solidFill>
              <a:srgbClr val="DC535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'individual-chart-pre-ets'!$B$3:$B$46</c:f>
              <c:strCache>
                <c:ptCount val="2"/>
                <c:pt idx="0">
                  <c:v>Activity</c:v>
                </c:pt>
                <c:pt idx="1">
                  <c:v>Outputs</c:v>
                </c:pt>
              </c:strCache>
              <c:extLst/>
            </c:strRef>
          </c:cat>
          <c:val>
            <c:numRef>
              <c:f>'individual-chart-pre-ets'!$H$3:$H$46</c:f>
              <c:numCache>
                <c:formatCode>General</c:formatCode>
                <c:ptCount val="2"/>
              </c:numCache>
              <c:extLst/>
            </c:numRef>
          </c:val>
          <c:extLst>
            <c:ext xmlns:c16="http://schemas.microsoft.com/office/drawing/2014/chart" uri="{C3380CC4-5D6E-409C-BE32-E72D297353CC}">
              <c16:uniqueId val="{00000002-52AC-4FCC-A26A-D91F7DA960C0}"/>
            </c:ext>
          </c:extLst>
        </c:ser>
        <c:ser>
          <c:idx val="6"/>
          <c:order val="6"/>
          <c:tx>
            <c:strRef>
              <c:f>'individual-chart-pre-ets'!$I$2</c:f>
              <c:strCache>
                <c:ptCount val="1"/>
                <c:pt idx="0">
                  <c:v>50%</c:v>
                </c:pt>
              </c:strCache>
            </c:strRef>
          </c:tx>
          <c:spPr>
            <a:solidFill>
              <a:srgbClr val="EBA19F"/>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'individual-chart-pre-ets'!$B$3:$B$46</c:f>
              <c:strCache>
                <c:ptCount val="2"/>
                <c:pt idx="0">
                  <c:v>Activity</c:v>
                </c:pt>
                <c:pt idx="1">
                  <c:v>Outputs</c:v>
                </c:pt>
              </c:strCache>
              <c:extLst/>
            </c:strRef>
          </c:cat>
          <c:val>
            <c:numRef>
              <c:f>'individual-chart-pre-ets'!$I$3:$I$46</c:f>
              <c:numCache>
                <c:formatCode>0%</c:formatCode>
                <c:ptCount val="2"/>
                <c:pt idx="0">
                  <c:v>6.25E-2</c:v>
                </c:pt>
                <c:pt idx="1">
                  <c:v>6.25E-2</c:v>
                </c:pt>
              </c:numCache>
              <c:extLst/>
            </c:numRef>
          </c:val>
          <c:extLst>
            <c:ext xmlns:c16="http://schemas.microsoft.com/office/drawing/2014/chart" uri="{C3380CC4-5D6E-409C-BE32-E72D297353CC}">
              <c16:uniqueId val="{00000003-52AC-4FCC-A26A-D91F7DA960C0}"/>
            </c:ext>
          </c:extLst>
        </c:ser>
        <c:ser>
          <c:idx val="7"/>
          <c:order val="7"/>
          <c:tx>
            <c:strRef>
              <c:f>'individual-chart-pre-ets'!$J$2</c:f>
              <c:strCache>
                <c:ptCount val="1"/>
                <c:pt idx="0">
                  <c:v>25%</c:v>
                </c:pt>
              </c:strCache>
            </c:strRef>
          </c:tx>
          <c:spPr>
            <a:solidFill>
              <a:srgbClr val="F3C6C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'individual-chart-pre-ets'!$B$3:$B$46</c:f>
              <c:strCache>
                <c:ptCount val="2"/>
                <c:pt idx="0">
                  <c:v>Activity</c:v>
                </c:pt>
                <c:pt idx="1">
                  <c:v>Outputs</c:v>
                </c:pt>
              </c:strCache>
              <c:extLst/>
            </c:strRef>
          </c:cat>
          <c:val>
            <c:numRef>
              <c:f>'individual-chart-pre-ets'!$J$3:$J$46</c:f>
              <c:numCache>
                <c:formatCode>General</c:formatCode>
                <c:ptCount val="2"/>
              </c:numCache>
              <c:extLst/>
            </c:numRef>
          </c:val>
          <c:extLst>
            <c:ext xmlns:c16="http://schemas.microsoft.com/office/drawing/2014/chart" uri="{C3380CC4-5D6E-409C-BE32-E72D297353CC}">
              <c16:uniqueId val="{00000004-52AC-4FCC-A26A-D91F7DA960C0}"/>
            </c:ext>
          </c:extLst>
        </c:ser>
        <c:ser>
          <c:idx val="8"/>
          <c:order val="8"/>
          <c:tx>
            <c:strRef>
              <c:f>'individual-chart-pre-ets'!$K$2</c:f>
              <c:strCache>
                <c:ptCount val="1"/>
                <c:pt idx="0">
                  <c:v>10%</c:v>
                </c:pt>
              </c:strCache>
            </c:strRef>
          </c:tx>
          <c:spPr>
            <a:solidFill>
              <a:schemeClr val="accent2">
                <a:tint val="56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'individual-chart-pre-ets'!$B$3:$B$46</c:f>
              <c:strCache>
                <c:ptCount val="2"/>
                <c:pt idx="0">
                  <c:v>Activity</c:v>
                </c:pt>
                <c:pt idx="1">
                  <c:v>Outputs</c:v>
                </c:pt>
              </c:strCache>
              <c:extLst/>
            </c:strRef>
          </c:cat>
          <c:val>
            <c:numRef>
              <c:f>'individual-chart-pre-ets'!$K$3:$K$46</c:f>
              <c:numCache>
                <c:formatCode>General</c:formatCode>
                <c:ptCount val="2"/>
              </c:numCache>
              <c:extLst/>
            </c:numRef>
          </c:val>
          <c:extLst>
            <c:ext xmlns:c16="http://schemas.microsoft.com/office/drawing/2014/chart" uri="{C3380CC4-5D6E-409C-BE32-E72D297353CC}">
              <c16:uniqueId val="{00000005-52AC-4FCC-A26A-D91F7DA960C0}"/>
            </c:ext>
          </c:extLst>
        </c:ser>
        <c:ser>
          <c:idx val="9"/>
          <c:order val="9"/>
          <c:tx>
            <c:strRef>
              <c:f>'individual-chart-pre-ets'!$L$2</c:f>
              <c:strCache>
                <c:ptCount val="1"/>
                <c:pt idx="0">
                  <c:v>Not Started</c:v>
                </c:pt>
              </c:strCache>
            </c:strRef>
          </c:tx>
          <c:spPr>
            <a:solidFill>
              <a:srgbClr val="FCF2F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'individual-chart-pre-ets'!$B$3:$B$46</c:f>
              <c:strCache>
                <c:ptCount val="2"/>
                <c:pt idx="0">
                  <c:v>Activity</c:v>
                </c:pt>
                <c:pt idx="1">
                  <c:v>Outputs</c:v>
                </c:pt>
              </c:strCache>
              <c:extLst/>
            </c:strRef>
          </c:cat>
          <c:val>
            <c:numRef>
              <c:f>'individual-chart-pre-ets'!$L$3:$L$46</c:f>
              <c:numCache>
                <c:formatCode>0%</c:formatCode>
                <c:ptCount val="2"/>
                <c:pt idx="0">
                  <c:v>0.1875</c:v>
                </c:pt>
                <c:pt idx="1">
                  <c:v>0.1875</c:v>
                </c:pt>
              </c:numCache>
              <c:extLst/>
            </c:numRef>
          </c:val>
          <c:extLst>
            <c:ext xmlns:c16="http://schemas.microsoft.com/office/drawing/2014/chart" uri="{C3380CC4-5D6E-409C-BE32-E72D297353CC}">
              <c16:uniqueId val="{00000006-52AC-4FCC-A26A-D91F7DA960C0}"/>
            </c:ext>
          </c:extLst>
        </c:ser>
        <c:dLbls>
          <c:dLblPos val="ctr"/>
          <c:showLegendKey val="0"/>
          <c:showVal val="1"/>
          <c:showCatName val="0"/>
          <c:showSerName val="0"/>
          <c:showPercent val="0"/>
          <c:showBubbleSize val="0"/>
        </c:dLbls>
        <c:gapWidth val="150"/>
        <c:overlap val="100"/>
        <c:axId val="790958128"/>
        <c:axId val="790961408"/>
        <c:extLst>
          <c:ext xmlns:c15="http://schemas.microsoft.com/office/drawing/2012/chart" uri="{02D57815-91ED-43cb-92C2-25804820EDAC}">
            <c15:filteredBarSeries>
              <c15:ser>
                <c:idx val="0"/>
                <c:order val="0"/>
                <c:tx>
                  <c:strRef>
                    <c:extLst>
                      <c:ext uri="{02D57815-91ED-43cb-92C2-25804820EDAC}">
                        <c15:formulaRef>
                          <c15:sqref>'individual-chart-pre-ets'!$C$2</c15:sqref>
                        </c15:formulaRef>
                      </c:ext>
                    </c:extLst>
                    <c:strCache>
                      <c:ptCount val="1"/>
                      <c:pt idx="0">
                        <c:v>Completed</c:v>
                      </c:pt>
                    </c:strCache>
                  </c:strRef>
                </c:tx>
                <c:spPr>
                  <a:solidFill>
                    <a:schemeClr val="accent2">
                      <a:shade val="42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c:ext uri="{02D57815-91ED-43cb-92C2-25804820EDAC}">
                        <c15:formulaRef>
                          <c15:sqref>'individual-chart-pre-ets'!$B$3:$B$46</c15:sqref>
                        </c15:formulaRef>
                      </c:ext>
                    </c:extLst>
                    <c:strCache>
                      <c:ptCount val="2"/>
                      <c:pt idx="0">
                        <c:v>Activity</c:v>
                      </c:pt>
                      <c:pt idx="1">
                        <c:v>Outputs</c:v>
                      </c:pt>
                    </c:strCache>
                  </c:strRef>
                </c:cat>
                <c:val>
                  <c:numRef>
                    <c:extLst>
                      <c:ext uri="{02D57815-91ED-43cb-92C2-25804820EDAC}">
                        <c15:formulaRef>
                          <c15:sqref>'individual-chart-pre-ets'!$C$3:$C$46</c15:sqref>
                        </c15:formulaRef>
                      </c:ext>
                    </c:extLst>
                    <c:numCache>
                      <c:formatCode>0%</c:formatCode>
                      <c:ptCount val="2"/>
                      <c:pt idx="0">
                        <c:v>0.75</c:v>
                      </c:pt>
                      <c:pt idx="1">
                        <c:v>0.75</c:v>
                      </c:pt>
                    </c:numCache>
                  </c:numRef>
                </c:val>
                <c:extLst>
                  <c:ext xmlns:c16="http://schemas.microsoft.com/office/drawing/2014/chart" uri="{C3380CC4-5D6E-409C-BE32-E72D297353CC}">
                    <c16:uniqueId val="{00000007-52AC-4FCC-A26A-D91F7DA960C0}"/>
                  </c:ext>
                </c:extLst>
              </c15:ser>
            </c15:filteredBarSeries>
            <c15:filteredBarSeries>
              <c15:ser>
                <c:idx val="1"/>
                <c:order val="1"/>
                <c:tx>
                  <c:strRef>
                    <c:extLst xmlns:c15="http://schemas.microsoft.com/office/drawing/2012/chart">
                      <c:ext xmlns:c15="http://schemas.microsoft.com/office/drawing/2012/chart" uri="{02D57815-91ED-43cb-92C2-25804820EDAC}">
                        <c15:formulaRef>
                          <c15:sqref>'individual-chart-pre-ets'!$D$2</c15:sqref>
                        </c15:formulaRef>
                      </c:ext>
                    </c:extLst>
                    <c:strCache>
                      <c:ptCount val="1"/>
                      <c:pt idx="0">
                        <c:v>In progress</c:v>
                      </c:pt>
                    </c:strCache>
                  </c:strRef>
                </c:tx>
                <c:spPr>
                  <a:solidFill>
                    <a:schemeClr val="accent2">
                      <a:shade val="5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'individual-chart-pre-ets'!$B$3:$B$46</c15:sqref>
                        </c15:formulaRef>
                      </c:ext>
                    </c:extLst>
                    <c:strCache>
                      <c:ptCount val="2"/>
                      <c:pt idx="0">
                        <c:v>Activity</c:v>
                      </c:pt>
                      <c:pt idx="1">
                        <c:v>Outputs</c:v>
                      </c:pt>
                    </c:strCache>
                  </c:strRef>
                </c:cat>
                <c:val>
                  <c:numRef>
                    <c:extLst xmlns:c15="http://schemas.microsoft.com/office/drawing/2012/chart">
                      <c:ext xmlns:c15="http://schemas.microsoft.com/office/drawing/2012/chart" uri="{02D57815-91ED-43cb-92C2-25804820EDAC}">
                        <c15:formulaRef>
                          <c15:sqref>'individual-chart-pre-ets'!$D$3:$D$46</c15:sqref>
                        </c15:formulaRef>
                      </c:ext>
                    </c:extLst>
                    <c:numCache>
                      <c:formatCode>0%</c:formatCode>
                      <c:ptCount val="2"/>
                      <c:pt idx="0">
                        <c:v>6.25E-2</c:v>
                      </c:pt>
                      <c:pt idx="1">
                        <c:v>6.25E-2</c:v>
                      </c:pt>
                    </c:numCache>
                  </c:numRef>
                </c:val>
                <c:extLst xmlns:c15="http://schemas.microsoft.com/office/drawing/2012/chart">
                  <c:ext xmlns:c16="http://schemas.microsoft.com/office/drawing/2014/chart" uri="{C3380CC4-5D6E-409C-BE32-E72D297353CC}">
                    <c16:uniqueId val="{00000008-52AC-4FCC-A26A-D91F7DA960C0}"/>
                  </c:ext>
                </c:extLst>
              </c15:ser>
            </c15:filteredBarSeries>
            <c15:filteredBarSeries>
              <c15:ser>
                <c:idx val="2"/>
                <c:order val="2"/>
                <c:tx>
                  <c:strRef>
                    <c:extLst xmlns:c15="http://schemas.microsoft.com/office/drawing/2012/chart">
                      <c:ext xmlns:c15="http://schemas.microsoft.com/office/drawing/2012/chart" uri="{02D57815-91ED-43cb-92C2-25804820EDAC}">
                        <c15:formulaRef>
                          <c15:sqref>'individual-chart-pre-ets'!$E$2</c15:sqref>
                        </c15:formulaRef>
                      </c:ext>
                    </c:extLst>
                    <c:strCache>
                      <c:ptCount val="1"/>
                      <c:pt idx="0">
                        <c:v>Not started</c:v>
                      </c:pt>
                    </c:strCache>
                  </c:strRef>
                </c:tx>
                <c:spPr>
                  <a:solidFill>
                    <a:schemeClr val="accent2">
                      <a:shade val="68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'individual-chart-pre-ets'!$B$3:$B$46</c15:sqref>
                        </c15:formulaRef>
                      </c:ext>
                    </c:extLst>
                    <c:strCache>
                      <c:ptCount val="2"/>
                      <c:pt idx="0">
                        <c:v>Activity</c:v>
                      </c:pt>
                      <c:pt idx="1">
                        <c:v>Outputs</c:v>
                      </c:pt>
                    </c:strCache>
                  </c:strRef>
                </c:cat>
                <c:val>
                  <c:numRef>
                    <c:extLst xmlns:c15="http://schemas.microsoft.com/office/drawing/2012/chart">
                      <c:ext xmlns:c15="http://schemas.microsoft.com/office/drawing/2012/chart" uri="{02D57815-91ED-43cb-92C2-25804820EDAC}">
                        <c15:formulaRef>
                          <c15:sqref>'individual-chart-pre-ets'!$E$3:$E$46</c15:sqref>
                        </c15:formulaRef>
                      </c:ext>
                    </c:extLst>
                    <c:numCache>
                      <c:formatCode>0%</c:formatCode>
                      <c:ptCount val="2"/>
                      <c:pt idx="0">
                        <c:v>0.1875</c:v>
                      </c:pt>
                      <c:pt idx="1">
                        <c:v>0.1875</c:v>
                      </c:pt>
                    </c:numCache>
                  </c:numRef>
                </c:val>
                <c:extLst xmlns:c15="http://schemas.microsoft.com/office/drawing/2012/chart">
                  <c:ext xmlns:c16="http://schemas.microsoft.com/office/drawing/2014/chart" uri="{C3380CC4-5D6E-409C-BE32-E72D297353CC}">
                    <c16:uniqueId val="{00000009-52AC-4FCC-A26A-D91F7DA960C0}"/>
                  </c:ext>
                </c:extLst>
              </c15:ser>
            </c15:filteredBarSeries>
          </c:ext>
        </c:extLst>
      </c:barChart>
      <c:catAx>
        <c:axId val="7909581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n-US"/>
          </a:p>
        </c:txPr>
        <c:crossAx val="790961408"/>
        <c:crosses val="autoZero"/>
        <c:auto val="1"/>
        <c:lblAlgn val="ctr"/>
        <c:lblOffset val="100"/>
        <c:noMultiLvlLbl val="0"/>
      </c:catAx>
      <c:valAx>
        <c:axId val="790961408"/>
        <c:scaling>
          <c:orientation val="minMax"/>
          <c:min val="0"/>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90958128"/>
        <c:crossesAt val="1"/>
        <c:crossBetween val="between"/>
      </c:valAx>
      <c:spPr>
        <a:noFill/>
        <a:ln>
          <a:noFill/>
        </a:ln>
        <a:effectLst/>
      </c:spPr>
    </c:plotArea>
    <c:legend>
      <c:legendPos val="t"/>
      <c:layout>
        <c:manualLayout>
          <c:xMode val="edge"/>
          <c:yMode val="edge"/>
          <c:x val="0.16878354491402861"/>
          <c:y val="0.14071530758226036"/>
          <c:w val="0.78488188976377948"/>
          <c:h val="8.3691663005643596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userShapes r:id="rId5"/>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4"/>
    </mc:Choice>
    <mc:Fallback>
      <c:style val="4"/>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Topic Area - Pre-ETS </a:t>
            </a:r>
            <a:br>
              <a:rPr lang="en-US"/>
            </a:br>
            <a:r>
              <a:rPr lang="en-US"/>
              <a:t>Activity #9</a:t>
            </a:r>
          </a:p>
        </c:rich>
      </c:tx>
      <c:layout>
        <c:manualLayout>
          <c:xMode val="edge"/>
          <c:yMode val="edge"/>
          <c:x val="0.15852625564661557"/>
          <c:y val="1.4306151645207439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6017916604892113"/>
          <c:y val="0.23265365094271845"/>
          <c:w val="0.78942722632790041"/>
          <c:h val="0.66602748393145406"/>
        </c:manualLayout>
      </c:layout>
      <c:barChart>
        <c:barDir val="col"/>
        <c:grouping val="percentStacked"/>
        <c:varyColors val="0"/>
        <c:ser>
          <c:idx val="3"/>
          <c:order val="3"/>
          <c:tx>
            <c:strRef>
              <c:f>'individual-chart-pre-ets'!$F$2</c:f>
              <c:strCache>
                <c:ptCount val="1"/>
                <c:pt idx="0">
                  <c:v>Completed</c:v>
                </c:pt>
              </c:strCache>
            </c:strRef>
          </c:tx>
          <c:spPr>
            <a:solidFill>
              <a:srgbClr val="99221F"/>
            </a:solidFill>
            <a:ln>
              <a:noFill/>
            </a:ln>
            <a:effectLst/>
          </c:spPr>
          <c:invertIfNegative val="0"/>
          <c:dLbls>
            <c:dLbl>
              <c:idx val="0"/>
              <c:layout>
                <c:manualLayout>
                  <c:x val="4.5557677993309422E-3"/>
                  <c:y val="-5.4541816531402047E-2"/>
                </c:manualLayout>
              </c:layout>
              <c:spPr>
                <a:noFill/>
                <a:ln>
                  <a:noFill/>
                </a:ln>
                <a:effectLst/>
              </c:spPr>
              <c:txPr>
                <a:bodyPr rot="0" spcFirstLastPara="1" vertOverflow="ellipsis" vert="horz" wrap="square" lIns="38100" tIns="19050" rIns="38100" bIns="19050" anchor="ctr" anchorCtr="1">
                  <a:spAutoFit/>
                </a:bodyPr>
                <a:lstStyle/>
                <a:p>
                  <a:pPr>
                    <a:defRPr sz="1800" b="0"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1E97-4504-AA79-07B897A508D3}"/>
                </c:ext>
              </c:extLst>
            </c:dLbl>
            <c:dLbl>
              <c:idx val="1"/>
              <c:layout>
                <c:manualLayout>
                  <c:x val="0"/>
                  <c:y val="-5.206264305270196E-2"/>
                </c:manualLayout>
              </c:layout>
              <c:spPr>
                <a:noFill/>
                <a:ln>
                  <a:noFill/>
                </a:ln>
                <a:effectLst/>
              </c:spPr>
              <c:txPr>
                <a:bodyPr rot="0" spcFirstLastPara="1" vertOverflow="ellipsis" vert="horz" wrap="square" lIns="38100" tIns="19050" rIns="38100" bIns="19050" anchor="ctr" anchorCtr="1">
                  <a:spAutoFit/>
                </a:bodyPr>
                <a:lstStyle/>
                <a:p>
                  <a:pPr>
                    <a:defRPr sz="1800" b="0"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1E97-4504-AA79-07B897A508D3}"/>
                </c:ext>
              </c:extLst>
            </c:dLbl>
            <c:spPr>
              <a:noFill/>
              <a:ln>
                <a:noFill/>
              </a:ln>
              <a:effectLst/>
            </c:spPr>
            <c:txPr>
              <a:bodyPr rot="0" spcFirstLastPara="1" vertOverflow="ellipsis" vert="horz" wrap="square" lIns="38100" tIns="19050" rIns="38100" bIns="19050" anchor="ctr" anchorCtr="1">
                <a:spAutoFit/>
              </a:bodyPr>
              <a:lstStyle/>
              <a:p>
                <a:pPr>
                  <a:defRPr sz="2000" b="0"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'individual-chart-pre-ets'!$B$3:$B$46</c:f>
              <c:strCache>
                <c:ptCount val="2"/>
                <c:pt idx="0">
                  <c:v>Activity</c:v>
                </c:pt>
                <c:pt idx="1">
                  <c:v>Outputs</c:v>
                </c:pt>
              </c:strCache>
              <c:extLst/>
            </c:strRef>
          </c:cat>
          <c:val>
            <c:numRef>
              <c:f>'individual-chart-pre-ets'!$F$3:$F$46</c:f>
              <c:numCache>
                <c:formatCode>0%</c:formatCode>
                <c:ptCount val="2"/>
                <c:pt idx="0">
                  <c:v>0.26666666666666666</c:v>
                </c:pt>
                <c:pt idx="1">
                  <c:v>0.26666666666666666</c:v>
                </c:pt>
              </c:numCache>
              <c:extLst/>
            </c:numRef>
          </c:val>
          <c:extLst>
            <c:ext xmlns:c16="http://schemas.microsoft.com/office/drawing/2014/chart" uri="{C3380CC4-5D6E-409C-BE32-E72D297353CC}">
              <c16:uniqueId val="{00000002-1E97-4504-AA79-07B897A508D3}"/>
            </c:ext>
          </c:extLst>
        </c:ser>
        <c:ser>
          <c:idx val="4"/>
          <c:order val="4"/>
          <c:tx>
            <c:strRef>
              <c:f>'individual-chart-pre-ets'!$G$2</c:f>
              <c:strCache>
                <c:ptCount val="1"/>
                <c:pt idx="0">
                  <c:v>90%</c:v>
                </c:pt>
              </c:strCache>
            </c:strRef>
          </c:tx>
          <c:spPr>
            <a:solidFill>
              <a:srgbClr val="D73D39"/>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'individual-chart-pre-ets'!$B$3:$B$46</c:f>
              <c:strCache>
                <c:ptCount val="2"/>
                <c:pt idx="0">
                  <c:v>Activity</c:v>
                </c:pt>
                <c:pt idx="1">
                  <c:v>Outputs</c:v>
                </c:pt>
              </c:strCache>
              <c:extLst/>
            </c:strRef>
          </c:cat>
          <c:val>
            <c:numRef>
              <c:f>'individual-chart-pre-ets'!$G$3:$G$46</c:f>
              <c:numCache>
                <c:formatCode>General</c:formatCode>
                <c:ptCount val="2"/>
              </c:numCache>
              <c:extLst/>
            </c:numRef>
          </c:val>
          <c:extLst>
            <c:ext xmlns:c16="http://schemas.microsoft.com/office/drawing/2014/chart" uri="{C3380CC4-5D6E-409C-BE32-E72D297353CC}">
              <c16:uniqueId val="{00000003-1E97-4504-AA79-07B897A508D3}"/>
            </c:ext>
          </c:extLst>
        </c:ser>
        <c:ser>
          <c:idx val="5"/>
          <c:order val="5"/>
          <c:tx>
            <c:strRef>
              <c:f>'individual-chart-pre-ets'!$H$2</c:f>
              <c:strCache>
                <c:ptCount val="1"/>
                <c:pt idx="0">
                  <c:v>75%</c:v>
                </c:pt>
              </c:strCache>
            </c:strRef>
          </c:tx>
          <c:spPr>
            <a:solidFill>
              <a:srgbClr val="DC535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'individual-chart-pre-ets'!$B$3:$B$46</c:f>
              <c:strCache>
                <c:ptCount val="2"/>
                <c:pt idx="0">
                  <c:v>Activity</c:v>
                </c:pt>
                <c:pt idx="1">
                  <c:v>Outputs</c:v>
                </c:pt>
              </c:strCache>
              <c:extLst/>
            </c:strRef>
          </c:cat>
          <c:val>
            <c:numRef>
              <c:f>'individual-chart-pre-ets'!$H$3:$H$46</c:f>
              <c:numCache>
                <c:formatCode>General</c:formatCode>
                <c:ptCount val="2"/>
              </c:numCache>
              <c:extLst/>
            </c:numRef>
          </c:val>
          <c:extLst>
            <c:ext xmlns:c16="http://schemas.microsoft.com/office/drawing/2014/chart" uri="{C3380CC4-5D6E-409C-BE32-E72D297353CC}">
              <c16:uniqueId val="{00000004-1E97-4504-AA79-07B897A508D3}"/>
            </c:ext>
          </c:extLst>
        </c:ser>
        <c:ser>
          <c:idx val="6"/>
          <c:order val="6"/>
          <c:tx>
            <c:strRef>
              <c:f>'individual-chart-pre-ets'!$I$2</c:f>
              <c:strCache>
                <c:ptCount val="1"/>
                <c:pt idx="0">
                  <c:v>50%</c:v>
                </c:pt>
              </c:strCache>
            </c:strRef>
          </c:tx>
          <c:spPr>
            <a:solidFill>
              <a:srgbClr val="EBA19F"/>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'individual-chart-pre-ets'!$B$3:$B$46</c:f>
              <c:strCache>
                <c:ptCount val="2"/>
                <c:pt idx="0">
                  <c:v>Activity</c:v>
                </c:pt>
                <c:pt idx="1">
                  <c:v>Outputs</c:v>
                </c:pt>
              </c:strCache>
              <c:extLst/>
            </c:strRef>
          </c:cat>
          <c:val>
            <c:numRef>
              <c:f>'individual-chart-pre-ets'!$I$3:$I$46</c:f>
              <c:numCache>
                <c:formatCode>0%</c:formatCode>
                <c:ptCount val="2"/>
                <c:pt idx="0">
                  <c:v>6.6666666666666666E-2</c:v>
                </c:pt>
                <c:pt idx="1">
                  <c:v>6.6666666666666666E-2</c:v>
                </c:pt>
              </c:numCache>
              <c:extLst/>
            </c:numRef>
          </c:val>
          <c:extLst>
            <c:ext xmlns:c16="http://schemas.microsoft.com/office/drawing/2014/chart" uri="{C3380CC4-5D6E-409C-BE32-E72D297353CC}">
              <c16:uniqueId val="{00000005-1E97-4504-AA79-07B897A508D3}"/>
            </c:ext>
          </c:extLst>
        </c:ser>
        <c:ser>
          <c:idx val="7"/>
          <c:order val="7"/>
          <c:tx>
            <c:strRef>
              <c:f>'individual-chart-pre-ets'!$J$2</c:f>
              <c:strCache>
                <c:ptCount val="1"/>
                <c:pt idx="0">
                  <c:v>25%</c:v>
                </c:pt>
              </c:strCache>
            </c:strRef>
          </c:tx>
          <c:spPr>
            <a:solidFill>
              <a:srgbClr val="F3C6C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'individual-chart-pre-ets'!$B$3:$B$46</c:f>
              <c:strCache>
                <c:ptCount val="2"/>
                <c:pt idx="0">
                  <c:v>Activity</c:v>
                </c:pt>
                <c:pt idx="1">
                  <c:v>Outputs</c:v>
                </c:pt>
              </c:strCache>
              <c:extLst/>
            </c:strRef>
          </c:cat>
          <c:val>
            <c:numRef>
              <c:f>'individual-chart-pre-ets'!$J$3:$J$46</c:f>
              <c:numCache>
                <c:formatCode>0%</c:formatCode>
                <c:ptCount val="2"/>
                <c:pt idx="0">
                  <c:v>0.13333333333333333</c:v>
                </c:pt>
                <c:pt idx="1">
                  <c:v>0.13333333333333333</c:v>
                </c:pt>
              </c:numCache>
              <c:extLst/>
            </c:numRef>
          </c:val>
          <c:extLst>
            <c:ext xmlns:c16="http://schemas.microsoft.com/office/drawing/2014/chart" uri="{C3380CC4-5D6E-409C-BE32-E72D297353CC}">
              <c16:uniqueId val="{00000006-1E97-4504-AA79-07B897A508D3}"/>
            </c:ext>
          </c:extLst>
        </c:ser>
        <c:ser>
          <c:idx val="8"/>
          <c:order val="8"/>
          <c:tx>
            <c:strRef>
              <c:f>'individual-chart-pre-ets'!$K$2</c:f>
              <c:strCache>
                <c:ptCount val="1"/>
                <c:pt idx="0">
                  <c:v>10%</c:v>
                </c:pt>
              </c:strCache>
            </c:strRef>
          </c:tx>
          <c:spPr>
            <a:solidFill>
              <a:schemeClr val="accent2">
                <a:tint val="56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'individual-chart-pre-ets'!$B$3:$B$46</c:f>
              <c:strCache>
                <c:ptCount val="2"/>
                <c:pt idx="0">
                  <c:v>Activity</c:v>
                </c:pt>
                <c:pt idx="1">
                  <c:v>Outputs</c:v>
                </c:pt>
              </c:strCache>
              <c:extLst/>
            </c:strRef>
          </c:cat>
          <c:val>
            <c:numRef>
              <c:f>'individual-chart-pre-ets'!$K$3:$K$46</c:f>
              <c:numCache>
                <c:formatCode>General</c:formatCode>
                <c:ptCount val="2"/>
              </c:numCache>
              <c:extLst/>
            </c:numRef>
          </c:val>
          <c:extLst>
            <c:ext xmlns:c16="http://schemas.microsoft.com/office/drawing/2014/chart" uri="{C3380CC4-5D6E-409C-BE32-E72D297353CC}">
              <c16:uniqueId val="{00000007-1E97-4504-AA79-07B897A508D3}"/>
            </c:ext>
          </c:extLst>
        </c:ser>
        <c:ser>
          <c:idx val="9"/>
          <c:order val="9"/>
          <c:tx>
            <c:strRef>
              <c:f>'individual-chart-pre-ets'!$L$2</c:f>
              <c:strCache>
                <c:ptCount val="1"/>
                <c:pt idx="0">
                  <c:v>Not Started</c:v>
                </c:pt>
              </c:strCache>
            </c:strRef>
          </c:tx>
          <c:spPr>
            <a:solidFill>
              <a:srgbClr val="FCF2F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'individual-chart-pre-ets'!$B$3:$B$46</c:f>
              <c:strCache>
                <c:ptCount val="2"/>
                <c:pt idx="0">
                  <c:v>Activity</c:v>
                </c:pt>
                <c:pt idx="1">
                  <c:v>Outputs</c:v>
                </c:pt>
              </c:strCache>
              <c:extLst/>
            </c:strRef>
          </c:cat>
          <c:val>
            <c:numRef>
              <c:f>'individual-chart-pre-ets'!$L$3:$L$46</c:f>
              <c:numCache>
                <c:formatCode>0%</c:formatCode>
                <c:ptCount val="2"/>
                <c:pt idx="0">
                  <c:v>0.53333333333333333</c:v>
                </c:pt>
                <c:pt idx="1">
                  <c:v>0.53333333333333333</c:v>
                </c:pt>
              </c:numCache>
              <c:extLst/>
            </c:numRef>
          </c:val>
          <c:extLst>
            <c:ext xmlns:c16="http://schemas.microsoft.com/office/drawing/2014/chart" uri="{C3380CC4-5D6E-409C-BE32-E72D297353CC}">
              <c16:uniqueId val="{00000008-1E97-4504-AA79-07B897A508D3}"/>
            </c:ext>
          </c:extLst>
        </c:ser>
        <c:dLbls>
          <c:dLblPos val="ctr"/>
          <c:showLegendKey val="0"/>
          <c:showVal val="1"/>
          <c:showCatName val="0"/>
          <c:showSerName val="0"/>
          <c:showPercent val="0"/>
          <c:showBubbleSize val="0"/>
        </c:dLbls>
        <c:gapWidth val="150"/>
        <c:overlap val="100"/>
        <c:axId val="790958128"/>
        <c:axId val="790961408"/>
        <c:extLst>
          <c:ext xmlns:c15="http://schemas.microsoft.com/office/drawing/2012/chart" uri="{02D57815-91ED-43cb-92C2-25804820EDAC}">
            <c15:filteredBarSeries>
              <c15:ser>
                <c:idx val="0"/>
                <c:order val="0"/>
                <c:tx>
                  <c:strRef>
                    <c:extLst>
                      <c:ext uri="{02D57815-91ED-43cb-92C2-25804820EDAC}">
                        <c15:formulaRef>
                          <c15:sqref>'individual-chart-pre-ets'!$C$2</c15:sqref>
                        </c15:formulaRef>
                      </c:ext>
                    </c:extLst>
                    <c:strCache>
                      <c:ptCount val="1"/>
                      <c:pt idx="0">
                        <c:v>Completed</c:v>
                      </c:pt>
                    </c:strCache>
                  </c:strRef>
                </c:tx>
                <c:spPr>
                  <a:solidFill>
                    <a:schemeClr val="accent2">
                      <a:shade val="42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c:ext uri="{02D57815-91ED-43cb-92C2-25804820EDAC}">
                        <c15:formulaRef>
                          <c15:sqref>'individual-chart-pre-ets'!$B$3:$B$46</c15:sqref>
                        </c15:formulaRef>
                      </c:ext>
                    </c:extLst>
                    <c:strCache>
                      <c:ptCount val="2"/>
                      <c:pt idx="0">
                        <c:v>Activity</c:v>
                      </c:pt>
                      <c:pt idx="1">
                        <c:v>Outputs</c:v>
                      </c:pt>
                    </c:strCache>
                  </c:strRef>
                </c:cat>
                <c:val>
                  <c:numRef>
                    <c:extLst>
                      <c:ext uri="{02D57815-91ED-43cb-92C2-25804820EDAC}">
                        <c15:formulaRef>
                          <c15:sqref>'individual-chart-pre-ets'!$C$3:$C$46</c15:sqref>
                        </c15:formulaRef>
                      </c:ext>
                    </c:extLst>
                    <c:numCache>
                      <c:formatCode>0%</c:formatCode>
                      <c:ptCount val="2"/>
                      <c:pt idx="0">
                        <c:v>0.26666666666666666</c:v>
                      </c:pt>
                      <c:pt idx="1">
                        <c:v>0.26666666666666666</c:v>
                      </c:pt>
                    </c:numCache>
                  </c:numRef>
                </c:val>
                <c:extLst>
                  <c:ext xmlns:c16="http://schemas.microsoft.com/office/drawing/2014/chart" uri="{C3380CC4-5D6E-409C-BE32-E72D297353CC}">
                    <c16:uniqueId val="{00000009-1E97-4504-AA79-07B897A508D3}"/>
                  </c:ext>
                </c:extLst>
              </c15:ser>
            </c15:filteredBarSeries>
            <c15:filteredBarSeries>
              <c15:ser>
                <c:idx val="1"/>
                <c:order val="1"/>
                <c:tx>
                  <c:strRef>
                    <c:extLst xmlns:c15="http://schemas.microsoft.com/office/drawing/2012/chart">
                      <c:ext xmlns:c15="http://schemas.microsoft.com/office/drawing/2012/chart" uri="{02D57815-91ED-43cb-92C2-25804820EDAC}">
                        <c15:formulaRef>
                          <c15:sqref>'individual-chart-pre-ets'!$D$2</c15:sqref>
                        </c15:formulaRef>
                      </c:ext>
                    </c:extLst>
                    <c:strCache>
                      <c:ptCount val="1"/>
                      <c:pt idx="0">
                        <c:v>In progress</c:v>
                      </c:pt>
                    </c:strCache>
                  </c:strRef>
                </c:tx>
                <c:spPr>
                  <a:solidFill>
                    <a:schemeClr val="accent2">
                      <a:shade val="5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'individual-chart-pre-ets'!$B$3:$B$46</c15:sqref>
                        </c15:formulaRef>
                      </c:ext>
                    </c:extLst>
                    <c:strCache>
                      <c:ptCount val="2"/>
                      <c:pt idx="0">
                        <c:v>Activity</c:v>
                      </c:pt>
                      <c:pt idx="1">
                        <c:v>Outputs</c:v>
                      </c:pt>
                    </c:strCache>
                  </c:strRef>
                </c:cat>
                <c:val>
                  <c:numRef>
                    <c:extLst xmlns:c15="http://schemas.microsoft.com/office/drawing/2012/chart">
                      <c:ext xmlns:c15="http://schemas.microsoft.com/office/drawing/2012/chart" uri="{02D57815-91ED-43cb-92C2-25804820EDAC}">
                        <c15:formulaRef>
                          <c15:sqref>'individual-chart-pre-ets'!$D$3:$D$46</c15:sqref>
                        </c15:formulaRef>
                      </c:ext>
                    </c:extLst>
                    <c:numCache>
                      <c:formatCode>0%</c:formatCode>
                      <c:ptCount val="2"/>
                      <c:pt idx="0">
                        <c:v>0.2</c:v>
                      </c:pt>
                      <c:pt idx="1">
                        <c:v>0.2</c:v>
                      </c:pt>
                    </c:numCache>
                  </c:numRef>
                </c:val>
                <c:extLst xmlns:c15="http://schemas.microsoft.com/office/drawing/2012/chart">
                  <c:ext xmlns:c16="http://schemas.microsoft.com/office/drawing/2014/chart" uri="{C3380CC4-5D6E-409C-BE32-E72D297353CC}">
                    <c16:uniqueId val="{0000000A-1E97-4504-AA79-07B897A508D3}"/>
                  </c:ext>
                </c:extLst>
              </c15:ser>
            </c15:filteredBarSeries>
            <c15:filteredBarSeries>
              <c15:ser>
                <c:idx val="2"/>
                <c:order val="2"/>
                <c:tx>
                  <c:strRef>
                    <c:extLst xmlns:c15="http://schemas.microsoft.com/office/drawing/2012/chart">
                      <c:ext xmlns:c15="http://schemas.microsoft.com/office/drawing/2012/chart" uri="{02D57815-91ED-43cb-92C2-25804820EDAC}">
                        <c15:formulaRef>
                          <c15:sqref>'individual-chart-pre-ets'!$E$2</c15:sqref>
                        </c15:formulaRef>
                      </c:ext>
                    </c:extLst>
                    <c:strCache>
                      <c:ptCount val="1"/>
                      <c:pt idx="0">
                        <c:v>Not started</c:v>
                      </c:pt>
                    </c:strCache>
                  </c:strRef>
                </c:tx>
                <c:spPr>
                  <a:solidFill>
                    <a:schemeClr val="accent2">
                      <a:shade val="68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'individual-chart-pre-ets'!$B$3:$B$46</c15:sqref>
                        </c15:formulaRef>
                      </c:ext>
                    </c:extLst>
                    <c:strCache>
                      <c:ptCount val="2"/>
                      <c:pt idx="0">
                        <c:v>Activity</c:v>
                      </c:pt>
                      <c:pt idx="1">
                        <c:v>Outputs</c:v>
                      </c:pt>
                    </c:strCache>
                  </c:strRef>
                </c:cat>
                <c:val>
                  <c:numRef>
                    <c:extLst xmlns:c15="http://schemas.microsoft.com/office/drawing/2012/chart">
                      <c:ext xmlns:c15="http://schemas.microsoft.com/office/drawing/2012/chart" uri="{02D57815-91ED-43cb-92C2-25804820EDAC}">
                        <c15:formulaRef>
                          <c15:sqref>'individual-chart-pre-ets'!$E$3:$E$46</c15:sqref>
                        </c15:formulaRef>
                      </c:ext>
                    </c:extLst>
                    <c:numCache>
                      <c:formatCode>0%</c:formatCode>
                      <c:ptCount val="2"/>
                      <c:pt idx="0">
                        <c:v>0.53333333333333333</c:v>
                      </c:pt>
                      <c:pt idx="1">
                        <c:v>0.53333333333333333</c:v>
                      </c:pt>
                    </c:numCache>
                  </c:numRef>
                </c:val>
                <c:extLst xmlns:c15="http://schemas.microsoft.com/office/drawing/2012/chart">
                  <c:ext xmlns:c16="http://schemas.microsoft.com/office/drawing/2014/chart" uri="{C3380CC4-5D6E-409C-BE32-E72D297353CC}">
                    <c16:uniqueId val="{0000000B-1E97-4504-AA79-07B897A508D3}"/>
                  </c:ext>
                </c:extLst>
              </c15:ser>
            </c15:filteredBarSeries>
          </c:ext>
        </c:extLst>
      </c:barChart>
      <c:catAx>
        <c:axId val="7909581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n-US"/>
          </a:p>
        </c:txPr>
        <c:crossAx val="790961408"/>
        <c:crosses val="autoZero"/>
        <c:auto val="1"/>
        <c:lblAlgn val="ctr"/>
        <c:lblOffset val="100"/>
        <c:noMultiLvlLbl val="0"/>
      </c:catAx>
      <c:valAx>
        <c:axId val="790961408"/>
        <c:scaling>
          <c:orientation val="minMax"/>
          <c:min val="0"/>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90958128"/>
        <c:crossesAt val="1"/>
        <c:crossBetween val="between"/>
      </c:valAx>
      <c:spPr>
        <a:noFill/>
        <a:ln>
          <a:noFill/>
        </a:ln>
        <a:effectLst/>
      </c:spPr>
    </c:plotArea>
    <c:legend>
      <c:legendPos val="t"/>
      <c:layout>
        <c:manualLayout>
          <c:xMode val="edge"/>
          <c:yMode val="edge"/>
          <c:x val="0.16878354491402861"/>
          <c:y val="0.14071530758226036"/>
          <c:w val="0.78488188976377948"/>
          <c:h val="8.3691663005643596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userShapes r:id="rId5"/>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4"/>
    </mc:Choice>
    <mc:Fallback>
      <c:style val="4"/>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Topic Area - Pre-ETS </a:t>
            </a:r>
            <a:br>
              <a:rPr lang="en-US"/>
            </a:br>
            <a:r>
              <a:rPr lang="en-US"/>
              <a:t>Activity #10</a:t>
            </a:r>
          </a:p>
        </c:rich>
      </c:tx>
      <c:layout>
        <c:manualLayout>
          <c:xMode val="edge"/>
          <c:yMode val="edge"/>
          <c:x val="0.15852625564661557"/>
          <c:y val="1.4306151645207439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6017916604892113"/>
          <c:y val="0.23265365094271845"/>
          <c:w val="0.78942722632790041"/>
          <c:h val="0.66602748393145406"/>
        </c:manualLayout>
      </c:layout>
      <c:barChart>
        <c:barDir val="col"/>
        <c:grouping val="percentStacked"/>
        <c:varyColors val="0"/>
        <c:ser>
          <c:idx val="3"/>
          <c:order val="3"/>
          <c:tx>
            <c:strRef>
              <c:f>'individual-chart-pre-ets'!$F$2</c:f>
              <c:strCache>
                <c:ptCount val="1"/>
                <c:pt idx="0">
                  <c:v>Completed</c:v>
                </c:pt>
              </c:strCache>
            </c:strRef>
          </c:tx>
          <c:spPr>
            <a:solidFill>
              <a:srgbClr val="99221F"/>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800" b="0"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'individual-chart-pre-ets'!$B$3:$B$46</c:f>
              <c:strCache>
                <c:ptCount val="2"/>
                <c:pt idx="0">
                  <c:v>Activity</c:v>
                </c:pt>
                <c:pt idx="1">
                  <c:v>Outputs</c:v>
                </c:pt>
              </c:strCache>
              <c:extLst/>
            </c:strRef>
          </c:cat>
          <c:val>
            <c:numRef>
              <c:f>'individual-chart-pre-ets'!$F$3:$F$46</c:f>
              <c:numCache>
                <c:formatCode>0%</c:formatCode>
                <c:ptCount val="2"/>
                <c:pt idx="0">
                  <c:v>0.8571428571428571</c:v>
                </c:pt>
                <c:pt idx="1">
                  <c:v>0.8571428571428571</c:v>
                </c:pt>
              </c:numCache>
              <c:extLst/>
            </c:numRef>
          </c:val>
          <c:extLst>
            <c:ext xmlns:c16="http://schemas.microsoft.com/office/drawing/2014/chart" uri="{C3380CC4-5D6E-409C-BE32-E72D297353CC}">
              <c16:uniqueId val="{00000000-9865-48A4-AF58-18C987AD6E55}"/>
            </c:ext>
          </c:extLst>
        </c:ser>
        <c:ser>
          <c:idx val="4"/>
          <c:order val="4"/>
          <c:tx>
            <c:strRef>
              <c:f>'individual-chart-pre-ets'!$G$2</c:f>
              <c:strCache>
                <c:ptCount val="1"/>
                <c:pt idx="0">
                  <c:v>90%</c:v>
                </c:pt>
              </c:strCache>
            </c:strRef>
          </c:tx>
          <c:spPr>
            <a:solidFill>
              <a:srgbClr val="D73D39"/>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'individual-chart-pre-ets'!$B$3:$B$46</c:f>
              <c:strCache>
                <c:ptCount val="2"/>
                <c:pt idx="0">
                  <c:v>Activity</c:v>
                </c:pt>
                <c:pt idx="1">
                  <c:v>Outputs</c:v>
                </c:pt>
              </c:strCache>
              <c:extLst/>
            </c:strRef>
          </c:cat>
          <c:val>
            <c:numRef>
              <c:f>'individual-chart-pre-ets'!$G$3:$G$46</c:f>
              <c:numCache>
                <c:formatCode>General</c:formatCode>
                <c:ptCount val="2"/>
              </c:numCache>
              <c:extLst/>
            </c:numRef>
          </c:val>
          <c:extLst>
            <c:ext xmlns:c16="http://schemas.microsoft.com/office/drawing/2014/chart" uri="{C3380CC4-5D6E-409C-BE32-E72D297353CC}">
              <c16:uniqueId val="{00000001-9865-48A4-AF58-18C987AD6E55}"/>
            </c:ext>
          </c:extLst>
        </c:ser>
        <c:ser>
          <c:idx val="5"/>
          <c:order val="5"/>
          <c:tx>
            <c:strRef>
              <c:f>'individual-chart-pre-ets'!$H$2</c:f>
              <c:strCache>
                <c:ptCount val="1"/>
                <c:pt idx="0">
                  <c:v>75%</c:v>
                </c:pt>
              </c:strCache>
            </c:strRef>
          </c:tx>
          <c:spPr>
            <a:solidFill>
              <a:srgbClr val="DC535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'individual-chart-pre-ets'!$B$3:$B$46</c:f>
              <c:strCache>
                <c:ptCount val="2"/>
                <c:pt idx="0">
                  <c:v>Activity</c:v>
                </c:pt>
                <c:pt idx="1">
                  <c:v>Outputs</c:v>
                </c:pt>
              </c:strCache>
              <c:extLst/>
            </c:strRef>
          </c:cat>
          <c:val>
            <c:numRef>
              <c:f>'individual-chart-pre-ets'!$H$3:$H$46</c:f>
              <c:numCache>
                <c:formatCode>General</c:formatCode>
                <c:ptCount val="2"/>
              </c:numCache>
              <c:extLst/>
            </c:numRef>
          </c:val>
          <c:extLst>
            <c:ext xmlns:c16="http://schemas.microsoft.com/office/drawing/2014/chart" uri="{C3380CC4-5D6E-409C-BE32-E72D297353CC}">
              <c16:uniqueId val="{00000002-9865-48A4-AF58-18C987AD6E55}"/>
            </c:ext>
          </c:extLst>
        </c:ser>
        <c:ser>
          <c:idx val="6"/>
          <c:order val="6"/>
          <c:tx>
            <c:strRef>
              <c:f>'individual-chart-pre-ets'!$I$2</c:f>
              <c:strCache>
                <c:ptCount val="1"/>
                <c:pt idx="0">
                  <c:v>50%</c:v>
                </c:pt>
              </c:strCache>
            </c:strRef>
          </c:tx>
          <c:spPr>
            <a:solidFill>
              <a:srgbClr val="EBA19F"/>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'individual-chart-pre-ets'!$B$3:$B$46</c:f>
              <c:strCache>
                <c:ptCount val="2"/>
                <c:pt idx="0">
                  <c:v>Activity</c:v>
                </c:pt>
                <c:pt idx="1">
                  <c:v>Outputs</c:v>
                </c:pt>
              </c:strCache>
              <c:extLst/>
            </c:strRef>
          </c:cat>
          <c:val>
            <c:numRef>
              <c:f>'individual-chart-pre-ets'!$I$3:$I$46</c:f>
              <c:numCache>
                <c:formatCode>0%</c:formatCode>
                <c:ptCount val="2"/>
                <c:pt idx="0">
                  <c:v>0.14285714285714285</c:v>
                </c:pt>
                <c:pt idx="1">
                  <c:v>0.14285714285714285</c:v>
                </c:pt>
              </c:numCache>
              <c:extLst/>
            </c:numRef>
          </c:val>
          <c:extLst>
            <c:ext xmlns:c16="http://schemas.microsoft.com/office/drawing/2014/chart" uri="{C3380CC4-5D6E-409C-BE32-E72D297353CC}">
              <c16:uniqueId val="{00000003-9865-48A4-AF58-18C987AD6E55}"/>
            </c:ext>
          </c:extLst>
        </c:ser>
        <c:ser>
          <c:idx val="7"/>
          <c:order val="7"/>
          <c:tx>
            <c:strRef>
              <c:f>'individual-chart-pre-ets'!$J$2</c:f>
              <c:strCache>
                <c:ptCount val="1"/>
                <c:pt idx="0">
                  <c:v>25%</c:v>
                </c:pt>
              </c:strCache>
            </c:strRef>
          </c:tx>
          <c:spPr>
            <a:solidFill>
              <a:srgbClr val="F3C6C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'individual-chart-pre-ets'!$B$3:$B$46</c:f>
              <c:strCache>
                <c:ptCount val="2"/>
                <c:pt idx="0">
                  <c:v>Activity</c:v>
                </c:pt>
                <c:pt idx="1">
                  <c:v>Outputs</c:v>
                </c:pt>
              </c:strCache>
              <c:extLst/>
            </c:strRef>
          </c:cat>
          <c:val>
            <c:numRef>
              <c:f>'individual-chart-pre-ets'!$J$3:$J$46</c:f>
              <c:numCache>
                <c:formatCode>General</c:formatCode>
                <c:ptCount val="2"/>
              </c:numCache>
              <c:extLst/>
            </c:numRef>
          </c:val>
          <c:extLst>
            <c:ext xmlns:c16="http://schemas.microsoft.com/office/drawing/2014/chart" uri="{C3380CC4-5D6E-409C-BE32-E72D297353CC}">
              <c16:uniqueId val="{00000004-9865-48A4-AF58-18C987AD6E55}"/>
            </c:ext>
          </c:extLst>
        </c:ser>
        <c:ser>
          <c:idx val="8"/>
          <c:order val="8"/>
          <c:tx>
            <c:strRef>
              <c:f>'individual-chart-pre-ets'!$K$2</c:f>
              <c:strCache>
                <c:ptCount val="1"/>
                <c:pt idx="0">
                  <c:v>10%</c:v>
                </c:pt>
              </c:strCache>
            </c:strRef>
          </c:tx>
          <c:spPr>
            <a:solidFill>
              <a:schemeClr val="accent2">
                <a:tint val="56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'individual-chart-pre-ets'!$B$3:$B$46</c:f>
              <c:strCache>
                <c:ptCount val="2"/>
                <c:pt idx="0">
                  <c:v>Activity</c:v>
                </c:pt>
                <c:pt idx="1">
                  <c:v>Outputs</c:v>
                </c:pt>
              </c:strCache>
              <c:extLst/>
            </c:strRef>
          </c:cat>
          <c:val>
            <c:numRef>
              <c:f>'individual-chart-pre-ets'!$K$3:$K$46</c:f>
              <c:numCache>
                <c:formatCode>General</c:formatCode>
                <c:ptCount val="2"/>
              </c:numCache>
              <c:extLst/>
            </c:numRef>
          </c:val>
          <c:extLst>
            <c:ext xmlns:c16="http://schemas.microsoft.com/office/drawing/2014/chart" uri="{C3380CC4-5D6E-409C-BE32-E72D297353CC}">
              <c16:uniqueId val="{00000005-9865-48A4-AF58-18C987AD6E55}"/>
            </c:ext>
          </c:extLst>
        </c:ser>
        <c:ser>
          <c:idx val="9"/>
          <c:order val="9"/>
          <c:tx>
            <c:strRef>
              <c:f>'individual-chart-pre-ets'!$L$2</c:f>
              <c:strCache>
                <c:ptCount val="1"/>
                <c:pt idx="0">
                  <c:v>Not Started</c:v>
                </c:pt>
              </c:strCache>
            </c:strRef>
          </c:tx>
          <c:spPr>
            <a:solidFill>
              <a:srgbClr val="FCF2F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'individual-chart-pre-ets'!$B$3:$B$46</c:f>
              <c:strCache>
                <c:ptCount val="2"/>
                <c:pt idx="0">
                  <c:v>Activity</c:v>
                </c:pt>
                <c:pt idx="1">
                  <c:v>Outputs</c:v>
                </c:pt>
              </c:strCache>
              <c:extLst/>
            </c:strRef>
          </c:cat>
          <c:val>
            <c:numRef>
              <c:f>'individual-chart-pre-ets'!$L$3:$L$46</c:f>
              <c:numCache>
                <c:formatCode>General</c:formatCode>
                <c:ptCount val="2"/>
              </c:numCache>
              <c:extLst/>
            </c:numRef>
          </c:val>
          <c:extLst>
            <c:ext xmlns:c16="http://schemas.microsoft.com/office/drawing/2014/chart" uri="{C3380CC4-5D6E-409C-BE32-E72D297353CC}">
              <c16:uniqueId val="{00000006-9865-48A4-AF58-18C987AD6E55}"/>
            </c:ext>
          </c:extLst>
        </c:ser>
        <c:dLbls>
          <c:dLblPos val="ctr"/>
          <c:showLegendKey val="0"/>
          <c:showVal val="1"/>
          <c:showCatName val="0"/>
          <c:showSerName val="0"/>
          <c:showPercent val="0"/>
          <c:showBubbleSize val="0"/>
        </c:dLbls>
        <c:gapWidth val="150"/>
        <c:overlap val="100"/>
        <c:axId val="790958128"/>
        <c:axId val="790961408"/>
        <c:extLst>
          <c:ext xmlns:c15="http://schemas.microsoft.com/office/drawing/2012/chart" uri="{02D57815-91ED-43cb-92C2-25804820EDAC}">
            <c15:filteredBarSeries>
              <c15:ser>
                <c:idx val="0"/>
                <c:order val="0"/>
                <c:tx>
                  <c:strRef>
                    <c:extLst>
                      <c:ext uri="{02D57815-91ED-43cb-92C2-25804820EDAC}">
                        <c15:formulaRef>
                          <c15:sqref>'individual-chart-pre-ets'!$C$2</c15:sqref>
                        </c15:formulaRef>
                      </c:ext>
                    </c:extLst>
                    <c:strCache>
                      <c:ptCount val="1"/>
                      <c:pt idx="0">
                        <c:v>Completed</c:v>
                      </c:pt>
                    </c:strCache>
                  </c:strRef>
                </c:tx>
                <c:spPr>
                  <a:solidFill>
                    <a:schemeClr val="accent2">
                      <a:shade val="42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c:ext uri="{02D57815-91ED-43cb-92C2-25804820EDAC}">
                        <c15:formulaRef>
                          <c15:sqref>'individual-chart-pre-ets'!$B$3:$B$46</c15:sqref>
                        </c15:formulaRef>
                      </c:ext>
                    </c:extLst>
                    <c:strCache>
                      <c:ptCount val="2"/>
                      <c:pt idx="0">
                        <c:v>Activity</c:v>
                      </c:pt>
                      <c:pt idx="1">
                        <c:v>Outputs</c:v>
                      </c:pt>
                    </c:strCache>
                  </c:strRef>
                </c:cat>
                <c:val>
                  <c:numRef>
                    <c:extLst>
                      <c:ext uri="{02D57815-91ED-43cb-92C2-25804820EDAC}">
                        <c15:formulaRef>
                          <c15:sqref>'individual-chart-pre-ets'!$C$3:$C$46</c15:sqref>
                        </c15:formulaRef>
                      </c:ext>
                    </c:extLst>
                    <c:numCache>
                      <c:formatCode>0%</c:formatCode>
                      <c:ptCount val="2"/>
                      <c:pt idx="0">
                        <c:v>0.8571428571428571</c:v>
                      </c:pt>
                      <c:pt idx="1">
                        <c:v>0.8571428571428571</c:v>
                      </c:pt>
                    </c:numCache>
                  </c:numRef>
                </c:val>
                <c:extLst>
                  <c:ext xmlns:c16="http://schemas.microsoft.com/office/drawing/2014/chart" uri="{C3380CC4-5D6E-409C-BE32-E72D297353CC}">
                    <c16:uniqueId val="{00000007-9865-48A4-AF58-18C987AD6E55}"/>
                  </c:ext>
                </c:extLst>
              </c15:ser>
            </c15:filteredBarSeries>
            <c15:filteredBarSeries>
              <c15:ser>
                <c:idx val="1"/>
                <c:order val="1"/>
                <c:tx>
                  <c:strRef>
                    <c:extLst xmlns:c15="http://schemas.microsoft.com/office/drawing/2012/chart">
                      <c:ext xmlns:c15="http://schemas.microsoft.com/office/drawing/2012/chart" uri="{02D57815-91ED-43cb-92C2-25804820EDAC}">
                        <c15:formulaRef>
                          <c15:sqref>'individual-chart-pre-ets'!$D$2</c15:sqref>
                        </c15:formulaRef>
                      </c:ext>
                    </c:extLst>
                    <c:strCache>
                      <c:ptCount val="1"/>
                      <c:pt idx="0">
                        <c:v>In progress</c:v>
                      </c:pt>
                    </c:strCache>
                  </c:strRef>
                </c:tx>
                <c:spPr>
                  <a:solidFill>
                    <a:schemeClr val="accent2">
                      <a:shade val="5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'individual-chart-pre-ets'!$B$3:$B$46</c15:sqref>
                        </c15:formulaRef>
                      </c:ext>
                    </c:extLst>
                    <c:strCache>
                      <c:ptCount val="2"/>
                      <c:pt idx="0">
                        <c:v>Activity</c:v>
                      </c:pt>
                      <c:pt idx="1">
                        <c:v>Outputs</c:v>
                      </c:pt>
                    </c:strCache>
                  </c:strRef>
                </c:cat>
                <c:val>
                  <c:numRef>
                    <c:extLst xmlns:c15="http://schemas.microsoft.com/office/drawing/2012/chart">
                      <c:ext xmlns:c15="http://schemas.microsoft.com/office/drawing/2012/chart" uri="{02D57815-91ED-43cb-92C2-25804820EDAC}">
                        <c15:formulaRef>
                          <c15:sqref>'individual-chart-pre-ets'!$D$3:$D$46</c15:sqref>
                        </c15:formulaRef>
                      </c:ext>
                    </c:extLst>
                    <c:numCache>
                      <c:formatCode>0%</c:formatCode>
                      <c:ptCount val="2"/>
                      <c:pt idx="0">
                        <c:v>0.14285714285714285</c:v>
                      </c:pt>
                      <c:pt idx="1">
                        <c:v>0.14285714285714285</c:v>
                      </c:pt>
                    </c:numCache>
                  </c:numRef>
                </c:val>
                <c:extLst xmlns:c15="http://schemas.microsoft.com/office/drawing/2012/chart">
                  <c:ext xmlns:c16="http://schemas.microsoft.com/office/drawing/2014/chart" uri="{C3380CC4-5D6E-409C-BE32-E72D297353CC}">
                    <c16:uniqueId val="{00000008-9865-48A4-AF58-18C987AD6E55}"/>
                  </c:ext>
                </c:extLst>
              </c15:ser>
            </c15:filteredBarSeries>
            <c15:filteredBarSeries>
              <c15:ser>
                <c:idx val="2"/>
                <c:order val="2"/>
                <c:tx>
                  <c:strRef>
                    <c:extLst xmlns:c15="http://schemas.microsoft.com/office/drawing/2012/chart">
                      <c:ext xmlns:c15="http://schemas.microsoft.com/office/drawing/2012/chart" uri="{02D57815-91ED-43cb-92C2-25804820EDAC}">
                        <c15:formulaRef>
                          <c15:sqref>'individual-chart-pre-ets'!$E$2</c15:sqref>
                        </c15:formulaRef>
                      </c:ext>
                    </c:extLst>
                    <c:strCache>
                      <c:ptCount val="1"/>
                      <c:pt idx="0">
                        <c:v>Not started</c:v>
                      </c:pt>
                    </c:strCache>
                  </c:strRef>
                </c:tx>
                <c:spPr>
                  <a:solidFill>
                    <a:schemeClr val="accent2">
                      <a:shade val="68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'individual-chart-pre-ets'!$B$3:$B$46</c15:sqref>
                        </c15:formulaRef>
                      </c:ext>
                    </c:extLst>
                    <c:strCache>
                      <c:ptCount val="2"/>
                      <c:pt idx="0">
                        <c:v>Activity</c:v>
                      </c:pt>
                      <c:pt idx="1">
                        <c:v>Outputs</c:v>
                      </c:pt>
                    </c:strCache>
                  </c:strRef>
                </c:cat>
                <c:val>
                  <c:numRef>
                    <c:extLst xmlns:c15="http://schemas.microsoft.com/office/drawing/2012/chart">
                      <c:ext xmlns:c15="http://schemas.microsoft.com/office/drawing/2012/chart" uri="{02D57815-91ED-43cb-92C2-25804820EDAC}">
                        <c15:formulaRef>
                          <c15:sqref>'individual-chart-pre-ets'!$E$3:$E$46</c15:sqref>
                        </c15:formulaRef>
                      </c:ext>
                    </c:extLst>
                    <c:numCache>
                      <c:formatCode>General</c:formatCode>
                      <c:ptCount val="2"/>
                    </c:numCache>
                  </c:numRef>
                </c:val>
                <c:extLst xmlns:c15="http://schemas.microsoft.com/office/drawing/2012/chart">
                  <c:ext xmlns:c16="http://schemas.microsoft.com/office/drawing/2014/chart" uri="{C3380CC4-5D6E-409C-BE32-E72D297353CC}">
                    <c16:uniqueId val="{00000009-9865-48A4-AF58-18C987AD6E55}"/>
                  </c:ext>
                </c:extLst>
              </c15:ser>
            </c15:filteredBarSeries>
          </c:ext>
        </c:extLst>
      </c:barChart>
      <c:catAx>
        <c:axId val="7909581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n-US"/>
          </a:p>
        </c:txPr>
        <c:crossAx val="790961408"/>
        <c:crosses val="autoZero"/>
        <c:auto val="1"/>
        <c:lblAlgn val="ctr"/>
        <c:lblOffset val="100"/>
        <c:noMultiLvlLbl val="0"/>
      </c:catAx>
      <c:valAx>
        <c:axId val="790961408"/>
        <c:scaling>
          <c:orientation val="minMax"/>
          <c:min val="0"/>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90958128"/>
        <c:crossesAt val="1"/>
        <c:crossBetween val="between"/>
      </c:valAx>
      <c:spPr>
        <a:noFill/>
        <a:ln>
          <a:noFill/>
        </a:ln>
        <a:effectLst/>
      </c:spPr>
    </c:plotArea>
    <c:legend>
      <c:legendPos val="t"/>
      <c:layout>
        <c:manualLayout>
          <c:xMode val="edge"/>
          <c:yMode val="edge"/>
          <c:x val="0.16878354491402861"/>
          <c:y val="0.14071530758226036"/>
          <c:w val="0.78488188976377948"/>
          <c:h val="8.3691663005643596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userShapes r:id="rId5"/>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4"/>
    </mc:Choice>
    <mc:Fallback>
      <c:style val="4"/>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Topic Area - Pre-ETS </a:t>
            </a:r>
            <a:br>
              <a:rPr lang="en-US"/>
            </a:br>
            <a:r>
              <a:rPr lang="en-US"/>
              <a:t>Activity Unique</a:t>
            </a:r>
          </a:p>
        </c:rich>
      </c:tx>
      <c:layout>
        <c:manualLayout>
          <c:xMode val="edge"/>
          <c:yMode val="edge"/>
          <c:x val="0.15852625564661557"/>
          <c:y val="1.4306151645207439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6017916604892113"/>
          <c:y val="0.23265365094271845"/>
          <c:w val="0.78942722632790041"/>
          <c:h val="0.66602748393145406"/>
        </c:manualLayout>
      </c:layout>
      <c:barChart>
        <c:barDir val="col"/>
        <c:grouping val="percentStacked"/>
        <c:varyColors val="0"/>
        <c:ser>
          <c:idx val="3"/>
          <c:order val="3"/>
          <c:tx>
            <c:strRef>
              <c:f>'individual-chart-pre-ets'!$F$2</c:f>
              <c:strCache>
                <c:ptCount val="1"/>
                <c:pt idx="0">
                  <c:v>Completed</c:v>
                </c:pt>
              </c:strCache>
            </c:strRef>
          </c:tx>
          <c:spPr>
            <a:solidFill>
              <a:srgbClr val="99221F"/>
            </a:solidFill>
            <a:ln>
              <a:noFill/>
            </a:ln>
            <a:effectLst/>
          </c:spPr>
          <c:invertIfNegative val="0"/>
          <c:dLbls>
            <c:dLbl>
              <c:idx val="0"/>
              <c:layout>
                <c:manualLayout>
                  <c:x val="4.5812370566525457E-3"/>
                  <c:y val="-4.788908942458877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EB82-444F-8279-06ABD90FF070}"/>
                </c:ext>
              </c:extLst>
            </c:dLbl>
            <c:dLbl>
              <c:idx val="1"/>
              <c:layout>
                <c:manualLayout>
                  <c:x val="0"/>
                  <c:y val="-4.5368611033821032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EB82-444F-8279-06ABD90FF070}"/>
                </c:ext>
              </c:extLst>
            </c:dLbl>
            <c:spPr>
              <a:noFill/>
              <a:ln>
                <a:noFill/>
              </a:ln>
              <a:effectLst/>
            </c:spPr>
            <c:txPr>
              <a:bodyPr rot="0" spcFirstLastPara="1" vertOverflow="ellipsis" vert="horz" wrap="square" lIns="38100" tIns="19050" rIns="38100" bIns="19050" anchor="ctr" anchorCtr="1">
                <a:spAutoFit/>
              </a:bodyPr>
              <a:lstStyle/>
              <a:p>
                <a:pPr>
                  <a:defRPr sz="1800" b="0"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'individual-chart-pre-ets'!$B$3:$B$46</c:f>
              <c:strCache>
                <c:ptCount val="2"/>
                <c:pt idx="0">
                  <c:v>Activity</c:v>
                </c:pt>
                <c:pt idx="1">
                  <c:v>Outputs</c:v>
                </c:pt>
              </c:strCache>
              <c:extLst/>
            </c:strRef>
          </c:cat>
          <c:val>
            <c:numRef>
              <c:f>'individual-chart-pre-ets'!$F$3:$F$46</c:f>
              <c:numCache>
                <c:formatCode>0%</c:formatCode>
                <c:ptCount val="2"/>
                <c:pt idx="0">
                  <c:v>0.25</c:v>
                </c:pt>
                <c:pt idx="1">
                  <c:v>0.25</c:v>
                </c:pt>
              </c:numCache>
              <c:extLst/>
            </c:numRef>
          </c:val>
          <c:extLst>
            <c:ext xmlns:c16="http://schemas.microsoft.com/office/drawing/2014/chart" uri="{C3380CC4-5D6E-409C-BE32-E72D297353CC}">
              <c16:uniqueId val="{00000002-EB82-444F-8279-06ABD90FF070}"/>
            </c:ext>
          </c:extLst>
        </c:ser>
        <c:ser>
          <c:idx val="4"/>
          <c:order val="4"/>
          <c:tx>
            <c:strRef>
              <c:f>'individual-chart-pre-ets'!$G$2</c:f>
              <c:strCache>
                <c:ptCount val="1"/>
                <c:pt idx="0">
                  <c:v>90%</c:v>
                </c:pt>
              </c:strCache>
            </c:strRef>
          </c:tx>
          <c:spPr>
            <a:solidFill>
              <a:srgbClr val="D73D39"/>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'individual-chart-pre-ets'!$B$3:$B$46</c:f>
              <c:strCache>
                <c:ptCount val="2"/>
                <c:pt idx="0">
                  <c:v>Activity</c:v>
                </c:pt>
                <c:pt idx="1">
                  <c:v>Outputs</c:v>
                </c:pt>
              </c:strCache>
              <c:extLst/>
            </c:strRef>
          </c:cat>
          <c:val>
            <c:numRef>
              <c:f>'individual-chart-pre-ets'!$G$3:$G$46</c:f>
              <c:numCache>
                <c:formatCode>General</c:formatCode>
                <c:ptCount val="2"/>
              </c:numCache>
              <c:extLst/>
            </c:numRef>
          </c:val>
          <c:extLst>
            <c:ext xmlns:c16="http://schemas.microsoft.com/office/drawing/2014/chart" uri="{C3380CC4-5D6E-409C-BE32-E72D297353CC}">
              <c16:uniqueId val="{00000003-EB82-444F-8279-06ABD90FF070}"/>
            </c:ext>
          </c:extLst>
        </c:ser>
        <c:ser>
          <c:idx val="5"/>
          <c:order val="5"/>
          <c:tx>
            <c:strRef>
              <c:f>'individual-chart-pre-ets'!$H$2</c:f>
              <c:strCache>
                <c:ptCount val="1"/>
                <c:pt idx="0">
                  <c:v>75%</c:v>
                </c:pt>
              </c:strCache>
            </c:strRef>
          </c:tx>
          <c:spPr>
            <a:solidFill>
              <a:srgbClr val="DC535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'individual-chart-pre-ets'!$B$3:$B$46</c:f>
              <c:strCache>
                <c:ptCount val="2"/>
                <c:pt idx="0">
                  <c:v>Activity</c:v>
                </c:pt>
                <c:pt idx="1">
                  <c:v>Outputs</c:v>
                </c:pt>
              </c:strCache>
              <c:extLst/>
            </c:strRef>
          </c:cat>
          <c:val>
            <c:numRef>
              <c:f>'individual-chart-pre-ets'!$H$3:$H$46</c:f>
              <c:numCache>
                <c:formatCode>General</c:formatCode>
                <c:ptCount val="2"/>
              </c:numCache>
              <c:extLst/>
            </c:numRef>
          </c:val>
          <c:extLst>
            <c:ext xmlns:c16="http://schemas.microsoft.com/office/drawing/2014/chart" uri="{C3380CC4-5D6E-409C-BE32-E72D297353CC}">
              <c16:uniqueId val="{00000004-EB82-444F-8279-06ABD90FF070}"/>
            </c:ext>
          </c:extLst>
        </c:ser>
        <c:ser>
          <c:idx val="6"/>
          <c:order val="6"/>
          <c:tx>
            <c:strRef>
              <c:f>'individual-chart-pre-ets'!$I$2</c:f>
              <c:strCache>
                <c:ptCount val="1"/>
                <c:pt idx="0">
                  <c:v>50%</c:v>
                </c:pt>
              </c:strCache>
            </c:strRef>
          </c:tx>
          <c:spPr>
            <a:solidFill>
              <a:srgbClr val="EBA19F"/>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'individual-chart-pre-ets'!$B$3:$B$46</c:f>
              <c:strCache>
                <c:ptCount val="2"/>
                <c:pt idx="0">
                  <c:v>Activity</c:v>
                </c:pt>
                <c:pt idx="1">
                  <c:v>Outputs</c:v>
                </c:pt>
              </c:strCache>
              <c:extLst/>
            </c:strRef>
          </c:cat>
          <c:val>
            <c:numRef>
              <c:f>'individual-chart-pre-ets'!$I$3:$I$46</c:f>
              <c:numCache>
                <c:formatCode>0%</c:formatCode>
                <c:ptCount val="2"/>
                <c:pt idx="0">
                  <c:v>0.25</c:v>
                </c:pt>
                <c:pt idx="1">
                  <c:v>0.25</c:v>
                </c:pt>
              </c:numCache>
              <c:extLst/>
            </c:numRef>
          </c:val>
          <c:extLst>
            <c:ext xmlns:c16="http://schemas.microsoft.com/office/drawing/2014/chart" uri="{C3380CC4-5D6E-409C-BE32-E72D297353CC}">
              <c16:uniqueId val="{00000005-EB82-444F-8279-06ABD90FF070}"/>
            </c:ext>
          </c:extLst>
        </c:ser>
        <c:ser>
          <c:idx val="7"/>
          <c:order val="7"/>
          <c:tx>
            <c:strRef>
              <c:f>'individual-chart-pre-ets'!$J$2</c:f>
              <c:strCache>
                <c:ptCount val="1"/>
                <c:pt idx="0">
                  <c:v>25%</c:v>
                </c:pt>
              </c:strCache>
            </c:strRef>
          </c:tx>
          <c:spPr>
            <a:solidFill>
              <a:srgbClr val="F3C6C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'individual-chart-pre-ets'!$B$3:$B$46</c:f>
              <c:strCache>
                <c:ptCount val="2"/>
                <c:pt idx="0">
                  <c:v>Activity</c:v>
                </c:pt>
                <c:pt idx="1">
                  <c:v>Outputs</c:v>
                </c:pt>
              </c:strCache>
              <c:extLst/>
            </c:strRef>
          </c:cat>
          <c:val>
            <c:numRef>
              <c:f>'individual-chart-pre-ets'!$J$3:$J$46</c:f>
              <c:numCache>
                <c:formatCode>General</c:formatCode>
                <c:ptCount val="2"/>
              </c:numCache>
              <c:extLst/>
            </c:numRef>
          </c:val>
          <c:extLst>
            <c:ext xmlns:c16="http://schemas.microsoft.com/office/drawing/2014/chart" uri="{C3380CC4-5D6E-409C-BE32-E72D297353CC}">
              <c16:uniqueId val="{00000006-EB82-444F-8279-06ABD90FF070}"/>
            </c:ext>
          </c:extLst>
        </c:ser>
        <c:ser>
          <c:idx val="8"/>
          <c:order val="8"/>
          <c:tx>
            <c:strRef>
              <c:f>'individual-chart-pre-ets'!$K$2</c:f>
              <c:strCache>
                <c:ptCount val="1"/>
                <c:pt idx="0">
                  <c:v>10%</c:v>
                </c:pt>
              </c:strCache>
            </c:strRef>
          </c:tx>
          <c:spPr>
            <a:solidFill>
              <a:schemeClr val="accent2">
                <a:tint val="56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'individual-chart-pre-ets'!$B$3:$B$46</c:f>
              <c:strCache>
                <c:ptCount val="2"/>
                <c:pt idx="0">
                  <c:v>Activity</c:v>
                </c:pt>
                <c:pt idx="1">
                  <c:v>Outputs</c:v>
                </c:pt>
              </c:strCache>
              <c:extLst/>
            </c:strRef>
          </c:cat>
          <c:val>
            <c:numRef>
              <c:f>'individual-chart-pre-ets'!$K$3:$K$46</c:f>
              <c:numCache>
                <c:formatCode>General</c:formatCode>
                <c:ptCount val="2"/>
              </c:numCache>
              <c:extLst/>
            </c:numRef>
          </c:val>
          <c:extLst>
            <c:ext xmlns:c16="http://schemas.microsoft.com/office/drawing/2014/chart" uri="{C3380CC4-5D6E-409C-BE32-E72D297353CC}">
              <c16:uniqueId val="{00000007-EB82-444F-8279-06ABD90FF070}"/>
            </c:ext>
          </c:extLst>
        </c:ser>
        <c:ser>
          <c:idx val="9"/>
          <c:order val="9"/>
          <c:tx>
            <c:strRef>
              <c:f>'individual-chart-pre-ets'!$L$2</c:f>
              <c:strCache>
                <c:ptCount val="1"/>
                <c:pt idx="0">
                  <c:v>Not Started</c:v>
                </c:pt>
              </c:strCache>
            </c:strRef>
          </c:tx>
          <c:spPr>
            <a:solidFill>
              <a:srgbClr val="FCF2F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'individual-chart-pre-ets'!$B$3:$B$46</c:f>
              <c:strCache>
                <c:ptCount val="2"/>
                <c:pt idx="0">
                  <c:v>Activity</c:v>
                </c:pt>
                <c:pt idx="1">
                  <c:v>Outputs</c:v>
                </c:pt>
              </c:strCache>
              <c:extLst/>
            </c:strRef>
          </c:cat>
          <c:val>
            <c:numRef>
              <c:f>'individual-chart-pre-ets'!$L$3:$L$46</c:f>
              <c:numCache>
                <c:formatCode>0%</c:formatCode>
                <c:ptCount val="2"/>
                <c:pt idx="0">
                  <c:v>0.5</c:v>
                </c:pt>
                <c:pt idx="1">
                  <c:v>0.5</c:v>
                </c:pt>
              </c:numCache>
              <c:extLst/>
            </c:numRef>
          </c:val>
          <c:extLst>
            <c:ext xmlns:c16="http://schemas.microsoft.com/office/drawing/2014/chart" uri="{C3380CC4-5D6E-409C-BE32-E72D297353CC}">
              <c16:uniqueId val="{00000008-EB82-444F-8279-06ABD90FF070}"/>
            </c:ext>
          </c:extLst>
        </c:ser>
        <c:dLbls>
          <c:dLblPos val="ctr"/>
          <c:showLegendKey val="0"/>
          <c:showVal val="1"/>
          <c:showCatName val="0"/>
          <c:showSerName val="0"/>
          <c:showPercent val="0"/>
          <c:showBubbleSize val="0"/>
        </c:dLbls>
        <c:gapWidth val="150"/>
        <c:overlap val="100"/>
        <c:axId val="790958128"/>
        <c:axId val="790961408"/>
        <c:extLst>
          <c:ext xmlns:c15="http://schemas.microsoft.com/office/drawing/2012/chart" uri="{02D57815-91ED-43cb-92C2-25804820EDAC}">
            <c15:filteredBarSeries>
              <c15:ser>
                <c:idx val="0"/>
                <c:order val="0"/>
                <c:tx>
                  <c:strRef>
                    <c:extLst>
                      <c:ext uri="{02D57815-91ED-43cb-92C2-25804820EDAC}">
                        <c15:formulaRef>
                          <c15:sqref>'individual-chart-pre-ets'!$C$2</c15:sqref>
                        </c15:formulaRef>
                      </c:ext>
                    </c:extLst>
                    <c:strCache>
                      <c:ptCount val="1"/>
                      <c:pt idx="0">
                        <c:v>Completed</c:v>
                      </c:pt>
                    </c:strCache>
                  </c:strRef>
                </c:tx>
                <c:spPr>
                  <a:solidFill>
                    <a:schemeClr val="accent2">
                      <a:shade val="42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c:ext uri="{02D57815-91ED-43cb-92C2-25804820EDAC}">
                        <c15:formulaRef>
                          <c15:sqref>'individual-chart-pre-ets'!$B$3:$B$46</c15:sqref>
                        </c15:formulaRef>
                      </c:ext>
                    </c:extLst>
                    <c:strCache>
                      <c:ptCount val="2"/>
                      <c:pt idx="0">
                        <c:v>Activity</c:v>
                      </c:pt>
                      <c:pt idx="1">
                        <c:v>Outputs</c:v>
                      </c:pt>
                    </c:strCache>
                  </c:strRef>
                </c:cat>
                <c:val>
                  <c:numRef>
                    <c:extLst>
                      <c:ext uri="{02D57815-91ED-43cb-92C2-25804820EDAC}">
                        <c15:formulaRef>
                          <c15:sqref>'individual-chart-pre-ets'!$C$3:$C$46</c15:sqref>
                        </c15:formulaRef>
                      </c:ext>
                    </c:extLst>
                    <c:numCache>
                      <c:formatCode>0%</c:formatCode>
                      <c:ptCount val="2"/>
                      <c:pt idx="0">
                        <c:v>0.25</c:v>
                      </c:pt>
                      <c:pt idx="1">
                        <c:v>0.25</c:v>
                      </c:pt>
                    </c:numCache>
                  </c:numRef>
                </c:val>
                <c:extLst>
                  <c:ext xmlns:c16="http://schemas.microsoft.com/office/drawing/2014/chart" uri="{C3380CC4-5D6E-409C-BE32-E72D297353CC}">
                    <c16:uniqueId val="{00000009-EB82-444F-8279-06ABD90FF070}"/>
                  </c:ext>
                </c:extLst>
              </c15:ser>
            </c15:filteredBarSeries>
            <c15:filteredBarSeries>
              <c15:ser>
                <c:idx val="1"/>
                <c:order val="1"/>
                <c:tx>
                  <c:strRef>
                    <c:extLst xmlns:c15="http://schemas.microsoft.com/office/drawing/2012/chart">
                      <c:ext xmlns:c15="http://schemas.microsoft.com/office/drawing/2012/chart" uri="{02D57815-91ED-43cb-92C2-25804820EDAC}">
                        <c15:formulaRef>
                          <c15:sqref>'individual-chart-pre-ets'!$D$2</c15:sqref>
                        </c15:formulaRef>
                      </c:ext>
                    </c:extLst>
                    <c:strCache>
                      <c:ptCount val="1"/>
                      <c:pt idx="0">
                        <c:v>In progress</c:v>
                      </c:pt>
                    </c:strCache>
                  </c:strRef>
                </c:tx>
                <c:spPr>
                  <a:solidFill>
                    <a:schemeClr val="accent2">
                      <a:shade val="5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'individual-chart-pre-ets'!$B$3:$B$46</c15:sqref>
                        </c15:formulaRef>
                      </c:ext>
                    </c:extLst>
                    <c:strCache>
                      <c:ptCount val="2"/>
                      <c:pt idx="0">
                        <c:v>Activity</c:v>
                      </c:pt>
                      <c:pt idx="1">
                        <c:v>Outputs</c:v>
                      </c:pt>
                    </c:strCache>
                  </c:strRef>
                </c:cat>
                <c:val>
                  <c:numRef>
                    <c:extLst xmlns:c15="http://schemas.microsoft.com/office/drawing/2012/chart">
                      <c:ext xmlns:c15="http://schemas.microsoft.com/office/drawing/2012/chart" uri="{02D57815-91ED-43cb-92C2-25804820EDAC}">
                        <c15:formulaRef>
                          <c15:sqref>'individual-chart-pre-ets'!$D$3:$D$46</c15:sqref>
                        </c15:formulaRef>
                      </c:ext>
                    </c:extLst>
                    <c:numCache>
                      <c:formatCode>0%</c:formatCode>
                      <c:ptCount val="2"/>
                      <c:pt idx="0">
                        <c:v>0.25</c:v>
                      </c:pt>
                      <c:pt idx="1">
                        <c:v>0.25</c:v>
                      </c:pt>
                    </c:numCache>
                  </c:numRef>
                </c:val>
                <c:extLst xmlns:c15="http://schemas.microsoft.com/office/drawing/2012/chart">
                  <c:ext xmlns:c16="http://schemas.microsoft.com/office/drawing/2014/chart" uri="{C3380CC4-5D6E-409C-BE32-E72D297353CC}">
                    <c16:uniqueId val="{0000000A-EB82-444F-8279-06ABD90FF070}"/>
                  </c:ext>
                </c:extLst>
              </c15:ser>
            </c15:filteredBarSeries>
            <c15:filteredBarSeries>
              <c15:ser>
                <c:idx val="2"/>
                <c:order val="2"/>
                <c:tx>
                  <c:strRef>
                    <c:extLst xmlns:c15="http://schemas.microsoft.com/office/drawing/2012/chart">
                      <c:ext xmlns:c15="http://schemas.microsoft.com/office/drawing/2012/chart" uri="{02D57815-91ED-43cb-92C2-25804820EDAC}">
                        <c15:formulaRef>
                          <c15:sqref>'individual-chart-pre-ets'!$E$2</c15:sqref>
                        </c15:formulaRef>
                      </c:ext>
                    </c:extLst>
                    <c:strCache>
                      <c:ptCount val="1"/>
                      <c:pt idx="0">
                        <c:v>Not started</c:v>
                      </c:pt>
                    </c:strCache>
                  </c:strRef>
                </c:tx>
                <c:spPr>
                  <a:solidFill>
                    <a:schemeClr val="accent2">
                      <a:shade val="68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'individual-chart-pre-ets'!$B$3:$B$46</c15:sqref>
                        </c15:formulaRef>
                      </c:ext>
                    </c:extLst>
                    <c:strCache>
                      <c:ptCount val="2"/>
                      <c:pt idx="0">
                        <c:v>Activity</c:v>
                      </c:pt>
                      <c:pt idx="1">
                        <c:v>Outputs</c:v>
                      </c:pt>
                    </c:strCache>
                  </c:strRef>
                </c:cat>
                <c:val>
                  <c:numRef>
                    <c:extLst xmlns:c15="http://schemas.microsoft.com/office/drawing/2012/chart">
                      <c:ext xmlns:c15="http://schemas.microsoft.com/office/drawing/2012/chart" uri="{02D57815-91ED-43cb-92C2-25804820EDAC}">
                        <c15:formulaRef>
                          <c15:sqref>'individual-chart-pre-ets'!$E$3:$E$46</c15:sqref>
                        </c15:formulaRef>
                      </c:ext>
                    </c:extLst>
                    <c:numCache>
                      <c:formatCode>0%</c:formatCode>
                      <c:ptCount val="2"/>
                      <c:pt idx="0">
                        <c:v>0.5</c:v>
                      </c:pt>
                      <c:pt idx="1">
                        <c:v>0.5</c:v>
                      </c:pt>
                    </c:numCache>
                  </c:numRef>
                </c:val>
                <c:extLst xmlns:c15="http://schemas.microsoft.com/office/drawing/2012/chart">
                  <c:ext xmlns:c16="http://schemas.microsoft.com/office/drawing/2014/chart" uri="{C3380CC4-5D6E-409C-BE32-E72D297353CC}">
                    <c16:uniqueId val="{0000000B-EB82-444F-8279-06ABD90FF070}"/>
                  </c:ext>
                </c:extLst>
              </c15:ser>
            </c15:filteredBarSeries>
          </c:ext>
        </c:extLst>
      </c:barChart>
      <c:catAx>
        <c:axId val="7909581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n-US"/>
          </a:p>
        </c:txPr>
        <c:crossAx val="790961408"/>
        <c:crosses val="autoZero"/>
        <c:auto val="1"/>
        <c:lblAlgn val="ctr"/>
        <c:lblOffset val="100"/>
        <c:noMultiLvlLbl val="0"/>
      </c:catAx>
      <c:valAx>
        <c:axId val="790961408"/>
        <c:scaling>
          <c:orientation val="minMax"/>
          <c:min val="0"/>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90958128"/>
        <c:crossesAt val="1"/>
        <c:crossBetween val="between"/>
      </c:valAx>
      <c:spPr>
        <a:noFill/>
        <a:ln>
          <a:noFill/>
        </a:ln>
        <a:effectLst/>
      </c:spPr>
    </c:plotArea>
    <c:legend>
      <c:legendPos val="t"/>
      <c:layout>
        <c:manualLayout>
          <c:xMode val="edge"/>
          <c:yMode val="edge"/>
          <c:x val="0.16878354491402861"/>
          <c:y val="0.14071530758226036"/>
          <c:w val="0.78488188976377948"/>
          <c:h val="8.3691663005643596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userShapes r:id="rId5"/>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all" spc="120" normalizeH="0" baseline="0">
                <a:solidFill>
                  <a:schemeClr val="tx1">
                    <a:lumMod val="65000"/>
                    <a:lumOff val="35000"/>
                  </a:schemeClr>
                </a:solidFill>
                <a:latin typeface="+mn-lt"/>
                <a:ea typeface="+mn-ea"/>
                <a:cs typeface="+mn-cs"/>
              </a:defRPr>
            </a:pPr>
            <a:r>
              <a:rPr lang="en-US"/>
              <a:t>Progress: </a:t>
            </a:r>
            <a:r>
              <a:rPr lang="en-US" sz="1600" b="1" i="0" u="none" strike="noStrike" cap="all" normalizeH="0" baseline="0">
                <a:effectLst/>
              </a:rPr>
              <a:t>Section 511 Activities</a:t>
            </a:r>
            <a:endParaRPr lang="en-US"/>
          </a:p>
        </c:rich>
      </c:tx>
      <c:overlay val="0"/>
      <c:spPr>
        <a:noFill/>
        <a:ln>
          <a:noFill/>
        </a:ln>
        <a:effectLst/>
      </c:spPr>
      <c:txPr>
        <a:bodyPr rot="0" spcFirstLastPara="1" vertOverflow="ellipsis" vert="horz" wrap="square" anchor="ctr" anchorCtr="1"/>
        <a:lstStyle/>
        <a:p>
          <a:pPr>
            <a:defRPr sz="1600" b="1" i="0" u="none" strike="noStrike" kern="1200" cap="all" spc="120" normalizeH="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3.3720388225764973E-2"/>
          <c:y val="0.14584098852712488"/>
          <c:w val="0.94109226599161167"/>
          <c:h val="0.62853727315905772"/>
        </c:manualLayout>
      </c:layout>
      <c:barChart>
        <c:barDir val="bar"/>
        <c:grouping val="stacked"/>
        <c:varyColors val="0"/>
        <c:ser>
          <c:idx val="2"/>
          <c:order val="2"/>
          <c:tx>
            <c:strRef>
              <c:f>'activities-percent-completed'!$D$3</c:f>
              <c:strCache>
                <c:ptCount val="1"/>
                <c:pt idx="0">
                  <c:v>Completed</c:v>
                </c:pt>
              </c:strCache>
            </c:strRef>
          </c:tx>
          <c:spPr>
            <a:solidFill>
              <a:srgbClr val="B2272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6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'activities-percent-completed'!$A$4:$A$15</c:f>
              <c:strCache>
                <c:ptCount val="1"/>
                <c:pt idx="0">
                  <c:v>Section 511</c:v>
                </c:pt>
              </c:strCache>
              <c:extLst/>
            </c:strRef>
          </c:cat>
          <c:val>
            <c:numRef>
              <c:f>'activities-percent-completed'!$D$4:$D$15</c:f>
              <c:numCache>
                <c:formatCode>0%</c:formatCode>
                <c:ptCount val="1"/>
                <c:pt idx="0">
                  <c:v>1</c:v>
                </c:pt>
              </c:numCache>
              <c:extLst/>
            </c:numRef>
          </c:val>
          <c:extLst>
            <c:ext xmlns:c16="http://schemas.microsoft.com/office/drawing/2014/chart" uri="{C3380CC4-5D6E-409C-BE32-E72D297353CC}">
              <c16:uniqueId val="{00000000-BD9F-4CB1-ABD8-B0DD1C42935C}"/>
            </c:ext>
          </c:extLst>
        </c:ser>
        <c:ser>
          <c:idx val="3"/>
          <c:order val="3"/>
          <c:tx>
            <c:strRef>
              <c:f>'activities-percent-completed'!$E$3</c:f>
              <c:strCache>
                <c:ptCount val="1"/>
                <c:pt idx="0">
                  <c:v>90%</c:v>
                </c:pt>
              </c:strCache>
            </c:strRef>
          </c:tx>
          <c:spPr>
            <a:solidFill>
              <a:schemeClr val="accent4"/>
            </a:solidFill>
            <a:ln>
              <a:noFill/>
            </a:ln>
            <a:effectLst/>
          </c:spPr>
          <c:invertIfNegative val="0"/>
          <c:dLbls>
            <c:delete val="1"/>
          </c:dLbls>
          <c:cat>
            <c:strRef>
              <c:f>'activities-percent-completed'!$A$4:$A$15</c:f>
              <c:strCache>
                <c:ptCount val="1"/>
                <c:pt idx="0">
                  <c:v>Section 511</c:v>
                </c:pt>
              </c:strCache>
              <c:extLst/>
            </c:strRef>
          </c:cat>
          <c:val>
            <c:numRef>
              <c:f>'activities-percent-completed'!$E$4:$E$15</c:f>
              <c:numCache>
                <c:formatCode>0%</c:formatCode>
                <c:ptCount val="1"/>
                <c:pt idx="0">
                  <c:v>0</c:v>
                </c:pt>
              </c:numCache>
              <c:extLst/>
            </c:numRef>
          </c:val>
          <c:extLst>
            <c:ext xmlns:c16="http://schemas.microsoft.com/office/drawing/2014/chart" uri="{C3380CC4-5D6E-409C-BE32-E72D297353CC}">
              <c16:uniqueId val="{00000001-BD9F-4CB1-ABD8-B0DD1C42935C}"/>
            </c:ext>
          </c:extLst>
        </c:ser>
        <c:ser>
          <c:idx val="4"/>
          <c:order val="4"/>
          <c:tx>
            <c:strRef>
              <c:f>'activities-percent-completed'!$F$3</c:f>
              <c:strCache>
                <c:ptCount val="1"/>
                <c:pt idx="0">
                  <c:v>75%</c:v>
                </c:pt>
              </c:strCache>
            </c:strRef>
          </c:tx>
          <c:spPr>
            <a:solidFill>
              <a:srgbClr val="FFFF66"/>
            </a:solidFill>
            <a:ln>
              <a:noFill/>
            </a:ln>
            <a:effectLst/>
          </c:spPr>
          <c:invertIfNegative val="0"/>
          <c:dLbls>
            <c:delete val="1"/>
          </c:dLbls>
          <c:cat>
            <c:strRef>
              <c:f>'activities-percent-completed'!$A$4:$A$15</c:f>
              <c:strCache>
                <c:ptCount val="1"/>
                <c:pt idx="0">
                  <c:v>Section 511</c:v>
                </c:pt>
              </c:strCache>
              <c:extLst/>
            </c:strRef>
          </c:cat>
          <c:val>
            <c:numRef>
              <c:f>'activities-percent-completed'!$F$4:$F$15</c:f>
              <c:numCache>
                <c:formatCode>0%</c:formatCode>
                <c:ptCount val="1"/>
                <c:pt idx="0">
                  <c:v>0</c:v>
                </c:pt>
              </c:numCache>
              <c:extLst/>
            </c:numRef>
          </c:val>
          <c:extLst>
            <c:ext xmlns:c16="http://schemas.microsoft.com/office/drawing/2014/chart" uri="{C3380CC4-5D6E-409C-BE32-E72D297353CC}">
              <c16:uniqueId val="{00000002-BD9F-4CB1-ABD8-B0DD1C42935C}"/>
            </c:ext>
          </c:extLst>
        </c:ser>
        <c:ser>
          <c:idx val="5"/>
          <c:order val="5"/>
          <c:tx>
            <c:strRef>
              <c:f>'activities-percent-completed'!$G$3</c:f>
              <c:strCache>
                <c:ptCount val="1"/>
                <c:pt idx="0">
                  <c:v>50%</c:v>
                </c:pt>
              </c:strCache>
            </c:strRef>
          </c:tx>
          <c:spPr>
            <a:solidFill>
              <a:schemeClr val="accent6"/>
            </a:solidFill>
            <a:ln>
              <a:noFill/>
            </a:ln>
            <a:effectLst/>
          </c:spPr>
          <c:invertIfNegative val="0"/>
          <c:dLbls>
            <c:delete val="1"/>
          </c:dLbls>
          <c:cat>
            <c:strRef>
              <c:f>'activities-percent-completed'!$A$4:$A$15</c:f>
              <c:strCache>
                <c:ptCount val="1"/>
                <c:pt idx="0">
                  <c:v>Section 511</c:v>
                </c:pt>
              </c:strCache>
              <c:extLst/>
            </c:strRef>
          </c:cat>
          <c:val>
            <c:numRef>
              <c:f>'activities-percent-completed'!$G$4:$G$15</c:f>
              <c:numCache>
                <c:formatCode>0%</c:formatCode>
                <c:ptCount val="1"/>
                <c:pt idx="0">
                  <c:v>0</c:v>
                </c:pt>
              </c:numCache>
              <c:extLst/>
            </c:numRef>
          </c:val>
          <c:extLst>
            <c:ext xmlns:c16="http://schemas.microsoft.com/office/drawing/2014/chart" uri="{C3380CC4-5D6E-409C-BE32-E72D297353CC}">
              <c16:uniqueId val="{00000003-BD9F-4CB1-ABD8-B0DD1C42935C}"/>
            </c:ext>
          </c:extLst>
        </c:ser>
        <c:ser>
          <c:idx val="6"/>
          <c:order val="6"/>
          <c:tx>
            <c:strRef>
              <c:f>'activities-percent-completed'!$H$3</c:f>
              <c:strCache>
                <c:ptCount val="1"/>
                <c:pt idx="0">
                  <c:v>25%</c:v>
                </c:pt>
              </c:strCache>
            </c:strRef>
          </c:tx>
          <c:spPr>
            <a:solidFill>
              <a:srgbClr val="15FFFF"/>
            </a:solidFill>
            <a:ln>
              <a:noFill/>
            </a:ln>
            <a:effectLst/>
          </c:spPr>
          <c:invertIfNegative val="0"/>
          <c:dLbls>
            <c:delete val="1"/>
          </c:dLbls>
          <c:cat>
            <c:strRef>
              <c:f>'activities-percent-completed'!$A$4:$A$15</c:f>
              <c:strCache>
                <c:ptCount val="1"/>
                <c:pt idx="0">
                  <c:v>Section 511</c:v>
                </c:pt>
              </c:strCache>
              <c:extLst/>
            </c:strRef>
          </c:cat>
          <c:val>
            <c:numRef>
              <c:f>'activities-percent-completed'!$H$4:$H$15</c:f>
              <c:numCache>
                <c:formatCode>0%</c:formatCode>
                <c:ptCount val="1"/>
                <c:pt idx="0">
                  <c:v>0</c:v>
                </c:pt>
              </c:numCache>
              <c:extLst/>
            </c:numRef>
          </c:val>
          <c:extLst>
            <c:ext xmlns:c16="http://schemas.microsoft.com/office/drawing/2014/chart" uri="{C3380CC4-5D6E-409C-BE32-E72D297353CC}">
              <c16:uniqueId val="{00000004-BD9F-4CB1-ABD8-B0DD1C42935C}"/>
            </c:ext>
          </c:extLst>
        </c:ser>
        <c:ser>
          <c:idx val="7"/>
          <c:order val="7"/>
          <c:tx>
            <c:strRef>
              <c:f>'activities-percent-completed'!$I$3</c:f>
              <c:strCache>
                <c:ptCount val="1"/>
                <c:pt idx="0">
                  <c:v>10%</c:v>
                </c:pt>
              </c:strCache>
            </c:strRef>
          </c:tx>
          <c:spPr>
            <a:solidFill>
              <a:srgbClr val="3399FF"/>
            </a:solidFill>
            <a:ln>
              <a:noFill/>
            </a:ln>
            <a:effectLst/>
          </c:spPr>
          <c:invertIfNegative val="0"/>
          <c:dLbls>
            <c:delete val="1"/>
          </c:dLbls>
          <c:cat>
            <c:strRef>
              <c:f>'activities-percent-completed'!$A$4:$A$15</c:f>
              <c:strCache>
                <c:ptCount val="1"/>
                <c:pt idx="0">
                  <c:v>Section 511</c:v>
                </c:pt>
              </c:strCache>
              <c:extLst/>
            </c:strRef>
          </c:cat>
          <c:val>
            <c:numRef>
              <c:f>'activities-percent-completed'!$I$4:$I$15</c:f>
              <c:numCache>
                <c:formatCode>0%</c:formatCode>
                <c:ptCount val="1"/>
                <c:pt idx="0">
                  <c:v>0</c:v>
                </c:pt>
              </c:numCache>
              <c:extLst/>
            </c:numRef>
          </c:val>
          <c:extLst xmlns:c15="http://schemas.microsoft.com/office/drawing/2012/chart">
            <c:ext xmlns:c16="http://schemas.microsoft.com/office/drawing/2014/chart" uri="{C3380CC4-5D6E-409C-BE32-E72D297353CC}">
              <c16:uniqueId val="{00000005-BD9F-4CB1-ABD8-B0DD1C42935C}"/>
            </c:ext>
          </c:extLst>
        </c:ser>
        <c:ser>
          <c:idx val="8"/>
          <c:order val="8"/>
          <c:tx>
            <c:strRef>
              <c:f>'activities-percent-completed'!$J$3</c:f>
              <c:strCache>
                <c:ptCount val="1"/>
                <c:pt idx="0">
                  <c:v>Not started</c:v>
                </c:pt>
              </c:strCache>
            </c:strRef>
          </c:tx>
          <c:spPr>
            <a:solidFill>
              <a:srgbClr val="7030A0"/>
            </a:solidFill>
            <a:ln>
              <a:noFill/>
            </a:ln>
            <a:effectLst/>
          </c:spPr>
          <c:invertIfNegative val="0"/>
          <c:dLbls>
            <c:delete val="1"/>
          </c:dLbls>
          <c:cat>
            <c:strRef>
              <c:f>'activities-percent-completed'!$A$4:$A$15</c:f>
              <c:strCache>
                <c:ptCount val="1"/>
                <c:pt idx="0">
                  <c:v>Section 511</c:v>
                </c:pt>
              </c:strCache>
              <c:extLst/>
            </c:strRef>
          </c:cat>
          <c:val>
            <c:numRef>
              <c:f>'activities-percent-completed'!$J$4:$J$15</c:f>
              <c:numCache>
                <c:formatCode>0%</c:formatCode>
                <c:ptCount val="1"/>
                <c:pt idx="0">
                  <c:v>0</c:v>
                </c:pt>
              </c:numCache>
              <c:extLst/>
            </c:numRef>
          </c:val>
          <c:extLst xmlns:c15="http://schemas.microsoft.com/office/drawing/2012/chart">
            <c:ext xmlns:c16="http://schemas.microsoft.com/office/drawing/2014/chart" uri="{C3380CC4-5D6E-409C-BE32-E72D297353CC}">
              <c16:uniqueId val="{00000006-BD9F-4CB1-ABD8-B0DD1C42935C}"/>
            </c:ext>
          </c:extLst>
        </c:ser>
        <c:dLbls>
          <c:dLblPos val="ctr"/>
          <c:showLegendKey val="0"/>
          <c:showVal val="1"/>
          <c:showCatName val="0"/>
          <c:showSerName val="0"/>
          <c:showPercent val="0"/>
          <c:showBubbleSize val="0"/>
        </c:dLbls>
        <c:gapWidth val="79"/>
        <c:overlap val="100"/>
        <c:axId val="610520992"/>
        <c:axId val="610522632"/>
        <c:extLst>
          <c:ext xmlns:c15="http://schemas.microsoft.com/office/drawing/2012/chart" uri="{02D57815-91ED-43cb-92C2-25804820EDAC}">
            <c15:filteredBarSeries>
              <c15:ser>
                <c:idx val="0"/>
                <c:order val="0"/>
                <c:tx>
                  <c:strRef>
                    <c:extLst>
                      <c:ext uri="{02D57815-91ED-43cb-92C2-25804820EDAC}">
                        <c15:formulaRef>
                          <c15:sqref>'activities-percent-completed'!$B$3</c15:sqref>
                        </c15:formulaRef>
                      </c:ext>
                    </c:extLst>
                    <c:strCache>
                      <c:ptCount val="1"/>
                      <c:pt idx="0">
                        <c:v># of Total Activities</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showLeaderLines val="0"/>
                  <c:extLst>
                    <c:ext uri="{CE6537A1-D6FC-4f65-9D91-7224C49458BB}">
                      <c15:showLeaderLines val="1"/>
                      <c15:leaderLines>
                        <c:spPr>
                          <a:ln w="9525">
                            <a:solidFill>
                              <a:schemeClr val="tx1">
                                <a:lumMod val="35000"/>
                                <a:lumOff val="65000"/>
                              </a:schemeClr>
                            </a:solidFill>
                          </a:ln>
                          <a:effectLst/>
                        </c:spPr>
                      </c15:leaderLines>
                    </c:ext>
                  </c:extLst>
                </c:dLbls>
                <c:cat>
                  <c:strRef>
                    <c:extLst>
                      <c:ext uri="{02D57815-91ED-43cb-92C2-25804820EDAC}">
                        <c15:formulaRef>
                          <c15:sqref>'activities-percent-completed'!$A$4:$A$15</c15:sqref>
                        </c15:formulaRef>
                      </c:ext>
                    </c:extLst>
                    <c:strCache>
                      <c:ptCount val="1"/>
                      <c:pt idx="0">
                        <c:v>Section 511</c:v>
                      </c:pt>
                    </c:strCache>
                  </c:strRef>
                </c:cat>
                <c:val>
                  <c:numRef>
                    <c:extLst>
                      <c:ext uri="{02D57815-91ED-43cb-92C2-25804820EDAC}">
                        <c15:formulaRef>
                          <c15:sqref>'activities-percent-completed'!$B$4:$B$15</c15:sqref>
                        </c15:formulaRef>
                      </c:ext>
                    </c:extLst>
                    <c:numCache>
                      <c:formatCode>0</c:formatCode>
                      <c:ptCount val="1"/>
                      <c:pt idx="0">
                        <c:v>22</c:v>
                      </c:pt>
                    </c:numCache>
                  </c:numRef>
                </c:val>
                <c:extLst>
                  <c:ext xmlns:c16="http://schemas.microsoft.com/office/drawing/2014/chart" uri="{C3380CC4-5D6E-409C-BE32-E72D297353CC}">
                    <c16:uniqueId val="{00000007-BD9F-4CB1-ABD8-B0DD1C42935C}"/>
                  </c:ext>
                </c:extLst>
              </c15:ser>
            </c15:filteredBarSeries>
            <c15:filteredBarSeries>
              <c15:ser>
                <c:idx val="1"/>
                <c:order val="1"/>
                <c:tx>
                  <c:strRef>
                    <c:extLst xmlns:c15="http://schemas.microsoft.com/office/drawing/2012/chart">
                      <c:ext xmlns:c15="http://schemas.microsoft.com/office/drawing/2012/chart" uri="{02D57815-91ED-43cb-92C2-25804820EDAC}">
                        <c15:formulaRef>
                          <c15:sqref>'activities-percent-completed'!$C$3</c15:sqref>
                        </c15:formulaRef>
                      </c:ext>
                    </c:extLst>
                    <c:strCache>
                      <c:ptCount val="1"/>
                      <c:pt idx="0">
                        <c:v>Average Progress on Activities (%)</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extLst xmlns:c15="http://schemas.microsoft.com/office/drawing/2012/chart">
                      <c:ext xmlns:c15="http://schemas.microsoft.com/office/drawing/2012/chart" uri="{02D57815-91ED-43cb-92C2-25804820EDAC}">
                        <c15:formulaRef>
                          <c15:sqref>'activities-percent-completed'!$A$4:$A$15</c15:sqref>
                        </c15:formulaRef>
                      </c:ext>
                    </c:extLst>
                    <c:strCache>
                      <c:ptCount val="1"/>
                      <c:pt idx="0">
                        <c:v>Section 511</c:v>
                      </c:pt>
                    </c:strCache>
                  </c:strRef>
                </c:cat>
                <c:val>
                  <c:numRef>
                    <c:extLst xmlns:c15="http://schemas.microsoft.com/office/drawing/2012/chart">
                      <c:ext xmlns:c15="http://schemas.microsoft.com/office/drawing/2012/chart" uri="{02D57815-91ED-43cb-92C2-25804820EDAC}">
                        <c15:formulaRef>
                          <c15:sqref>'activities-percent-completed'!$C$4:$C$15</c15:sqref>
                        </c15:formulaRef>
                      </c:ext>
                    </c:extLst>
                    <c:numCache>
                      <c:formatCode>0%</c:formatCode>
                      <c:ptCount val="1"/>
                      <c:pt idx="0">
                        <c:v>1</c:v>
                      </c:pt>
                    </c:numCache>
                  </c:numRef>
                </c:val>
                <c:extLst xmlns:c15="http://schemas.microsoft.com/office/drawing/2012/chart">
                  <c:ext xmlns:c16="http://schemas.microsoft.com/office/drawing/2014/chart" uri="{C3380CC4-5D6E-409C-BE32-E72D297353CC}">
                    <c16:uniqueId val="{00000008-BD9F-4CB1-ABD8-B0DD1C42935C}"/>
                  </c:ext>
                </c:extLst>
              </c15:ser>
            </c15:filteredBarSeries>
            <c15:filteredBarSeries>
              <c15:ser>
                <c:idx val="9"/>
                <c:order val="9"/>
                <c:tx>
                  <c:strRef>
                    <c:extLst xmlns:c15="http://schemas.microsoft.com/office/drawing/2012/chart">
                      <c:ext xmlns:c15="http://schemas.microsoft.com/office/drawing/2012/chart" uri="{02D57815-91ED-43cb-92C2-25804820EDAC}">
                        <c15:formulaRef>
                          <c15:sqref>'activities-percent-completed'!$K$3</c15:sqref>
                        </c15:formulaRef>
                      </c:ext>
                    </c:extLst>
                    <c:strCache>
                      <c:ptCount val="1"/>
                      <c:pt idx="0">
                        <c:v>In Progress</c:v>
                      </c:pt>
                    </c:strCache>
                  </c:strRef>
                </c:tx>
                <c:spPr>
                  <a:solidFill>
                    <a:schemeClr val="accent4">
                      <a:lumMod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en-US"/>
                    </a:p>
                  </c:txPr>
                  <c:dLblPos val="ct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extLst xmlns:c15="http://schemas.microsoft.com/office/drawing/2012/chart">
                      <c:ext xmlns:c15="http://schemas.microsoft.com/office/drawing/2012/chart" uri="{02D57815-91ED-43cb-92C2-25804820EDAC}">
                        <c15:formulaRef>
                          <c15:sqref>'activities-percent-completed'!$A$4:$A$15</c15:sqref>
                        </c15:formulaRef>
                      </c:ext>
                    </c:extLst>
                    <c:strCache>
                      <c:ptCount val="1"/>
                      <c:pt idx="0">
                        <c:v>Section 511</c:v>
                      </c:pt>
                    </c:strCache>
                  </c:strRef>
                </c:cat>
                <c:val>
                  <c:numRef>
                    <c:extLst xmlns:c15="http://schemas.microsoft.com/office/drawing/2012/chart">
                      <c:ext xmlns:c15="http://schemas.microsoft.com/office/drawing/2012/chart" uri="{02D57815-91ED-43cb-92C2-25804820EDAC}">
                        <c15:formulaRef>
                          <c15:sqref>'activities-percent-completed'!$K$4:$K$15</c15:sqref>
                        </c15:formulaRef>
                      </c:ext>
                    </c:extLst>
                    <c:numCache>
                      <c:formatCode>0%</c:formatCode>
                      <c:ptCount val="1"/>
                      <c:pt idx="0">
                        <c:v>0</c:v>
                      </c:pt>
                    </c:numCache>
                  </c:numRef>
                </c:val>
                <c:extLst xmlns:c15="http://schemas.microsoft.com/office/drawing/2012/chart">
                  <c:ext xmlns:c16="http://schemas.microsoft.com/office/drawing/2014/chart" uri="{C3380CC4-5D6E-409C-BE32-E72D297353CC}">
                    <c16:uniqueId val="{00000009-BD9F-4CB1-ABD8-B0DD1C42935C}"/>
                  </c:ext>
                </c:extLst>
              </c15:ser>
            </c15:filteredBarSeries>
          </c:ext>
        </c:extLst>
      </c:barChart>
      <c:catAx>
        <c:axId val="610520992"/>
        <c:scaling>
          <c:orientation val="minMax"/>
        </c:scaling>
        <c:delete val="1"/>
        <c:axPos val="l"/>
        <c:majorGridlines>
          <c:spPr>
            <a:ln w="9525" cap="flat" cmpd="sng" algn="ctr">
              <a:solidFill>
                <a:schemeClr val="tx1">
                  <a:lumMod val="15000"/>
                  <a:lumOff val="85000"/>
                </a:schemeClr>
              </a:solidFill>
              <a:round/>
            </a:ln>
            <a:effectLst/>
          </c:spPr>
        </c:majorGridlines>
        <c:minorGridlines>
          <c:spPr>
            <a:ln>
              <a:solidFill>
                <a:schemeClr val="tx1">
                  <a:lumMod val="5000"/>
                  <a:lumOff val="95000"/>
                </a:schemeClr>
              </a:solidFill>
            </a:ln>
            <a:effectLst/>
          </c:spPr>
        </c:minorGridlines>
        <c:numFmt formatCode="General" sourceLinked="1"/>
        <c:majorTickMark val="out"/>
        <c:minorTickMark val="none"/>
        <c:tickLblPos val="nextTo"/>
        <c:crossAx val="610522632"/>
        <c:crosses val="autoZero"/>
        <c:auto val="1"/>
        <c:lblAlgn val="ctr"/>
        <c:lblOffset val="100"/>
        <c:noMultiLvlLbl val="0"/>
      </c:catAx>
      <c:valAx>
        <c:axId val="610522632"/>
        <c:scaling>
          <c:orientation val="minMax"/>
          <c:max val="1"/>
        </c:scaling>
        <c:delete val="0"/>
        <c:axPos val="b"/>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10520992"/>
        <c:crosses val="autoZero"/>
        <c:crossBetween val="between"/>
      </c:valAx>
      <c:spPr>
        <a:noFill/>
        <a:ln>
          <a:noFill/>
        </a:ln>
        <a:effectLst/>
      </c:spPr>
    </c:plotArea>
    <c:legend>
      <c:legendPos val="t"/>
      <c:layout>
        <c:manualLayout>
          <c:xMode val="edge"/>
          <c:yMode val="edge"/>
          <c:x val="0.1725618256051327"/>
          <c:y val="0.88928425603226235"/>
          <c:w val="0.57483332975155021"/>
          <c:h val="8.5354113285177044E-2"/>
        </c:manualLayout>
      </c:layout>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cap="all" spc="120" normalizeH="0" baseline="0">
                <a:solidFill>
                  <a:schemeClr val="tx1">
                    <a:lumMod val="65000"/>
                    <a:lumOff val="35000"/>
                  </a:schemeClr>
                </a:solidFill>
                <a:latin typeface="+mn-lt"/>
                <a:ea typeface="+mn-ea"/>
                <a:cs typeface="+mn-cs"/>
              </a:defRPr>
            </a:pPr>
            <a:r>
              <a:rPr lang="en-US"/>
              <a:t>Intensive TA Activities Progress:</a:t>
            </a:r>
          </a:p>
          <a:p>
            <a:pPr>
              <a:defRPr/>
            </a:pPr>
            <a:r>
              <a:rPr lang="en-US"/>
              <a:t>ALL ACTIVITIES </a:t>
            </a:r>
          </a:p>
        </c:rich>
      </c:tx>
      <c:overlay val="0"/>
      <c:spPr>
        <a:noFill/>
        <a:ln>
          <a:noFill/>
        </a:ln>
        <a:effectLst/>
      </c:spPr>
      <c:txPr>
        <a:bodyPr rot="0" spcFirstLastPara="1" vertOverflow="ellipsis" vert="horz" wrap="square" anchor="ctr" anchorCtr="1"/>
        <a:lstStyle/>
        <a:p>
          <a:pPr>
            <a:defRPr sz="1600" b="1" i="0" u="none" strike="noStrike" kern="1200" cap="all" spc="120" normalizeH="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stacked"/>
        <c:varyColors val="0"/>
        <c:ser>
          <c:idx val="0"/>
          <c:order val="0"/>
          <c:tx>
            <c:strRef>
              <c:f>'activities-data'!$B$3</c:f>
              <c:strCache>
                <c:ptCount val="1"/>
                <c:pt idx="0">
                  <c:v>Completed</c:v>
                </c:pt>
              </c:strCache>
            </c:strRef>
          </c:tx>
          <c:spPr>
            <a:solidFill>
              <a:srgbClr val="FF99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6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'activities-data'!$A$4:$A$18</c:f>
              <c:strCache>
                <c:ptCount val="1"/>
                <c:pt idx="0">
                  <c:v>All</c:v>
                </c:pt>
              </c:strCache>
            </c:strRef>
          </c:cat>
          <c:val>
            <c:numRef>
              <c:f>'activities-data'!$B$4:$B$18</c:f>
              <c:numCache>
                <c:formatCode>0%</c:formatCode>
                <c:ptCount val="1"/>
                <c:pt idx="0">
                  <c:v>0.51876019575856447</c:v>
                </c:pt>
              </c:numCache>
            </c:numRef>
          </c:val>
          <c:extLst>
            <c:ext xmlns:c16="http://schemas.microsoft.com/office/drawing/2014/chart" uri="{C3380CC4-5D6E-409C-BE32-E72D297353CC}">
              <c16:uniqueId val="{00000000-654E-409B-8011-3A0C401BF8B9}"/>
            </c:ext>
          </c:extLst>
        </c:ser>
        <c:ser>
          <c:idx val="1"/>
          <c:order val="1"/>
          <c:tx>
            <c:strRef>
              <c:f>'activities-data'!$C$3</c:f>
              <c:strCache>
                <c:ptCount val="1"/>
                <c:pt idx="0">
                  <c:v>In progress</c:v>
                </c:pt>
              </c:strCache>
            </c:strRef>
          </c:tx>
          <c:spPr>
            <a:solidFill>
              <a:srgbClr val="FFCC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6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'activities-data'!$A$4:$A$18</c:f>
              <c:strCache>
                <c:ptCount val="1"/>
                <c:pt idx="0">
                  <c:v>All</c:v>
                </c:pt>
              </c:strCache>
            </c:strRef>
          </c:cat>
          <c:val>
            <c:numRef>
              <c:f>'activities-data'!$C$4:$C$18</c:f>
              <c:numCache>
                <c:formatCode>0%</c:formatCode>
                <c:ptCount val="1"/>
                <c:pt idx="0">
                  <c:v>0.33931484502446985</c:v>
                </c:pt>
              </c:numCache>
            </c:numRef>
          </c:val>
          <c:extLst>
            <c:ext xmlns:c16="http://schemas.microsoft.com/office/drawing/2014/chart" uri="{C3380CC4-5D6E-409C-BE32-E72D297353CC}">
              <c16:uniqueId val="{00000001-654E-409B-8011-3A0C401BF8B9}"/>
            </c:ext>
          </c:extLst>
        </c:ser>
        <c:ser>
          <c:idx val="2"/>
          <c:order val="2"/>
          <c:tx>
            <c:strRef>
              <c:f>'activities-data'!$D$3</c:f>
              <c:strCache>
                <c:ptCount val="1"/>
                <c:pt idx="0">
                  <c:v>Not started</c:v>
                </c:pt>
              </c:strCache>
            </c:strRef>
          </c:tx>
          <c:spPr>
            <a:solidFill>
              <a:srgbClr val="0099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6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'activities-data'!$A$4:$A$18</c:f>
              <c:strCache>
                <c:ptCount val="1"/>
                <c:pt idx="0">
                  <c:v>All</c:v>
                </c:pt>
              </c:strCache>
            </c:strRef>
          </c:cat>
          <c:val>
            <c:numRef>
              <c:f>'activities-data'!$D$4:$D$18</c:f>
              <c:numCache>
                <c:formatCode>0%</c:formatCode>
                <c:ptCount val="1"/>
                <c:pt idx="0">
                  <c:v>0.15660685154975529</c:v>
                </c:pt>
              </c:numCache>
            </c:numRef>
          </c:val>
          <c:extLst>
            <c:ext xmlns:c16="http://schemas.microsoft.com/office/drawing/2014/chart" uri="{C3380CC4-5D6E-409C-BE32-E72D297353CC}">
              <c16:uniqueId val="{00000002-654E-409B-8011-3A0C401BF8B9}"/>
            </c:ext>
          </c:extLst>
        </c:ser>
        <c:dLbls>
          <c:dLblPos val="ctr"/>
          <c:showLegendKey val="0"/>
          <c:showVal val="1"/>
          <c:showCatName val="0"/>
          <c:showSerName val="0"/>
          <c:showPercent val="0"/>
          <c:showBubbleSize val="0"/>
        </c:dLbls>
        <c:gapWidth val="79"/>
        <c:overlap val="100"/>
        <c:axId val="610520992"/>
        <c:axId val="610522632"/>
      </c:barChart>
      <c:catAx>
        <c:axId val="610520992"/>
        <c:scaling>
          <c:orientation val="maxMin"/>
        </c:scaling>
        <c:delete val="1"/>
        <c:axPos val="l"/>
        <c:majorGridlines>
          <c:spPr>
            <a:ln w="9525" cap="flat" cmpd="sng" algn="ctr">
              <a:solidFill>
                <a:schemeClr val="tx1">
                  <a:lumMod val="15000"/>
                  <a:lumOff val="85000"/>
                </a:schemeClr>
              </a:solidFill>
              <a:round/>
            </a:ln>
            <a:effectLst/>
          </c:spPr>
        </c:majorGridlines>
        <c:minorGridlines>
          <c:spPr>
            <a:ln>
              <a:solidFill>
                <a:schemeClr val="tx1">
                  <a:lumMod val="5000"/>
                  <a:lumOff val="95000"/>
                </a:schemeClr>
              </a:solidFill>
            </a:ln>
            <a:effectLst/>
          </c:spPr>
        </c:minorGridlines>
        <c:numFmt formatCode="General" sourceLinked="1"/>
        <c:majorTickMark val="none"/>
        <c:minorTickMark val="none"/>
        <c:tickLblPos val="nextTo"/>
        <c:crossAx val="610522632"/>
        <c:crosses val="autoZero"/>
        <c:auto val="1"/>
        <c:lblAlgn val="ctr"/>
        <c:lblOffset val="100"/>
        <c:noMultiLvlLbl val="0"/>
      </c:catAx>
      <c:valAx>
        <c:axId val="610522632"/>
        <c:scaling>
          <c:orientation val="minMax"/>
        </c:scaling>
        <c:delete val="1"/>
        <c:axPos val="t"/>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crossAx val="610520992"/>
        <c:crosses val="autoZero"/>
        <c:crossBetween val="between"/>
      </c:valAx>
      <c:spPr>
        <a:noFill/>
        <a:ln>
          <a:noFill/>
        </a:ln>
        <a:effectLst/>
      </c:spPr>
    </c:plotArea>
    <c:legend>
      <c:legendPos val="t"/>
      <c:layout>
        <c:manualLayout>
          <c:xMode val="edge"/>
          <c:yMode val="edge"/>
          <c:x val="0.23697792583619356"/>
          <c:y val="0.31066307823209066"/>
          <c:w val="0.56270479977536636"/>
          <c:h val="8.270660987805499E-2"/>
        </c:manualLayout>
      </c:layout>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4"/>
    </mc:Choice>
    <mc:Fallback>
      <c:style val="4"/>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Topic Area - Section 511 </a:t>
            </a:r>
            <a:br>
              <a:rPr lang="en-US"/>
            </a:br>
            <a:r>
              <a:rPr lang="en-US"/>
              <a:t>Activity #1</a:t>
            </a:r>
          </a:p>
        </c:rich>
      </c:tx>
      <c:layout>
        <c:manualLayout>
          <c:xMode val="edge"/>
          <c:yMode val="edge"/>
          <c:x val="0.15852625564661557"/>
          <c:y val="1.4306151645207439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6017916604892113"/>
          <c:y val="0.23265365094271845"/>
          <c:w val="0.78942722632790041"/>
          <c:h val="0.66602748393145406"/>
        </c:manualLayout>
      </c:layout>
      <c:barChart>
        <c:barDir val="col"/>
        <c:grouping val="percentStacked"/>
        <c:varyColors val="0"/>
        <c:ser>
          <c:idx val="3"/>
          <c:order val="3"/>
          <c:tx>
            <c:strRef>
              <c:f>'individual-chart-511'!$F$2</c:f>
              <c:strCache>
                <c:ptCount val="1"/>
                <c:pt idx="0">
                  <c:v>Completed</c:v>
                </c:pt>
              </c:strCache>
            </c:strRef>
          </c:tx>
          <c:spPr>
            <a:solidFill>
              <a:srgbClr val="99221F"/>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800" b="0"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'individual-chart-511'!$B$3:$B$34</c:f>
              <c:strCache>
                <c:ptCount val="2"/>
                <c:pt idx="0">
                  <c:v>Activity</c:v>
                </c:pt>
                <c:pt idx="1">
                  <c:v>Outputs</c:v>
                </c:pt>
              </c:strCache>
              <c:extLst/>
            </c:strRef>
          </c:cat>
          <c:val>
            <c:numRef>
              <c:f>'individual-chart-511'!$F$3:$F$34</c:f>
              <c:numCache>
                <c:formatCode>0%</c:formatCode>
                <c:ptCount val="2"/>
                <c:pt idx="0">
                  <c:v>0</c:v>
                </c:pt>
                <c:pt idx="1">
                  <c:v>0</c:v>
                </c:pt>
              </c:numCache>
              <c:extLst/>
            </c:numRef>
          </c:val>
          <c:extLst>
            <c:ext xmlns:c16="http://schemas.microsoft.com/office/drawing/2014/chart" uri="{C3380CC4-5D6E-409C-BE32-E72D297353CC}">
              <c16:uniqueId val="{00000000-2E53-40D0-B898-7AC9CFED4916}"/>
            </c:ext>
          </c:extLst>
        </c:ser>
        <c:ser>
          <c:idx val="4"/>
          <c:order val="4"/>
          <c:tx>
            <c:strRef>
              <c:f>'individual-chart-511'!$G$2</c:f>
              <c:strCache>
                <c:ptCount val="1"/>
                <c:pt idx="0">
                  <c:v>90%</c:v>
                </c:pt>
              </c:strCache>
            </c:strRef>
          </c:tx>
          <c:spPr>
            <a:solidFill>
              <a:srgbClr val="D73D39"/>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'individual-chart-511'!$B$3:$B$34</c:f>
              <c:strCache>
                <c:ptCount val="2"/>
                <c:pt idx="0">
                  <c:v>Activity</c:v>
                </c:pt>
                <c:pt idx="1">
                  <c:v>Outputs</c:v>
                </c:pt>
              </c:strCache>
              <c:extLst/>
            </c:strRef>
          </c:cat>
          <c:val>
            <c:numRef>
              <c:f>'individual-chart-511'!$G$3:$G$34</c:f>
              <c:numCache>
                <c:formatCode>0%</c:formatCode>
                <c:ptCount val="2"/>
                <c:pt idx="0">
                  <c:v>0</c:v>
                </c:pt>
                <c:pt idx="1">
                  <c:v>0</c:v>
                </c:pt>
              </c:numCache>
              <c:extLst/>
            </c:numRef>
          </c:val>
          <c:extLst>
            <c:ext xmlns:c16="http://schemas.microsoft.com/office/drawing/2014/chart" uri="{C3380CC4-5D6E-409C-BE32-E72D297353CC}">
              <c16:uniqueId val="{00000001-2E53-40D0-B898-7AC9CFED4916}"/>
            </c:ext>
          </c:extLst>
        </c:ser>
        <c:ser>
          <c:idx val="5"/>
          <c:order val="5"/>
          <c:tx>
            <c:strRef>
              <c:f>'individual-chart-511'!$H$2</c:f>
              <c:strCache>
                <c:ptCount val="1"/>
                <c:pt idx="0">
                  <c:v>75%</c:v>
                </c:pt>
              </c:strCache>
            </c:strRef>
          </c:tx>
          <c:spPr>
            <a:solidFill>
              <a:srgbClr val="DC5350"/>
            </a:solidFill>
            <a:ln>
              <a:noFill/>
            </a:ln>
            <a:effectLst/>
          </c:spPr>
          <c:invertIfNegative val="0"/>
          <c:dLbls>
            <c:delete val="1"/>
          </c:dLbls>
          <c:cat>
            <c:strRef>
              <c:f>'individual-chart-511'!$B$3:$B$34</c:f>
              <c:strCache>
                <c:ptCount val="2"/>
                <c:pt idx="0">
                  <c:v>Activity</c:v>
                </c:pt>
                <c:pt idx="1">
                  <c:v>Outputs</c:v>
                </c:pt>
              </c:strCache>
              <c:extLst/>
            </c:strRef>
          </c:cat>
          <c:val>
            <c:numRef>
              <c:f>'individual-chart-511'!$H$3:$H$34</c:f>
              <c:numCache>
                <c:formatCode>0%</c:formatCode>
                <c:ptCount val="2"/>
                <c:pt idx="0">
                  <c:v>0</c:v>
                </c:pt>
                <c:pt idx="1">
                  <c:v>0</c:v>
                </c:pt>
              </c:numCache>
              <c:extLst/>
            </c:numRef>
          </c:val>
          <c:extLst>
            <c:ext xmlns:c16="http://schemas.microsoft.com/office/drawing/2014/chart" uri="{C3380CC4-5D6E-409C-BE32-E72D297353CC}">
              <c16:uniqueId val="{00000002-2E53-40D0-B898-7AC9CFED4916}"/>
            </c:ext>
          </c:extLst>
        </c:ser>
        <c:ser>
          <c:idx val="6"/>
          <c:order val="6"/>
          <c:tx>
            <c:strRef>
              <c:f>'individual-chart-511'!$I$2</c:f>
              <c:strCache>
                <c:ptCount val="1"/>
                <c:pt idx="0">
                  <c:v>50%</c:v>
                </c:pt>
              </c:strCache>
            </c:strRef>
          </c:tx>
          <c:spPr>
            <a:solidFill>
              <a:srgbClr val="EBA19F"/>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'individual-chart-511'!$B$3:$B$34</c:f>
              <c:strCache>
                <c:ptCount val="2"/>
                <c:pt idx="0">
                  <c:v>Activity</c:v>
                </c:pt>
                <c:pt idx="1">
                  <c:v>Outputs</c:v>
                </c:pt>
              </c:strCache>
              <c:extLst/>
            </c:strRef>
          </c:cat>
          <c:val>
            <c:numRef>
              <c:f>'individual-chart-511'!$I$3:$I$34</c:f>
              <c:numCache>
                <c:formatCode>0%</c:formatCode>
                <c:ptCount val="2"/>
                <c:pt idx="0">
                  <c:v>0</c:v>
                </c:pt>
                <c:pt idx="1">
                  <c:v>0</c:v>
                </c:pt>
              </c:numCache>
              <c:extLst/>
            </c:numRef>
          </c:val>
          <c:extLst>
            <c:ext xmlns:c16="http://schemas.microsoft.com/office/drawing/2014/chart" uri="{C3380CC4-5D6E-409C-BE32-E72D297353CC}">
              <c16:uniqueId val="{00000003-2E53-40D0-B898-7AC9CFED4916}"/>
            </c:ext>
          </c:extLst>
        </c:ser>
        <c:ser>
          <c:idx val="7"/>
          <c:order val="7"/>
          <c:tx>
            <c:strRef>
              <c:f>'individual-chart-511'!$J$2</c:f>
              <c:strCache>
                <c:ptCount val="1"/>
                <c:pt idx="0">
                  <c:v>25%</c:v>
                </c:pt>
              </c:strCache>
            </c:strRef>
          </c:tx>
          <c:spPr>
            <a:solidFill>
              <a:srgbClr val="F3C6C5"/>
            </a:solidFill>
            <a:ln>
              <a:noFill/>
            </a:ln>
            <a:effectLst/>
          </c:spPr>
          <c:invertIfNegative val="0"/>
          <c:dLbls>
            <c:delete val="1"/>
          </c:dLbls>
          <c:cat>
            <c:strRef>
              <c:f>'individual-chart-511'!$B$3:$B$34</c:f>
              <c:strCache>
                <c:ptCount val="2"/>
                <c:pt idx="0">
                  <c:v>Activity</c:v>
                </c:pt>
                <c:pt idx="1">
                  <c:v>Outputs</c:v>
                </c:pt>
              </c:strCache>
              <c:extLst/>
            </c:strRef>
          </c:cat>
          <c:val>
            <c:numRef>
              <c:f>'individual-chart-511'!$J$3:$J$34</c:f>
              <c:numCache>
                <c:formatCode>0%</c:formatCode>
                <c:ptCount val="2"/>
                <c:pt idx="0">
                  <c:v>0</c:v>
                </c:pt>
                <c:pt idx="1">
                  <c:v>0</c:v>
                </c:pt>
              </c:numCache>
              <c:extLst/>
            </c:numRef>
          </c:val>
          <c:extLst>
            <c:ext xmlns:c16="http://schemas.microsoft.com/office/drawing/2014/chart" uri="{C3380CC4-5D6E-409C-BE32-E72D297353CC}">
              <c16:uniqueId val="{00000004-2E53-40D0-B898-7AC9CFED4916}"/>
            </c:ext>
          </c:extLst>
        </c:ser>
        <c:ser>
          <c:idx val="8"/>
          <c:order val="8"/>
          <c:tx>
            <c:strRef>
              <c:f>'individual-chart-511'!$K$2</c:f>
              <c:strCache>
                <c:ptCount val="1"/>
                <c:pt idx="0">
                  <c:v>10%</c:v>
                </c:pt>
              </c:strCache>
            </c:strRef>
          </c:tx>
          <c:spPr>
            <a:solidFill>
              <a:schemeClr val="accent2">
                <a:tint val="56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'individual-chart-511'!$B$3:$B$34</c:f>
              <c:strCache>
                <c:ptCount val="2"/>
                <c:pt idx="0">
                  <c:v>Activity</c:v>
                </c:pt>
                <c:pt idx="1">
                  <c:v>Outputs</c:v>
                </c:pt>
              </c:strCache>
              <c:extLst/>
            </c:strRef>
          </c:cat>
          <c:val>
            <c:numRef>
              <c:f>'individual-chart-511'!$K$3:$K$34</c:f>
              <c:numCache>
                <c:formatCode>0%</c:formatCode>
                <c:ptCount val="2"/>
                <c:pt idx="0">
                  <c:v>0</c:v>
                </c:pt>
                <c:pt idx="1">
                  <c:v>0</c:v>
                </c:pt>
              </c:numCache>
              <c:extLst/>
            </c:numRef>
          </c:val>
          <c:extLst>
            <c:ext xmlns:c16="http://schemas.microsoft.com/office/drawing/2014/chart" uri="{C3380CC4-5D6E-409C-BE32-E72D297353CC}">
              <c16:uniqueId val="{00000005-2E53-40D0-B898-7AC9CFED4916}"/>
            </c:ext>
          </c:extLst>
        </c:ser>
        <c:ser>
          <c:idx val="9"/>
          <c:order val="9"/>
          <c:tx>
            <c:strRef>
              <c:f>'individual-chart-511'!$L$2</c:f>
              <c:strCache>
                <c:ptCount val="1"/>
                <c:pt idx="0">
                  <c:v>Not Started</c:v>
                </c:pt>
              </c:strCache>
            </c:strRef>
          </c:tx>
          <c:spPr>
            <a:solidFill>
              <a:srgbClr val="FCF2F2"/>
            </a:solidFill>
            <a:ln>
              <a:noFill/>
            </a:ln>
            <a:effectLst/>
          </c:spPr>
          <c:invertIfNegative val="0"/>
          <c:dLbls>
            <c:delete val="1"/>
          </c:dLbls>
          <c:cat>
            <c:strRef>
              <c:f>'individual-chart-511'!$B$3:$B$34</c:f>
              <c:strCache>
                <c:ptCount val="2"/>
                <c:pt idx="0">
                  <c:v>Activity</c:v>
                </c:pt>
                <c:pt idx="1">
                  <c:v>Outputs</c:v>
                </c:pt>
              </c:strCache>
              <c:extLst/>
            </c:strRef>
          </c:cat>
          <c:val>
            <c:numRef>
              <c:f>'individual-chart-511'!$L$3:$L$34</c:f>
              <c:numCache>
                <c:formatCode>0%</c:formatCode>
                <c:ptCount val="2"/>
                <c:pt idx="0">
                  <c:v>0</c:v>
                </c:pt>
                <c:pt idx="1">
                  <c:v>0</c:v>
                </c:pt>
              </c:numCache>
              <c:extLst/>
            </c:numRef>
          </c:val>
          <c:extLst>
            <c:ext xmlns:c16="http://schemas.microsoft.com/office/drawing/2014/chart" uri="{C3380CC4-5D6E-409C-BE32-E72D297353CC}">
              <c16:uniqueId val="{00000006-2E53-40D0-B898-7AC9CFED4916}"/>
            </c:ext>
          </c:extLst>
        </c:ser>
        <c:dLbls>
          <c:dLblPos val="ctr"/>
          <c:showLegendKey val="0"/>
          <c:showVal val="1"/>
          <c:showCatName val="0"/>
          <c:showSerName val="0"/>
          <c:showPercent val="0"/>
          <c:showBubbleSize val="0"/>
        </c:dLbls>
        <c:gapWidth val="150"/>
        <c:overlap val="100"/>
        <c:axId val="790958128"/>
        <c:axId val="790961408"/>
        <c:extLst>
          <c:ext xmlns:c15="http://schemas.microsoft.com/office/drawing/2012/chart" uri="{02D57815-91ED-43cb-92C2-25804820EDAC}">
            <c15:filteredBarSeries>
              <c15:ser>
                <c:idx val="0"/>
                <c:order val="0"/>
                <c:tx>
                  <c:strRef>
                    <c:extLst>
                      <c:ext uri="{02D57815-91ED-43cb-92C2-25804820EDAC}">
                        <c15:formulaRef>
                          <c15:sqref>'individual-chart-511'!$C$2</c15:sqref>
                        </c15:formulaRef>
                      </c:ext>
                    </c:extLst>
                    <c:strCache>
                      <c:ptCount val="1"/>
                      <c:pt idx="0">
                        <c:v>Completed</c:v>
                      </c:pt>
                    </c:strCache>
                  </c:strRef>
                </c:tx>
                <c:spPr>
                  <a:solidFill>
                    <a:schemeClr val="accent2">
                      <a:shade val="42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c:ext uri="{02D57815-91ED-43cb-92C2-25804820EDAC}">
                        <c15:formulaRef>
                          <c15:sqref>'individual-chart-511'!$B$3:$B$34</c15:sqref>
                        </c15:formulaRef>
                      </c:ext>
                    </c:extLst>
                    <c:strCache>
                      <c:ptCount val="2"/>
                      <c:pt idx="0">
                        <c:v>Activity</c:v>
                      </c:pt>
                      <c:pt idx="1">
                        <c:v>Outputs</c:v>
                      </c:pt>
                    </c:strCache>
                  </c:strRef>
                </c:cat>
                <c:val>
                  <c:numRef>
                    <c:extLst>
                      <c:ext uri="{02D57815-91ED-43cb-92C2-25804820EDAC}">
                        <c15:formulaRef>
                          <c15:sqref>'individual-chart-511'!$C$3:$C$34</c15:sqref>
                        </c15:formulaRef>
                      </c:ext>
                    </c:extLst>
                    <c:numCache>
                      <c:formatCode>0%</c:formatCode>
                      <c:ptCount val="2"/>
                      <c:pt idx="0">
                        <c:v>0</c:v>
                      </c:pt>
                      <c:pt idx="1">
                        <c:v>0</c:v>
                      </c:pt>
                    </c:numCache>
                  </c:numRef>
                </c:val>
                <c:extLst>
                  <c:ext xmlns:c16="http://schemas.microsoft.com/office/drawing/2014/chart" uri="{C3380CC4-5D6E-409C-BE32-E72D297353CC}">
                    <c16:uniqueId val="{00000007-2E53-40D0-B898-7AC9CFED4916}"/>
                  </c:ext>
                </c:extLst>
              </c15:ser>
            </c15:filteredBarSeries>
            <c15:filteredBarSeries>
              <c15:ser>
                <c:idx val="1"/>
                <c:order val="1"/>
                <c:tx>
                  <c:strRef>
                    <c:extLst xmlns:c15="http://schemas.microsoft.com/office/drawing/2012/chart">
                      <c:ext xmlns:c15="http://schemas.microsoft.com/office/drawing/2012/chart" uri="{02D57815-91ED-43cb-92C2-25804820EDAC}">
                        <c15:formulaRef>
                          <c15:sqref>'individual-chart-511'!$D$2</c15:sqref>
                        </c15:formulaRef>
                      </c:ext>
                    </c:extLst>
                    <c:strCache>
                      <c:ptCount val="1"/>
                      <c:pt idx="0">
                        <c:v>In progress</c:v>
                      </c:pt>
                    </c:strCache>
                  </c:strRef>
                </c:tx>
                <c:spPr>
                  <a:solidFill>
                    <a:schemeClr val="accent2">
                      <a:shade val="5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'individual-chart-511'!$B$3:$B$34</c15:sqref>
                        </c15:formulaRef>
                      </c:ext>
                    </c:extLst>
                    <c:strCache>
                      <c:ptCount val="2"/>
                      <c:pt idx="0">
                        <c:v>Activity</c:v>
                      </c:pt>
                      <c:pt idx="1">
                        <c:v>Outputs</c:v>
                      </c:pt>
                    </c:strCache>
                  </c:strRef>
                </c:cat>
                <c:val>
                  <c:numRef>
                    <c:extLst xmlns:c15="http://schemas.microsoft.com/office/drawing/2012/chart">
                      <c:ext xmlns:c15="http://schemas.microsoft.com/office/drawing/2012/chart" uri="{02D57815-91ED-43cb-92C2-25804820EDAC}">
                        <c15:formulaRef>
                          <c15:sqref>'individual-chart-511'!$D$3:$D$34</c15:sqref>
                        </c15:formulaRef>
                      </c:ext>
                    </c:extLst>
                    <c:numCache>
                      <c:formatCode>0%</c:formatCode>
                      <c:ptCount val="2"/>
                      <c:pt idx="0">
                        <c:v>0</c:v>
                      </c:pt>
                      <c:pt idx="1">
                        <c:v>0</c:v>
                      </c:pt>
                    </c:numCache>
                  </c:numRef>
                </c:val>
                <c:extLst xmlns:c15="http://schemas.microsoft.com/office/drawing/2012/chart">
                  <c:ext xmlns:c16="http://schemas.microsoft.com/office/drawing/2014/chart" uri="{C3380CC4-5D6E-409C-BE32-E72D297353CC}">
                    <c16:uniqueId val="{00000008-2E53-40D0-B898-7AC9CFED4916}"/>
                  </c:ext>
                </c:extLst>
              </c15:ser>
            </c15:filteredBarSeries>
            <c15:filteredBarSeries>
              <c15:ser>
                <c:idx val="2"/>
                <c:order val="2"/>
                <c:tx>
                  <c:strRef>
                    <c:extLst xmlns:c15="http://schemas.microsoft.com/office/drawing/2012/chart">
                      <c:ext xmlns:c15="http://schemas.microsoft.com/office/drawing/2012/chart" uri="{02D57815-91ED-43cb-92C2-25804820EDAC}">
                        <c15:formulaRef>
                          <c15:sqref>'individual-chart-511'!$E$2</c15:sqref>
                        </c15:formulaRef>
                      </c:ext>
                    </c:extLst>
                    <c:strCache>
                      <c:ptCount val="1"/>
                      <c:pt idx="0">
                        <c:v>Not started</c:v>
                      </c:pt>
                    </c:strCache>
                  </c:strRef>
                </c:tx>
                <c:spPr>
                  <a:solidFill>
                    <a:schemeClr val="accent2">
                      <a:shade val="68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'individual-chart-511'!$B$3:$B$34</c15:sqref>
                        </c15:formulaRef>
                      </c:ext>
                    </c:extLst>
                    <c:strCache>
                      <c:ptCount val="2"/>
                      <c:pt idx="0">
                        <c:v>Activity</c:v>
                      </c:pt>
                      <c:pt idx="1">
                        <c:v>Outputs</c:v>
                      </c:pt>
                    </c:strCache>
                  </c:strRef>
                </c:cat>
                <c:val>
                  <c:numRef>
                    <c:extLst xmlns:c15="http://schemas.microsoft.com/office/drawing/2012/chart">
                      <c:ext xmlns:c15="http://schemas.microsoft.com/office/drawing/2012/chart" uri="{02D57815-91ED-43cb-92C2-25804820EDAC}">
                        <c15:formulaRef>
                          <c15:sqref>'individual-chart-511'!$E$3:$E$34</c15:sqref>
                        </c15:formulaRef>
                      </c:ext>
                    </c:extLst>
                    <c:numCache>
                      <c:formatCode>0%</c:formatCode>
                      <c:ptCount val="2"/>
                      <c:pt idx="0">
                        <c:v>0</c:v>
                      </c:pt>
                      <c:pt idx="1">
                        <c:v>0</c:v>
                      </c:pt>
                    </c:numCache>
                  </c:numRef>
                </c:val>
                <c:extLst xmlns:c15="http://schemas.microsoft.com/office/drawing/2012/chart">
                  <c:ext xmlns:c16="http://schemas.microsoft.com/office/drawing/2014/chart" uri="{C3380CC4-5D6E-409C-BE32-E72D297353CC}">
                    <c16:uniqueId val="{00000009-2E53-40D0-B898-7AC9CFED4916}"/>
                  </c:ext>
                </c:extLst>
              </c15:ser>
            </c15:filteredBarSeries>
          </c:ext>
        </c:extLst>
      </c:barChart>
      <c:catAx>
        <c:axId val="7909581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n-US"/>
          </a:p>
        </c:txPr>
        <c:crossAx val="790961408"/>
        <c:crosses val="autoZero"/>
        <c:auto val="1"/>
        <c:lblAlgn val="ctr"/>
        <c:lblOffset val="100"/>
        <c:noMultiLvlLbl val="0"/>
      </c:catAx>
      <c:valAx>
        <c:axId val="790961408"/>
        <c:scaling>
          <c:orientation val="minMax"/>
          <c:min val="0"/>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90958128"/>
        <c:crossesAt val="1"/>
        <c:crossBetween val="between"/>
      </c:valAx>
      <c:spPr>
        <a:noFill/>
        <a:ln>
          <a:noFill/>
        </a:ln>
        <a:effectLst/>
      </c:spPr>
    </c:plotArea>
    <c:legend>
      <c:legendPos val="t"/>
      <c:layout>
        <c:manualLayout>
          <c:xMode val="edge"/>
          <c:yMode val="edge"/>
          <c:x val="0.16878354491402861"/>
          <c:y val="0.14071530758226036"/>
          <c:w val="0.78488188976377948"/>
          <c:h val="8.3691663005643596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userShapes r:id="rId5"/>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4"/>
    </mc:Choice>
    <mc:Fallback>
      <c:style val="4"/>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Topic Area - Section 511 </a:t>
            </a:r>
            <a:br>
              <a:rPr lang="en-US"/>
            </a:br>
            <a:r>
              <a:rPr lang="en-US"/>
              <a:t>Activity #2</a:t>
            </a:r>
          </a:p>
        </c:rich>
      </c:tx>
      <c:layout>
        <c:manualLayout>
          <c:xMode val="edge"/>
          <c:yMode val="edge"/>
          <c:x val="0.15852625564661557"/>
          <c:y val="1.4306151645207439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6017916604892113"/>
          <c:y val="0.23265365094271845"/>
          <c:w val="0.78942722632790041"/>
          <c:h val="0.66602748393145406"/>
        </c:manualLayout>
      </c:layout>
      <c:barChart>
        <c:barDir val="col"/>
        <c:grouping val="percentStacked"/>
        <c:varyColors val="0"/>
        <c:ser>
          <c:idx val="3"/>
          <c:order val="3"/>
          <c:tx>
            <c:strRef>
              <c:f>'individual-chart-511'!$F$2</c:f>
              <c:strCache>
                <c:ptCount val="1"/>
                <c:pt idx="0">
                  <c:v>Completed</c:v>
                </c:pt>
              </c:strCache>
            </c:strRef>
          </c:tx>
          <c:spPr>
            <a:solidFill>
              <a:srgbClr val="99221F"/>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600" b="0"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'individual-chart-511'!$B$3:$B$34</c:f>
              <c:strCache>
                <c:ptCount val="2"/>
                <c:pt idx="0">
                  <c:v>Activity</c:v>
                </c:pt>
                <c:pt idx="1">
                  <c:v>Outputs</c:v>
                </c:pt>
              </c:strCache>
              <c:extLst/>
            </c:strRef>
          </c:cat>
          <c:val>
            <c:numRef>
              <c:f>'individual-chart-511'!$F$3:$F$34</c:f>
              <c:numCache>
                <c:formatCode>0%</c:formatCode>
                <c:ptCount val="2"/>
                <c:pt idx="0">
                  <c:v>1</c:v>
                </c:pt>
                <c:pt idx="1">
                  <c:v>1</c:v>
                </c:pt>
              </c:numCache>
              <c:extLst/>
            </c:numRef>
          </c:val>
          <c:extLst>
            <c:ext xmlns:c16="http://schemas.microsoft.com/office/drawing/2014/chart" uri="{C3380CC4-5D6E-409C-BE32-E72D297353CC}">
              <c16:uniqueId val="{00000000-308A-473B-9DC9-8F0DA8DDAAEA}"/>
            </c:ext>
          </c:extLst>
        </c:ser>
        <c:ser>
          <c:idx val="4"/>
          <c:order val="4"/>
          <c:tx>
            <c:strRef>
              <c:f>'individual-chart-511'!$G$2</c:f>
              <c:strCache>
                <c:ptCount val="1"/>
                <c:pt idx="0">
                  <c:v>90%</c:v>
                </c:pt>
              </c:strCache>
            </c:strRef>
          </c:tx>
          <c:spPr>
            <a:solidFill>
              <a:srgbClr val="D73D39"/>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'individual-chart-511'!$B$3:$B$34</c:f>
              <c:strCache>
                <c:ptCount val="2"/>
                <c:pt idx="0">
                  <c:v>Activity</c:v>
                </c:pt>
                <c:pt idx="1">
                  <c:v>Outputs</c:v>
                </c:pt>
              </c:strCache>
              <c:extLst/>
            </c:strRef>
          </c:cat>
          <c:val>
            <c:numRef>
              <c:f>'individual-chart-511'!$G$3:$G$34</c:f>
              <c:numCache>
                <c:formatCode>General</c:formatCode>
                <c:ptCount val="2"/>
              </c:numCache>
              <c:extLst/>
            </c:numRef>
          </c:val>
          <c:extLst>
            <c:ext xmlns:c16="http://schemas.microsoft.com/office/drawing/2014/chart" uri="{C3380CC4-5D6E-409C-BE32-E72D297353CC}">
              <c16:uniqueId val="{00000001-308A-473B-9DC9-8F0DA8DDAAEA}"/>
            </c:ext>
          </c:extLst>
        </c:ser>
        <c:ser>
          <c:idx val="5"/>
          <c:order val="5"/>
          <c:tx>
            <c:strRef>
              <c:f>'individual-chart-511'!$H$2</c:f>
              <c:strCache>
                <c:ptCount val="1"/>
                <c:pt idx="0">
                  <c:v>75%</c:v>
                </c:pt>
              </c:strCache>
            </c:strRef>
          </c:tx>
          <c:spPr>
            <a:solidFill>
              <a:srgbClr val="DC535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'individual-chart-511'!$B$3:$B$34</c:f>
              <c:strCache>
                <c:ptCount val="2"/>
                <c:pt idx="0">
                  <c:v>Activity</c:v>
                </c:pt>
                <c:pt idx="1">
                  <c:v>Outputs</c:v>
                </c:pt>
              </c:strCache>
              <c:extLst/>
            </c:strRef>
          </c:cat>
          <c:val>
            <c:numRef>
              <c:f>'individual-chart-511'!$H$3:$H$34</c:f>
              <c:numCache>
                <c:formatCode>General</c:formatCode>
                <c:ptCount val="2"/>
              </c:numCache>
              <c:extLst/>
            </c:numRef>
          </c:val>
          <c:extLst>
            <c:ext xmlns:c16="http://schemas.microsoft.com/office/drawing/2014/chart" uri="{C3380CC4-5D6E-409C-BE32-E72D297353CC}">
              <c16:uniqueId val="{00000002-308A-473B-9DC9-8F0DA8DDAAEA}"/>
            </c:ext>
          </c:extLst>
        </c:ser>
        <c:ser>
          <c:idx val="6"/>
          <c:order val="6"/>
          <c:tx>
            <c:strRef>
              <c:f>'individual-chart-511'!$I$2</c:f>
              <c:strCache>
                <c:ptCount val="1"/>
                <c:pt idx="0">
                  <c:v>50%</c:v>
                </c:pt>
              </c:strCache>
            </c:strRef>
          </c:tx>
          <c:spPr>
            <a:solidFill>
              <a:srgbClr val="EBA19F"/>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'individual-chart-511'!$B$3:$B$34</c:f>
              <c:strCache>
                <c:ptCount val="2"/>
                <c:pt idx="0">
                  <c:v>Activity</c:v>
                </c:pt>
                <c:pt idx="1">
                  <c:v>Outputs</c:v>
                </c:pt>
              </c:strCache>
              <c:extLst/>
            </c:strRef>
          </c:cat>
          <c:val>
            <c:numRef>
              <c:f>'individual-chart-511'!$I$3:$I$34</c:f>
              <c:numCache>
                <c:formatCode>General</c:formatCode>
                <c:ptCount val="2"/>
              </c:numCache>
              <c:extLst/>
            </c:numRef>
          </c:val>
          <c:extLst>
            <c:ext xmlns:c16="http://schemas.microsoft.com/office/drawing/2014/chart" uri="{C3380CC4-5D6E-409C-BE32-E72D297353CC}">
              <c16:uniqueId val="{00000003-308A-473B-9DC9-8F0DA8DDAAEA}"/>
            </c:ext>
          </c:extLst>
        </c:ser>
        <c:ser>
          <c:idx val="7"/>
          <c:order val="7"/>
          <c:tx>
            <c:strRef>
              <c:f>'individual-chart-511'!$J$2</c:f>
              <c:strCache>
                <c:ptCount val="1"/>
                <c:pt idx="0">
                  <c:v>25%</c:v>
                </c:pt>
              </c:strCache>
            </c:strRef>
          </c:tx>
          <c:spPr>
            <a:solidFill>
              <a:srgbClr val="F3C6C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'individual-chart-511'!$B$3:$B$34</c:f>
              <c:strCache>
                <c:ptCount val="2"/>
                <c:pt idx="0">
                  <c:v>Activity</c:v>
                </c:pt>
                <c:pt idx="1">
                  <c:v>Outputs</c:v>
                </c:pt>
              </c:strCache>
              <c:extLst/>
            </c:strRef>
          </c:cat>
          <c:val>
            <c:numRef>
              <c:f>'individual-chart-511'!$J$3:$J$34</c:f>
              <c:numCache>
                <c:formatCode>General</c:formatCode>
                <c:ptCount val="2"/>
              </c:numCache>
              <c:extLst/>
            </c:numRef>
          </c:val>
          <c:extLst>
            <c:ext xmlns:c16="http://schemas.microsoft.com/office/drawing/2014/chart" uri="{C3380CC4-5D6E-409C-BE32-E72D297353CC}">
              <c16:uniqueId val="{00000004-308A-473B-9DC9-8F0DA8DDAAEA}"/>
            </c:ext>
          </c:extLst>
        </c:ser>
        <c:ser>
          <c:idx val="8"/>
          <c:order val="8"/>
          <c:tx>
            <c:strRef>
              <c:f>'individual-chart-511'!$K$2</c:f>
              <c:strCache>
                <c:ptCount val="1"/>
                <c:pt idx="0">
                  <c:v>10%</c:v>
                </c:pt>
              </c:strCache>
            </c:strRef>
          </c:tx>
          <c:spPr>
            <a:solidFill>
              <a:schemeClr val="accent2">
                <a:tint val="56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'individual-chart-511'!$B$3:$B$34</c:f>
              <c:strCache>
                <c:ptCount val="2"/>
                <c:pt idx="0">
                  <c:v>Activity</c:v>
                </c:pt>
                <c:pt idx="1">
                  <c:v>Outputs</c:v>
                </c:pt>
              </c:strCache>
              <c:extLst/>
            </c:strRef>
          </c:cat>
          <c:val>
            <c:numRef>
              <c:f>'individual-chart-511'!$K$3:$K$34</c:f>
              <c:numCache>
                <c:formatCode>General</c:formatCode>
                <c:ptCount val="2"/>
              </c:numCache>
              <c:extLst/>
            </c:numRef>
          </c:val>
          <c:extLst>
            <c:ext xmlns:c16="http://schemas.microsoft.com/office/drawing/2014/chart" uri="{C3380CC4-5D6E-409C-BE32-E72D297353CC}">
              <c16:uniqueId val="{00000005-308A-473B-9DC9-8F0DA8DDAAEA}"/>
            </c:ext>
          </c:extLst>
        </c:ser>
        <c:ser>
          <c:idx val="9"/>
          <c:order val="9"/>
          <c:tx>
            <c:strRef>
              <c:f>'individual-chart-511'!$L$2</c:f>
              <c:strCache>
                <c:ptCount val="1"/>
                <c:pt idx="0">
                  <c:v>Not Started</c:v>
                </c:pt>
              </c:strCache>
            </c:strRef>
          </c:tx>
          <c:spPr>
            <a:solidFill>
              <a:srgbClr val="FCF2F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'individual-chart-511'!$B$3:$B$34</c:f>
              <c:strCache>
                <c:ptCount val="2"/>
                <c:pt idx="0">
                  <c:v>Activity</c:v>
                </c:pt>
                <c:pt idx="1">
                  <c:v>Outputs</c:v>
                </c:pt>
              </c:strCache>
              <c:extLst/>
            </c:strRef>
          </c:cat>
          <c:val>
            <c:numRef>
              <c:f>'individual-chart-511'!$L$3:$L$34</c:f>
              <c:numCache>
                <c:formatCode>General</c:formatCode>
                <c:ptCount val="2"/>
              </c:numCache>
              <c:extLst/>
            </c:numRef>
          </c:val>
          <c:extLst>
            <c:ext xmlns:c16="http://schemas.microsoft.com/office/drawing/2014/chart" uri="{C3380CC4-5D6E-409C-BE32-E72D297353CC}">
              <c16:uniqueId val="{00000006-308A-473B-9DC9-8F0DA8DDAAEA}"/>
            </c:ext>
          </c:extLst>
        </c:ser>
        <c:dLbls>
          <c:dLblPos val="ctr"/>
          <c:showLegendKey val="0"/>
          <c:showVal val="1"/>
          <c:showCatName val="0"/>
          <c:showSerName val="0"/>
          <c:showPercent val="0"/>
          <c:showBubbleSize val="0"/>
        </c:dLbls>
        <c:gapWidth val="150"/>
        <c:overlap val="100"/>
        <c:axId val="790958128"/>
        <c:axId val="790961408"/>
        <c:extLst>
          <c:ext xmlns:c15="http://schemas.microsoft.com/office/drawing/2012/chart" uri="{02D57815-91ED-43cb-92C2-25804820EDAC}">
            <c15:filteredBarSeries>
              <c15:ser>
                <c:idx val="0"/>
                <c:order val="0"/>
                <c:tx>
                  <c:strRef>
                    <c:extLst>
                      <c:ext uri="{02D57815-91ED-43cb-92C2-25804820EDAC}">
                        <c15:formulaRef>
                          <c15:sqref>'individual-chart-511'!$C$2</c15:sqref>
                        </c15:formulaRef>
                      </c:ext>
                    </c:extLst>
                    <c:strCache>
                      <c:ptCount val="1"/>
                      <c:pt idx="0">
                        <c:v>Completed</c:v>
                      </c:pt>
                    </c:strCache>
                  </c:strRef>
                </c:tx>
                <c:spPr>
                  <a:solidFill>
                    <a:schemeClr val="accent2">
                      <a:shade val="42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c:ext uri="{02D57815-91ED-43cb-92C2-25804820EDAC}">
                        <c15:formulaRef>
                          <c15:sqref>'individual-chart-511'!$B$3:$B$34</c15:sqref>
                        </c15:formulaRef>
                      </c:ext>
                    </c:extLst>
                    <c:strCache>
                      <c:ptCount val="2"/>
                      <c:pt idx="0">
                        <c:v>Activity</c:v>
                      </c:pt>
                      <c:pt idx="1">
                        <c:v>Outputs</c:v>
                      </c:pt>
                    </c:strCache>
                  </c:strRef>
                </c:cat>
                <c:val>
                  <c:numRef>
                    <c:extLst>
                      <c:ext uri="{02D57815-91ED-43cb-92C2-25804820EDAC}">
                        <c15:formulaRef>
                          <c15:sqref>'individual-chart-511'!$C$3:$C$34</c15:sqref>
                        </c15:formulaRef>
                      </c:ext>
                    </c:extLst>
                    <c:numCache>
                      <c:formatCode>0%</c:formatCode>
                      <c:ptCount val="2"/>
                      <c:pt idx="0">
                        <c:v>1</c:v>
                      </c:pt>
                      <c:pt idx="1">
                        <c:v>1</c:v>
                      </c:pt>
                    </c:numCache>
                  </c:numRef>
                </c:val>
                <c:extLst>
                  <c:ext xmlns:c16="http://schemas.microsoft.com/office/drawing/2014/chart" uri="{C3380CC4-5D6E-409C-BE32-E72D297353CC}">
                    <c16:uniqueId val="{00000007-308A-473B-9DC9-8F0DA8DDAAEA}"/>
                  </c:ext>
                </c:extLst>
              </c15:ser>
            </c15:filteredBarSeries>
            <c15:filteredBarSeries>
              <c15:ser>
                <c:idx val="1"/>
                <c:order val="1"/>
                <c:tx>
                  <c:strRef>
                    <c:extLst xmlns:c15="http://schemas.microsoft.com/office/drawing/2012/chart">
                      <c:ext xmlns:c15="http://schemas.microsoft.com/office/drawing/2012/chart" uri="{02D57815-91ED-43cb-92C2-25804820EDAC}">
                        <c15:formulaRef>
                          <c15:sqref>'individual-chart-511'!$D$2</c15:sqref>
                        </c15:formulaRef>
                      </c:ext>
                    </c:extLst>
                    <c:strCache>
                      <c:ptCount val="1"/>
                      <c:pt idx="0">
                        <c:v>In progress</c:v>
                      </c:pt>
                    </c:strCache>
                  </c:strRef>
                </c:tx>
                <c:spPr>
                  <a:solidFill>
                    <a:schemeClr val="accent2">
                      <a:shade val="5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'individual-chart-511'!$B$3:$B$34</c15:sqref>
                        </c15:formulaRef>
                      </c:ext>
                    </c:extLst>
                    <c:strCache>
                      <c:ptCount val="2"/>
                      <c:pt idx="0">
                        <c:v>Activity</c:v>
                      </c:pt>
                      <c:pt idx="1">
                        <c:v>Outputs</c:v>
                      </c:pt>
                    </c:strCache>
                  </c:strRef>
                </c:cat>
                <c:val>
                  <c:numRef>
                    <c:extLst xmlns:c15="http://schemas.microsoft.com/office/drawing/2012/chart">
                      <c:ext xmlns:c15="http://schemas.microsoft.com/office/drawing/2012/chart" uri="{02D57815-91ED-43cb-92C2-25804820EDAC}">
                        <c15:formulaRef>
                          <c15:sqref>'individual-chart-511'!$D$3:$D$34</c15:sqref>
                        </c15:formulaRef>
                      </c:ext>
                    </c:extLst>
                    <c:numCache>
                      <c:formatCode>General</c:formatCode>
                      <c:ptCount val="2"/>
                    </c:numCache>
                  </c:numRef>
                </c:val>
                <c:extLst xmlns:c15="http://schemas.microsoft.com/office/drawing/2012/chart">
                  <c:ext xmlns:c16="http://schemas.microsoft.com/office/drawing/2014/chart" uri="{C3380CC4-5D6E-409C-BE32-E72D297353CC}">
                    <c16:uniqueId val="{00000008-308A-473B-9DC9-8F0DA8DDAAEA}"/>
                  </c:ext>
                </c:extLst>
              </c15:ser>
            </c15:filteredBarSeries>
            <c15:filteredBarSeries>
              <c15:ser>
                <c:idx val="2"/>
                <c:order val="2"/>
                <c:tx>
                  <c:strRef>
                    <c:extLst xmlns:c15="http://schemas.microsoft.com/office/drawing/2012/chart">
                      <c:ext xmlns:c15="http://schemas.microsoft.com/office/drawing/2012/chart" uri="{02D57815-91ED-43cb-92C2-25804820EDAC}">
                        <c15:formulaRef>
                          <c15:sqref>'individual-chart-511'!$E$2</c15:sqref>
                        </c15:formulaRef>
                      </c:ext>
                    </c:extLst>
                    <c:strCache>
                      <c:ptCount val="1"/>
                      <c:pt idx="0">
                        <c:v>Not started</c:v>
                      </c:pt>
                    </c:strCache>
                  </c:strRef>
                </c:tx>
                <c:spPr>
                  <a:solidFill>
                    <a:schemeClr val="accent2">
                      <a:shade val="68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'individual-chart-511'!$B$3:$B$34</c15:sqref>
                        </c15:formulaRef>
                      </c:ext>
                    </c:extLst>
                    <c:strCache>
                      <c:ptCount val="2"/>
                      <c:pt idx="0">
                        <c:v>Activity</c:v>
                      </c:pt>
                      <c:pt idx="1">
                        <c:v>Outputs</c:v>
                      </c:pt>
                    </c:strCache>
                  </c:strRef>
                </c:cat>
                <c:val>
                  <c:numRef>
                    <c:extLst xmlns:c15="http://schemas.microsoft.com/office/drawing/2012/chart">
                      <c:ext xmlns:c15="http://schemas.microsoft.com/office/drawing/2012/chart" uri="{02D57815-91ED-43cb-92C2-25804820EDAC}">
                        <c15:formulaRef>
                          <c15:sqref>'individual-chart-511'!$E$3:$E$34</c15:sqref>
                        </c15:formulaRef>
                      </c:ext>
                    </c:extLst>
                    <c:numCache>
                      <c:formatCode>General</c:formatCode>
                      <c:ptCount val="2"/>
                    </c:numCache>
                  </c:numRef>
                </c:val>
                <c:extLst xmlns:c15="http://schemas.microsoft.com/office/drawing/2012/chart">
                  <c:ext xmlns:c16="http://schemas.microsoft.com/office/drawing/2014/chart" uri="{C3380CC4-5D6E-409C-BE32-E72D297353CC}">
                    <c16:uniqueId val="{00000009-308A-473B-9DC9-8F0DA8DDAAEA}"/>
                  </c:ext>
                </c:extLst>
              </c15:ser>
            </c15:filteredBarSeries>
          </c:ext>
        </c:extLst>
      </c:barChart>
      <c:catAx>
        <c:axId val="7909581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n-US"/>
          </a:p>
        </c:txPr>
        <c:crossAx val="790961408"/>
        <c:crosses val="autoZero"/>
        <c:auto val="1"/>
        <c:lblAlgn val="ctr"/>
        <c:lblOffset val="100"/>
        <c:noMultiLvlLbl val="0"/>
      </c:catAx>
      <c:valAx>
        <c:axId val="790961408"/>
        <c:scaling>
          <c:orientation val="minMax"/>
          <c:min val="0"/>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90958128"/>
        <c:crossesAt val="1"/>
        <c:crossBetween val="between"/>
      </c:valAx>
      <c:spPr>
        <a:noFill/>
        <a:ln>
          <a:noFill/>
        </a:ln>
        <a:effectLst/>
      </c:spPr>
    </c:plotArea>
    <c:legend>
      <c:legendPos val="t"/>
      <c:layout>
        <c:manualLayout>
          <c:xMode val="edge"/>
          <c:yMode val="edge"/>
          <c:x val="0.16878354491402861"/>
          <c:y val="0.14071530758226036"/>
          <c:w val="0.78488188976377948"/>
          <c:h val="8.3691663005643596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userShapes r:id="rId5"/>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4"/>
    </mc:Choice>
    <mc:Fallback>
      <c:style val="4"/>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Topic Area - Section 511 </a:t>
            </a:r>
            <a:br>
              <a:rPr lang="en-US"/>
            </a:br>
            <a:r>
              <a:rPr lang="en-US"/>
              <a:t>Activity #3</a:t>
            </a:r>
          </a:p>
        </c:rich>
      </c:tx>
      <c:layout>
        <c:manualLayout>
          <c:xMode val="edge"/>
          <c:yMode val="edge"/>
          <c:x val="0.15852625564661557"/>
          <c:y val="1.4306151645207439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6017916604892113"/>
          <c:y val="0.23265365094271845"/>
          <c:w val="0.78942722632790041"/>
          <c:h val="0.66602748393145406"/>
        </c:manualLayout>
      </c:layout>
      <c:barChart>
        <c:barDir val="col"/>
        <c:grouping val="percentStacked"/>
        <c:varyColors val="0"/>
        <c:ser>
          <c:idx val="3"/>
          <c:order val="3"/>
          <c:tx>
            <c:strRef>
              <c:f>'individual-chart-511'!$F$2</c:f>
              <c:strCache>
                <c:ptCount val="1"/>
                <c:pt idx="0">
                  <c:v>Completed</c:v>
                </c:pt>
              </c:strCache>
            </c:strRef>
          </c:tx>
          <c:spPr>
            <a:solidFill>
              <a:srgbClr val="99221F"/>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800" b="0"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'individual-chart-511'!$B$3:$B$34</c:f>
              <c:strCache>
                <c:ptCount val="2"/>
                <c:pt idx="0">
                  <c:v>Activity</c:v>
                </c:pt>
                <c:pt idx="1">
                  <c:v>Outputs</c:v>
                </c:pt>
              </c:strCache>
              <c:extLst/>
            </c:strRef>
          </c:cat>
          <c:val>
            <c:numRef>
              <c:f>'individual-chart-511'!$F$3:$F$34</c:f>
              <c:numCache>
                <c:formatCode>0%</c:formatCode>
                <c:ptCount val="2"/>
                <c:pt idx="0">
                  <c:v>0</c:v>
                </c:pt>
                <c:pt idx="1">
                  <c:v>0</c:v>
                </c:pt>
              </c:numCache>
              <c:extLst/>
            </c:numRef>
          </c:val>
          <c:extLst>
            <c:ext xmlns:c16="http://schemas.microsoft.com/office/drawing/2014/chart" uri="{C3380CC4-5D6E-409C-BE32-E72D297353CC}">
              <c16:uniqueId val="{00000000-F76E-40B1-8162-448DE2511666}"/>
            </c:ext>
          </c:extLst>
        </c:ser>
        <c:ser>
          <c:idx val="4"/>
          <c:order val="4"/>
          <c:tx>
            <c:strRef>
              <c:f>'individual-chart-511'!$G$2</c:f>
              <c:strCache>
                <c:ptCount val="1"/>
                <c:pt idx="0">
                  <c:v>90%</c:v>
                </c:pt>
              </c:strCache>
            </c:strRef>
          </c:tx>
          <c:spPr>
            <a:solidFill>
              <a:srgbClr val="D73D39"/>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'individual-chart-511'!$B$3:$B$34</c:f>
              <c:strCache>
                <c:ptCount val="2"/>
                <c:pt idx="0">
                  <c:v>Activity</c:v>
                </c:pt>
                <c:pt idx="1">
                  <c:v>Outputs</c:v>
                </c:pt>
              </c:strCache>
              <c:extLst/>
            </c:strRef>
          </c:cat>
          <c:val>
            <c:numRef>
              <c:f>'individual-chart-511'!$G$3:$G$34</c:f>
              <c:numCache>
                <c:formatCode>0%</c:formatCode>
                <c:ptCount val="2"/>
                <c:pt idx="0">
                  <c:v>0</c:v>
                </c:pt>
                <c:pt idx="1">
                  <c:v>0</c:v>
                </c:pt>
              </c:numCache>
              <c:extLst/>
            </c:numRef>
          </c:val>
          <c:extLst>
            <c:ext xmlns:c16="http://schemas.microsoft.com/office/drawing/2014/chart" uri="{C3380CC4-5D6E-409C-BE32-E72D297353CC}">
              <c16:uniqueId val="{00000001-F76E-40B1-8162-448DE2511666}"/>
            </c:ext>
          </c:extLst>
        </c:ser>
        <c:ser>
          <c:idx val="5"/>
          <c:order val="5"/>
          <c:tx>
            <c:strRef>
              <c:f>'individual-chart-511'!$H$2</c:f>
              <c:strCache>
                <c:ptCount val="1"/>
                <c:pt idx="0">
                  <c:v>75%</c:v>
                </c:pt>
              </c:strCache>
            </c:strRef>
          </c:tx>
          <c:spPr>
            <a:solidFill>
              <a:srgbClr val="DC535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'individual-chart-511'!$B$3:$B$34</c:f>
              <c:strCache>
                <c:ptCount val="2"/>
                <c:pt idx="0">
                  <c:v>Activity</c:v>
                </c:pt>
                <c:pt idx="1">
                  <c:v>Outputs</c:v>
                </c:pt>
              </c:strCache>
              <c:extLst/>
            </c:strRef>
          </c:cat>
          <c:val>
            <c:numRef>
              <c:f>'individual-chart-511'!$H$3:$H$34</c:f>
              <c:numCache>
                <c:formatCode>0%</c:formatCode>
                <c:ptCount val="2"/>
                <c:pt idx="0">
                  <c:v>0</c:v>
                </c:pt>
                <c:pt idx="1">
                  <c:v>0</c:v>
                </c:pt>
              </c:numCache>
              <c:extLst/>
            </c:numRef>
          </c:val>
          <c:extLst>
            <c:ext xmlns:c16="http://schemas.microsoft.com/office/drawing/2014/chart" uri="{C3380CC4-5D6E-409C-BE32-E72D297353CC}">
              <c16:uniqueId val="{00000002-F76E-40B1-8162-448DE2511666}"/>
            </c:ext>
          </c:extLst>
        </c:ser>
        <c:ser>
          <c:idx val="6"/>
          <c:order val="6"/>
          <c:tx>
            <c:strRef>
              <c:f>'individual-chart-511'!$I$2</c:f>
              <c:strCache>
                <c:ptCount val="1"/>
                <c:pt idx="0">
                  <c:v>50%</c:v>
                </c:pt>
              </c:strCache>
            </c:strRef>
          </c:tx>
          <c:spPr>
            <a:solidFill>
              <a:srgbClr val="EBA19F"/>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'individual-chart-511'!$B$3:$B$34</c:f>
              <c:strCache>
                <c:ptCount val="2"/>
                <c:pt idx="0">
                  <c:v>Activity</c:v>
                </c:pt>
                <c:pt idx="1">
                  <c:v>Outputs</c:v>
                </c:pt>
              </c:strCache>
              <c:extLst/>
            </c:strRef>
          </c:cat>
          <c:val>
            <c:numRef>
              <c:f>'individual-chart-511'!$I$3:$I$34</c:f>
              <c:numCache>
                <c:formatCode>0%</c:formatCode>
                <c:ptCount val="2"/>
                <c:pt idx="0">
                  <c:v>0</c:v>
                </c:pt>
                <c:pt idx="1">
                  <c:v>0</c:v>
                </c:pt>
              </c:numCache>
              <c:extLst/>
            </c:numRef>
          </c:val>
          <c:extLst>
            <c:ext xmlns:c16="http://schemas.microsoft.com/office/drawing/2014/chart" uri="{C3380CC4-5D6E-409C-BE32-E72D297353CC}">
              <c16:uniqueId val="{00000003-F76E-40B1-8162-448DE2511666}"/>
            </c:ext>
          </c:extLst>
        </c:ser>
        <c:ser>
          <c:idx val="7"/>
          <c:order val="7"/>
          <c:tx>
            <c:strRef>
              <c:f>'individual-chart-511'!$J$2</c:f>
              <c:strCache>
                <c:ptCount val="1"/>
                <c:pt idx="0">
                  <c:v>25%</c:v>
                </c:pt>
              </c:strCache>
            </c:strRef>
          </c:tx>
          <c:spPr>
            <a:solidFill>
              <a:srgbClr val="F3C6C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'individual-chart-511'!$B$3:$B$34</c:f>
              <c:strCache>
                <c:ptCount val="2"/>
                <c:pt idx="0">
                  <c:v>Activity</c:v>
                </c:pt>
                <c:pt idx="1">
                  <c:v>Outputs</c:v>
                </c:pt>
              </c:strCache>
              <c:extLst/>
            </c:strRef>
          </c:cat>
          <c:val>
            <c:numRef>
              <c:f>'individual-chart-511'!$J$3:$J$34</c:f>
              <c:numCache>
                <c:formatCode>0%</c:formatCode>
                <c:ptCount val="2"/>
                <c:pt idx="0">
                  <c:v>0</c:v>
                </c:pt>
                <c:pt idx="1">
                  <c:v>0</c:v>
                </c:pt>
              </c:numCache>
              <c:extLst/>
            </c:numRef>
          </c:val>
          <c:extLst>
            <c:ext xmlns:c16="http://schemas.microsoft.com/office/drawing/2014/chart" uri="{C3380CC4-5D6E-409C-BE32-E72D297353CC}">
              <c16:uniqueId val="{00000004-F76E-40B1-8162-448DE2511666}"/>
            </c:ext>
          </c:extLst>
        </c:ser>
        <c:ser>
          <c:idx val="8"/>
          <c:order val="8"/>
          <c:tx>
            <c:strRef>
              <c:f>'individual-chart-511'!$K$2</c:f>
              <c:strCache>
                <c:ptCount val="1"/>
                <c:pt idx="0">
                  <c:v>10%</c:v>
                </c:pt>
              </c:strCache>
            </c:strRef>
          </c:tx>
          <c:spPr>
            <a:solidFill>
              <a:schemeClr val="accent2">
                <a:tint val="56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'individual-chart-511'!$B$3:$B$34</c:f>
              <c:strCache>
                <c:ptCount val="2"/>
                <c:pt idx="0">
                  <c:v>Activity</c:v>
                </c:pt>
                <c:pt idx="1">
                  <c:v>Outputs</c:v>
                </c:pt>
              </c:strCache>
              <c:extLst/>
            </c:strRef>
          </c:cat>
          <c:val>
            <c:numRef>
              <c:f>'individual-chart-511'!$K$3:$K$34</c:f>
              <c:numCache>
                <c:formatCode>0%</c:formatCode>
                <c:ptCount val="2"/>
                <c:pt idx="0">
                  <c:v>0</c:v>
                </c:pt>
                <c:pt idx="1">
                  <c:v>0</c:v>
                </c:pt>
              </c:numCache>
              <c:extLst/>
            </c:numRef>
          </c:val>
          <c:extLst>
            <c:ext xmlns:c16="http://schemas.microsoft.com/office/drawing/2014/chart" uri="{C3380CC4-5D6E-409C-BE32-E72D297353CC}">
              <c16:uniqueId val="{00000005-F76E-40B1-8162-448DE2511666}"/>
            </c:ext>
          </c:extLst>
        </c:ser>
        <c:ser>
          <c:idx val="9"/>
          <c:order val="9"/>
          <c:tx>
            <c:strRef>
              <c:f>'individual-chart-511'!$L$2</c:f>
              <c:strCache>
                <c:ptCount val="1"/>
                <c:pt idx="0">
                  <c:v>Not Started</c:v>
                </c:pt>
              </c:strCache>
            </c:strRef>
          </c:tx>
          <c:spPr>
            <a:solidFill>
              <a:srgbClr val="FCF2F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'individual-chart-511'!$B$3:$B$34</c:f>
              <c:strCache>
                <c:ptCount val="2"/>
                <c:pt idx="0">
                  <c:v>Activity</c:v>
                </c:pt>
                <c:pt idx="1">
                  <c:v>Outputs</c:v>
                </c:pt>
              </c:strCache>
              <c:extLst/>
            </c:strRef>
          </c:cat>
          <c:val>
            <c:numRef>
              <c:f>'individual-chart-511'!$L$3:$L$34</c:f>
              <c:numCache>
                <c:formatCode>0%</c:formatCode>
                <c:ptCount val="2"/>
                <c:pt idx="0">
                  <c:v>0</c:v>
                </c:pt>
                <c:pt idx="1">
                  <c:v>0</c:v>
                </c:pt>
              </c:numCache>
              <c:extLst/>
            </c:numRef>
          </c:val>
          <c:extLst>
            <c:ext xmlns:c16="http://schemas.microsoft.com/office/drawing/2014/chart" uri="{C3380CC4-5D6E-409C-BE32-E72D297353CC}">
              <c16:uniqueId val="{00000006-F76E-40B1-8162-448DE2511666}"/>
            </c:ext>
          </c:extLst>
        </c:ser>
        <c:dLbls>
          <c:dLblPos val="ctr"/>
          <c:showLegendKey val="0"/>
          <c:showVal val="1"/>
          <c:showCatName val="0"/>
          <c:showSerName val="0"/>
          <c:showPercent val="0"/>
          <c:showBubbleSize val="0"/>
        </c:dLbls>
        <c:gapWidth val="150"/>
        <c:overlap val="100"/>
        <c:axId val="790958128"/>
        <c:axId val="790961408"/>
        <c:extLst>
          <c:ext xmlns:c15="http://schemas.microsoft.com/office/drawing/2012/chart" uri="{02D57815-91ED-43cb-92C2-25804820EDAC}">
            <c15:filteredBarSeries>
              <c15:ser>
                <c:idx val="0"/>
                <c:order val="0"/>
                <c:tx>
                  <c:strRef>
                    <c:extLst>
                      <c:ext uri="{02D57815-91ED-43cb-92C2-25804820EDAC}">
                        <c15:formulaRef>
                          <c15:sqref>'individual-chart-511'!$C$2</c15:sqref>
                        </c15:formulaRef>
                      </c:ext>
                    </c:extLst>
                    <c:strCache>
                      <c:ptCount val="1"/>
                      <c:pt idx="0">
                        <c:v>Completed</c:v>
                      </c:pt>
                    </c:strCache>
                  </c:strRef>
                </c:tx>
                <c:spPr>
                  <a:solidFill>
                    <a:schemeClr val="accent2">
                      <a:shade val="42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c:ext uri="{02D57815-91ED-43cb-92C2-25804820EDAC}">
                        <c15:formulaRef>
                          <c15:sqref>'individual-chart-511'!$B$3:$B$34</c15:sqref>
                        </c15:formulaRef>
                      </c:ext>
                    </c:extLst>
                    <c:strCache>
                      <c:ptCount val="2"/>
                      <c:pt idx="0">
                        <c:v>Activity</c:v>
                      </c:pt>
                      <c:pt idx="1">
                        <c:v>Outputs</c:v>
                      </c:pt>
                    </c:strCache>
                  </c:strRef>
                </c:cat>
                <c:val>
                  <c:numRef>
                    <c:extLst>
                      <c:ext uri="{02D57815-91ED-43cb-92C2-25804820EDAC}">
                        <c15:formulaRef>
                          <c15:sqref>'individual-chart-511'!$C$3:$C$34</c15:sqref>
                        </c15:formulaRef>
                      </c:ext>
                    </c:extLst>
                    <c:numCache>
                      <c:formatCode>0%</c:formatCode>
                      <c:ptCount val="2"/>
                      <c:pt idx="0">
                        <c:v>0</c:v>
                      </c:pt>
                      <c:pt idx="1">
                        <c:v>0</c:v>
                      </c:pt>
                    </c:numCache>
                  </c:numRef>
                </c:val>
                <c:extLst>
                  <c:ext xmlns:c16="http://schemas.microsoft.com/office/drawing/2014/chart" uri="{C3380CC4-5D6E-409C-BE32-E72D297353CC}">
                    <c16:uniqueId val="{00000007-F76E-40B1-8162-448DE2511666}"/>
                  </c:ext>
                </c:extLst>
              </c15:ser>
            </c15:filteredBarSeries>
            <c15:filteredBarSeries>
              <c15:ser>
                <c:idx val="1"/>
                <c:order val="1"/>
                <c:tx>
                  <c:strRef>
                    <c:extLst xmlns:c15="http://schemas.microsoft.com/office/drawing/2012/chart">
                      <c:ext xmlns:c15="http://schemas.microsoft.com/office/drawing/2012/chart" uri="{02D57815-91ED-43cb-92C2-25804820EDAC}">
                        <c15:formulaRef>
                          <c15:sqref>'individual-chart-511'!$D$2</c15:sqref>
                        </c15:formulaRef>
                      </c:ext>
                    </c:extLst>
                    <c:strCache>
                      <c:ptCount val="1"/>
                      <c:pt idx="0">
                        <c:v>In progress</c:v>
                      </c:pt>
                    </c:strCache>
                  </c:strRef>
                </c:tx>
                <c:spPr>
                  <a:solidFill>
                    <a:schemeClr val="accent2">
                      <a:shade val="5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'individual-chart-511'!$B$3:$B$34</c15:sqref>
                        </c15:formulaRef>
                      </c:ext>
                    </c:extLst>
                    <c:strCache>
                      <c:ptCount val="2"/>
                      <c:pt idx="0">
                        <c:v>Activity</c:v>
                      </c:pt>
                      <c:pt idx="1">
                        <c:v>Outputs</c:v>
                      </c:pt>
                    </c:strCache>
                  </c:strRef>
                </c:cat>
                <c:val>
                  <c:numRef>
                    <c:extLst xmlns:c15="http://schemas.microsoft.com/office/drawing/2012/chart">
                      <c:ext xmlns:c15="http://schemas.microsoft.com/office/drawing/2012/chart" uri="{02D57815-91ED-43cb-92C2-25804820EDAC}">
                        <c15:formulaRef>
                          <c15:sqref>'individual-chart-511'!$D$3:$D$34</c15:sqref>
                        </c15:formulaRef>
                      </c:ext>
                    </c:extLst>
                    <c:numCache>
                      <c:formatCode>0%</c:formatCode>
                      <c:ptCount val="2"/>
                      <c:pt idx="0">
                        <c:v>0</c:v>
                      </c:pt>
                      <c:pt idx="1">
                        <c:v>0</c:v>
                      </c:pt>
                    </c:numCache>
                  </c:numRef>
                </c:val>
                <c:extLst xmlns:c15="http://schemas.microsoft.com/office/drawing/2012/chart">
                  <c:ext xmlns:c16="http://schemas.microsoft.com/office/drawing/2014/chart" uri="{C3380CC4-5D6E-409C-BE32-E72D297353CC}">
                    <c16:uniqueId val="{00000008-F76E-40B1-8162-448DE2511666}"/>
                  </c:ext>
                </c:extLst>
              </c15:ser>
            </c15:filteredBarSeries>
            <c15:filteredBarSeries>
              <c15:ser>
                <c:idx val="2"/>
                <c:order val="2"/>
                <c:tx>
                  <c:strRef>
                    <c:extLst xmlns:c15="http://schemas.microsoft.com/office/drawing/2012/chart">
                      <c:ext xmlns:c15="http://schemas.microsoft.com/office/drawing/2012/chart" uri="{02D57815-91ED-43cb-92C2-25804820EDAC}">
                        <c15:formulaRef>
                          <c15:sqref>'individual-chart-511'!$E$2</c15:sqref>
                        </c15:formulaRef>
                      </c:ext>
                    </c:extLst>
                    <c:strCache>
                      <c:ptCount val="1"/>
                      <c:pt idx="0">
                        <c:v>Not started</c:v>
                      </c:pt>
                    </c:strCache>
                  </c:strRef>
                </c:tx>
                <c:spPr>
                  <a:solidFill>
                    <a:schemeClr val="accent2">
                      <a:shade val="68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'individual-chart-511'!$B$3:$B$34</c15:sqref>
                        </c15:formulaRef>
                      </c:ext>
                    </c:extLst>
                    <c:strCache>
                      <c:ptCount val="2"/>
                      <c:pt idx="0">
                        <c:v>Activity</c:v>
                      </c:pt>
                      <c:pt idx="1">
                        <c:v>Outputs</c:v>
                      </c:pt>
                    </c:strCache>
                  </c:strRef>
                </c:cat>
                <c:val>
                  <c:numRef>
                    <c:extLst xmlns:c15="http://schemas.microsoft.com/office/drawing/2012/chart">
                      <c:ext xmlns:c15="http://schemas.microsoft.com/office/drawing/2012/chart" uri="{02D57815-91ED-43cb-92C2-25804820EDAC}">
                        <c15:formulaRef>
                          <c15:sqref>'individual-chart-511'!$E$3:$E$34</c15:sqref>
                        </c15:formulaRef>
                      </c:ext>
                    </c:extLst>
                    <c:numCache>
                      <c:formatCode>0%</c:formatCode>
                      <c:ptCount val="2"/>
                      <c:pt idx="0">
                        <c:v>0</c:v>
                      </c:pt>
                      <c:pt idx="1">
                        <c:v>0</c:v>
                      </c:pt>
                    </c:numCache>
                  </c:numRef>
                </c:val>
                <c:extLst xmlns:c15="http://schemas.microsoft.com/office/drawing/2012/chart">
                  <c:ext xmlns:c16="http://schemas.microsoft.com/office/drawing/2014/chart" uri="{C3380CC4-5D6E-409C-BE32-E72D297353CC}">
                    <c16:uniqueId val="{00000009-F76E-40B1-8162-448DE2511666}"/>
                  </c:ext>
                </c:extLst>
              </c15:ser>
            </c15:filteredBarSeries>
          </c:ext>
        </c:extLst>
      </c:barChart>
      <c:catAx>
        <c:axId val="7909581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n-US"/>
          </a:p>
        </c:txPr>
        <c:crossAx val="790961408"/>
        <c:crosses val="autoZero"/>
        <c:auto val="1"/>
        <c:lblAlgn val="ctr"/>
        <c:lblOffset val="100"/>
        <c:noMultiLvlLbl val="0"/>
      </c:catAx>
      <c:valAx>
        <c:axId val="790961408"/>
        <c:scaling>
          <c:orientation val="minMax"/>
          <c:min val="0"/>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90958128"/>
        <c:crossesAt val="1"/>
        <c:crossBetween val="between"/>
      </c:valAx>
      <c:spPr>
        <a:noFill/>
        <a:ln>
          <a:noFill/>
        </a:ln>
        <a:effectLst/>
      </c:spPr>
    </c:plotArea>
    <c:legend>
      <c:legendPos val="t"/>
      <c:layout>
        <c:manualLayout>
          <c:xMode val="edge"/>
          <c:yMode val="edge"/>
          <c:x val="0.16878354491402861"/>
          <c:y val="0.14071530758226036"/>
          <c:w val="0.78488188976377948"/>
          <c:h val="8.3691663005643596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userShapes r:id="rId5"/>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4"/>
    </mc:Choice>
    <mc:Fallback>
      <c:style val="4"/>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Topic Area - Section 511 </a:t>
            </a:r>
            <a:br>
              <a:rPr lang="en-US"/>
            </a:br>
            <a:r>
              <a:rPr lang="en-US"/>
              <a:t>Activity #4</a:t>
            </a:r>
          </a:p>
        </c:rich>
      </c:tx>
      <c:layout>
        <c:manualLayout>
          <c:xMode val="edge"/>
          <c:yMode val="edge"/>
          <c:x val="0.15852625564661557"/>
          <c:y val="1.4306151645207439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6017916604892113"/>
          <c:y val="0.23265365094271845"/>
          <c:w val="0.78942722632790041"/>
          <c:h val="0.66602748393145406"/>
        </c:manualLayout>
      </c:layout>
      <c:barChart>
        <c:barDir val="col"/>
        <c:grouping val="percentStacked"/>
        <c:varyColors val="0"/>
        <c:ser>
          <c:idx val="3"/>
          <c:order val="3"/>
          <c:tx>
            <c:strRef>
              <c:f>'individual-chart-511'!$F$2</c:f>
              <c:strCache>
                <c:ptCount val="1"/>
                <c:pt idx="0">
                  <c:v>Completed</c:v>
                </c:pt>
              </c:strCache>
            </c:strRef>
          </c:tx>
          <c:spPr>
            <a:solidFill>
              <a:srgbClr val="99221F"/>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600" b="0"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'individual-chart-511'!$B$3:$B$34</c:f>
              <c:strCache>
                <c:ptCount val="2"/>
                <c:pt idx="0">
                  <c:v>Activity</c:v>
                </c:pt>
                <c:pt idx="1">
                  <c:v>Outputs</c:v>
                </c:pt>
              </c:strCache>
              <c:extLst/>
            </c:strRef>
          </c:cat>
          <c:val>
            <c:numRef>
              <c:f>'individual-chart-511'!$F$3:$F$34</c:f>
              <c:numCache>
                <c:formatCode>0%</c:formatCode>
                <c:ptCount val="2"/>
                <c:pt idx="0">
                  <c:v>1</c:v>
                </c:pt>
                <c:pt idx="1">
                  <c:v>1</c:v>
                </c:pt>
              </c:numCache>
              <c:extLst/>
            </c:numRef>
          </c:val>
          <c:extLst>
            <c:ext xmlns:c16="http://schemas.microsoft.com/office/drawing/2014/chart" uri="{C3380CC4-5D6E-409C-BE32-E72D297353CC}">
              <c16:uniqueId val="{00000000-500D-4180-A18C-B086116EC033}"/>
            </c:ext>
          </c:extLst>
        </c:ser>
        <c:ser>
          <c:idx val="4"/>
          <c:order val="4"/>
          <c:tx>
            <c:strRef>
              <c:f>'individual-chart-511'!$G$2</c:f>
              <c:strCache>
                <c:ptCount val="1"/>
                <c:pt idx="0">
                  <c:v>90%</c:v>
                </c:pt>
              </c:strCache>
            </c:strRef>
          </c:tx>
          <c:spPr>
            <a:solidFill>
              <a:srgbClr val="D73D39"/>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'individual-chart-511'!$B$3:$B$34</c:f>
              <c:strCache>
                <c:ptCount val="2"/>
                <c:pt idx="0">
                  <c:v>Activity</c:v>
                </c:pt>
                <c:pt idx="1">
                  <c:v>Outputs</c:v>
                </c:pt>
              </c:strCache>
              <c:extLst/>
            </c:strRef>
          </c:cat>
          <c:val>
            <c:numRef>
              <c:f>'individual-chart-511'!$G$3:$G$34</c:f>
              <c:numCache>
                <c:formatCode>General</c:formatCode>
                <c:ptCount val="2"/>
              </c:numCache>
              <c:extLst/>
            </c:numRef>
          </c:val>
          <c:extLst>
            <c:ext xmlns:c16="http://schemas.microsoft.com/office/drawing/2014/chart" uri="{C3380CC4-5D6E-409C-BE32-E72D297353CC}">
              <c16:uniqueId val="{00000001-500D-4180-A18C-B086116EC033}"/>
            </c:ext>
          </c:extLst>
        </c:ser>
        <c:ser>
          <c:idx val="5"/>
          <c:order val="5"/>
          <c:tx>
            <c:strRef>
              <c:f>'individual-chart-511'!$H$2</c:f>
              <c:strCache>
                <c:ptCount val="1"/>
                <c:pt idx="0">
                  <c:v>75%</c:v>
                </c:pt>
              </c:strCache>
            </c:strRef>
          </c:tx>
          <c:spPr>
            <a:solidFill>
              <a:srgbClr val="DC535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'individual-chart-511'!$B$3:$B$34</c:f>
              <c:strCache>
                <c:ptCount val="2"/>
                <c:pt idx="0">
                  <c:v>Activity</c:v>
                </c:pt>
                <c:pt idx="1">
                  <c:v>Outputs</c:v>
                </c:pt>
              </c:strCache>
              <c:extLst/>
            </c:strRef>
          </c:cat>
          <c:val>
            <c:numRef>
              <c:f>'individual-chart-511'!$H$3:$H$34</c:f>
              <c:numCache>
                <c:formatCode>General</c:formatCode>
                <c:ptCount val="2"/>
              </c:numCache>
              <c:extLst/>
            </c:numRef>
          </c:val>
          <c:extLst>
            <c:ext xmlns:c16="http://schemas.microsoft.com/office/drawing/2014/chart" uri="{C3380CC4-5D6E-409C-BE32-E72D297353CC}">
              <c16:uniqueId val="{00000002-500D-4180-A18C-B086116EC033}"/>
            </c:ext>
          </c:extLst>
        </c:ser>
        <c:ser>
          <c:idx val="6"/>
          <c:order val="6"/>
          <c:tx>
            <c:strRef>
              <c:f>'individual-chart-511'!$I$2</c:f>
              <c:strCache>
                <c:ptCount val="1"/>
                <c:pt idx="0">
                  <c:v>50%</c:v>
                </c:pt>
              </c:strCache>
            </c:strRef>
          </c:tx>
          <c:spPr>
            <a:solidFill>
              <a:srgbClr val="EBA19F"/>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'individual-chart-511'!$B$3:$B$34</c:f>
              <c:strCache>
                <c:ptCount val="2"/>
                <c:pt idx="0">
                  <c:v>Activity</c:v>
                </c:pt>
                <c:pt idx="1">
                  <c:v>Outputs</c:v>
                </c:pt>
              </c:strCache>
              <c:extLst/>
            </c:strRef>
          </c:cat>
          <c:val>
            <c:numRef>
              <c:f>'individual-chart-511'!$I$3:$I$34</c:f>
              <c:numCache>
                <c:formatCode>General</c:formatCode>
                <c:ptCount val="2"/>
              </c:numCache>
              <c:extLst/>
            </c:numRef>
          </c:val>
          <c:extLst>
            <c:ext xmlns:c16="http://schemas.microsoft.com/office/drawing/2014/chart" uri="{C3380CC4-5D6E-409C-BE32-E72D297353CC}">
              <c16:uniqueId val="{00000003-500D-4180-A18C-B086116EC033}"/>
            </c:ext>
          </c:extLst>
        </c:ser>
        <c:ser>
          <c:idx val="7"/>
          <c:order val="7"/>
          <c:tx>
            <c:strRef>
              <c:f>'individual-chart-511'!$J$2</c:f>
              <c:strCache>
                <c:ptCount val="1"/>
                <c:pt idx="0">
                  <c:v>25%</c:v>
                </c:pt>
              </c:strCache>
            </c:strRef>
          </c:tx>
          <c:spPr>
            <a:solidFill>
              <a:srgbClr val="F3C6C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'individual-chart-511'!$B$3:$B$34</c:f>
              <c:strCache>
                <c:ptCount val="2"/>
                <c:pt idx="0">
                  <c:v>Activity</c:v>
                </c:pt>
                <c:pt idx="1">
                  <c:v>Outputs</c:v>
                </c:pt>
              </c:strCache>
              <c:extLst/>
            </c:strRef>
          </c:cat>
          <c:val>
            <c:numRef>
              <c:f>'individual-chart-511'!$J$3:$J$34</c:f>
              <c:numCache>
                <c:formatCode>General</c:formatCode>
                <c:ptCount val="2"/>
              </c:numCache>
              <c:extLst/>
            </c:numRef>
          </c:val>
          <c:extLst>
            <c:ext xmlns:c16="http://schemas.microsoft.com/office/drawing/2014/chart" uri="{C3380CC4-5D6E-409C-BE32-E72D297353CC}">
              <c16:uniqueId val="{00000004-500D-4180-A18C-B086116EC033}"/>
            </c:ext>
          </c:extLst>
        </c:ser>
        <c:ser>
          <c:idx val="8"/>
          <c:order val="8"/>
          <c:tx>
            <c:strRef>
              <c:f>'individual-chart-511'!$K$2</c:f>
              <c:strCache>
                <c:ptCount val="1"/>
                <c:pt idx="0">
                  <c:v>10%</c:v>
                </c:pt>
              </c:strCache>
            </c:strRef>
          </c:tx>
          <c:spPr>
            <a:solidFill>
              <a:schemeClr val="accent2">
                <a:tint val="56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'individual-chart-511'!$B$3:$B$34</c:f>
              <c:strCache>
                <c:ptCount val="2"/>
                <c:pt idx="0">
                  <c:v>Activity</c:v>
                </c:pt>
                <c:pt idx="1">
                  <c:v>Outputs</c:v>
                </c:pt>
              </c:strCache>
              <c:extLst/>
            </c:strRef>
          </c:cat>
          <c:val>
            <c:numRef>
              <c:f>'individual-chart-511'!$K$3:$K$34</c:f>
              <c:numCache>
                <c:formatCode>General</c:formatCode>
                <c:ptCount val="2"/>
              </c:numCache>
              <c:extLst/>
            </c:numRef>
          </c:val>
          <c:extLst>
            <c:ext xmlns:c16="http://schemas.microsoft.com/office/drawing/2014/chart" uri="{C3380CC4-5D6E-409C-BE32-E72D297353CC}">
              <c16:uniqueId val="{00000005-500D-4180-A18C-B086116EC033}"/>
            </c:ext>
          </c:extLst>
        </c:ser>
        <c:ser>
          <c:idx val="9"/>
          <c:order val="9"/>
          <c:tx>
            <c:strRef>
              <c:f>'individual-chart-511'!$L$2</c:f>
              <c:strCache>
                <c:ptCount val="1"/>
                <c:pt idx="0">
                  <c:v>Not Started</c:v>
                </c:pt>
              </c:strCache>
            </c:strRef>
          </c:tx>
          <c:spPr>
            <a:solidFill>
              <a:srgbClr val="FCF2F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'individual-chart-511'!$B$3:$B$34</c:f>
              <c:strCache>
                <c:ptCount val="2"/>
                <c:pt idx="0">
                  <c:v>Activity</c:v>
                </c:pt>
                <c:pt idx="1">
                  <c:v>Outputs</c:v>
                </c:pt>
              </c:strCache>
              <c:extLst/>
            </c:strRef>
          </c:cat>
          <c:val>
            <c:numRef>
              <c:f>'individual-chart-511'!$L$3:$L$34</c:f>
              <c:numCache>
                <c:formatCode>General</c:formatCode>
                <c:ptCount val="2"/>
              </c:numCache>
              <c:extLst/>
            </c:numRef>
          </c:val>
          <c:extLst>
            <c:ext xmlns:c16="http://schemas.microsoft.com/office/drawing/2014/chart" uri="{C3380CC4-5D6E-409C-BE32-E72D297353CC}">
              <c16:uniqueId val="{00000006-500D-4180-A18C-B086116EC033}"/>
            </c:ext>
          </c:extLst>
        </c:ser>
        <c:dLbls>
          <c:dLblPos val="ctr"/>
          <c:showLegendKey val="0"/>
          <c:showVal val="1"/>
          <c:showCatName val="0"/>
          <c:showSerName val="0"/>
          <c:showPercent val="0"/>
          <c:showBubbleSize val="0"/>
        </c:dLbls>
        <c:gapWidth val="150"/>
        <c:overlap val="100"/>
        <c:axId val="790958128"/>
        <c:axId val="790961408"/>
        <c:extLst>
          <c:ext xmlns:c15="http://schemas.microsoft.com/office/drawing/2012/chart" uri="{02D57815-91ED-43cb-92C2-25804820EDAC}">
            <c15:filteredBarSeries>
              <c15:ser>
                <c:idx val="0"/>
                <c:order val="0"/>
                <c:tx>
                  <c:strRef>
                    <c:extLst>
                      <c:ext uri="{02D57815-91ED-43cb-92C2-25804820EDAC}">
                        <c15:formulaRef>
                          <c15:sqref>'individual-chart-511'!$C$2</c15:sqref>
                        </c15:formulaRef>
                      </c:ext>
                    </c:extLst>
                    <c:strCache>
                      <c:ptCount val="1"/>
                      <c:pt idx="0">
                        <c:v>Completed</c:v>
                      </c:pt>
                    </c:strCache>
                  </c:strRef>
                </c:tx>
                <c:spPr>
                  <a:solidFill>
                    <a:schemeClr val="accent2">
                      <a:shade val="42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c:ext uri="{02D57815-91ED-43cb-92C2-25804820EDAC}">
                        <c15:formulaRef>
                          <c15:sqref>'individual-chart-511'!$B$3:$B$34</c15:sqref>
                        </c15:formulaRef>
                      </c:ext>
                    </c:extLst>
                    <c:strCache>
                      <c:ptCount val="2"/>
                      <c:pt idx="0">
                        <c:v>Activity</c:v>
                      </c:pt>
                      <c:pt idx="1">
                        <c:v>Outputs</c:v>
                      </c:pt>
                    </c:strCache>
                  </c:strRef>
                </c:cat>
                <c:val>
                  <c:numRef>
                    <c:extLst>
                      <c:ext uri="{02D57815-91ED-43cb-92C2-25804820EDAC}">
                        <c15:formulaRef>
                          <c15:sqref>'individual-chart-511'!$C$3:$C$34</c15:sqref>
                        </c15:formulaRef>
                      </c:ext>
                    </c:extLst>
                    <c:numCache>
                      <c:formatCode>0%</c:formatCode>
                      <c:ptCount val="2"/>
                      <c:pt idx="0">
                        <c:v>1</c:v>
                      </c:pt>
                      <c:pt idx="1">
                        <c:v>1</c:v>
                      </c:pt>
                    </c:numCache>
                  </c:numRef>
                </c:val>
                <c:extLst>
                  <c:ext xmlns:c16="http://schemas.microsoft.com/office/drawing/2014/chart" uri="{C3380CC4-5D6E-409C-BE32-E72D297353CC}">
                    <c16:uniqueId val="{00000007-500D-4180-A18C-B086116EC033}"/>
                  </c:ext>
                </c:extLst>
              </c15:ser>
            </c15:filteredBarSeries>
            <c15:filteredBarSeries>
              <c15:ser>
                <c:idx val="1"/>
                <c:order val="1"/>
                <c:tx>
                  <c:strRef>
                    <c:extLst xmlns:c15="http://schemas.microsoft.com/office/drawing/2012/chart">
                      <c:ext xmlns:c15="http://schemas.microsoft.com/office/drawing/2012/chart" uri="{02D57815-91ED-43cb-92C2-25804820EDAC}">
                        <c15:formulaRef>
                          <c15:sqref>'individual-chart-511'!$D$2</c15:sqref>
                        </c15:formulaRef>
                      </c:ext>
                    </c:extLst>
                    <c:strCache>
                      <c:ptCount val="1"/>
                      <c:pt idx="0">
                        <c:v>In progress</c:v>
                      </c:pt>
                    </c:strCache>
                  </c:strRef>
                </c:tx>
                <c:spPr>
                  <a:solidFill>
                    <a:schemeClr val="accent2">
                      <a:shade val="5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'individual-chart-511'!$B$3:$B$34</c15:sqref>
                        </c15:formulaRef>
                      </c:ext>
                    </c:extLst>
                    <c:strCache>
                      <c:ptCount val="2"/>
                      <c:pt idx="0">
                        <c:v>Activity</c:v>
                      </c:pt>
                      <c:pt idx="1">
                        <c:v>Outputs</c:v>
                      </c:pt>
                    </c:strCache>
                  </c:strRef>
                </c:cat>
                <c:val>
                  <c:numRef>
                    <c:extLst xmlns:c15="http://schemas.microsoft.com/office/drawing/2012/chart">
                      <c:ext xmlns:c15="http://schemas.microsoft.com/office/drawing/2012/chart" uri="{02D57815-91ED-43cb-92C2-25804820EDAC}">
                        <c15:formulaRef>
                          <c15:sqref>'individual-chart-511'!$D$3:$D$34</c15:sqref>
                        </c15:formulaRef>
                      </c:ext>
                    </c:extLst>
                    <c:numCache>
                      <c:formatCode>General</c:formatCode>
                      <c:ptCount val="2"/>
                    </c:numCache>
                  </c:numRef>
                </c:val>
                <c:extLst xmlns:c15="http://schemas.microsoft.com/office/drawing/2012/chart">
                  <c:ext xmlns:c16="http://schemas.microsoft.com/office/drawing/2014/chart" uri="{C3380CC4-5D6E-409C-BE32-E72D297353CC}">
                    <c16:uniqueId val="{00000008-500D-4180-A18C-B086116EC033}"/>
                  </c:ext>
                </c:extLst>
              </c15:ser>
            </c15:filteredBarSeries>
            <c15:filteredBarSeries>
              <c15:ser>
                <c:idx val="2"/>
                <c:order val="2"/>
                <c:tx>
                  <c:strRef>
                    <c:extLst xmlns:c15="http://schemas.microsoft.com/office/drawing/2012/chart">
                      <c:ext xmlns:c15="http://schemas.microsoft.com/office/drawing/2012/chart" uri="{02D57815-91ED-43cb-92C2-25804820EDAC}">
                        <c15:formulaRef>
                          <c15:sqref>'individual-chart-511'!$E$2</c15:sqref>
                        </c15:formulaRef>
                      </c:ext>
                    </c:extLst>
                    <c:strCache>
                      <c:ptCount val="1"/>
                      <c:pt idx="0">
                        <c:v>Not started</c:v>
                      </c:pt>
                    </c:strCache>
                  </c:strRef>
                </c:tx>
                <c:spPr>
                  <a:solidFill>
                    <a:schemeClr val="accent2">
                      <a:shade val="68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'individual-chart-511'!$B$3:$B$34</c15:sqref>
                        </c15:formulaRef>
                      </c:ext>
                    </c:extLst>
                    <c:strCache>
                      <c:ptCount val="2"/>
                      <c:pt idx="0">
                        <c:v>Activity</c:v>
                      </c:pt>
                      <c:pt idx="1">
                        <c:v>Outputs</c:v>
                      </c:pt>
                    </c:strCache>
                  </c:strRef>
                </c:cat>
                <c:val>
                  <c:numRef>
                    <c:extLst xmlns:c15="http://schemas.microsoft.com/office/drawing/2012/chart">
                      <c:ext xmlns:c15="http://schemas.microsoft.com/office/drawing/2012/chart" uri="{02D57815-91ED-43cb-92C2-25804820EDAC}">
                        <c15:formulaRef>
                          <c15:sqref>'individual-chart-511'!$E$3:$E$34</c15:sqref>
                        </c15:formulaRef>
                      </c:ext>
                    </c:extLst>
                    <c:numCache>
                      <c:formatCode>General</c:formatCode>
                      <c:ptCount val="2"/>
                    </c:numCache>
                  </c:numRef>
                </c:val>
                <c:extLst xmlns:c15="http://schemas.microsoft.com/office/drawing/2012/chart">
                  <c:ext xmlns:c16="http://schemas.microsoft.com/office/drawing/2014/chart" uri="{C3380CC4-5D6E-409C-BE32-E72D297353CC}">
                    <c16:uniqueId val="{00000009-500D-4180-A18C-B086116EC033}"/>
                  </c:ext>
                </c:extLst>
              </c15:ser>
            </c15:filteredBarSeries>
          </c:ext>
        </c:extLst>
      </c:barChart>
      <c:catAx>
        <c:axId val="7909581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n-US"/>
          </a:p>
        </c:txPr>
        <c:crossAx val="790961408"/>
        <c:crosses val="autoZero"/>
        <c:auto val="1"/>
        <c:lblAlgn val="ctr"/>
        <c:lblOffset val="100"/>
        <c:noMultiLvlLbl val="0"/>
      </c:catAx>
      <c:valAx>
        <c:axId val="790961408"/>
        <c:scaling>
          <c:orientation val="minMax"/>
          <c:min val="0"/>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90958128"/>
        <c:crossesAt val="1"/>
        <c:crossBetween val="between"/>
      </c:valAx>
      <c:spPr>
        <a:noFill/>
        <a:ln>
          <a:noFill/>
        </a:ln>
        <a:effectLst/>
      </c:spPr>
    </c:plotArea>
    <c:legend>
      <c:legendPos val="t"/>
      <c:layout>
        <c:manualLayout>
          <c:xMode val="edge"/>
          <c:yMode val="edge"/>
          <c:x val="0.16878354491402861"/>
          <c:y val="0.14071530758226036"/>
          <c:w val="0.78488188976377948"/>
          <c:h val="8.3691663005643596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userShapes r:id="rId5"/>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4"/>
    </mc:Choice>
    <mc:Fallback>
      <c:style val="4"/>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Topic Area - Section 511 </a:t>
            </a:r>
            <a:br>
              <a:rPr lang="en-US"/>
            </a:br>
            <a:r>
              <a:rPr lang="en-US"/>
              <a:t>Activity #5</a:t>
            </a:r>
          </a:p>
        </c:rich>
      </c:tx>
      <c:layout>
        <c:manualLayout>
          <c:xMode val="edge"/>
          <c:yMode val="edge"/>
          <c:x val="0.15852625564661557"/>
          <c:y val="1.4306151645207439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6017916604892113"/>
          <c:y val="0.23265365094271845"/>
          <c:w val="0.78942722632790041"/>
          <c:h val="0.66602748393145406"/>
        </c:manualLayout>
      </c:layout>
      <c:barChart>
        <c:barDir val="col"/>
        <c:grouping val="percentStacked"/>
        <c:varyColors val="0"/>
        <c:ser>
          <c:idx val="3"/>
          <c:order val="3"/>
          <c:tx>
            <c:strRef>
              <c:f>'individual-chart-511'!$F$2</c:f>
              <c:strCache>
                <c:ptCount val="1"/>
                <c:pt idx="0">
                  <c:v>Completed</c:v>
                </c:pt>
              </c:strCache>
            </c:strRef>
          </c:tx>
          <c:spPr>
            <a:solidFill>
              <a:srgbClr val="99221F"/>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600" b="0"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'individual-chart-511'!$B$3:$B$34</c:f>
              <c:strCache>
                <c:ptCount val="2"/>
                <c:pt idx="0">
                  <c:v>Activity</c:v>
                </c:pt>
                <c:pt idx="1">
                  <c:v>Outputs</c:v>
                </c:pt>
              </c:strCache>
              <c:extLst/>
            </c:strRef>
          </c:cat>
          <c:val>
            <c:numRef>
              <c:f>'individual-chart-511'!$F$3:$F$34</c:f>
              <c:numCache>
                <c:formatCode>0%</c:formatCode>
                <c:ptCount val="2"/>
                <c:pt idx="0">
                  <c:v>1</c:v>
                </c:pt>
                <c:pt idx="1">
                  <c:v>1</c:v>
                </c:pt>
              </c:numCache>
              <c:extLst/>
            </c:numRef>
          </c:val>
          <c:extLst>
            <c:ext xmlns:c16="http://schemas.microsoft.com/office/drawing/2014/chart" uri="{C3380CC4-5D6E-409C-BE32-E72D297353CC}">
              <c16:uniqueId val="{00000000-C066-4C71-BF43-3B11DA88BDBD}"/>
            </c:ext>
          </c:extLst>
        </c:ser>
        <c:ser>
          <c:idx val="4"/>
          <c:order val="4"/>
          <c:tx>
            <c:strRef>
              <c:f>'individual-chart-511'!$G$2</c:f>
              <c:strCache>
                <c:ptCount val="1"/>
                <c:pt idx="0">
                  <c:v>90%</c:v>
                </c:pt>
              </c:strCache>
            </c:strRef>
          </c:tx>
          <c:spPr>
            <a:solidFill>
              <a:srgbClr val="D73D39"/>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'individual-chart-511'!$B$3:$B$34</c:f>
              <c:strCache>
                <c:ptCount val="2"/>
                <c:pt idx="0">
                  <c:v>Activity</c:v>
                </c:pt>
                <c:pt idx="1">
                  <c:v>Outputs</c:v>
                </c:pt>
              </c:strCache>
              <c:extLst/>
            </c:strRef>
          </c:cat>
          <c:val>
            <c:numRef>
              <c:f>'individual-chart-511'!$G$3:$G$34</c:f>
              <c:numCache>
                <c:formatCode>General</c:formatCode>
                <c:ptCount val="2"/>
              </c:numCache>
              <c:extLst/>
            </c:numRef>
          </c:val>
          <c:extLst>
            <c:ext xmlns:c16="http://schemas.microsoft.com/office/drawing/2014/chart" uri="{C3380CC4-5D6E-409C-BE32-E72D297353CC}">
              <c16:uniqueId val="{00000001-C066-4C71-BF43-3B11DA88BDBD}"/>
            </c:ext>
          </c:extLst>
        </c:ser>
        <c:ser>
          <c:idx val="5"/>
          <c:order val="5"/>
          <c:tx>
            <c:strRef>
              <c:f>'individual-chart-511'!$H$2</c:f>
              <c:strCache>
                <c:ptCount val="1"/>
                <c:pt idx="0">
                  <c:v>75%</c:v>
                </c:pt>
              </c:strCache>
            </c:strRef>
          </c:tx>
          <c:spPr>
            <a:solidFill>
              <a:srgbClr val="DC535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'individual-chart-511'!$B$3:$B$34</c:f>
              <c:strCache>
                <c:ptCount val="2"/>
                <c:pt idx="0">
                  <c:v>Activity</c:v>
                </c:pt>
                <c:pt idx="1">
                  <c:v>Outputs</c:v>
                </c:pt>
              </c:strCache>
              <c:extLst/>
            </c:strRef>
          </c:cat>
          <c:val>
            <c:numRef>
              <c:f>'individual-chart-511'!$H$3:$H$34</c:f>
              <c:numCache>
                <c:formatCode>General</c:formatCode>
                <c:ptCount val="2"/>
              </c:numCache>
              <c:extLst/>
            </c:numRef>
          </c:val>
          <c:extLst>
            <c:ext xmlns:c16="http://schemas.microsoft.com/office/drawing/2014/chart" uri="{C3380CC4-5D6E-409C-BE32-E72D297353CC}">
              <c16:uniqueId val="{00000002-C066-4C71-BF43-3B11DA88BDBD}"/>
            </c:ext>
          </c:extLst>
        </c:ser>
        <c:ser>
          <c:idx val="6"/>
          <c:order val="6"/>
          <c:tx>
            <c:strRef>
              <c:f>'individual-chart-511'!$I$2</c:f>
              <c:strCache>
                <c:ptCount val="1"/>
                <c:pt idx="0">
                  <c:v>50%</c:v>
                </c:pt>
              </c:strCache>
            </c:strRef>
          </c:tx>
          <c:spPr>
            <a:solidFill>
              <a:srgbClr val="EBA19F"/>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'individual-chart-511'!$B$3:$B$34</c:f>
              <c:strCache>
                <c:ptCount val="2"/>
                <c:pt idx="0">
                  <c:v>Activity</c:v>
                </c:pt>
                <c:pt idx="1">
                  <c:v>Outputs</c:v>
                </c:pt>
              </c:strCache>
              <c:extLst/>
            </c:strRef>
          </c:cat>
          <c:val>
            <c:numRef>
              <c:f>'individual-chart-511'!$I$3:$I$34</c:f>
              <c:numCache>
                <c:formatCode>General</c:formatCode>
                <c:ptCount val="2"/>
              </c:numCache>
              <c:extLst/>
            </c:numRef>
          </c:val>
          <c:extLst>
            <c:ext xmlns:c16="http://schemas.microsoft.com/office/drawing/2014/chart" uri="{C3380CC4-5D6E-409C-BE32-E72D297353CC}">
              <c16:uniqueId val="{00000003-C066-4C71-BF43-3B11DA88BDBD}"/>
            </c:ext>
          </c:extLst>
        </c:ser>
        <c:ser>
          <c:idx val="7"/>
          <c:order val="7"/>
          <c:tx>
            <c:strRef>
              <c:f>'individual-chart-511'!$J$2</c:f>
              <c:strCache>
                <c:ptCount val="1"/>
                <c:pt idx="0">
                  <c:v>25%</c:v>
                </c:pt>
              </c:strCache>
            </c:strRef>
          </c:tx>
          <c:spPr>
            <a:solidFill>
              <a:srgbClr val="F3C6C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'individual-chart-511'!$B$3:$B$34</c:f>
              <c:strCache>
                <c:ptCount val="2"/>
                <c:pt idx="0">
                  <c:v>Activity</c:v>
                </c:pt>
                <c:pt idx="1">
                  <c:v>Outputs</c:v>
                </c:pt>
              </c:strCache>
              <c:extLst/>
            </c:strRef>
          </c:cat>
          <c:val>
            <c:numRef>
              <c:f>'individual-chart-511'!$J$3:$J$34</c:f>
              <c:numCache>
                <c:formatCode>General</c:formatCode>
                <c:ptCount val="2"/>
              </c:numCache>
              <c:extLst/>
            </c:numRef>
          </c:val>
          <c:extLst>
            <c:ext xmlns:c16="http://schemas.microsoft.com/office/drawing/2014/chart" uri="{C3380CC4-5D6E-409C-BE32-E72D297353CC}">
              <c16:uniqueId val="{00000004-C066-4C71-BF43-3B11DA88BDBD}"/>
            </c:ext>
          </c:extLst>
        </c:ser>
        <c:ser>
          <c:idx val="8"/>
          <c:order val="8"/>
          <c:tx>
            <c:strRef>
              <c:f>'individual-chart-511'!$K$2</c:f>
              <c:strCache>
                <c:ptCount val="1"/>
                <c:pt idx="0">
                  <c:v>10%</c:v>
                </c:pt>
              </c:strCache>
            </c:strRef>
          </c:tx>
          <c:spPr>
            <a:solidFill>
              <a:schemeClr val="accent2">
                <a:tint val="56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'individual-chart-511'!$B$3:$B$34</c:f>
              <c:strCache>
                <c:ptCount val="2"/>
                <c:pt idx="0">
                  <c:v>Activity</c:v>
                </c:pt>
                <c:pt idx="1">
                  <c:v>Outputs</c:v>
                </c:pt>
              </c:strCache>
              <c:extLst/>
            </c:strRef>
          </c:cat>
          <c:val>
            <c:numRef>
              <c:f>'individual-chart-511'!$K$3:$K$34</c:f>
              <c:numCache>
                <c:formatCode>General</c:formatCode>
                <c:ptCount val="2"/>
              </c:numCache>
              <c:extLst/>
            </c:numRef>
          </c:val>
          <c:extLst>
            <c:ext xmlns:c16="http://schemas.microsoft.com/office/drawing/2014/chart" uri="{C3380CC4-5D6E-409C-BE32-E72D297353CC}">
              <c16:uniqueId val="{00000005-C066-4C71-BF43-3B11DA88BDBD}"/>
            </c:ext>
          </c:extLst>
        </c:ser>
        <c:ser>
          <c:idx val="9"/>
          <c:order val="9"/>
          <c:tx>
            <c:strRef>
              <c:f>'individual-chart-511'!$L$2</c:f>
              <c:strCache>
                <c:ptCount val="1"/>
                <c:pt idx="0">
                  <c:v>Not Started</c:v>
                </c:pt>
              </c:strCache>
            </c:strRef>
          </c:tx>
          <c:spPr>
            <a:solidFill>
              <a:srgbClr val="FCF2F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'individual-chart-511'!$B$3:$B$34</c:f>
              <c:strCache>
                <c:ptCount val="2"/>
                <c:pt idx="0">
                  <c:v>Activity</c:v>
                </c:pt>
                <c:pt idx="1">
                  <c:v>Outputs</c:v>
                </c:pt>
              </c:strCache>
              <c:extLst/>
            </c:strRef>
          </c:cat>
          <c:val>
            <c:numRef>
              <c:f>'individual-chart-511'!$L$3:$L$34</c:f>
              <c:numCache>
                <c:formatCode>General</c:formatCode>
                <c:ptCount val="2"/>
              </c:numCache>
              <c:extLst/>
            </c:numRef>
          </c:val>
          <c:extLst>
            <c:ext xmlns:c16="http://schemas.microsoft.com/office/drawing/2014/chart" uri="{C3380CC4-5D6E-409C-BE32-E72D297353CC}">
              <c16:uniqueId val="{00000006-C066-4C71-BF43-3B11DA88BDBD}"/>
            </c:ext>
          </c:extLst>
        </c:ser>
        <c:dLbls>
          <c:dLblPos val="ctr"/>
          <c:showLegendKey val="0"/>
          <c:showVal val="1"/>
          <c:showCatName val="0"/>
          <c:showSerName val="0"/>
          <c:showPercent val="0"/>
          <c:showBubbleSize val="0"/>
        </c:dLbls>
        <c:gapWidth val="150"/>
        <c:overlap val="100"/>
        <c:axId val="790958128"/>
        <c:axId val="790961408"/>
        <c:extLst>
          <c:ext xmlns:c15="http://schemas.microsoft.com/office/drawing/2012/chart" uri="{02D57815-91ED-43cb-92C2-25804820EDAC}">
            <c15:filteredBarSeries>
              <c15:ser>
                <c:idx val="0"/>
                <c:order val="0"/>
                <c:tx>
                  <c:strRef>
                    <c:extLst>
                      <c:ext uri="{02D57815-91ED-43cb-92C2-25804820EDAC}">
                        <c15:formulaRef>
                          <c15:sqref>'individual-chart-511'!$C$2</c15:sqref>
                        </c15:formulaRef>
                      </c:ext>
                    </c:extLst>
                    <c:strCache>
                      <c:ptCount val="1"/>
                      <c:pt idx="0">
                        <c:v>Completed</c:v>
                      </c:pt>
                    </c:strCache>
                  </c:strRef>
                </c:tx>
                <c:spPr>
                  <a:solidFill>
                    <a:schemeClr val="accent2">
                      <a:shade val="42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c:ext uri="{02D57815-91ED-43cb-92C2-25804820EDAC}">
                        <c15:formulaRef>
                          <c15:sqref>'individual-chart-511'!$B$3:$B$34</c15:sqref>
                        </c15:formulaRef>
                      </c:ext>
                    </c:extLst>
                    <c:strCache>
                      <c:ptCount val="2"/>
                      <c:pt idx="0">
                        <c:v>Activity</c:v>
                      </c:pt>
                      <c:pt idx="1">
                        <c:v>Outputs</c:v>
                      </c:pt>
                    </c:strCache>
                  </c:strRef>
                </c:cat>
                <c:val>
                  <c:numRef>
                    <c:extLst>
                      <c:ext uri="{02D57815-91ED-43cb-92C2-25804820EDAC}">
                        <c15:formulaRef>
                          <c15:sqref>'individual-chart-511'!$C$3:$C$34</c15:sqref>
                        </c15:formulaRef>
                      </c:ext>
                    </c:extLst>
                    <c:numCache>
                      <c:formatCode>0%</c:formatCode>
                      <c:ptCount val="2"/>
                      <c:pt idx="0">
                        <c:v>1</c:v>
                      </c:pt>
                      <c:pt idx="1">
                        <c:v>1</c:v>
                      </c:pt>
                    </c:numCache>
                  </c:numRef>
                </c:val>
                <c:extLst>
                  <c:ext xmlns:c16="http://schemas.microsoft.com/office/drawing/2014/chart" uri="{C3380CC4-5D6E-409C-BE32-E72D297353CC}">
                    <c16:uniqueId val="{00000007-C066-4C71-BF43-3B11DA88BDBD}"/>
                  </c:ext>
                </c:extLst>
              </c15:ser>
            </c15:filteredBarSeries>
            <c15:filteredBarSeries>
              <c15:ser>
                <c:idx val="1"/>
                <c:order val="1"/>
                <c:tx>
                  <c:strRef>
                    <c:extLst xmlns:c15="http://schemas.microsoft.com/office/drawing/2012/chart">
                      <c:ext xmlns:c15="http://schemas.microsoft.com/office/drawing/2012/chart" uri="{02D57815-91ED-43cb-92C2-25804820EDAC}">
                        <c15:formulaRef>
                          <c15:sqref>'individual-chart-511'!$D$2</c15:sqref>
                        </c15:formulaRef>
                      </c:ext>
                    </c:extLst>
                    <c:strCache>
                      <c:ptCount val="1"/>
                      <c:pt idx="0">
                        <c:v>In progress</c:v>
                      </c:pt>
                    </c:strCache>
                  </c:strRef>
                </c:tx>
                <c:spPr>
                  <a:solidFill>
                    <a:schemeClr val="accent2">
                      <a:shade val="5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'individual-chart-511'!$B$3:$B$34</c15:sqref>
                        </c15:formulaRef>
                      </c:ext>
                    </c:extLst>
                    <c:strCache>
                      <c:ptCount val="2"/>
                      <c:pt idx="0">
                        <c:v>Activity</c:v>
                      </c:pt>
                      <c:pt idx="1">
                        <c:v>Outputs</c:v>
                      </c:pt>
                    </c:strCache>
                  </c:strRef>
                </c:cat>
                <c:val>
                  <c:numRef>
                    <c:extLst xmlns:c15="http://schemas.microsoft.com/office/drawing/2012/chart">
                      <c:ext xmlns:c15="http://schemas.microsoft.com/office/drawing/2012/chart" uri="{02D57815-91ED-43cb-92C2-25804820EDAC}">
                        <c15:formulaRef>
                          <c15:sqref>'individual-chart-511'!$D$3:$D$34</c15:sqref>
                        </c15:formulaRef>
                      </c:ext>
                    </c:extLst>
                    <c:numCache>
                      <c:formatCode>General</c:formatCode>
                      <c:ptCount val="2"/>
                    </c:numCache>
                  </c:numRef>
                </c:val>
                <c:extLst xmlns:c15="http://schemas.microsoft.com/office/drawing/2012/chart">
                  <c:ext xmlns:c16="http://schemas.microsoft.com/office/drawing/2014/chart" uri="{C3380CC4-5D6E-409C-BE32-E72D297353CC}">
                    <c16:uniqueId val="{00000008-C066-4C71-BF43-3B11DA88BDBD}"/>
                  </c:ext>
                </c:extLst>
              </c15:ser>
            </c15:filteredBarSeries>
            <c15:filteredBarSeries>
              <c15:ser>
                <c:idx val="2"/>
                <c:order val="2"/>
                <c:tx>
                  <c:strRef>
                    <c:extLst xmlns:c15="http://schemas.microsoft.com/office/drawing/2012/chart">
                      <c:ext xmlns:c15="http://schemas.microsoft.com/office/drawing/2012/chart" uri="{02D57815-91ED-43cb-92C2-25804820EDAC}">
                        <c15:formulaRef>
                          <c15:sqref>'individual-chart-511'!$E$2</c15:sqref>
                        </c15:formulaRef>
                      </c:ext>
                    </c:extLst>
                    <c:strCache>
                      <c:ptCount val="1"/>
                      <c:pt idx="0">
                        <c:v>Not started</c:v>
                      </c:pt>
                    </c:strCache>
                  </c:strRef>
                </c:tx>
                <c:spPr>
                  <a:solidFill>
                    <a:schemeClr val="accent2">
                      <a:shade val="68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'individual-chart-511'!$B$3:$B$34</c15:sqref>
                        </c15:formulaRef>
                      </c:ext>
                    </c:extLst>
                    <c:strCache>
                      <c:ptCount val="2"/>
                      <c:pt idx="0">
                        <c:v>Activity</c:v>
                      </c:pt>
                      <c:pt idx="1">
                        <c:v>Outputs</c:v>
                      </c:pt>
                    </c:strCache>
                  </c:strRef>
                </c:cat>
                <c:val>
                  <c:numRef>
                    <c:extLst xmlns:c15="http://schemas.microsoft.com/office/drawing/2012/chart">
                      <c:ext xmlns:c15="http://schemas.microsoft.com/office/drawing/2012/chart" uri="{02D57815-91ED-43cb-92C2-25804820EDAC}">
                        <c15:formulaRef>
                          <c15:sqref>'individual-chart-511'!$E$3:$E$34</c15:sqref>
                        </c15:formulaRef>
                      </c:ext>
                    </c:extLst>
                    <c:numCache>
                      <c:formatCode>General</c:formatCode>
                      <c:ptCount val="2"/>
                    </c:numCache>
                  </c:numRef>
                </c:val>
                <c:extLst xmlns:c15="http://schemas.microsoft.com/office/drawing/2012/chart">
                  <c:ext xmlns:c16="http://schemas.microsoft.com/office/drawing/2014/chart" uri="{C3380CC4-5D6E-409C-BE32-E72D297353CC}">
                    <c16:uniqueId val="{00000009-C066-4C71-BF43-3B11DA88BDBD}"/>
                  </c:ext>
                </c:extLst>
              </c15:ser>
            </c15:filteredBarSeries>
          </c:ext>
        </c:extLst>
      </c:barChart>
      <c:catAx>
        <c:axId val="7909581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n-US"/>
          </a:p>
        </c:txPr>
        <c:crossAx val="790961408"/>
        <c:crosses val="autoZero"/>
        <c:auto val="1"/>
        <c:lblAlgn val="ctr"/>
        <c:lblOffset val="100"/>
        <c:noMultiLvlLbl val="0"/>
      </c:catAx>
      <c:valAx>
        <c:axId val="790961408"/>
        <c:scaling>
          <c:orientation val="minMax"/>
          <c:min val="0"/>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90958128"/>
        <c:crossesAt val="1"/>
        <c:crossBetween val="between"/>
      </c:valAx>
      <c:spPr>
        <a:noFill/>
        <a:ln>
          <a:noFill/>
        </a:ln>
        <a:effectLst/>
      </c:spPr>
    </c:plotArea>
    <c:legend>
      <c:legendPos val="t"/>
      <c:layout>
        <c:manualLayout>
          <c:xMode val="edge"/>
          <c:yMode val="edge"/>
          <c:x val="0.16878354491402861"/>
          <c:y val="0.14071530758226036"/>
          <c:w val="0.78488188976377948"/>
          <c:h val="8.3691663005643596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userShapes r:id="rId5"/>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4"/>
    </mc:Choice>
    <mc:Fallback>
      <c:style val="4"/>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Topic Area - Section 511 </a:t>
            </a:r>
            <a:br>
              <a:rPr lang="en-US"/>
            </a:br>
            <a:r>
              <a:rPr lang="en-US"/>
              <a:t>Activity #6</a:t>
            </a:r>
          </a:p>
        </c:rich>
      </c:tx>
      <c:layout>
        <c:manualLayout>
          <c:xMode val="edge"/>
          <c:yMode val="edge"/>
          <c:x val="0.15852625564661557"/>
          <c:y val="1.4306151645207439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6017916604892113"/>
          <c:y val="0.23265365094271845"/>
          <c:w val="0.78942722632790041"/>
          <c:h val="0.66602748393145406"/>
        </c:manualLayout>
      </c:layout>
      <c:barChart>
        <c:barDir val="col"/>
        <c:grouping val="percentStacked"/>
        <c:varyColors val="0"/>
        <c:ser>
          <c:idx val="3"/>
          <c:order val="3"/>
          <c:tx>
            <c:strRef>
              <c:f>'individual-chart-511'!$F$2</c:f>
              <c:strCache>
                <c:ptCount val="1"/>
                <c:pt idx="0">
                  <c:v>Completed</c:v>
                </c:pt>
              </c:strCache>
            </c:strRef>
          </c:tx>
          <c:spPr>
            <a:solidFill>
              <a:srgbClr val="99221F"/>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800" b="0"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'individual-chart-511'!$B$3:$B$34</c:f>
              <c:strCache>
                <c:ptCount val="2"/>
                <c:pt idx="0">
                  <c:v>Activity</c:v>
                </c:pt>
                <c:pt idx="1">
                  <c:v>Outputs</c:v>
                </c:pt>
              </c:strCache>
              <c:extLst/>
            </c:strRef>
          </c:cat>
          <c:val>
            <c:numRef>
              <c:f>'individual-chart-511'!$F$3:$F$34</c:f>
              <c:numCache>
                <c:formatCode>0%</c:formatCode>
                <c:ptCount val="2"/>
                <c:pt idx="0">
                  <c:v>0</c:v>
                </c:pt>
                <c:pt idx="1">
                  <c:v>0</c:v>
                </c:pt>
              </c:numCache>
              <c:extLst/>
            </c:numRef>
          </c:val>
          <c:extLst>
            <c:ext xmlns:c16="http://schemas.microsoft.com/office/drawing/2014/chart" uri="{C3380CC4-5D6E-409C-BE32-E72D297353CC}">
              <c16:uniqueId val="{00000000-C13F-4B3A-AB38-FC236ADF25B0}"/>
            </c:ext>
          </c:extLst>
        </c:ser>
        <c:ser>
          <c:idx val="4"/>
          <c:order val="4"/>
          <c:tx>
            <c:strRef>
              <c:f>'individual-chart-511'!$G$2</c:f>
              <c:strCache>
                <c:ptCount val="1"/>
                <c:pt idx="0">
                  <c:v>90%</c:v>
                </c:pt>
              </c:strCache>
            </c:strRef>
          </c:tx>
          <c:spPr>
            <a:solidFill>
              <a:srgbClr val="D73D39"/>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'individual-chart-511'!$B$3:$B$34</c:f>
              <c:strCache>
                <c:ptCount val="2"/>
                <c:pt idx="0">
                  <c:v>Activity</c:v>
                </c:pt>
                <c:pt idx="1">
                  <c:v>Outputs</c:v>
                </c:pt>
              </c:strCache>
              <c:extLst/>
            </c:strRef>
          </c:cat>
          <c:val>
            <c:numRef>
              <c:f>'individual-chart-511'!$G$3:$G$34</c:f>
              <c:numCache>
                <c:formatCode>0%</c:formatCode>
                <c:ptCount val="2"/>
                <c:pt idx="0">
                  <c:v>0</c:v>
                </c:pt>
                <c:pt idx="1">
                  <c:v>0</c:v>
                </c:pt>
              </c:numCache>
              <c:extLst/>
            </c:numRef>
          </c:val>
          <c:extLst>
            <c:ext xmlns:c16="http://schemas.microsoft.com/office/drawing/2014/chart" uri="{C3380CC4-5D6E-409C-BE32-E72D297353CC}">
              <c16:uniqueId val="{00000001-C13F-4B3A-AB38-FC236ADF25B0}"/>
            </c:ext>
          </c:extLst>
        </c:ser>
        <c:ser>
          <c:idx val="5"/>
          <c:order val="5"/>
          <c:tx>
            <c:strRef>
              <c:f>'individual-chart-511'!$H$2</c:f>
              <c:strCache>
                <c:ptCount val="1"/>
                <c:pt idx="0">
                  <c:v>75%</c:v>
                </c:pt>
              </c:strCache>
            </c:strRef>
          </c:tx>
          <c:spPr>
            <a:solidFill>
              <a:srgbClr val="DC535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'individual-chart-511'!$B$3:$B$34</c:f>
              <c:strCache>
                <c:ptCount val="2"/>
                <c:pt idx="0">
                  <c:v>Activity</c:v>
                </c:pt>
                <c:pt idx="1">
                  <c:v>Outputs</c:v>
                </c:pt>
              </c:strCache>
              <c:extLst/>
            </c:strRef>
          </c:cat>
          <c:val>
            <c:numRef>
              <c:f>'individual-chart-511'!$H$3:$H$34</c:f>
              <c:numCache>
                <c:formatCode>0%</c:formatCode>
                <c:ptCount val="2"/>
                <c:pt idx="0">
                  <c:v>0</c:v>
                </c:pt>
                <c:pt idx="1">
                  <c:v>0</c:v>
                </c:pt>
              </c:numCache>
              <c:extLst/>
            </c:numRef>
          </c:val>
          <c:extLst>
            <c:ext xmlns:c16="http://schemas.microsoft.com/office/drawing/2014/chart" uri="{C3380CC4-5D6E-409C-BE32-E72D297353CC}">
              <c16:uniqueId val="{00000002-C13F-4B3A-AB38-FC236ADF25B0}"/>
            </c:ext>
          </c:extLst>
        </c:ser>
        <c:ser>
          <c:idx val="6"/>
          <c:order val="6"/>
          <c:tx>
            <c:strRef>
              <c:f>'individual-chart-511'!$I$2</c:f>
              <c:strCache>
                <c:ptCount val="1"/>
                <c:pt idx="0">
                  <c:v>50%</c:v>
                </c:pt>
              </c:strCache>
            </c:strRef>
          </c:tx>
          <c:spPr>
            <a:solidFill>
              <a:srgbClr val="EBA19F"/>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'individual-chart-511'!$B$3:$B$34</c:f>
              <c:strCache>
                <c:ptCount val="2"/>
                <c:pt idx="0">
                  <c:v>Activity</c:v>
                </c:pt>
                <c:pt idx="1">
                  <c:v>Outputs</c:v>
                </c:pt>
              </c:strCache>
              <c:extLst/>
            </c:strRef>
          </c:cat>
          <c:val>
            <c:numRef>
              <c:f>'individual-chart-511'!$I$3:$I$34</c:f>
              <c:numCache>
                <c:formatCode>0%</c:formatCode>
                <c:ptCount val="2"/>
                <c:pt idx="0">
                  <c:v>0</c:v>
                </c:pt>
                <c:pt idx="1">
                  <c:v>0</c:v>
                </c:pt>
              </c:numCache>
              <c:extLst/>
            </c:numRef>
          </c:val>
          <c:extLst>
            <c:ext xmlns:c16="http://schemas.microsoft.com/office/drawing/2014/chart" uri="{C3380CC4-5D6E-409C-BE32-E72D297353CC}">
              <c16:uniqueId val="{00000003-C13F-4B3A-AB38-FC236ADF25B0}"/>
            </c:ext>
          </c:extLst>
        </c:ser>
        <c:ser>
          <c:idx val="7"/>
          <c:order val="7"/>
          <c:tx>
            <c:strRef>
              <c:f>'individual-chart-511'!$J$2</c:f>
              <c:strCache>
                <c:ptCount val="1"/>
                <c:pt idx="0">
                  <c:v>25%</c:v>
                </c:pt>
              </c:strCache>
            </c:strRef>
          </c:tx>
          <c:spPr>
            <a:solidFill>
              <a:srgbClr val="F3C6C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'individual-chart-511'!$B$3:$B$34</c:f>
              <c:strCache>
                <c:ptCount val="2"/>
                <c:pt idx="0">
                  <c:v>Activity</c:v>
                </c:pt>
                <c:pt idx="1">
                  <c:v>Outputs</c:v>
                </c:pt>
              </c:strCache>
              <c:extLst/>
            </c:strRef>
          </c:cat>
          <c:val>
            <c:numRef>
              <c:f>'individual-chart-511'!$J$3:$J$34</c:f>
              <c:numCache>
                <c:formatCode>0%</c:formatCode>
                <c:ptCount val="2"/>
                <c:pt idx="0">
                  <c:v>0</c:v>
                </c:pt>
                <c:pt idx="1">
                  <c:v>0</c:v>
                </c:pt>
              </c:numCache>
              <c:extLst/>
            </c:numRef>
          </c:val>
          <c:extLst>
            <c:ext xmlns:c16="http://schemas.microsoft.com/office/drawing/2014/chart" uri="{C3380CC4-5D6E-409C-BE32-E72D297353CC}">
              <c16:uniqueId val="{00000004-C13F-4B3A-AB38-FC236ADF25B0}"/>
            </c:ext>
          </c:extLst>
        </c:ser>
        <c:ser>
          <c:idx val="8"/>
          <c:order val="8"/>
          <c:tx>
            <c:strRef>
              <c:f>'individual-chart-511'!$K$2</c:f>
              <c:strCache>
                <c:ptCount val="1"/>
                <c:pt idx="0">
                  <c:v>10%</c:v>
                </c:pt>
              </c:strCache>
            </c:strRef>
          </c:tx>
          <c:spPr>
            <a:solidFill>
              <a:schemeClr val="accent2">
                <a:tint val="56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'individual-chart-511'!$B$3:$B$34</c:f>
              <c:strCache>
                <c:ptCount val="2"/>
                <c:pt idx="0">
                  <c:v>Activity</c:v>
                </c:pt>
                <c:pt idx="1">
                  <c:v>Outputs</c:v>
                </c:pt>
              </c:strCache>
              <c:extLst/>
            </c:strRef>
          </c:cat>
          <c:val>
            <c:numRef>
              <c:f>'individual-chart-511'!$K$3:$K$34</c:f>
              <c:numCache>
                <c:formatCode>0%</c:formatCode>
                <c:ptCount val="2"/>
                <c:pt idx="0">
                  <c:v>0</c:v>
                </c:pt>
                <c:pt idx="1">
                  <c:v>0</c:v>
                </c:pt>
              </c:numCache>
              <c:extLst/>
            </c:numRef>
          </c:val>
          <c:extLst>
            <c:ext xmlns:c16="http://schemas.microsoft.com/office/drawing/2014/chart" uri="{C3380CC4-5D6E-409C-BE32-E72D297353CC}">
              <c16:uniqueId val="{00000005-C13F-4B3A-AB38-FC236ADF25B0}"/>
            </c:ext>
          </c:extLst>
        </c:ser>
        <c:ser>
          <c:idx val="9"/>
          <c:order val="9"/>
          <c:tx>
            <c:strRef>
              <c:f>'individual-chart-511'!$L$2</c:f>
              <c:strCache>
                <c:ptCount val="1"/>
                <c:pt idx="0">
                  <c:v>Not Started</c:v>
                </c:pt>
              </c:strCache>
            </c:strRef>
          </c:tx>
          <c:spPr>
            <a:solidFill>
              <a:srgbClr val="FCF2F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'individual-chart-511'!$B$3:$B$34</c:f>
              <c:strCache>
                <c:ptCount val="2"/>
                <c:pt idx="0">
                  <c:v>Activity</c:v>
                </c:pt>
                <c:pt idx="1">
                  <c:v>Outputs</c:v>
                </c:pt>
              </c:strCache>
              <c:extLst/>
            </c:strRef>
          </c:cat>
          <c:val>
            <c:numRef>
              <c:f>'individual-chart-511'!$L$3:$L$34</c:f>
              <c:numCache>
                <c:formatCode>0%</c:formatCode>
                <c:ptCount val="2"/>
                <c:pt idx="0">
                  <c:v>0</c:v>
                </c:pt>
                <c:pt idx="1">
                  <c:v>0</c:v>
                </c:pt>
              </c:numCache>
              <c:extLst/>
            </c:numRef>
          </c:val>
          <c:extLst>
            <c:ext xmlns:c16="http://schemas.microsoft.com/office/drawing/2014/chart" uri="{C3380CC4-5D6E-409C-BE32-E72D297353CC}">
              <c16:uniqueId val="{00000006-C13F-4B3A-AB38-FC236ADF25B0}"/>
            </c:ext>
          </c:extLst>
        </c:ser>
        <c:dLbls>
          <c:dLblPos val="ctr"/>
          <c:showLegendKey val="0"/>
          <c:showVal val="1"/>
          <c:showCatName val="0"/>
          <c:showSerName val="0"/>
          <c:showPercent val="0"/>
          <c:showBubbleSize val="0"/>
        </c:dLbls>
        <c:gapWidth val="150"/>
        <c:overlap val="100"/>
        <c:axId val="790958128"/>
        <c:axId val="790961408"/>
        <c:extLst>
          <c:ext xmlns:c15="http://schemas.microsoft.com/office/drawing/2012/chart" uri="{02D57815-91ED-43cb-92C2-25804820EDAC}">
            <c15:filteredBarSeries>
              <c15:ser>
                <c:idx val="0"/>
                <c:order val="0"/>
                <c:tx>
                  <c:strRef>
                    <c:extLst>
                      <c:ext uri="{02D57815-91ED-43cb-92C2-25804820EDAC}">
                        <c15:formulaRef>
                          <c15:sqref>'individual-chart-511'!$C$2</c15:sqref>
                        </c15:formulaRef>
                      </c:ext>
                    </c:extLst>
                    <c:strCache>
                      <c:ptCount val="1"/>
                      <c:pt idx="0">
                        <c:v>Completed</c:v>
                      </c:pt>
                    </c:strCache>
                  </c:strRef>
                </c:tx>
                <c:spPr>
                  <a:solidFill>
                    <a:schemeClr val="accent2">
                      <a:shade val="42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c:ext uri="{02D57815-91ED-43cb-92C2-25804820EDAC}">
                        <c15:formulaRef>
                          <c15:sqref>'individual-chart-511'!$B$3:$B$34</c15:sqref>
                        </c15:formulaRef>
                      </c:ext>
                    </c:extLst>
                    <c:strCache>
                      <c:ptCount val="2"/>
                      <c:pt idx="0">
                        <c:v>Activity</c:v>
                      </c:pt>
                      <c:pt idx="1">
                        <c:v>Outputs</c:v>
                      </c:pt>
                    </c:strCache>
                  </c:strRef>
                </c:cat>
                <c:val>
                  <c:numRef>
                    <c:extLst>
                      <c:ext uri="{02D57815-91ED-43cb-92C2-25804820EDAC}">
                        <c15:formulaRef>
                          <c15:sqref>'individual-chart-511'!$C$3:$C$34</c15:sqref>
                        </c15:formulaRef>
                      </c:ext>
                    </c:extLst>
                    <c:numCache>
                      <c:formatCode>0%</c:formatCode>
                      <c:ptCount val="2"/>
                      <c:pt idx="0">
                        <c:v>0</c:v>
                      </c:pt>
                      <c:pt idx="1">
                        <c:v>0</c:v>
                      </c:pt>
                    </c:numCache>
                  </c:numRef>
                </c:val>
                <c:extLst>
                  <c:ext xmlns:c16="http://schemas.microsoft.com/office/drawing/2014/chart" uri="{C3380CC4-5D6E-409C-BE32-E72D297353CC}">
                    <c16:uniqueId val="{00000007-C13F-4B3A-AB38-FC236ADF25B0}"/>
                  </c:ext>
                </c:extLst>
              </c15:ser>
            </c15:filteredBarSeries>
            <c15:filteredBarSeries>
              <c15:ser>
                <c:idx val="1"/>
                <c:order val="1"/>
                <c:tx>
                  <c:strRef>
                    <c:extLst xmlns:c15="http://schemas.microsoft.com/office/drawing/2012/chart">
                      <c:ext xmlns:c15="http://schemas.microsoft.com/office/drawing/2012/chart" uri="{02D57815-91ED-43cb-92C2-25804820EDAC}">
                        <c15:formulaRef>
                          <c15:sqref>'individual-chart-511'!$D$2</c15:sqref>
                        </c15:formulaRef>
                      </c:ext>
                    </c:extLst>
                    <c:strCache>
                      <c:ptCount val="1"/>
                      <c:pt idx="0">
                        <c:v>In progress</c:v>
                      </c:pt>
                    </c:strCache>
                  </c:strRef>
                </c:tx>
                <c:spPr>
                  <a:solidFill>
                    <a:schemeClr val="accent2">
                      <a:shade val="5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'individual-chart-511'!$B$3:$B$34</c15:sqref>
                        </c15:formulaRef>
                      </c:ext>
                    </c:extLst>
                    <c:strCache>
                      <c:ptCount val="2"/>
                      <c:pt idx="0">
                        <c:v>Activity</c:v>
                      </c:pt>
                      <c:pt idx="1">
                        <c:v>Outputs</c:v>
                      </c:pt>
                    </c:strCache>
                  </c:strRef>
                </c:cat>
                <c:val>
                  <c:numRef>
                    <c:extLst xmlns:c15="http://schemas.microsoft.com/office/drawing/2012/chart">
                      <c:ext xmlns:c15="http://schemas.microsoft.com/office/drawing/2012/chart" uri="{02D57815-91ED-43cb-92C2-25804820EDAC}">
                        <c15:formulaRef>
                          <c15:sqref>'individual-chart-511'!$D$3:$D$34</c15:sqref>
                        </c15:formulaRef>
                      </c:ext>
                    </c:extLst>
                    <c:numCache>
                      <c:formatCode>0%</c:formatCode>
                      <c:ptCount val="2"/>
                      <c:pt idx="0">
                        <c:v>0</c:v>
                      </c:pt>
                      <c:pt idx="1">
                        <c:v>0</c:v>
                      </c:pt>
                    </c:numCache>
                  </c:numRef>
                </c:val>
                <c:extLst xmlns:c15="http://schemas.microsoft.com/office/drawing/2012/chart">
                  <c:ext xmlns:c16="http://schemas.microsoft.com/office/drawing/2014/chart" uri="{C3380CC4-5D6E-409C-BE32-E72D297353CC}">
                    <c16:uniqueId val="{00000008-C13F-4B3A-AB38-FC236ADF25B0}"/>
                  </c:ext>
                </c:extLst>
              </c15:ser>
            </c15:filteredBarSeries>
            <c15:filteredBarSeries>
              <c15:ser>
                <c:idx val="2"/>
                <c:order val="2"/>
                <c:tx>
                  <c:strRef>
                    <c:extLst xmlns:c15="http://schemas.microsoft.com/office/drawing/2012/chart">
                      <c:ext xmlns:c15="http://schemas.microsoft.com/office/drawing/2012/chart" uri="{02D57815-91ED-43cb-92C2-25804820EDAC}">
                        <c15:formulaRef>
                          <c15:sqref>'individual-chart-511'!$E$2</c15:sqref>
                        </c15:formulaRef>
                      </c:ext>
                    </c:extLst>
                    <c:strCache>
                      <c:ptCount val="1"/>
                      <c:pt idx="0">
                        <c:v>Not started</c:v>
                      </c:pt>
                    </c:strCache>
                  </c:strRef>
                </c:tx>
                <c:spPr>
                  <a:solidFill>
                    <a:schemeClr val="accent2">
                      <a:shade val="68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'individual-chart-511'!$B$3:$B$34</c15:sqref>
                        </c15:formulaRef>
                      </c:ext>
                    </c:extLst>
                    <c:strCache>
                      <c:ptCount val="2"/>
                      <c:pt idx="0">
                        <c:v>Activity</c:v>
                      </c:pt>
                      <c:pt idx="1">
                        <c:v>Outputs</c:v>
                      </c:pt>
                    </c:strCache>
                  </c:strRef>
                </c:cat>
                <c:val>
                  <c:numRef>
                    <c:extLst xmlns:c15="http://schemas.microsoft.com/office/drawing/2012/chart">
                      <c:ext xmlns:c15="http://schemas.microsoft.com/office/drawing/2012/chart" uri="{02D57815-91ED-43cb-92C2-25804820EDAC}">
                        <c15:formulaRef>
                          <c15:sqref>'individual-chart-511'!$E$3:$E$34</c15:sqref>
                        </c15:formulaRef>
                      </c:ext>
                    </c:extLst>
                    <c:numCache>
                      <c:formatCode>0%</c:formatCode>
                      <c:ptCount val="2"/>
                      <c:pt idx="0">
                        <c:v>0</c:v>
                      </c:pt>
                      <c:pt idx="1">
                        <c:v>0</c:v>
                      </c:pt>
                    </c:numCache>
                  </c:numRef>
                </c:val>
                <c:extLst xmlns:c15="http://schemas.microsoft.com/office/drawing/2012/chart">
                  <c:ext xmlns:c16="http://schemas.microsoft.com/office/drawing/2014/chart" uri="{C3380CC4-5D6E-409C-BE32-E72D297353CC}">
                    <c16:uniqueId val="{00000009-C13F-4B3A-AB38-FC236ADF25B0}"/>
                  </c:ext>
                </c:extLst>
              </c15:ser>
            </c15:filteredBarSeries>
          </c:ext>
        </c:extLst>
      </c:barChart>
      <c:catAx>
        <c:axId val="7909581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n-US"/>
          </a:p>
        </c:txPr>
        <c:crossAx val="790961408"/>
        <c:crosses val="autoZero"/>
        <c:auto val="1"/>
        <c:lblAlgn val="ctr"/>
        <c:lblOffset val="100"/>
        <c:noMultiLvlLbl val="0"/>
      </c:catAx>
      <c:valAx>
        <c:axId val="790961408"/>
        <c:scaling>
          <c:orientation val="minMax"/>
          <c:min val="0"/>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90958128"/>
        <c:crossesAt val="1"/>
        <c:crossBetween val="between"/>
      </c:valAx>
      <c:spPr>
        <a:noFill/>
        <a:ln>
          <a:noFill/>
        </a:ln>
        <a:effectLst/>
      </c:spPr>
    </c:plotArea>
    <c:legend>
      <c:legendPos val="t"/>
      <c:layout>
        <c:manualLayout>
          <c:xMode val="edge"/>
          <c:yMode val="edge"/>
          <c:x val="0.16878354491402861"/>
          <c:y val="0.14071530758226036"/>
          <c:w val="0.78488188976377948"/>
          <c:h val="8.3691663005643596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userShapes r:id="rId5"/>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4"/>
    </mc:Choice>
    <mc:Fallback>
      <c:style val="4"/>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Topic Area - Section 511 </a:t>
            </a:r>
            <a:br>
              <a:rPr lang="en-US"/>
            </a:br>
            <a:r>
              <a:rPr lang="en-US"/>
              <a:t>Activity #7</a:t>
            </a:r>
          </a:p>
        </c:rich>
      </c:tx>
      <c:layout>
        <c:manualLayout>
          <c:xMode val="edge"/>
          <c:yMode val="edge"/>
          <c:x val="0.15852625564661557"/>
          <c:y val="1.4306151645207439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6017916604892113"/>
          <c:y val="0.23265365094271845"/>
          <c:w val="0.78942722632790041"/>
          <c:h val="0.66602748393145406"/>
        </c:manualLayout>
      </c:layout>
      <c:barChart>
        <c:barDir val="col"/>
        <c:grouping val="percentStacked"/>
        <c:varyColors val="0"/>
        <c:ser>
          <c:idx val="3"/>
          <c:order val="3"/>
          <c:tx>
            <c:strRef>
              <c:f>'individual-chart-511'!$F$2</c:f>
              <c:strCache>
                <c:ptCount val="1"/>
                <c:pt idx="0">
                  <c:v>Completed</c:v>
                </c:pt>
              </c:strCache>
            </c:strRef>
          </c:tx>
          <c:spPr>
            <a:solidFill>
              <a:srgbClr val="99221F"/>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600" b="0"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'individual-chart-511'!$B$3:$B$34</c:f>
              <c:strCache>
                <c:ptCount val="2"/>
                <c:pt idx="0">
                  <c:v>Activity</c:v>
                </c:pt>
                <c:pt idx="1">
                  <c:v>Outputs</c:v>
                </c:pt>
              </c:strCache>
              <c:extLst/>
            </c:strRef>
          </c:cat>
          <c:val>
            <c:numRef>
              <c:f>'individual-chart-511'!$F$3:$F$34</c:f>
              <c:numCache>
                <c:formatCode>0%</c:formatCode>
                <c:ptCount val="2"/>
                <c:pt idx="0">
                  <c:v>1</c:v>
                </c:pt>
                <c:pt idx="1">
                  <c:v>1</c:v>
                </c:pt>
              </c:numCache>
              <c:extLst/>
            </c:numRef>
          </c:val>
          <c:extLst>
            <c:ext xmlns:c16="http://schemas.microsoft.com/office/drawing/2014/chart" uri="{C3380CC4-5D6E-409C-BE32-E72D297353CC}">
              <c16:uniqueId val="{00000000-AB2A-4F7C-BB5F-0670AD122CBA}"/>
            </c:ext>
          </c:extLst>
        </c:ser>
        <c:ser>
          <c:idx val="4"/>
          <c:order val="4"/>
          <c:tx>
            <c:strRef>
              <c:f>'individual-chart-511'!$G$2</c:f>
              <c:strCache>
                <c:ptCount val="1"/>
                <c:pt idx="0">
                  <c:v>90%</c:v>
                </c:pt>
              </c:strCache>
            </c:strRef>
          </c:tx>
          <c:spPr>
            <a:solidFill>
              <a:srgbClr val="D73D39"/>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'individual-chart-511'!$B$3:$B$34</c:f>
              <c:strCache>
                <c:ptCount val="2"/>
                <c:pt idx="0">
                  <c:v>Activity</c:v>
                </c:pt>
                <c:pt idx="1">
                  <c:v>Outputs</c:v>
                </c:pt>
              </c:strCache>
              <c:extLst/>
            </c:strRef>
          </c:cat>
          <c:val>
            <c:numRef>
              <c:f>'individual-chart-511'!$G$3:$G$34</c:f>
              <c:numCache>
                <c:formatCode>General</c:formatCode>
                <c:ptCount val="2"/>
              </c:numCache>
              <c:extLst/>
            </c:numRef>
          </c:val>
          <c:extLst>
            <c:ext xmlns:c16="http://schemas.microsoft.com/office/drawing/2014/chart" uri="{C3380CC4-5D6E-409C-BE32-E72D297353CC}">
              <c16:uniqueId val="{00000001-AB2A-4F7C-BB5F-0670AD122CBA}"/>
            </c:ext>
          </c:extLst>
        </c:ser>
        <c:ser>
          <c:idx val="5"/>
          <c:order val="5"/>
          <c:tx>
            <c:strRef>
              <c:f>'individual-chart-511'!$H$2</c:f>
              <c:strCache>
                <c:ptCount val="1"/>
                <c:pt idx="0">
                  <c:v>75%</c:v>
                </c:pt>
              </c:strCache>
            </c:strRef>
          </c:tx>
          <c:spPr>
            <a:solidFill>
              <a:srgbClr val="DC535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'individual-chart-511'!$B$3:$B$34</c:f>
              <c:strCache>
                <c:ptCount val="2"/>
                <c:pt idx="0">
                  <c:v>Activity</c:v>
                </c:pt>
                <c:pt idx="1">
                  <c:v>Outputs</c:v>
                </c:pt>
              </c:strCache>
              <c:extLst/>
            </c:strRef>
          </c:cat>
          <c:val>
            <c:numRef>
              <c:f>'individual-chart-511'!$H$3:$H$34</c:f>
              <c:numCache>
                <c:formatCode>General</c:formatCode>
                <c:ptCount val="2"/>
              </c:numCache>
              <c:extLst/>
            </c:numRef>
          </c:val>
          <c:extLst>
            <c:ext xmlns:c16="http://schemas.microsoft.com/office/drawing/2014/chart" uri="{C3380CC4-5D6E-409C-BE32-E72D297353CC}">
              <c16:uniqueId val="{00000002-AB2A-4F7C-BB5F-0670AD122CBA}"/>
            </c:ext>
          </c:extLst>
        </c:ser>
        <c:ser>
          <c:idx val="6"/>
          <c:order val="6"/>
          <c:tx>
            <c:strRef>
              <c:f>'individual-chart-511'!$I$2</c:f>
              <c:strCache>
                <c:ptCount val="1"/>
                <c:pt idx="0">
                  <c:v>50%</c:v>
                </c:pt>
              </c:strCache>
            </c:strRef>
          </c:tx>
          <c:spPr>
            <a:solidFill>
              <a:srgbClr val="EBA19F"/>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'individual-chart-511'!$B$3:$B$34</c:f>
              <c:strCache>
                <c:ptCount val="2"/>
                <c:pt idx="0">
                  <c:v>Activity</c:v>
                </c:pt>
                <c:pt idx="1">
                  <c:v>Outputs</c:v>
                </c:pt>
              </c:strCache>
              <c:extLst/>
            </c:strRef>
          </c:cat>
          <c:val>
            <c:numRef>
              <c:f>'individual-chart-511'!$I$3:$I$34</c:f>
              <c:numCache>
                <c:formatCode>General</c:formatCode>
                <c:ptCount val="2"/>
              </c:numCache>
              <c:extLst/>
            </c:numRef>
          </c:val>
          <c:extLst>
            <c:ext xmlns:c16="http://schemas.microsoft.com/office/drawing/2014/chart" uri="{C3380CC4-5D6E-409C-BE32-E72D297353CC}">
              <c16:uniqueId val="{00000003-AB2A-4F7C-BB5F-0670AD122CBA}"/>
            </c:ext>
          </c:extLst>
        </c:ser>
        <c:ser>
          <c:idx val="7"/>
          <c:order val="7"/>
          <c:tx>
            <c:strRef>
              <c:f>'individual-chart-511'!$J$2</c:f>
              <c:strCache>
                <c:ptCount val="1"/>
                <c:pt idx="0">
                  <c:v>25%</c:v>
                </c:pt>
              </c:strCache>
            </c:strRef>
          </c:tx>
          <c:spPr>
            <a:solidFill>
              <a:srgbClr val="F3C6C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'individual-chart-511'!$B$3:$B$34</c:f>
              <c:strCache>
                <c:ptCount val="2"/>
                <c:pt idx="0">
                  <c:v>Activity</c:v>
                </c:pt>
                <c:pt idx="1">
                  <c:v>Outputs</c:v>
                </c:pt>
              </c:strCache>
              <c:extLst/>
            </c:strRef>
          </c:cat>
          <c:val>
            <c:numRef>
              <c:f>'individual-chart-511'!$J$3:$J$34</c:f>
              <c:numCache>
                <c:formatCode>General</c:formatCode>
                <c:ptCount val="2"/>
              </c:numCache>
              <c:extLst/>
            </c:numRef>
          </c:val>
          <c:extLst>
            <c:ext xmlns:c16="http://schemas.microsoft.com/office/drawing/2014/chart" uri="{C3380CC4-5D6E-409C-BE32-E72D297353CC}">
              <c16:uniqueId val="{00000004-AB2A-4F7C-BB5F-0670AD122CBA}"/>
            </c:ext>
          </c:extLst>
        </c:ser>
        <c:ser>
          <c:idx val="8"/>
          <c:order val="8"/>
          <c:tx>
            <c:strRef>
              <c:f>'individual-chart-511'!$K$2</c:f>
              <c:strCache>
                <c:ptCount val="1"/>
                <c:pt idx="0">
                  <c:v>10%</c:v>
                </c:pt>
              </c:strCache>
            </c:strRef>
          </c:tx>
          <c:spPr>
            <a:solidFill>
              <a:schemeClr val="accent2">
                <a:tint val="56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'individual-chart-511'!$B$3:$B$34</c:f>
              <c:strCache>
                <c:ptCount val="2"/>
                <c:pt idx="0">
                  <c:v>Activity</c:v>
                </c:pt>
                <c:pt idx="1">
                  <c:v>Outputs</c:v>
                </c:pt>
              </c:strCache>
              <c:extLst/>
            </c:strRef>
          </c:cat>
          <c:val>
            <c:numRef>
              <c:f>'individual-chart-511'!$K$3:$K$34</c:f>
              <c:numCache>
                <c:formatCode>General</c:formatCode>
                <c:ptCount val="2"/>
              </c:numCache>
              <c:extLst/>
            </c:numRef>
          </c:val>
          <c:extLst>
            <c:ext xmlns:c16="http://schemas.microsoft.com/office/drawing/2014/chart" uri="{C3380CC4-5D6E-409C-BE32-E72D297353CC}">
              <c16:uniqueId val="{00000005-AB2A-4F7C-BB5F-0670AD122CBA}"/>
            </c:ext>
          </c:extLst>
        </c:ser>
        <c:ser>
          <c:idx val="9"/>
          <c:order val="9"/>
          <c:tx>
            <c:strRef>
              <c:f>'individual-chart-511'!$L$2</c:f>
              <c:strCache>
                <c:ptCount val="1"/>
                <c:pt idx="0">
                  <c:v>Not Started</c:v>
                </c:pt>
              </c:strCache>
            </c:strRef>
          </c:tx>
          <c:spPr>
            <a:solidFill>
              <a:srgbClr val="FCF2F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'individual-chart-511'!$B$3:$B$34</c:f>
              <c:strCache>
                <c:ptCount val="2"/>
                <c:pt idx="0">
                  <c:v>Activity</c:v>
                </c:pt>
                <c:pt idx="1">
                  <c:v>Outputs</c:v>
                </c:pt>
              </c:strCache>
              <c:extLst/>
            </c:strRef>
          </c:cat>
          <c:val>
            <c:numRef>
              <c:f>'individual-chart-511'!$L$3:$L$34</c:f>
              <c:numCache>
                <c:formatCode>General</c:formatCode>
                <c:ptCount val="2"/>
              </c:numCache>
              <c:extLst/>
            </c:numRef>
          </c:val>
          <c:extLst>
            <c:ext xmlns:c16="http://schemas.microsoft.com/office/drawing/2014/chart" uri="{C3380CC4-5D6E-409C-BE32-E72D297353CC}">
              <c16:uniqueId val="{00000006-AB2A-4F7C-BB5F-0670AD122CBA}"/>
            </c:ext>
          </c:extLst>
        </c:ser>
        <c:dLbls>
          <c:dLblPos val="ctr"/>
          <c:showLegendKey val="0"/>
          <c:showVal val="1"/>
          <c:showCatName val="0"/>
          <c:showSerName val="0"/>
          <c:showPercent val="0"/>
          <c:showBubbleSize val="0"/>
        </c:dLbls>
        <c:gapWidth val="150"/>
        <c:overlap val="100"/>
        <c:axId val="790958128"/>
        <c:axId val="790961408"/>
        <c:extLst>
          <c:ext xmlns:c15="http://schemas.microsoft.com/office/drawing/2012/chart" uri="{02D57815-91ED-43cb-92C2-25804820EDAC}">
            <c15:filteredBarSeries>
              <c15:ser>
                <c:idx val="0"/>
                <c:order val="0"/>
                <c:tx>
                  <c:strRef>
                    <c:extLst>
                      <c:ext uri="{02D57815-91ED-43cb-92C2-25804820EDAC}">
                        <c15:formulaRef>
                          <c15:sqref>'individual-chart-511'!$C$2</c15:sqref>
                        </c15:formulaRef>
                      </c:ext>
                    </c:extLst>
                    <c:strCache>
                      <c:ptCount val="1"/>
                      <c:pt idx="0">
                        <c:v>Completed</c:v>
                      </c:pt>
                    </c:strCache>
                  </c:strRef>
                </c:tx>
                <c:spPr>
                  <a:solidFill>
                    <a:schemeClr val="accent2">
                      <a:shade val="42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c:ext uri="{02D57815-91ED-43cb-92C2-25804820EDAC}">
                        <c15:formulaRef>
                          <c15:sqref>'individual-chart-511'!$B$3:$B$34</c15:sqref>
                        </c15:formulaRef>
                      </c:ext>
                    </c:extLst>
                    <c:strCache>
                      <c:ptCount val="2"/>
                      <c:pt idx="0">
                        <c:v>Activity</c:v>
                      </c:pt>
                      <c:pt idx="1">
                        <c:v>Outputs</c:v>
                      </c:pt>
                    </c:strCache>
                  </c:strRef>
                </c:cat>
                <c:val>
                  <c:numRef>
                    <c:extLst>
                      <c:ext uri="{02D57815-91ED-43cb-92C2-25804820EDAC}">
                        <c15:formulaRef>
                          <c15:sqref>'individual-chart-511'!$C$3:$C$34</c15:sqref>
                        </c15:formulaRef>
                      </c:ext>
                    </c:extLst>
                    <c:numCache>
                      <c:formatCode>0%</c:formatCode>
                      <c:ptCount val="2"/>
                      <c:pt idx="0">
                        <c:v>1</c:v>
                      </c:pt>
                      <c:pt idx="1">
                        <c:v>1</c:v>
                      </c:pt>
                    </c:numCache>
                  </c:numRef>
                </c:val>
                <c:extLst>
                  <c:ext xmlns:c16="http://schemas.microsoft.com/office/drawing/2014/chart" uri="{C3380CC4-5D6E-409C-BE32-E72D297353CC}">
                    <c16:uniqueId val="{00000007-AB2A-4F7C-BB5F-0670AD122CBA}"/>
                  </c:ext>
                </c:extLst>
              </c15:ser>
            </c15:filteredBarSeries>
            <c15:filteredBarSeries>
              <c15:ser>
                <c:idx val="1"/>
                <c:order val="1"/>
                <c:tx>
                  <c:strRef>
                    <c:extLst xmlns:c15="http://schemas.microsoft.com/office/drawing/2012/chart">
                      <c:ext xmlns:c15="http://schemas.microsoft.com/office/drawing/2012/chart" uri="{02D57815-91ED-43cb-92C2-25804820EDAC}">
                        <c15:formulaRef>
                          <c15:sqref>'individual-chart-511'!$D$2</c15:sqref>
                        </c15:formulaRef>
                      </c:ext>
                    </c:extLst>
                    <c:strCache>
                      <c:ptCount val="1"/>
                      <c:pt idx="0">
                        <c:v>In progress</c:v>
                      </c:pt>
                    </c:strCache>
                  </c:strRef>
                </c:tx>
                <c:spPr>
                  <a:solidFill>
                    <a:schemeClr val="accent2">
                      <a:shade val="5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'individual-chart-511'!$B$3:$B$34</c15:sqref>
                        </c15:formulaRef>
                      </c:ext>
                    </c:extLst>
                    <c:strCache>
                      <c:ptCount val="2"/>
                      <c:pt idx="0">
                        <c:v>Activity</c:v>
                      </c:pt>
                      <c:pt idx="1">
                        <c:v>Outputs</c:v>
                      </c:pt>
                    </c:strCache>
                  </c:strRef>
                </c:cat>
                <c:val>
                  <c:numRef>
                    <c:extLst xmlns:c15="http://schemas.microsoft.com/office/drawing/2012/chart">
                      <c:ext xmlns:c15="http://schemas.microsoft.com/office/drawing/2012/chart" uri="{02D57815-91ED-43cb-92C2-25804820EDAC}">
                        <c15:formulaRef>
                          <c15:sqref>'individual-chart-511'!$D$3:$D$34</c15:sqref>
                        </c15:formulaRef>
                      </c:ext>
                    </c:extLst>
                    <c:numCache>
                      <c:formatCode>General</c:formatCode>
                      <c:ptCount val="2"/>
                    </c:numCache>
                  </c:numRef>
                </c:val>
                <c:extLst xmlns:c15="http://schemas.microsoft.com/office/drawing/2012/chart">
                  <c:ext xmlns:c16="http://schemas.microsoft.com/office/drawing/2014/chart" uri="{C3380CC4-5D6E-409C-BE32-E72D297353CC}">
                    <c16:uniqueId val="{00000008-AB2A-4F7C-BB5F-0670AD122CBA}"/>
                  </c:ext>
                </c:extLst>
              </c15:ser>
            </c15:filteredBarSeries>
            <c15:filteredBarSeries>
              <c15:ser>
                <c:idx val="2"/>
                <c:order val="2"/>
                <c:tx>
                  <c:strRef>
                    <c:extLst xmlns:c15="http://schemas.microsoft.com/office/drawing/2012/chart">
                      <c:ext xmlns:c15="http://schemas.microsoft.com/office/drawing/2012/chart" uri="{02D57815-91ED-43cb-92C2-25804820EDAC}">
                        <c15:formulaRef>
                          <c15:sqref>'individual-chart-511'!$E$2</c15:sqref>
                        </c15:formulaRef>
                      </c:ext>
                    </c:extLst>
                    <c:strCache>
                      <c:ptCount val="1"/>
                      <c:pt idx="0">
                        <c:v>Not started</c:v>
                      </c:pt>
                    </c:strCache>
                  </c:strRef>
                </c:tx>
                <c:spPr>
                  <a:solidFill>
                    <a:schemeClr val="accent2">
                      <a:shade val="68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'individual-chart-511'!$B$3:$B$34</c15:sqref>
                        </c15:formulaRef>
                      </c:ext>
                    </c:extLst>
                    <c:strCache>
                      <c:ptCount val="2"/>
                      <c:pt idx="0">
                        <c:v>Activity</c:v>
                      </c:pt>
                      <c:pt idx="1">
                        <c:v>Outputs</c:v>
                      </c:pt>
                    </c:strCache>
                  </c:strRef>
                </c:cat>
                <c:val>
                  <c:numRef>
                    <c:extLst xmlns:c15="http://schemas.microsoft.com/office/drawing/2012/chart">
                      <c:ext xmlns:c15="http://schemas.microsoft.com/office/drawing/2012/chart" uri="{02D57815-91ED-43cb-92C2-25804820EDAC}">
                        <c15:formulaRef>
                          <c15:sqref>'individual-chart-511'!$E$3:$E$34</c15:sqref>
                        </c15:formulaRef>
                      </c:ext>
                    </c:extLst>
                    <c:numCache>
                      <c:formatCode>General</c:formatCode>
                      <c:ptCount val="2"/>
                    </c:numCache>
                  </c:numRef>
                </c:val>
                <c:extLst xmlns:c15="http://schemas.microsoft.com/office/drawing/2012/chart">
                  <c:ext xmlns:c16="http://schemas.microsoft.com/office/drawing/2014/chart" uri="{C3380CC4-5D6E-409C-BE32-E72D297353CC}">
                    <c16:uniqueId val="{00000009-AB2A-4F7C-BB5F-0670AD122CBA}"/>
                  </c:ext>
                </c:extLst>
              </c15:ser>
            </c15:filteredBarSeries>
          </c:ext>
        </c:extLst>
      </c:barChart>
      <c:catAx>
        <c:axId val="7909581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n-US"/>
          </a:p>
        </c:txPr>
        <c:crossAx val="790961408"/>
        <c:crosses val="autoZero"/>
        <c:auto val="1"/>
        <c:lblAlgn val="ctr"/>
        <c:lblOffset val="100"/>
        <c:noMultiLvlLbl val="0"/>
      </c:catAx>
      <c:valAx>
        <c:axId val="790961408"/>
        <c:scaling>
          <c:orientation val="minMax"/>
          <c:min val="0"/>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90958128"/>
        <c:crossesAt val="1"/>
        <c:crossBetween val="between"/>
      </c:valAx>
      <c:spPr>
        <a:noFill/>
        <a:ln>
          <a:noFill/>
        </a:ln>
        <a:effectLst/>
      </c:spPr>
    </c:plotArea>
    <c:legend>
      <c:legendPos val="t"/>
      <c:layout>
        <c:manualLayout>
          <c:xMode val="edge"/>
          <c:yMode val="edge"/>
          <c:x val="0.16878354491402861"/>
          <c:y val="0.14071530758226036"/>
          <c:w val="0.78488188976377948"/>
          <c:h val="8.3691663005643596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userShapes r:id="rId5"/>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4"/>
    </mc:Choice>
    <mc:Fallback>
      <c:style val="4"/>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Topic Area - Section 511 </a:t>
            </a:r>
            <a:br>
              <a:rPr lang="en-US"/>
            </a:br>
            <a:r>
              <a:rPr lang="en-US"/>
              <a:t>Activity #8</a:t>
            </a:r>
          </a:p>
        </c:rich>
      </c:tx>
      <c:layout>
        <c:manualLayout>
          <c:xMode val="edge"/>
          <c:yMode val="edge"/>
          <c:x val="0.15852625564661557"/>
          <c:y val="1.4306151645207439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6017916604892113"/>
          <c:y val="0.23265365094271845"/>
          <c:w val="0.78942722632790041"/>
          <c:h val="0.66602748393145406"/>
        </c:manualLayout>
      </c:layout>
      <c:barChart>
        <c:barDir val="col"/>
        <c:grouping val="percentStacked"/>
        <c:varyColors val="0"/>
        <c:ser>
          <c:idx val="3"/>
          <c:order val="3"/>
          <c:tx>
            <c:strRef>
              <c:f>'individual-chart-511'!$F$2</c:f>
              <c:strCache>
                <c:ptCount val="1"/>
                <c:pt idx="0">
                  <c:v>Completed</c:v>
                </c:pt>
              </c:strCache>
            </c:strRef>
          </c:tx>
          <c:spPr>
            <a:solidFill>
              <a:srgbClr val="99221F"/>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600" b="0"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'individual-chart-511'!$B$3:$B$34</c:f>
              <c:strCache>
                <c:ptCount val="2"/>
                <c:pt idx="0">
                  <c:v>Activity</c:v>
                </c:pt>
                <c:pt idx="1">
                  <c:v>Outputs</c:v>
                </c:pt>
              </c:strCache>
              <c:extLst/>
            </c:strRef>
          </c:cat>
          <c:val>
            <c:numRef>
              <c:f>'individual-chart-511'!$F$3:$F$34</c:f>
              <c:numCache>
                <c:formatCode>0%</c:formatCode>
                <c:ptCount val="2"/>
                <c:pt idx="0">
                  <c:v>1</c:v>
                </c:pt>
                <c:pt idx="1">
                  <c:v>1</c:v>
                </c:pt>
              </c:numCache>
              <c:extLst/>
            </c:numRef>
          </c:val>
          <c:extLst>
            <c:ext xmlns:c16="http://schemas.microsoft.com/office/drawing/2014/chart" uri="{C3380CC4-5D6E-409C-BE32-E72D297353CC}">
              <c16:uniqueId val="{00000000-FCA1-41E8-918A-6352F72F7399}"/>
            </c:ext>
          </c:extLst>
        </c:ser>
        <c:ser>
          <c:idx val="4"/>
          <c:order val="4"/>
          <c:tx>
            <c:strRef>
              <c:f>'individual-chart-511'!$G$2</c:f>
              <c:strCache>
                <c:ptCount val="1"/>
                <c:pt idx="0">
                  <c:v>90%</c:v>
                </c:pt>
              </c:strCache>
            </c:strRef>
          </c:tx>
          <c:spPr>
            <a:solidFill>
              <a:srgbClr val="D73D39"/>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'individual-chart-511'!$B$3:$B$34</c:f>
              <c:strCache>
                <c:ptCount val="2"/>
                <c:pt idx="0">
                  <c:v>Activity</c:v>
                </c:pt>
                <c:pt idx="1">
                  <c:v>Outputs</c:v>
                </c:pt>
              </c:strCache>
              <c:extLst/>
            </c:strRef>
          </c:cat>
          <c:val>
            <c:numRef>
              <c:f>'individual-chart-511'!$G$3:$G$34</c:f>
              <c:numCache>
                <c:formatCode>General</c:formatCode>
                <c:ptCount val="2"/>
              </c:numCache>
              <c:extLst/>
            </c:numRef>
          </c:val>
          <c:extLst>
            <c:ext xmlns:c16="http://schemas.microsoft.com/office/drawing/2014/chart" uri="{C3380CC4-5D6E-409C-BE32-E72D297353CC}">
              <c16:uniqueId val="{00000001-FCA1-41E8-918A-6352F72F7399}"/>
            </c:ext>
          </c:extLst>
        </c:ser>
        <c:ser>
          <c:idx val="5"/>
          <c:order val="5"/>
          <c:tx>
            <c:strRef>
              <c:f>'individual-chart-511'!$H$2</c:f>
              <c:strCache>
                <c:ptCount val="1"/>
                <c:pt idx="0">
                  <c:v>75%</c:v>
                </c:pt>
              </c:strCache>
            </c:strRef>
          </c:tx>
          <c:spPr>
            <a:solidFill>
              <a:srgbClr val="DC535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'individual-chart-511'!$B$3:$B$34</c:f>
              <c:strCache>
                <c:ptCount val="2"/>
                <c:pt idx="0">
                  <c:v>Activity</c:v>
                </c:pt>
                <c:pt idx="1">
                  <c:v>Outputs</c:v>
                </c:pt>
              </c:strCache>
              <c:extLst/>
            </c:strRef>
          </c:cat>
          <c:val>
            <c:numRef>
              <c:f>'individual-chart-511'!$H$3:$H$34</c:f>
              <c:numCache>
                <c:formatCode>General</c:formatCode>
                <c:ptCount val="2"/>
              </c:numCache>
              <c:extLst/>
            </c:numRef>
          </c:val>
          <c:extLst>
            <c:ext xmlns:c16="http://schemas.microsoft.com/office/drawing/2014/chart" uri="{C3380CC4-5D6E-409C-BE32-E72D297353CC}">
              <c16:uniqueId val="{00000002-FCA1-41E8-918A-6352F72F7399}"/>
            </c:ext>
          </c:extLst>
        </c:ser>
        <c:ser>
          <c:idx val="6"/>
          <c:order val="6"/>
          <c:tx>
            <c:strRef>
              <c:f>'individual-chart-511'!$I$2</c:f>
              <c:strCache>
                <c:ptCount val="1"/>
                <c:pt idx="0">
                  <c:v>50%</c:v>
                </c:pt>
              </c:strCache>
            </c:strRef>
          </c:tx>
          <c:spPr>
            <a:solidFill>
              <a:srgbClr val="EBA19F"/>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'individual-chart-511'!$B$3:$B$34</c:f>
              <c:strCache>
                <c:ptCount val="2"/>
                <c:pt idx="0">
                  <c:v>Activity</c:v>
                </c:pt>
                <c:pt idx="1">
                  <c:v>Outputs</c:v>
                </c:pt>
              </c:strCache>
              <c:extLst/>
            </c:strRef>
          </c:cat>
          <c:val>
            <c:numRef>
              <c:f>'individual-chart-511'!$I$3:$I$34</c:f>
              <c:numCache>
                <c:formatCode>General</c:formatCode>
                <c:ptCount val="2"/>
              </c:numCache>
              <c:extLst/>
            </c:numRef>
          </c:val>
          <c:extLst>
            <c:ext xmlns:c16="http://schemas.microsoft.com/office/drawing/2014/chart" uri="{C3380CC4-5D6E-409C-BE32-E72D297353CC}">
              <c16:uniqueId val="{00000003-FCA1-41E8-918A-6352F72F7399}"/>
            </c:ext>
          </c:extLst>
        </c:ser>
        <c:ser>
          <c:idx val="7"/>
          <c:order val="7"/>
          <c:tx>
            <c:strRef>
              <c:f>'individual-chart-511'!$J$2</c:f>
              <c:strCache>
                <c:ptCount val="1"/>
                <c:pt idx="0">
                  <c:v>25%</c:v>
                </c:pt>
              </c:strCache>
            </c:strRef>
          </c:tx>
          <c:spPr>
            <a:solidFill>
              <a:srgbClr val="F3C6C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'individual-chart-511'!$B$3:$B$34</c:f>
              <c:strCache>
                <c:ptCount val="2"/>
                <c:pt idx="0">
                  <c:v>Activity</c:v>
                </c:pt>
                <c:pt idx="1">
                  <c:v>Outputs</c:v>
                </c:pt>
              </c:strCache>
              <c:extLst/>
            </c:strRef>
          </c:cat>
          <c:val>
            <c:numRef>
              <c:f>'individual-chart-511'!$J$3:$J$34</c:f>
              <c:numCache>
                <c:formatCode>General</c:formatCode>
                <c:ptCount val="2"/>
              </c:numCache>
              <c:extLst/>
            </c:numRef>
          </c:val>
          <c:extLst>
            <c:ext xmlns:c16="http://schemas.microsoft.com/office/drawing/2014/chart" uri="{C3380CC4-5D6E-409C-BE32-E72D297353CC}">
              <c16:uniqueId val="{00000004-FCA1-41E8-918A-6352F72F7399}"/>
            </c:ext>
          </c:extLst>
        </c:ser>
        <c:ser>
          <c:idx val="8"/>
          <c:order val="8"/>
          <c:tx>
            <c:strRef>
              <c:f>'individual-chart-511'!$K$2</c:f>
              <c:strCache>
                <c:ptCount val="1"/>
                <c:pt idx="0">
                  <c:v>10%</c:v>
                </c:pt>
              </c:strCache>
            </c:strRef>
          </c:tx>
          <c:spPr>
            <a:solidFill>
              <a:schemeClr val="accent2">
                <a:tint val="56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'individual-chart-511'!$B$3:$B$34</c:f>
              <c:strCache>
                <c:ptCount val="2"/>
                <c:pt idx="0">
                  <c:v>Activity</c:v>
                </c:pt>
                <c:pt idx="1">
                  <c:v>Outputs</c:v>
                </c:pt>
              </c:strCache>
              <c:extLst/>
            </c:strRef>
          </c:cat>
          <c:val>
            <c:numRef>
              <c:f>'individual-chart-511'!$K$3:$K$34</c:f>
              <c:numCache>
                <c:formatCode>General</c:formatCode>
                <c:ptCount val="2"/>
              </c:numCache>
              <c:extLst/>
            </c:numRef>
          </c:val>
          <c:extLst>
            <c:ext xmlns:c16="http://schemas.microsoft.com/office/drawing/2014/chart" uri="{C3380CC4-5D6E-409C-BE32-E72D297353CC}">
              <c16:uniqueId val="{00000005-FCA1-41E8-918A-6352F72F7399}"/>
            </c:ext>
          </c:extLst>
        </c:ser>
        <c:ser>
          <c:idx val="9"/>
          <c:order val="9"/>
          <c:tx>
            <c:strRef>
              <c:f>'individual-chart-511'!$L$2</c:f>
              <c:strCache>
                <c:ptCount val="1"/>
                <c:pt idx="0">
                  <c:v>Not Started</c:v>
                </c:pt>
              </c:strCache>
            </c:strRef>
          </c:tx>
          <c:spPr>
            <a:solidFill>
              <a:srgbClr val="FCF2F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'individual-chart-511'!$B$3:$B$34</c:f>
              <c:strCache>
                <c:ptCount val="2"/>
                <c:pt idx="0">
                  <c:v>Activity</c:v>
                </c:pt>
                <c:pt idx="1">
                  <c:v>Outputs</c:v>
                </c:pt>
              </c:strCache>
              <c:extLst/>
            </c:strRef>
          </c:cat>
          <c:val>
            <c:numRef>
              <c:f>'individual-chart-511'!$L$3:$L$34</c:f>
              <c:numCache>
                <c:formatCode>General</c:formatCode>
                <c:ptCount val="2"/>
              </c:numCache>
              <c:extLst/>
            </c:numRef>
          </c:val>
          <c:extLst>
            <c:ext xmlns:c16="http://schemas.microsoft.com/office/drawing/2014/chart" uri="{C3380CC4-5D6E-409C-BE32-E72D297353CC}">
              <c16:uniqueId val="{00000006-FCA1-41E8-918A-6352F72F7399}"/>
            </c:ext>
          </c:extLst>
        </c:ser>
        <c:dLbls>
          <c:dLblPos val="ctr"/>
          <c:showLegendKey val="0"/>
          <c:showVal val="1"/>
          <c:showCatName val="0"/>
          <c:showSerName val="0"/>
          <c:showPercent val="0"/>
          <c:showBubbleSize val="0"/>
        </c:dLbls>
        <c:gapWidth val="150"/>
        <c:overlap val="100"/>
        <c:axId val="790958128"/>
        <c:axId val="790961408"/>
        <c:extLst>
          <c:ext xmlns:c15="http://schemas.microsoft.com/office/drawing/2012/chart" uri="{02D57815-91ED-43cb-92C2-25804820EDAC}">
            <c15:filteredBarSeries>
              <c15:ser>
                <c:idx val="0"/>
                <c:order val="0"/>
                <c:tx>
                  <c:strRef>
                    <c:extLst>
                      <c:ext uri="{02D57815-91ED-43cb-92C2-25804820EDAC}">
                        <c15:formulaRef>
                          <c15:sqref>'individual-chart-511'!$C$2</c15:sqref>
                        </c15:formulaRef>
                      </c:ext>
                    </c:extLst>
                    <c:strCache>
                      <c:ptCount val="1"/>
                      <c:pt idx="0">
                        <c:v>Completed</c:v>
                      </c:pt>
                    </c:strCache>
                  </c:strRef>
                </c:tx>
                <c:spPr>
                  <a:solidFill>
                    <a:schemeClr val="accent2">
                      <a:shade val="42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c:ext uri="{02D57815-91ED-43cb-92C2-25804820EDAC}">
                        <c15:formulaRef>
                          <c15:sqref>'individual-chart-511'!$B$3:$B$34</c15:sqref>
                        </c15:formulaRef>
                      </c:ext>
                    </c:extLst>
                    <c:strCache>
                      <c:ptCount val="2"/>
                      <c:pt idx="0">
                        <c:v>Activity</c:v>
                      </c:pt>
                      <c:pt idx="1">
                        <c:v>Outputs</c:v>
                      </c:pt>
                    </c:strCache>
                  </c:strRef>
                </c:cat>
                <c:val>
                  <c:numRef>
                    <c:extLst>
                      <c:ext uri="{02D57815-91ED-43cb-92C2-25804820EDAC}">
                        <c15:formulaRef>
                          <c15:sqref>'individual-chart-511'!$C$3:$C$34</c15:sqref>
                        </c15:formulaRef>
                      </c:ext>
                    </c:extLst>
                    <c:numCache>
                      <c:formatCode>0%</c:formatCode>
                      <c:ptCount val="2"/>
                      <c:pt idx="0">
                        <c:v>1</c:v>
                      </c:pt>
                      <c:pt idx="1">
                        <c:v>1</c:v>
                      </c:pt>
                    </c:numCache>
                  </c:numRef>
                </c:val>
                <c:extLst>
                  <c:ext xmlns:c16="http://schemas.microsoft.com/office/drawing/2014/chart" uri="{C3380CC4-5D6E-409C-BE32-E72D297353CC}">
                    <c16:uniqueId val="{00000007-FCA1-41E8-918A-6352F72F7399}"/>
                  </c:ext>
                </c:extLst>
              </c15:ser>
            </c15:filteredBarSeries>
            <c15:filteredBarSeries>
              <c15:ser>
                <c:idx val="1"/>
                <c:order val="1"/>
                <c:tx>
                  <c:strRef>
                    <c:extLst xmlns:c15="http://schemas.microsoft.com/office/drawing/2012/chart">
                      <c:ext xmlns:c15="http://schemas.microsoft.com/office/drawing/2012/chart" uri="{02D57815-91ED-43cb-92C2-25804820EDAC}">
                        <c15:formulaRef>
                          <c15:sqref>'individual-chart-511'!$D$2</c15:sqref>
                        </c15:formulaRef>
                      </c:ext>
                    </c:extLst>
                    <c:strCache>
                      <c:ptCount val="1"/>
                      <c:pt idx="0">
                        <c:v>In progress</c:v>
                      </c:pt>
                    </c:strCache>
                  </c:strRef>
                </c:tx>
                <c:spPr>
                  <a:solidFill>
                    <a:schemeClr val="accent2">
                      <a:shade val="5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'individual-chart-511'!$B$3:$B$34</c15:sqref>
                        </c15:formulaRef>
                      </c:ext>
                    </c:extLst>
                    <c:strCache>
                      <c:ptCount val="2"/>
                      <c:pt idx="0">
                        <c:v>Activity</c:v>
                      </c:pt>
                      <c:pt idx="1">
                        <c:v>Outputs</c:v>
                      </c:pt>
                    </c:strCache>
                  </c:strRef>
                </c:cat>
                <c:val>
                  <c:numRef>
                    <c:extLst xmlns:c15="http://schemas.microsoft.com/office/drawing/2012/chart">
                      <c:ext xmlns:c15="http://schemas.microsoft.com/office/drawing/2012/chart" uri="{02D57815-91ED-43cb-92C2-25804820EDAC}">
                        <c15:formulaRef>
                          <c15:sqref>'individual-chart-511'!$D$3:$D$34</c15:sqref>
                        </c15:formulaRef>
                      </c:ext>
                    </c:extLst>
                    <c:numCache>
                      <c:formatCode>General</c:formatCode>
                      <c:ptCount val="2"/>
                    </c:numCache>
                  </c:numRef>
                </c:val>
                <c:extLst xmlns:c15="http://schemas.microsoft.com/office/drawing/2012/chart">
                  <c:ext xmlns:c16="http://schemas.microsoft.com/office/drawing/2014/chart" uri="{C3380CC4-5D6E-409C-BE32-E72D297353CC}">
                    <c16:uniqueId val="{00000008-FCA1-41E8-918A-6352F72F7399}"/>
                  </c:ext>
                </c:extLst>
              </c15:ser>
            </c15:filteredBarSeries>
            <c15:filteredBarSeries>
              <c15:ser>
                <c:idx val="2"/>
                <c:order val="2"/>
                <c:tx>
                  <c:strRef>
                    <c:extLst xmlns:c15="http://schemas.microsoft.com/office/drawing/2012/chart">
                      <c:ext xmlns:c15="http://schemas.microsoft.com/office/drawing/2012/chart" uri="{02D57815-91ED-43cb-92C2-25804820EDAC}">
                        <c15:formulaRef>
                          <c15:sqref>'individual-chart-511'!$E$2</c15:sqref>
                        </c15:formulaRef>
                      </c:ext>
                    </c:extLst>
                    <c:strCache>
                      <c:ptCount val="1"/>
                      <c:pt idx="0">
                        <c:v>Not started</c:v>
                      </c:pt>
                    </c:strCache>
                  </c:strRef>
                </c:tx>
                <c:spPr>
                  <a:solidFill>
                    <a:schemeClr val="accent2">
                      <a:shade val="68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'individual-chart-511'!$B$3:$B$34</c15:sqref>
                        </c15:formulaRef>
                      </c:ext>
                    </c:extLst>
                    <c:strCache>
                      <c:ptCount val="2"/>
                      <c:pt idx="0">
                        <c:v>Activity</c:v>
                      </c:pt>
                      <c:pt idx="1">
                        <c:v>Outputs</c:v>
                      </c:pt>
                    </c:strCache>
                  </c:strRef>
                </c:cat>
                <c:val>
                  <c:numRef>
                    <c:extLst xmlns:c15="http://schemas.microsoft.com/office/drawing/2012/chart">
                      <c:ext xmlns:c15="http://schemas.microsoft.com/office/drawing/2012/chart" uri="{02D57815-91ED-43cb-92C2-25804820EDAC}">
                        <c15:formulaRef>
                          <c15:sqref>'individual-chart-511'!$E$3:$E$34</c15:sqref>
                        </c15:formulaRef>
                      </c:ext>
                    </c:extLst>
                    <c:numCache>
                      <c:formatCode>General</c:formatCode>
                      <c:ptCount val="2"/>
                    </c:numCache>
                  </c:numRef>
                </c:val>
                <c:extLst xmlns:c15="http://schemas.microsoft.com/office/drawing/2012/chart">
                  <c:ext xmlns:c16="http://schemas.microsoft.com/office/drawing/2014/chart" uri="{C3380CC4-5D6E-409C-BE32-E72D297353CC}">
                    <c16:uniqueId val="{00000009-FCA1-41E8-918A-6352F72F7399}"/>
                  </c:ext>
                </c:extLst>
              </c15:ser>
            </c15:filteredBarSeries>
          </c:ext>
        </c:extLst>
      </c:barChart>
      <c:catAx>
        <c:axId val="7909581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n-US"/>
          </a:p>
        </c:txPr>
        <c:crossAx val="790961408"/>
        <c:crosses val="autoZero"/>
        <c:auto val="1"/>
        <c:lblAlgn val="ctr"/>
        <c:lblOffset val="100"/>
        <c:noMultiLvlLbl val="0"/>
      </c:catAx>
      <c:valAx>
        <c:axId val="790961408"/>
        <c:scaling>
          <c:orientation val="minMax"/>
          <c:min val="0"/>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90958128"/>
        <c:crossesAt val="1"/>
        <c:crossBetween val="between"/>
      </c:valAx>
      <c:spPr>
        <a:noFill/>
        <a:ln>
          <a:noFill/>
        </a:ln>
        <a:effectLst/>
      </c:spPr>
    </c:plotArea>
    <c:legend>
      <c:legendPos val="t"/>
      <c:layout>
        <c:manualLayout>
          <c:xMode val="edge"/>
          <c:yMode val="edge"/>
          <c:x val="0.16878354491402861"/>
          <c:y val="0.14071530758226036"/>
          <c:w val="0.78488188976377948"/>
          <c:h val="8.3691663005643596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userShapes r:id="rId5"/>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all" spc="120" normalizeH="0" baseline="0">
                <a:solidFill>
                  <a:schemeClr val="tx1">
                    <a:lumMod val="65000"/>
                    <a:lumOff val="35000"/>
                  </a:schemeClr>
                </a:solidFill>
                <a:latin typeface="+mn-lt"/>
                <a:ea typeface="+mn-ea"/>
                <a:cs typeface="+mn-cs"/>
              </a:defRPr>
            </a:pPr>
            <a:r>
              <a:rPr lang="en-US"/>
              <a:t>Progress </a:t>
            </a:r>
            <a:r>
              <a:rPr lang="en-US" sz="1600" b="1" i="0" u="none" strike="noStrike" cap="all" normalizeH="0" baseline="0">
                <a:effectLst/>
              </a:rPr>
              <a:t>Common Performance Measures Activities </a:t>
            </a:r>
            <a:endParaRPr lang="en-US"/>
          </a:p>
        </c:rich>
      </c:tx>
      <c:overlay val="0"/>
      <c:spPr>
        <a:noFill/>
        <a:ln>
          <a:noFill/>
        </a:ln>
        <a:effectLst/>
      </c:spPr>
      <c:txPr>
        <a:bodyPr rot="0" spcFirstLastPara="1" vertOverflow="ellipsis" vert="horz" wrap="square" anchor="ctr" anchorCtr="1"/>
        <a:lstStyle/>
        <a:p>
          <a:pPr>
            <a:defRPr sz="1600" b="1" i="0" u="none" strike="noStrike" kern="1200" cap="all" spc="120" normalizeH="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3.3720388225764973E-2"/>
          <c:y val="0.14584098852712488"/>
          <c:w val="0.94109226599161167"/>
          <c:h val="0.62853727315905772"/>
        </c:manualLayout>
      </c:layout>
      <c:barChart>
        <c:barDir val="bar"/>
        <c:grouping val="stacked"/>
        <c:varyColors val="0"/>
        <c:ser>
          <c:idx val="2"/>
          <c:order val="2"/>
          <c:tx>
            <c:strRef>
              <c:f>'activities-percent-completed'!$D$3</c:f>
              <c:strCache>
                <c:ptCount val="1"/>
                <c:pt idx="0">
                  <c:v>Completed</c:v>
                </c:pt>
              </c:strCache>
            </c:strRef>
          </c:tx>
          <c:spPr>
            <a:solidFill>
              <a:srgbClr val="B22724"/>
            </a:solidFill>
            <a:ln>
              <a:noFill/>
            </a:ln>
            <a:effectLst/>
          </c:spPr>
          <c:invertIfNegative val="0"/>
          <c:dLbls>
            <c:dLbl>
              <c:idx val="0"/>
              <c:layout>
                <c:manualLayout>
                  <c:x val="-3.1319461601184589E-3"/>
                  <c:y val="0.25849733284735898"/>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7EED-4C62-B8CA-B6D9462064CA}"/>
                </c:ext>
              </c:extLst>
            </c:dLbl>
            <c:spPr>
              <a:noFill/>
              <a:ln>
                <a:noFill/>
              </a:ln>
              <a:effectLst/>
            </c:spPr>
            <c:txPr>
              <a:bodyPr rot="0" spcFirstLastPara="1" vertOverflow="ellipsis" vert="horz" wrap="square" lIns="38100" tIns="19050" rIns="38100" bIns="19050" anchor="ctr" anchorCtr="1">
                <a:spAutoFit/>
              </a:bodyPr>
              <a:lstStyle/>
              <a:p>
                <a:pPr>
                  <a:defRPr sz="16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'activities-percent-completed'!$A$4:$A$11</c:f>
              <c:strCache>
                <c:ptCount val="1"/>
                <c:pt idx="0">
                  <c:v>Common Performance Measures</c:v>
                </c:pt>
              </c:strCache>
              <c:extLst/>
            </c:strRef>
          </c:cat>
          <c:val>
            <c:numRef>
              <c:f>'activities-percent-completed'!$D$4:$D$11</c:f>
              <c:numCache>
                <c:formatCode>0%</c:formatCode>
                <c:ptCount val="1"/>
                <c:pt idx="0">
                  <c:v>0.33076923076923076</c:v>
                </c:pt>
              </c:numCache>
              <c:extLst/>
            </c:numRef>
          </c:val>
          <c:extLst>
            <c:ext xmlns:c16="http://schemas.microsoft.com/office/drawing/2014/chart" uri="{C3380CC4-5D6E-409C-BE32-E72D297353CC}">
              <c16:uniqueId val="{00000001-7EED-4C62-B8CA-B6D9462064CA}"/>
            </c:ext>
          </c:extLst>
        </c:ser>
        <c:ser>
          <c:idx val="3"/>
          <c:order val="3"/>
          <c:tx>
            <c:strRef>
              <c:f>'activities-percent-completed'!$E$3</c:f>
              <c:strCache>
                <c:ptCount val="1"/>
                <c:pt idx="0">
                  <c:v>90%</c:v>
                </c:pt>
              </c:strCache>
            </c:strRef>
          </c:tx>
          <c:spPr>
            <a:solidFill>
              <a:schemeClr val="accent4"/>
            </a:solidFill>
            <a:ln>
              <a:noFill/>
            </a:ln>
            <a:effectLst/>
          </c:spPr>
          <c:invertIfNegative val="0"/>
          <c:dLbls>
            <c:dLbl>
              <c:idx val="0"/>
              <c:layout>
                <c:manualLayout>
                  <c:x val="-6.2794802968594637E-3"/>
                  <c:y val="0.25423499000866556"/>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7EED-4C62-B8CA-B6D9462064CA}"/>
                </c:ext>
              </c:extLst>
            </c:dLbl>
            <c:spPr>
              <a:noFill/>
              <a:ln>
                <a:noFill/>
              </a:ln>
              <a:effectLst/>
            </c:spPr>
            <c:txPr>
              <a:bodyPr rot="0" spcFirstLastPara="1" vertOverflow="ellipsis" vert="horz" wrap="square" lIns="38100" tIns="19050" rIns="38100" bIns="19050" anchor="ctr" anchorCtr="1">
                <a:spAutoFit/>
              </a:bodyPr>
              <a:lstStyle/>
              <a:p>
                <a:pPr>
                  <a:defRPr sz="16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'activities-percent-completed'!$A$4:$A$11</c:f>
              <c:strCache>
                <c:ptCount val="1"/>
                <c:pt idx="0">
                  <c:v>Common Performance Measures</c:v>
                </c:pt>
              </c:strCache>
              <c:extLst/>
            </c:strRef>
          </c:cat>
          <c:val>
            <c:numRef>
              <c:f>'activities-percent-completed'!$E$4:$E$11</c:f>
              <c:numCache>
                <c:formatCode>0%</c:formatCode>
                <c:ptCount val="1"/>
                <c:pt idx="0">
                  <c:v>7.6923076923076927E-3</c:v>
                </c:pt>
              </c:numCache>
              <c:extLst/>
            </c:numRef>
          </c:val>
          <c:extLst>
            <c:ext xmlns:c16="http://schemas.microsoft.com/office/drawing/2014/chart" uri="{C3380CC4-5D6E-409C-BE32-E72D297353CC}">
              <c16:uniqueId val="{00000003-7EED-4C62-B8CA-B6D9462064CA}"/>
            </c:ext>
          </c:extLst>
        </c:ser>
        <c:ser>
          <c:idx val="4"/>
          <c:order val="4"/>
          <c:tx>
            <c:strRef>
              <c:f>'activities-percent-completed'!$F$3</c:f>
              <c:strCache>
                <c:ptCount val="1"/>
                <c:pt idx="0">
                  <c:v>75%</c:v>
                </c:pt>
              </c:strCache>
            </c:strRef>
          </c:tx>
          <c:spPr>
            <a:solidFill>
              <a:srgbClr val="FFFF66"/>
            </a:solidFill>
            <a:ln>
              <a:noFill/>
            </a:ln>
            <a:effectLst/>
          </c:spPr>
          <c:invertIfNegative val="0"/>
          <c:dLbls>
            <c:dLbl>
              <c:idx val="0"/>
              <c:layout>
                <c:manualLayout>
                  <c:x val="1.5685710761629776E-3"/>
                  <c:y val="0.24947526196627573"/>
                </c:manualLayout>
              </c:layout>
              <c:spPr>
                <a:solidFill>
                  <a:sysClr val="window" lastClr="FFFFFF"/>
                </a:solidFill>
                <a:ln>
                  <a:noFill/>
                </a:ln>
                <a:effectLst/>
              </c:spPr>
              <c:txPr>
                <a:bodyPr rot="0" spcFirstLastPara="1" vertOverflow="ellipsis" vert="horz" wrap="square" lIns="38100" tIns="19050" rIns="38100" bIns="19050" anchor="ctr" anchorCtr="1">
                  <a:spAutoFit/>
                </a:bodyPr>
                <a:lstStyle/>
                <a:p>
                  <a:pPr>
                    <a:defRPr sz="16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7EED-4C62-B8CA-B6D9462064CA}"/>
                </c:ext>
              </c:extLst>
            </c:dLbl>
            <c:spPr>
              <a:solidFill>
                <a:srgbClr val="FFFF66"/>
              </a:solidFill>
              <a:ln>
                <a:noFill/>
              </a:ln>
              <a:effectLst/>
            </c:spPr>
            <c:txPr>
              <a:bodyPr rot="0" spcFirstLastPara="1" vertOverflow="ellipsis" vert="horz" wrap="square" lIns="38100" tIns="19050" rIns="38100" bIns="19050" anchor="ctr" anchorCtr="1">
                <a:spAutoFit/>
              </a:bodyPr>
              <a:lstStyle/>
              <a:p>
                <a:pPr>
                  <a:defRPr sz="16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'activities-percent-completed'!$A$4:$A$11</c:f>
              <c:strCache>
                <c:ptCount val="1"/>
                <c:pt idx="0">
                  <c:v>Common Performance Measures</c:v>
                </c:pt>
              </c:strCache>
              <c:extLst/>
            </c:strRef>
          </c:cat>
          <c:val>
            <c:numRef>
              <c:f>'activities-percent-completed'!$F$4:$F$11</c:f>
              <c:numCache>
                <c:formatCode>0%</c:formatCode>
                <c:ptCount val="1"/>
                <c:pt idx="0">
                  <c:v>7.6923076923076927E-2</c:v>
                </c:pt>
              </c:numCache>
              <c:extLst/>
            </c:numRef>
          </c:val>
          <c:extLst>
            <c:ext xmlns:c16="http://schemas.microsoft.com/office/drawing/2014/chart" uri="{C3380CC4-5D6E-409C-BE32-E72D297353CC}">
              <c16:uniqueId val="{00000005-7EED-4C62-B8CA-B6D9462064CA}"/>
            </c:ext>
          </c:extLst>
        </c:ser>
        <c:ser>
          <c:idx val="5"/>
          <c:order val="5"/>
          <c:tx>
            <c:strRef>
              <c:f>'activities-percent-completed'!$G$3</c:f>
              <c:strCache>
                <c:ptCount val="1"/>
                <c:pt idx="0">
                  <c:v>50%</c:v>
                </c:pt>
              </c:strCache>
            </c:strRef>
          </c:tx>
          <c:spPr>
            <a:solidFill>
              <a:schemeClr val="accent6"/>
            </a:solidFill>
            <a:ln>
              <a:noFill/>
            </a:ln>
            <a:effectLst/>
          </c:spPr>
          <c:invertIfNegative val="0"/>
          <c:dLbls>
            <c:dLbl>
              <c:idx val="0"/>
              <c:layout>
                <c:manualLayout>
                  <c:x val="-4.6979192401776304E-3"/>
                  <c:y val="0.24590932553626649"/>
                </c:manualLayout>
              </c:layout>
              <c:spPr>
                <a:noFill/>
                <a:ln>
                  <a:noFill/>
                </a:ln>
                <a:effectLst/>
              </c:spPr>
              <c:txPr>
                <a:bodyPr rot="0" spcFirstLastPara="1" vertOverflow="ellipsis" vert="horz" wrap="square" lIns="38100" tIns="19050" rIns="38100" bIns="19050" anchor="ctr" anchorCtr="1">
                  <a:spAutoFit/>
                </a:bodyPr>
                <a:lstStyle/>
                <a:p>
                  <a:pPr>
                    <a:defRPr sz="16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7EED-4C62-B8CA-B6D9462064CA}"/>
                </c:ext>
              </c:extLst>
            </c:dLbl>
            <c:spPr>
              <a:noFill/>
              <a:ln>
                <a:noFill/>
              </a:ln>
              <a:effectLst/>
            </c:spPr>
            <c:txPr>
              <a:bodyPr rot="0" spcFirstLastPara="1" vertOverflow="ellipsis" vert="horz" wrap="square" lIns="38100" tIns="19050" rIns="38100" bIns="19050" anchor="ctr" anchorCtr="1">
                <a:spAutoFit/>
              </a:bodyPr>
              <a:lstStyle/>
              <a:p>
                <a:pPr>
                  <a:defRPr sz="14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'activities-percent-completed'!$A$4:$A$11</c:f>
              <c:strCache>
                <c:ptCount val="1"/>
                <c:pt idx="0">
                  <c:v>Common Performance Measures</c:v>
                </c:pt>
              </c:strCache>
              <c:extLst/>
            </c:strRef>
          </c:cat>
          <c:val>
            <c:numRef>
              <c:f>'activities-percent-completed'!$G$4:$G$11</c:f>
              <c:numCache>
                <c:formatCode>0%</c:formatCode>
                <c:ptCount val="1"/>
                <c:pt idx="0">
                  <c:v>0.19230769230769232</c:v>
                </c:pt>
              </c:numCache>
              <c:extLst/>
            </c:numRef>
          </c:val>
          <c:extLst>
            <c:ext xmlns:c16="http://schemas.microsoft.com/office/drawing/2014/chart" uri="{C3380CC4-5D6E-409C-BE32-E72D297353CC}">
              <c16:uniqueId val="{00000007-7EED-4C62-B8CA-B6D9462064CA}"/>
            </c:ext>
          </c:extLst>
        </c:ser>
        <c:ser>
          <c:idx val="6"/>
          <c:order val="6"/>
          <c:tx>
            <c:strRef>
              <c:f>'activities-percent-completed'!$H$3</c:f>
              <c:strCache>
                <c:ptCount val="1"/>
                <c:pt idx="0">
                  <c:v>25%</c:v>
                </c:pt>
              </c:strCache>
            </c:strRef>
          </c:tx>
          <c:spPr>
            <a:solidFill>
              <a:srgbClr val="15FFFF"/>
            </a:solidFill>
            <a:ln>
              <a:noFill/>
            </a:ln>
            <a:effectLst/>
          </c:spPr>
          <c:invertIfNegative val="0"/>
          <c:dLbls>
            <c:dLbl>
              <c:idx val="0"/>
              <c:layout>
                <c:manualLayout>
                  <c:x val="-4.7135072168001772E-3"/>
                  <c:y val="0.2429535418055284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7EED-4C62-B8CA-B6D9462064CA}"/>
                </c:ext>
              </c:extLst>
            </c:dLbl>
            <c:spPr>
              <a:noFill/>
              <a:ln>
                <a:noFill/>
              </a:ln>
              <a:effectLst/>
            </c:spPr>
            <c:txPr>
              <a:bodyPr rot="0" spcFirstLastPara="1" vertOverflow="ellipsis" vert="horz" wrap="square" lIns="38100" tIns="19050" rIns="38100" bIns="19050" anchor="ctr" anchorCtr="1">
                <a:spAutoFit/>
              </a:bodyPr>
              <a:lstStyle/>
              <a:p>
                <a:pPr>
                  <a:defRPr sz="16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'activities-percent-completed'!$A$4:$A$11</c:f>
              <c:strCache>
                <c:ptCount val="1"/>
                <c:pt idx="0">
                  <c:v>Common Performance Measures</c:v>
                </c:pt>
              </c:strCache>
              <c:extLst/>
            </c:strRef>
          </c:cat>
          <c:val>
            <c:numRef>
              <c:f>'activities-percent-completed'!$H$4:$H$11</c:f>
              <c:numCache>
                <c:formatCode>0%</c:formatCode>
                <c:ptCount val="1"/>
                <c:pt idx="0">
                  <c:v>0.2</c:v>
                </c:pt>
              </c:numCache>
              <c:extLst/>
            </c:numRef>
          </c:val>
          <c:extLst>
            <c:ext xmlns:c16="http://schemas.microsoft.com/office/drawing/2014/chart" uri="{C3380CC4-5D6E-409C-BE32-E72D297353CC}">
              <c16:uniqueId val="{00000009-7EED-4C62-B8CA-B6D9462064CA}"/>
            </c:ext>
          </c:extLst>
        </c:ser>
        <c:ser>
          <c:idx val="7"/>
          <c:order val="7"/>
          <c:tx>
            <c:strRef>
              <c:f>'activities-percent-completed'!$I$3</c:f>
              <c:strCache>
                <c:ptCount val="1"/>
                <c:pt idx="0">
                  <c:v>10%</c:v>
                </c:pt>
              </c:strCache>
              <c:extLst xmlns:c15="http://schemas.microsoft.com/office/drawing/2012/chart"/>
            </c:strRef>
          </c:tx>
          <c:spPr>
            <a:solidFill>
              <a:srgbClr val="3399FF"/>
            </a:solidFill>
            <a:ln>
              <a:noFill/>
            </a:ln>
            <a:effectLst/>
          </c:spPr>
          <c:invertIfNegative val="0"/>
          <c:dLbls>
            <c:delete val="1"/>
          </c:dLbls>
          <c:cat>
            <c:strRef>
              <c:f>'activities-percent-completed'!$A$4:$A$11</c:f>
              <c:strCache>
                <c:ptCount val="1"/>
                <c:pt idx="0">
                  <c:v>Common Performance Measures</c:v>
                </c:pt>
              </c:strCache>
              <c:extLst/>
            </c:strRef>
          </c:cat>
          <c:val>
            <c:numRef>
              <c:f>'activities-percent-completed'!$I$4:$I$11</c:f>
              <c:numCache>
                <c:formatCode>0%</c:formatCode>
                <c:ptCount val="1"/>
                <c:pt idx="0">
                  <c:v>0</c:v>
                </c:pt>
              </c:numCache>
              <c:extLst/>
            </c:numRef>
          </c:val>
          <c:extLst xmlns:c15="http://schemas.microsoft.com/office/drawing/2012/chart">
            <c:ext xmlns:c16="http://schemas.microsoft.com/office/drawing/2014/chart" uri="{C3380CC4-5D6E-409C-BE32-E72D297353CC}">
              <c16:uniqueId val="{0000000A-7EED-4C62-B8CA-B6D9462064CA}"/>
            </c:ext>
          </c:extLst>
        </c:ser>
        <c:ser>
          <c:idx val="8"/>
          <c:order val="8"/>
          <c:tx>
            <c:strRef>
              <c:f>'activities-percent-completed'!$J$3</c:f>
              <c:strCache>
                <c:ptCount val="1"/>
                <c:pt idx="0">
                  <c:v>Not started</c:v>
                </c:pt>
              </c:strCache>
              <c:extLst xmlns:c15="http://schemas.microsoft.com/office/drawing/2012/chart"/>
            </c:strRef>
          </c:tx>
          <c:spPr>
            <a:solidFill>
              <a:srgbClr val="7030A0"/>
            </a:solidFill>
            <a:ln>
              <a:noFill/>
            </a:ln>
            <a:effectLst/>
          </c:spPr>
          <c:invertIfNegative val="0"/>
          <c:dLbls>
            <c:dLbl>
              <c:idx val="0"/>
              <c:layout>
                <c:manualLayout>
                  <c:x val="0"/>
                  <c:y val="0.2429535418055284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7EED-4C62-B8CA-B6D9462064CA}"/>
                </c:ext>
              </c:extLst>
            </c:dLbl>
            <c:spPr>
              <a:noFill/>
              <a:ln>
                <a:noFill/>
              </a:ln>
              <a:effectLst/>
            </c:spPr>
            <c:txPr>
              <a:bodyPr rot="0" spcFirstLastPara="1" vertOverflow="ellipsis" vert="horz" wrap="square" lIns="38100" tIns="19050" rIns="38100" bIns="19050" anchor="ctr" anchorCtr="1">
                <a:spAutoFit/>
              </a:bodyPr>
              <a:lstStyle/>
              <a:p>
                <a:pPr>
                  <a:defRPr sz="1600" b="0" i="0" u="none" strike="noStrike" kern="1200" baseline="0">
                    <a:solidFill>
                      <a:sysClr val="windowText" lastClr="000000"/>
                    </a:solidFill>
                    <a:latin typeface="+mn-lt"/>
                    <a:ea typeface="+mn-ea"/>
                    <a:cs typeface="+mn-cs"/>
                  </a:defRPr>
                </a:pPr>
                <a:endParaRPr lang="en-US"/>
              </a:p>
            </c:txPr>
            <c:dLblPos val="ct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'activities-percent-completed'!$A$4:$A$11</c:f>
              <c:strCache>
                <c:ptCount val="1"/>
                <c:pt idx="0">
                  <c:v>Common Performance Measures</c:v>
                </c:pt>
              </c:strCache>
              <c:extLst/>
            </c:strRef>
          </c:cat>
          <c:val>
            <c:numRef>
              <c:f>'activities-percent-completed'!$J$4:$J$11</c:f>
              <c:numCache>
                <c:formatCode>0%</c:formatCode>
                <c:ptCount val="1"/>
                <c:pt idx="0">
                  <c:v>0.19230769230769232</c:v>
                </c:pt>
              </c:numCache>
              <c:extLst/>
            </c:numRef>
          </c:val>
          <c:extLst xmlns:c15="http://schemas.microsoft.com/office/drawing/2012/chart">
            <c:ext xmlns:c16="http://schemas.microsoft.com/office/drawing/2014/chart" uri="{C3380CC4-5D6E-409C-BE32-E72D297353CC}">
              <c16:uniqueId val="{0000000C-7EED-4C62-B8CA-B6D9462064CA}"/>
            </c:ext>
          </c:extLst>
        </c:ser>
        <c:dLbls>
          <c:dLblPos val="ctr"/>
          <c:showLegendKey val="0"/>
          <c:showVal val="1"/>
          <c:showCatName val="0"/>
          <c:showSerName val="0"/>
          <c:showPercent val="0"/>
          <c:showBubbleSize val="0"/>
        </c:dLbls>
        <c:gapWidth val="79"/>
        <c:overlap val="100"/>
        <c:axId val="610520992"/>
        <c:axId val="610522632"/>
        <c:extLst>
          <c:ext xmlns:c15="http://schemas.microsoft.com/office/drawing/2012/chart" uri="{02D57815-91ED-43cb-92C2-25804820EDAC}">
            <c15:filteredBarSeries>
              <c15:ser>
                <c:idx val="0"/>
                <c:order val="0"/>
                <c:tx>
                  <c:strRef>
                    <c:extLst>
                      <c:ext uri="{02D57815-91ED-43cb-92C2-25804820EDAC}">
                        <c15:formulaRef>
                          <c15:sqref>'activities-percent-completed'!$B$3</c15:sqref>
                        </c15:formulaRef>
                      </c:ext>
                    </c:extLst>
                    <c:strCache>
                      <c:ptCount val="1"/>
                      <c:pt idx="0">
                        <c:v># of Total Activities</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showLeaderLines val="0"/>
                  <c:extLst>
                    <c:ext uri="{CE6537A1-D6FC-4f65-9D91-7224C49458BB}">
                      <c15:showLeaderLines val="1"/>
                      <c15:leaderLines>
                        <c:spPr>
                          <a:ln w="9525">
                            <a:solidFill>
                              <a:schemeClr val="tx1">
                                <a:lumMod val="35000"/>
                                <a:lumOff val="65000"/>
                              </a:schemeClr>
                            </a:solidFill>
                          </a:ln>
                          <a:effectLst/>
                        </c:spPr>
                      </c15:leaderLines>
                    </c:ext>
                  </c:extLst>
                </c:dLbls>
                <c:cat>
                  <c:strRef>
                    <c:extLst>
                      <c:ext uri="{02D57815-91ED-43cb-92C2-25804820EDAC}">
                        <c15:formulaRef>
                          <c15:sqref>'activities-percent-completed'!$A$4:$A$11</c15:sqref>
                        </c15:formulaRef>
                      </c:ext>
                    </c:extLst>
                    <c:strCache>
                      <c:ptCount val="1"/>
                      <c:pt idx="0">
                        <c:v>Common Performance Measures</c:v>
                      </c:pt>
                    </c:strCache>
                  </c:strRef>
                </c:cat>
                <c:val>
                  <c:numRef>
                    <c:extLst>
                      <c:ext uri="{02D57815-91ED-43cb-92C2-25804820EDAC}">
                        <c15:formulaRef>
                          <c15:sqref>'activities-percent-completed'!$B$4:$B$11</c15:sqref>
                        </c15:formulaRef>
                      </c:ext>
                    </c:extLst>
                    <c:numCache>
                      <c:formatCode>0</c:formatCode>
                      <c:ptCount val="1"/>
                      <c:pt idx="0">
                        <c:v>130</c:v>
                      </c:pt>
                    </c:numCache>
                  </c:numRef>
                </c:val>
                <c:extLst>
                  <c:ext xmlns:c16="http://schemas.microsoft.com/office/drawing/2014/chart" uri="{C3380CC4-5D6E-409C-BE32-E72D297353CC}">
                    <c16:uniqueId val="{0000000D-7EED-4C62-B8CA-B6D9462064CA}"/>
                  </c:ext>
                </c:extLst>
              </c15:ser>
            </c15:filteredBarSeries>
            <c15:filteredBarSeries>
              <c15:ser>
                <c:idx val="1"/>
                <c:order val="1"/>
                <c:tx>
                  <c:strRef>
                    <c:extLst xmlns:c15="http://schemas.microsoft.com/office/drawing/2012/chart">
                      <c:ext xmlns:c15="http://schemas.microsoft.com/office/drawing/2012/chart" uri="{02D57815-91ED-43cb-92C2-25804820EDAC}">
                        <c15:formulaRef>
                          <c15:sqref>'activities-percent-completed'!$C$3</c15:sqref>
                        </c15:formulaRef>
                      </c:ext>
                    </c:extLst>
                    <c:strCache>
                      <c:ptCount val="1"/>
                      <c:pt idx="0">
                        <c:v>Average Progress on Activities (%)</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extLst xmlns:c15="http://schemas.microsoft.com/office/drawing/2012/chart">
                      <c:ext xmlns:c15="http://schemas.microsoft.com/office/drawing/2012/chart" uri="{02D57815-91ED-43cb-92C2-25804820EDAC}">
                        <c15:formulaRef>
                          <c15:sqref>'activities-percent-completed'!$A$4:$A$11</c15:sqref>
                        </c15:formulaRef>
                      </c:ext>
                    </c:extLst>
                    <c:strCache>
                      <c:ptCount val="1"/>
                      <c:pt idx="0">
                        <c:v>Common Performance Measures</c:v>
                      </c:pt>
                    </c:strCache>
                  </c:strRef>
                </c:cat>
                <c:val>
                  <c:numRef>
                    <c:extLst xmlns:c15="http://schemas.microsoft.com/office/drawing/2012/chart">
                      <c:ext xmlns:c15="http://schemas.microsoft.com/office/drawing/2012/chart" uri="{02D57815-91ED-43cb-92C2-25804820EDAC}">
                        <c15:formulaRef>
                          <c15:sqref>'activities-percent-completed'!$C$4:$C$11</c15:sqref>
                        </c15:formulaRef>
                      </c:ext>
                    </c:extLst>
                    <c:numCache>
                      <c:formatCode>0%</c:formatCode>
                      <c:ptCount val="1"/>
                      <c:pt idx="0">
                        <c:v>0.54153846153846152</c:v>
                      </c:pt>
                    </c:numCache>
                  </c:numRef>
                </c:val>
                <c:extLst xmlns:c15="http://schemas.microsoft.com/office/drawing/2012/chart">
                  <c:ext xmlns:c16="http://schemas.microsoft.com/office/drawing/2014/chart" uri="{C3380CC4-5D6E-409C-BE32-E72D297353CC}">
                    <c16:uniqueId val="{0000000E-7EED-4C62-B8CA-B6D9462064CA}"/>
                  </c:ext>
                </c:extLst>
              </c15:ser>
            </c15:filteredBarSeries>
          </c:ext>
        </c:extLst>
      </c:barChart>
      <c:catAx>
        <c:axId val="610520992"/>
        <c:scaling>
          <c:orientation val="minMax"/>
        </c:scaling>
        <c:delete val="1"/>
        <c:axPos val="l"/>
        <c:majorGridlines>
          <c:spPr>
            <a:ln w="9525" cap="flat" cmpd="sng" algn="ctr">
              <a:solidFill>
                <a:schemeClr val="tx1">
                  <a:lumMod val="15000"/>
                  <a:lumOff val="85000"/>
                </a:schemeClr>
              </a:solidFill>
              <a:round/>
            </a:ln>
            <a:effectLst/>
          </c:spPr>
        </c:majorGridlines>
        <c:minorGridlines>
          <c:spPr>
            <a:ln>
              <a:solidFill>
                <a:schemeClr val="tx1">
                  <a:lumMod val="5000"/>
                  <a:lumOff val="95000"/>
                </a:schemeClr>
              </a:solidFill>
            </a:ln>
            <a:effectLst/>
          </c:spPr>
        </c:minorGridlines>
        <c:numFmt formatCode="General" sourceLinked="1"/>
        <c:majorTickMark val="out"/>
        <c:minorTickMark val="none"/>
        <c:tickLblPos val="nextTo"/>
        <c:crossAx val="610522632"/>
        <c:crosses val="autoZero"/>
        <c:auto val="1"/>
        <c:lblAlgn val="ctr"/>
        <c:lblOffset val="100"/>
        <c:noMultiLvlLbl val="0"/>
      </c:catAx>
      <c:valAx>
        <c:axId val="610522632"/>
        <c:scaling>
          <c:orientation val="minMax"/>
          <c:max val="1"/>
        </c:scaling>
        <c:delete val="0"/>
        <c:axPos val="b"/>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10520992"/>
        <c:crosses val="autoZero"/>
        <c:crossBetween val="between"/>
      </c:valAx>
      <c:spPr>
        <a:noFill/>
        <a:ln>
          <a:noFill/>
        </a:ln>
        <a:effectLst/>
      </c:spPr>
    </c:plotArea>
    <c:legend>
      <c:legendPos val="t"/>
      <c:layout>
        <c:manualLayout>
          <c:xMode val="edge"/>
          <c:yMode val="edge"/>
          <c:x val="2.4983511676425058E-2"/>
          <c:y val="0.82538651831461063"/>
          <c:w val="0.92243572918769767"/>
          <c:h val="0.17049185518430976"/>
        </c:manualLayout>
      </c:layout>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4"/>
    </mc:Choice>
    <mc:Fallback>
      <c:style val="4"/>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Topic Area - Common Performance Measures</a:t>
            </a:r>
            <a:br>
              <a:rPr lang="en-US"/>
            </a:br>
            <a:r>
              <a:rPr lang="en-US"/>
              <a:t>Activity #1</a:t>
            </a:r>
          </a:p>
        </c:rich>
      </c:tx>
      <c:layout>
        <c:manualLayout>
          <c:xMode val="edge"/>
          <c:yMode val="edge"/>
          <c:x val="0.22550607545054205"/>
          <c:y val="1.5640543542949398E-3"/>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3773248222116805"/>
          <c:y val="0.25325772269284524"/>
          <c:w val="0.78942722632790041"/>
          <c:h val="0.66602748393145406"/>
        </c:manualLayout>
      </c:layout>
      <c:barChart>
        <c:barDir val="col"/>
        <c:grouping val="percentStacked"/>
        <c:varyColors val="0"/>
        <c:ser>
          <c:idx val="3"/>
          <c:order val="3"/>
          <c:tx>
            <c:strRef>
              <c:f>'individual-chart-cpm'!$F$2</c:f>
              <c:strCache>
                <c:ptCount val="1"/>
                <c:pt idx="0">
                  <c:v>Completed</c:v>
                </c:pt>
              </c:strCache>
            </c:strRef>
          </c:tx>
          <c:spPr>
            <a:solidFill>
              <a:srgbClr val="99221F"/>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600" b="0"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'individual-chart-cpm'!$B$3:$B$30</c:f>
              <c:strCache>
                <c:ptCount val="2"/>
                <c:pt idx="0">
                  <c:v>Activity</c:v>
                </c:pt>
                <c:pt idx="1">
                  <c:v>Outputs</c:v>
                </c:pt>
              </c:strCache>
              <c:extLst/>
            </c:strRef>
          </c:cat>
          <c:val>
            <c:numRef>
              <c:f>'individual-chart-cpm'!$F$3:$F$30</c:f>
              <c:numCache>
                <c:formatCode>0%</c:formatCode>
                <c:ptCount val="2"/>
                <c:pt idx="0">
                  <c:v>0.79166666666666663</c:v>
                </c:pt>
                <c:pt idx="1">
                  <c:v>0.625</c:v>
                </c:pt>
              </c:numCache>
              <c:extLst/>
            </c:numRef>
          </c:val>
          <c:extLst>
            <c:ext xmlns:c16="http://schemas.microsoft.com/office/drawing/2014/chart" uri="{C3380CC4-5D6E-409C-BE32-E72D297353CC}">
              <c16:uniqueId val="{00000000-00C4-429C-B597-CF8BC6511ECB}"/>
            </c:ext>
          </c:extLst>
        </c:ser>
        <c:ser>
          <c:idx val="4"/>
          <c:order val="4"/>
          <c:tx>
            <c:strRef>
              <c:f>'individual-chart-cpm'!$G$2</c:f>
              <c:strCache>
                <c:ptCount val="1"/>
                <c:pt idx="0">
                  <c:v>90%</c:v>
                </c:pt>
              </c:strCache>
            </c:strRef>
          </c:tx>
          <c:spPr>
            <a:solidFill>
              <a:srgbClr val="D73D39"/>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'individual-chart-cpm'!$B$3:$B$30</c:f>
              <c:strCache>
                <c:ptCount val="2"/>
                <c:pt idx="0">
                  <c:v>Activity</c:v>
                </c:pt>
                <c:pt idx="1">
                  <c:v>Outputs</c:v>
                </c:pt>
              </c:strCache>
              <c:extLst/>
            </c:strRef>
          </c:cat>
          <c:val>
            <c:numRef>
              <c:f>'individual-chart-cpm'!$G$3:$G$30</c:f>
              <c:numCache>
                <c:formatCode>General</c:formatCode>
                <c:ptCount val="2"/>
              </c:numCache>
              <c:extLst/>
            </c:numRef>
          </c:val>
          <c:extLst>
            <c:ext xmlns:c16="http://schemas.microsoft.com/office/drawing/2014/chart" uri="{C3380CC4-5D6E-409C-BE32-E72D297353CC}">
              <c16:uniqueId val="{00000001-00C4-429C-B597-CF8BC6511ECB}"/>
            </c:ext>
          </c:extLst>
        </c:ser>
        <c:ser>
          <c:idx val="5"/>
          <c:order val="5"/>
          <c:tx>
            <c:strRef>
              <c:f>'individual-chart-cpm'!$H$2</c:f>
              <c:strCache>
                <c:ptCount val="1"/>
                <c:pt idx="0">
                  <c:v>75%</c:v>
                </c:pt>
              </c:strCache>
            </c:strRef>
          </c:tx>
          <c:spPr>
            <a:solidFill>
              <a:srgbClr val="DC5350"/>
            </a:solidFill>
            <a:ln>
              <a:noFill/>
            </a:ln>
            <a:effectLst/>
          </c:spPr>
          <c:invertIfNegative val="0"/>
          <c:dLbls>
            <c:dLbl>
              <c:idx val="0"/>
              <c:layout>
                <c:manualLayout>
                  <c:x val="4.4893378226711148E-3"/>
                  <c:y val="5.0154765137116024E-3"/>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00C4-429C-B597-CF8BC6511ECB}"/>
                </c:ext>
              </c:extLst>
            </c:dLbl>
            <c:dLbl>
              <c:idx val="1"/>
              <c:layout>
                <c:manualLayout>
                  <c:x val="8.9786756453423128E-3"/>
                  <c:y val="1.9746747957445758E-7"/>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00C4-429C-B597-CF8BC6511ECB}"/>
                </c:ext>
              </c:extLst>
            </c:dLbl>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'individual-chart-cpm'!$B$3:$B$30</c:f>
              <c:strCache>
                <c:ptCount val="2"/>
                <c:pt idx="0">
                  <c:v>Activity</c:v>
                </c:pt>
                <c:pt idx="1">
                  <c:v>Outputs</c:v>
                </c:pt>
              </c:strCache>
              <c:extLst/>
            </c:strRef>
          </c:cat>
          <c:val>
            <c:numRef>
              <c:f>'individual-chart-cpm'!$H$3:$H$30</c:f>
              <c:numCache>
                <c:formatCode>0%</c:formatCode>
                <c:ptCount val="2"/>
                <c:pt idx="0">
                  <c:v>4.1666666666666664E-2</c:v>
                </c:pt>
                <c:pt idx="1">
                  <c:v>4.1666666666666664E-2</c:v>
                </c:pt>
              </c:numCache>
              <c:extLst/>
            </c:numRef>
          </c:val>
          <c:extLst>
            <c:ext xmlns:c16="http://schemas.microsoft.com/office/drawing/2014/chart" uri="{C3380CC4-5D6E-409C-BE32-E72D297353CC}">
              <c16:uniqueId val="{00000004-00C4-429C-B597-CF8BC6511ECB}"/>
            </c:ext>
          </c:extLst>
        </c:ser>
        <c:ser>
          <c:idx val="6"/>
          <c:order val="6"/>
          <c:tx>
            <c:strRef>
              <c:f>'individual-chart-cpm'!$I$2</c:f>
              <c:strCache>
                <c:ptCount val="1"/>
                <c:pt idx="0">
                  <c:v>50%</c:v>
                </c:pt>
              </c:strCache>
            </c:strRef>
          </c:tx>
          <c:spPr>
            <a:solidFill>
              <a:srgbClr val="EBA19F"/>
            </a:solidFill>
            <a:ln>
              <a:noFill/>
            </a:ln>
            <a:effectLst/>
          </c:spPr>
          <c:invertIfNegative val="0"/>
          <c:dLbls>
            <c:dLbl>
              <c:idx val="0"/>
              <c:layout>
                <c:manualLayout>
                  <c:x val="-4.4893378226711564E-3"/>
                  <c:y val="0"/>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00C4-429C-B597-CF8BC6511ECB}"/>
                </c:ext>
              </c:extLst>
            </c:dLbl>
            <c:dLbl>
              <c:idx val="1"/>
              <c:layout>
                <c:manualLayout>
                  <c:x val="4.4893378226711564E-3"/>
                  <c:y val="-1.0030755559943814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00C4-429C-B597-CF8BC6511ECB}"/>
                </c:ext>
              </c:extLst>
            </c:dLbl>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'individual-chart-cpm'!$B$3:$B$30</c:f>
              <c:strCache>
                <c:ptCount val="2"/>
                <c:pt idx="0">
                  <c:v>Activity</c:v>
                </c:pt>
                <c:pt idx="1">
                  <c:v>Outputs</c:v>
                </c:pt>
              </c:strCache>
              <c:extLst/>
            </c:strRef>
          </c:cat>
          <c:val>
            <c:numRef>
              <c:f>'individual-chart-cpm'!$I$3:$I$30</c:f>
              <c:numCache>
                <c:formatCode>0%</c:formatCode>
                <c:ptCount val="2"/>
                <c:pt idx="0">
                  <c:v>8.3333333333333329E-2</c:v>
                </c:pt>
                <c:pt idx="1">
                  <c:v>0.20833333333333334</c:v>
                </c:pt>
              </c:numCache>
              <c:extLst/>
            </c:numRef>
          </c:val>
          <c:extLst>
            <c:ext xmlns:c16="http://schemas.microsoft.com/office/drawing/2014/chart" uri="{C3380CC4-5D6E-409C-BE32-E72D297353CC}">
              <c16:uniqueId val="{00000007-00C4-429C-B597-CF8BC6511ECB}"/>
            </c:ext>
          </c:extLst>
        </c:ser>
        <c:ser>
          <c:idx val="7"/>
          <c:order val="7"/>
          <c:tx>
            <c:strRef>
              <c:f>'individual-chart-cpm'!$J$2</c:f>
              <c:strCache>
                <c:ptCount val="1"/>
                <c:pt idx="0">
                  <c:v>25%</c:v>
                </c:pt>
              </c:strCache>
            </c:strRef>
          </c:tx>
          <c:spPr>
            <a:solidFill>
              <a:srgbClr val="F3C6C5"/>
            </a:solidFill>
            <a:ln>
              <a:noFill/>
            </a:ln>
            <a:effectLst/>
          </c:spPr>
          <c:invertIfNegative val="0"/>
          <c:dLbls>
            <c:dLbl>
              <c:idx val="0"/>
              <c:layout>
                <c:manualLayout>
                  <c:x val="8.9786756453422711E-3"/>
                  <c:y val="2.5076395231160369E-3"/>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00C4-429C-B597-CF8BC6511ECB}"/>
                </c:ext>
              </c:extLst>
            </c:dLbl>
            <c:dLbl>
              <c:idx val="1"/>
              <c:layout>
                <c:manualLayout>
                  <c:x val="8.9786756453423128E-3"/>
                  <c:y val="0"/>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00C4-429C-B597-CF8BC6511ECB}"/>
                </c:ext>
              </c:extLst>
            </c:dLbl>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'individual-chart-cpm'!$B$3:$B$30</c:f>
              <c:strCache>
                <c:ptCount val="2"/>
                <c:pt idx="0">
                  <c:v>Activity</c:v>
                </c:pt>
                <c:pt idx="1">
                  <c:v>Outputs</c:v>
                </c:pt>
              </c:strCache>
              <c:extLst/>
            </c:strRef>
          </c:cat>
          <c:val>
            <c:numRef>
              <c:f>'individual-chart-cpm'!$J$3:$J$30</c:f>
              <c:numCache>
                <c:formatCode>0%</c:formatCode>
                <c:ptCount val="2"/>
                <c:pt idx="0">
                  <c:v>8.3333333333333329E-2</c:v>
                </c:pt>
                <c:pt idx="1">
                  <c:v>8.3333333333333329E-2</c:v>
                </c:pt>
              </c:numCache>
              <c:extLst/>
            </c:numRef>
          </c:val>
          <c:extLst>
            <c:ext xmlns:c16="http://schemas.microsoft.com/office/drawing/2014/chart" uri="{C3380CC4-5D6E-409C-BE32-E72D297353CC}">
              <c16:uniqueId val="{0000000A-00C4-429C-B597-CF8BC6511ECB}"/>
            </c:ext>
          </c:extLst>
        </c:ser>
        <c:ser>
          <c:idx val="8"/>
          <c:order val="8"/>
          <c:tx>
            <c:strRef>
              <c:f>'individual-chart-cpm'!$K$2</c:f>
              <c:strCache>
                <c:ptCount val="1"/>
                <c:pt idx="0">
                  <c:v>10%</c:v>
                </c:pt>
              </c:strCache>
            </c:strRef>
          </c:tx>
          <c:spPr>
            <a:solidFill>
              <a:schemeClr val="accent2">
                <a:tint val="56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'individual-chart-cpm'!$B$3:$B$30</c:f>
              <c:strCache>
                <c:ptCount val="2"/>
                <c:pt idx="0">
                  <c:v>Activity</c:v>
                </c:pt>
                <c:pt idx="1">
                  <c:v>Outputs</c:v>
                </c:pt>
              </c:strCache>
              <c:extLst/>
            </c:strRef>
          </c:cat>
          <c:val>
            <c:numRef>
              <c:f>'individual-chart-cpm'!$K$3:$K$30</c:f>
              <c:numCache>
                <c:formatCode>General</c:formatCode>
                <c:ptCount val="2"/>
              </c:numCache>
              <c:extLst/>
            </c:numRef>
          </c:val>
          <c:extLst>
            <c:ext xmlns:c16="http://schemas.microsoft.com/office/drawing/2014/chart" uri="{C3380CC4-5D6E-409C-BE32-E72D297353CC}">
              <c16:uniqueId val="{0000000B-00C4-429C-B597-CF8BC6511ECB}"/>
            </c:ext>
          </c:extLst>
        </c:ser>
        <c:ser>
          <c:idx val="9"/>
          <c:order val="9"/>
          <c:tx>
            <c:strRef>
              <c:f>'individual-chart-cpm'!$L$2</c:f>
              <c:strCache>
                <c:ptCount val="1"/>
                <c:pt idx="0">
                  <c:v>Not Started</c:v>
                </c:pt>
              </c:strCache>
            </c:strRef>
          </c:tx>
          <c:spPr>
            <a:solidFill>
              <a:srgbClr val="FCF2F2"/>
            </a:solidFill>
            <a:ln>
              <a:noFill/>
            </a:ln>
            <a:effectLst/>
          </c:spPr>
          <c:invertIfNegative val="0"/>
          <c:dLbls>
            <c:dLbl>
              <c:idx val="1"/>
              <c:layout>
                <c:manualLayout>
                  <c:x val="0"/>
                  <c:y val="-1.003154542986202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00C4-429C-B597-CF8BC6511ECB}"/>
                </c:ext>
              </c:extLst>
            </c:dLbl>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'individual-chart-cpm'!$B$3:$B$30</c:f>
              <c:strCache>
                <c:ptCount val="2"/>
                <c:pt idx="0">
                  <c:v>Activity</c:v>
                </c:pt>
                <c:pt idx="1">
                  <c:v>Outputs</c:v>
                </c:pt>
              </c:strCache>
              <c:extLst/>
            </c:strRef>
          </c:cat>
          <c:val>
            <c:numRef>
              <c:f>'individual-chart-cpm'!$L$3:$L$30</c:f>
              <c:numCache>
                <c:formatCode>0%</c:formatCode>
                <c:ptCount val="2"/>
                <c:pt idx="1">
                  <c:v>4.1666666666666664E-2</c:v>
                </c:pt>
              </c:numCache>
              <c:extLst/>
            </c:numRef>
          </c:val>
          <c:extLst>
            <c:ext xmlns:c16="http://schemas.microsoft.com/office/drawing/2014/chart" uri="{C3380CC4-5D6E-409C-BE32-E72D297353CC}">
              <c16:uniqueId val="{0000000D-00C4-429C-B597-CF8BC6511ECB}"/>
            </c:ext>
          </c:extLst>
        </c:ser>
        <c:dLbls>
          <c:dLblPos val="ctr"/>
          <c:showLegendKey val="0"/>
          <c:showVal val="1"/>
          <c:showCatName val="0"/>
          <c:showSerName val="0"/>
          <c:showPercent val="0"/>
          <c:showBubbleSize val="0"/>
        </c:dLbls>
        <c:gapWidth val="150"/>
        <c:overlap val="100"/>
        <c:axId val="790958128"/>
        <c:axId val="790961408"/>
        <c:extLst>
          <c:ext xmlns:c15="http://schemas.microsoft.com/office/drawing/2012/chart" uri="{02D57815-91ED-43cb-92C2-25804820EDAC}">
            <c15:filteredBarSeries>
              <c15:ser>
                <c:idx val="0"/>
                <c:order val="0"/>
                <c:tx>
                  <c:strRef>
                    <c:extLst>
                      <c:ext uri="{02D57815-91ED-43cb-92C2-25804820EDAC}">
                        <c15:formulaRef>
                          <c15:sqref>'individual-chart-cpm'!$C$2</c15:sqref>
                        </c15:formulaRef>
                      </c:ext>
                    </c:extLst>
                    <c:strCache>
                      <c:ptCount val="1"/>
                      <c:pt idx="0">
                        <c:v>Completed</c:v>
                      </c:pt>
                    </c:strCache>
                  </c:strRef>
                </c:tx>
                <c:spPr>
                  <a:solidFill>
                    <a:schemeClr val="accent2">
                      <a:shade val="42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c:ext uri="{02D57815-91ED-43cb-92C2-25804820EDAC}">
                        <c15:formulaRef>
                          <c15:sqref>'individual-chart-cpm'!$B$3:$B$30</c15:sqref>
                        </c15:formulaRef>
                      </c:ext>
                    </c:extLst>
                    <c:strCache>
                      <c:ptCount val="2"/>
                      <c:pt idx="0">
                        <c:v>Activity</c:v>
                      </c:pt>
                      <c:pt idx="1">
                        <c:v>Outputs</c:v>
                      </c:pt>
                    </c:strCache>
                  </c:strRef>
                </c:cat>
                <c:val>
                  <c:numRef>
                    <c:extLst>
                      <c:ext uri="{02D57815-91ED-43cb-92C2-25804820EDAC}">
                        <c15:formulaRef>
                          <c15:sqref>'individual-chart-cpm'!$C$3:$C$30</c15:sqref>
                        </c15:formulaRef>
                      </c:ext>
                    </c:extLst>
                    <c:numCache>
                      <c:formatCode>0%</c:formatCode>
                      <c:ptCount val="2"/>
                      <c:pt idx="0">
                        <c:v>0.79166666666666663</c:v>
                      </c:pt>
                      <c:pt idx="1">
                        <c:v>0.625</c:v>
                      </c:pt>
                    </c:numCache>
                  </c:numRef>
                </c:val>
                <c:extLst>
                  <c:ext xmlns:c16="http://schemas.microsoft.com/office/drawing/2014/chart" uri="{C3380CC4-5D6E-409C-BE32-E72D297353CC}">
                    <c16:uniqueId val="{0000000E-00C4-429C-B597-CF8BC6511ECB}"/>
                  </c:ext>
                </c:extLst>
              </c15:ser>
            </c15:filteredBarSeries>
            <c15:filteredBarSeries>
              <c15:ser>
                <c:idx val="1"/>
                <c:order val="1"/>
                <c:tx>
                  <c:strRef>
                    <c:extLst xmlns:c15="http://schemas.microsoft.com/office/drawing/2012/chart">
                      <c:ext xmlns:c15="http://schemas.microsoft.com/office/drawing/2012/chart" uri="{02D57815-91ED-43cb-92C2-25804820EDAC}">
                        <c15:formulaRef>
                          <c15:sqref>'individual-chart-cpm'!$D$2</c15:sqref>
                        </c15:formulaRef>
                      </c:ext>
                    </c:extLst>
                    <c:strCache>
                      <c:ptCount val="1"/>
                      <c:pt idx="0">
                        <c:v>In progress</c:v>
                      </c:pt>
                    </c:strCache>
                  </c:strRef>
                </c:tx>
                <c:spPr>
                  <a:solidFill>
                    <a:schemeClr val="accent2">
                      <a:shade val="5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'individual-chart-cpm'!$B$3:$B$30</c15:sqref>
                        </c15:formulaRef>
                      </c:ext>
                    </c:extLst>
                    <c:strCache>
                      <c:ptCount val="2"/>
                      <c:pt idx="0">
                        <c:v>Activity</c:v>
                      </c:pt>
                      <c:pt idx="1">
                        <c:v>Outputs</c:v>
                      </c:pt>
                    </c:strCache>
                  </c:strRef>
                </c:cat>
                <c:val>
                  <c:numRef>
                    <c:extLst xmlns:c15="http://schemas.microsoft.com/office/drawing/2012/chart">
                      <c:ext xmlns:c15="http://schemas.microsoft.com/office/drawing/2012/chart" uri="{02D57815-91ED-43cb-92C2-25804820EDAC}">
                        <c15:formulaRef>
                          <c15:sqref>'individual-chart-cpm'!$D$3:$D$30</c15:sqref>
                        </c15:formulaRef>
                      </c:ext>
                    </c:extLst>
                    <c:numCache>
                      <c:formatCode>0%</c:formatCode>
                      <c:ptCount val="2"/>
                      <c:pt idx="0">
                        <c:v>0.20833333333333334</c:v>
                      </c:pt>
                      <c:pt idx="1">
                        <c:v>0.33333333333333331</c:v>
                      </c:pt>
                    </c:numCache>
                  </c:numRef>
                </c:val>
                <c:extLst xmlns:c15="http://schemas.microsoft.com/office/drawing/2012/chart">
                  <c:ext xmlns:c16="http://schemas.microsoft.com/office/drawing/2014/chart" uri="{C3380CC4-5D6E-409C-BE32-E72D297353CC}">
                    <c16:uniqueId val="{0000000F-00C4-429C-B597-CF8BC6511ECB}"/>
                  </c:ext>
                </c:extLst>
              </c15:ser>
            </c15:filteredBarSeries>
            <c15:filteredBarSeries>
              <c15:ser>
                <c:idx val="2"/>
                <c:order val="2"/>
                <c:tx>
                  <c:strRef>
                    <c:extLst xmlns:c15="http://schemas.microsoft.com/office/drawing/2012/chart">
                      <c:ext xmlns:c15="http://schemas.microsoft.com/office/drawing/2012/chart" uri="{02D57815-91ED-43cb-92C2-25804820EDAC}">
                        <c15:formulaRef>
                          <c15:sqref>'individual-chart-cpm'!$E$2</c15:sqref>
                        </c15:formulaRef>
                      </c:ext>
                    </c:extLst>
                    <c:strCache>
                      <c:ptCount val="1"/>
                      <c:pt idx="0">
                        <c:v>Not started</c:v>
                      </c:pt>
                    </c:strCache>
                  </c:strRef>
                </c:tx>
                <c:spPr>
                  <a:solidFill>
                    <a:schemeClr val="accent2">
                      <a:shade val="68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'individual-chart-cpm'!$B$3:$B$30</c15:sqref>
                        </c15:formulaRef>
                      </c:ext>
                    </c:extLst>
                    <c:strCache>
                      <c:ptCount val="2"/>
                      <c:pt idx="0">
                        <c:v>Activity</c:v>
                      </c:pt>
                      <c:pt idx="1">
                        <c:v>Outputs</c:v>
                      </c:pt>
                    </c:strCache>
                  </c:strRef>
                </c:cat>
                <c:val>
                  <c:numRef>
                    <c:extLst xmlns:c15="http://schemas.microsoft.com/office/drawing/2012/chart">
                      <c:ext xmlns:c15="http://schemas.microsoft.com/office/drawing/2012/chart" uri="{02D57815-91ED-43cb-92C2-25804820EDAC}">
                        <c15:formulaRef>
                          <c15:sqref>'individual-chart-cpm'!$E$3:$E$30</c15:sqref>
                        </c15:formulaRef>
                      </c:ext>
                    </c:extLst>
                    <c:numCache>
                      <c:formatCode>0%</c:formatCode>
                      <c:ptCount val="2"/>
                      <c:pt idx="1">
                        <c:v>4.1666666666666664E-2</c:v>
                      </c:pt>
                    </c:numCache>
                  </c:numRef>
                </c:val>
                <c:extLst xmlns:c15="http://schemas.microsoft.com/office/drawing/2012/chart">
                  <c:ext xmlns:c16="http://schemas.microsoft.com/office/drawing/2014/chart" uri="{C3380CC4-5D6E-409C-BE32-E72D297353CC}">
                    <c16:uniqueId val="{00000010-00C4-429C-B597-CF8BC6511ECB}"/>
                  </c:ext>
                </c:extLst>
              </c15:ser>
            </c15:filteredBarSeries>
          </c:ext>
        </c:extLst>
      </c:barChart>
      <c:catAx>
        <c:axId val="7909581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n-US"/>
          </a:p>
        </c:txPr>
        <c:crossAx val="790961408"/>
        <c:crosses val="autoZero"/>
        <c:auto val="1"/>
        <c:lblAlgn val="ctr"/>
        <c:lblOffset val="100"/>
        <c:noMultiLvlLbl val="0"/>
      </c:catAx>
      <c:valAx>
        <c:axId val="790961408"/>
        <c:scaling>
          <c:orientation val="minMax"/>
          <c:min val="0"/>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90958128"/>
        <c:crossesAt val="1"/>
        <c:crossBetween val="between"/>
      </c:valAx>
      <c:spPr>
        <a:noFill/>
        <a:ln>
          <a:noFill/>
        </a:ln>
        <a:effectLst/>
      </c:spPr>
    </c:plotArea>
    <c:legend>
      <c:legendPos val="t"/>
      <c:layout>
        <c:manualLayout>
          <c:xMode val="edge"/>
          <c:yMode val="edge"/>
          <c:x val="0.18225149756480022"/>
          <c:y val="0.12763422019026135"/>
          <c:w val="0.70460273616206281"/>
          <c:h val="0.12652310298086494"/>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userShapes r:id="rId5"/>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800" b="1" i="0" cap="all" baseline="0">
                <a:effectLst/>
              </a:rPr>
              <a:t>Intensive TA outputs Progress </a:t>
            </a:r>
            <a:br>
              <a:rPr lang="en-US" sz="1800" b="1" i="0" cap="all" baseline="0">
                <a:effectLst/>
              </a:rPr>
            </a:br>
            <a:r>
              <a:rPr lang="en-US" sz="1800" b="1" i="0" cap="all" baseline="0">
                <a:effectLst/>
              </a:rPr>
              <a:t>All Activities</a:t>
            </a:r>
            <a:endParaRPr lang="en-US">
              <a:effectLst/>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5.1686351706036748E-2"/>
          <c:y val="0.54887097610822366"/>
          <c:w val="0.90331903223635512"/>
          <c:h val="0.40104447418381001"/>
        </c:manualLayout>
      </c:layout>
      <c:barChart>
        <c:barDir val="bar"/>
        <c:grouping val="stacked"/>
        <c:varyColors val="0"/>
        <c:ser>
          <c:idx val="13"/>
          <c:order val="13"/>
          <c:tx>
            <c:strRef>
              <c:f>'activities-data'!$O$3</c:f>
              <c:strCache>
                <c:ptCount val="1"/>
                <c:pt idx="0">
                  <c:v>Completed</c:v>
                </c:pt>
              </c:strCache>
            </c:strRef>
          </c:tx>
          <c:spPr>
            <a:solidFill>
              <a:srgbClr val="C00000"/>
            </a:solidFill>
            <a:ln>
              <a:noFill/>
            </a:ln>
            <a:effectLst/>
          </c:spPr>
          <c:invertIfNegative val="0"/>
          <c:dPt>
            <c:idx val="0"/>
            <c:invertIfNegative val="0"/>
            <c:bubble3D val="0"/>
            <c:spPr>
              <a:solidFill>
                <a:srgbClr val="C00000"/>
              </a:solidFill>
              <a:ln>
                <a:noFill/>
              </a:ln>
              <a:effectLst/>
            </c:spPr>
            <c:extLst>
              <c:ext xmlns:c16="http://schemas.microsoft.com/office/drawing/2014/chart" uri="{C3380CC4-5D6E-409C-BE32-E72D297353CC}">
                <c16:uniqueId val="{00000001-FE4A-4BFF-87AD-75B6BBB165A5}"/>
              </c:ext>
            </c:extLst>
          </c:dPt>
          <c:dLbls>
            <c:dLbl>
              <c:idx val="0"/>
              <c:layout>
                <c:manualLayout>
                  <c:x val="-3.9173336640061513E-17"/>
                  <c:y val="-0.16488873673399521"/>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FE4A-4BFF-87AD-75B6BBB165A5}"/>
                </c:ext>
              </c:extLst>
            </c:dLbl>
            <c:spPr>
              <a:noFill/>
              <a:ln>
                <a:noFill/>
              </a:ln>
              <a:effectLst/>
            </c:spPr>
            <c:txPr>
              <a:bodyPr rot="0" spcFirstLastPara="1" vertOverflow="ellipsis" vert="horz" wrap="square" lIns="38100" tIns="19050" rIns="38100" bIns="19050" anchor="ctr" anchorCtr="1">
                <a:spAutoFit/>
              </a:bodyPr>
              <a:lstStyle/>
              <a:p>
                <a:pPr>
                  <a:defRPr sz="16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'activities-data'!$A$4:$A$18</c:f>
              <c:strCache>
                <c:ptCount val="1"/>
                <c:pt idx="0">
                  <c:v>All</c:v>
                </c:pt>
              </c:strCache>
              <c:extLst/>
            </c:strRef>
          </c:cat>
          <c:val>
            <c:numRef>
              <c:f>'activities-data'!$O$4:$O$18</c:f>
              <c:numCache>
                <c:formatCode>0%</c:formatCode>
                <c:ptCount val="1"/>
                <c:pt idx="0">
                  <c:v>0.4959871589085072</c:v>
                </c:pt>
              </c:numCache>
              <c:extLst/>
            </c:numRef>
          </c:val>
          <c:extLst>
            <c:ext xmlns:c16="http://schemas.microsoft.com/office/drawing/2014/chart" uri="{C3380CC4-5D6E-409C-BE32-E72D297353CC}">
              <c16:uniqueId val="{00000002-FE4A-4BFF-87AD-75B6BBB165A5}"/>
            </c:ext>
          </c:extLst>
        </c:ser>
        <c:ser>
          <c:idx val="14"/>
          <c:order val="14"/>
          <c:tx>
            <c:strRef>
              <c:f>'activities-data'!$P$3</c:f>
              <c:strCache>
                <c:ptCount val="1"/>
                <c:pt idx="0">
                  <c:v>90%</c:v>
                </c:pt>
              </c:strCache>
            </c:strRef>
          </c:tx>
          <c:spPr>
            <a:solidFill>
              <a:srgbClr val="FFC000"/>
            </a:solidFill>
            <a:ln>
              <a:noFill/>
            </a:ln>
            <a:effectLst/>
          </c:spPr>
          <c:invertIfNegative val="0"/>
          <c:dLbls>
            <c:dLbl>
              <c:idx val="0"/>
              <c:layout>
                <c:manualLayout>
                  <c:x val="-6.41025641025641E-3"/>
                  <c:y val="-0.15810276679841886"/>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FE4A-4BFF-87AD-75B6BBB165A5}"/>
                </c:ext>
              </c:extLst>
            </c:dLbl>
            <c:spPr>
              <a:noFill/>
              <a:ln>
                <a:noFill/>
              </a:ln>
              <a:effectLst/>
            </c:spPr>
            <c:txPr>
              <a:bodyPr rot="0" spcFirstLastPara="1" vertOverflow="ellipsis" vert="horz" wrap="square" lIns="38100" tIns="19050" rIns="38100" bIns="19050" anchor="ctr" anchorCtr="1">
                <a:spAutoFit/>
              </a:bodyPr>
              <a:lstStyle/>
              <a:p>
                <a:pPr>
                  <a:defRPr sz="16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'activities-data'!$A$4:$A$18</c:f>
              <c:strCache>
                <c:ptCount val="1"/>
                <c:pt idx="0">
                  <c:v>All</c:v>
                </c:pt>
              </c:strCache>
              <c:extLst/>
            </c:strRef>
          </c:cat>
          <c:val>
            <c:numRef>
              <c:f>'activities-data'!$P$4:$P$18</c:f>
              <c:numCache>
                <c:formatCode>0%</c:formatCode>
                <c:ptCount val="1"/>
                <c:pt idx="0">
                  <c:v>3.2102728731942212E-2</c:v>
                </c:pt>
              </c:numCache>
              <c:extLst/>
            </c:numRef>
          </c:val>
          <c:extLst>
            <c:ext xmlns:c16="http://schemas.microsoft.com/office/drawing/2014/chart" uri="{C3380CC4-5D6E-409C-BE32-E72D297353CC}">
              <c16:uniqueId val="{00000004-FE4A-4BFF-87AD-75B6BBB165A5}"/>
            </c:ext>
          </c:extLst>
        </c:ser>
        <c:ser>
          <c:idx val="15"/>
          <c:order val="15"/>
          <c:tx>
            <c:strRef>
              <c:f>'activities-data'!$Q$3</c:f>
              <c:strCache>
                <c:ptCount val="1"/>
                <c:pt idx="0">
                  <c:v>75%</c:v>
                </c:pt>
              </c:strCache>
            </c:strRef>
          </c:tx>
          <c:spPr>
            <a:solidFill>
              <a:srgbClr val="FFFF00"/>
            </a:solidFill>
            <a:ln>
              <a:noFill/>
            </a:ln>
            <a:effectLst/>
          </c:spPr>
          <c:invertIfNegative val="0"/>
          <c:dLbls>
            <c:dLbl>
              <c:idx val="0"/>
              <c:layout>
                <c:manualLayout>
                  <c:x val="0"/>
                  <c:y val="-0.15283267457180499"/>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FE4A-4BFF-87AD-75B6BBB165A5}"/>
                </c:ext>
              </c:extLst>
            </c:dLbl>
            <c:spPr>
              <a:noFill/>
              <a:ln>
                <a:noFill/>
              </a:ln>
              <a:effectLst/>
            </c:spPr>
            <c:txPr>
              <a:bodyPr rot="0" spcFirstLastPara="1" vertOverflow="ellipsis" vert="horz" wrap="square" lIns="38100" tIns="19050" rIns="38100" bIns="19050" anchor="ctr" anchorCtr="1">
                <a:spAutoFit/>
              </a:bodyPr>
              <a:lstStyle/>
              <a:p>
                <a:pPr>
                  <a:defRPr sz="16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'activities-data'!$A$4:$A$18</c:f>
              <c:strCache>
                <c:ptCount val="1"/>
                <c:pt idx="0">
                  <c:v>All</c:v>
                </c:pt>
              </c:strCache>
              <c:extLst/>
            </c:strRef>
          </c:cat>
          <c:val>
            <c:numRef>
              <c:f>'activities-data'!$Q$4:$Q$18</c:f>
              <c:numCache>
                <c:formatCode>0%</c:formatCode>
                <c:ptCount val="1"/>
                <c:pt idx="0">
                  <c:v>5.6179775280898875E-2</c:v>
                </c:pt>
              </c:numCache>
              <c:extLst/>
            </c:numRef>
          </c:val>
          <c:extLst>
            <c:ext xmlns:c16="http://schemas.microsoft.com/office/drawing/2014/chart" uri="{C3380CC4-5D6E-409C-BE32-E72D297353CC}">
              <c16:uniqueId val="{00000006-FE4A-4BFF-87AD-75B6BBB165A5}"/>
            </c:ext>
          </c:extLst>
        </c:ser>
        <c:ser>
          <c:idx val="16"/>
          <c:order val="16"/>
          <c:tx>
            <c:strRef>
              <c:f>'activities-data'!$R$3</c:f>
              <c:strCache>
                <c:ptCount val="1"/>
                <c:pt idx="0">
                  <c:v>50%</c:v>
                </c:pt>
              </c:strCache>
            </c:strRef>
          </c:tx>
          <c:spPr>
            <a:solidFill>
              <a:srgbClr val="92D050"/>
            </a:solidFill>
            <a:ln>
              <a:noFill/>
            </a:ln>
            <a:effectLst/>
          </c:spPr>
          <c:invertIfNegative val="0"/>
          <c:dLbls>
            <c:dLbl>
              <c:idx val="0"/>
              <c:layout>
                <c:manualLayout>
                  <c:x val="-7.8346673280123027E-17"/>
                  <c:y val="-0.15810276679841886"/>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FE4A-4BFF-87AD-75B6BBB165A5}"/>
                </c:ext>
              </c:extLst>
            </c:dLbl>
            <c:spPr>
              <a:noFill/>
              <a:ln>
                <a:noFill/>
              </a:ln>
              <a:effectLst/>
            </c:spPr>
            <c:txPr>
              <a:bodyPr rot="0" spcFirstLastPara="1" vertOverflow="ellipsis" vert="horz" wrap="square" lIns="38100" tIns="19050" rIns="38100" bIns="19050" anchor="ctr" anchorCtr="1">
                <a:spAutoFit/>
              </a:bodyPr>
              <a:lstStyle/>
              <a:p>
                <a:pPr>
                  <a:defRPr sz="16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'activities-data'!$A$4:$A$18</c:f>
              <c:strCache>
                <c:ptCount val="1"/>
                <c:pt idx="0">
                  <c:v>All</c:v>
                </c:pt>
              </c:strCache>
              <c:extLst/>
            </c:strRef>
          </c:cat>
          <c:val>
            <c:numRef>
              <c:f>'activities-data'!$R$4:$R$18</c:f>
              <c:numCache>
                <c:formatCode>0%</c:formatCode>
                <c:ptCount val="1"/>
                <c:pt idx="0">
                  <c:v>8.186195826645265E-2</c:v>
                </c:pt>
              </c:numCache>
              <c:extLst/>
            </c:numRef>
          </c:val>
          <c:extLst>
            <c:ext xmlns:c16="http://schemas.microsoft.com/office/drawing/2014/chart" uri="{C3380CC4-5D6E-409C-BE32-E72D297353CC}">
              <c16:uniqueId val="{00000008-FE4A-4BFF-87AD-75B6BBB165A5}"/>
            </c:ext>
          </c:extLst>
        </c:ser>
        <c:ser>
          <c:idx val="17"/>
          <c:order val="17"/>
          <c:tx>
            <c:strRef>
              <c:f>'activities-data'!$S$3</c:f>
              <c:strCache>
                <c:ptCount val="1"/>
                <c:pt idx="0">
                  <c:v>25%</c:v>
                </c:pt>
              </c:strCache>
            </c:strRef>
          </c:tx>
          <c:spPr>
            <a:solidFill>
              <a:srgbClr val="00B0F0"/>
            </a:solidFill>
            <a:ln>
              <a:noFill/>
            </a:ln>
            <a:effectLst/>
          </c:spPr>
          <c:invertIfNegative val="0"/>
          <c:dLbls>
            <c:dLbl>
              <c:idx val="0"/>
              <c:layout>
                <c:manualLayout>
                  <c:x val="0"/>
                  <c:y val="-0.15810276679841886"/>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FE4A-4BFF-87AD-75B6BBB165A5}"/>
                </c:ext>
              </c:extLst>
            </c:dLbl>
            <c:spPr>
              <a:noFill/>
              <a:ln>
                <a:noFill/>
              </a:ln>
              <a:effectLst/>
            </c:spPr>
            <c:txPr>
              <a:bodyPr rot="0" spcFirstLastPara="1" vertOverflow="ellipsis" vert="horz" wrap="square" lIns="38100" tIns="19050" rIns="38100" bIns="19050" anchor="ctr" anchorCtr="1">
                <a:spAutoFit/>
              </a:bodyPr>
              <a:lstStyle/>
              <a:p>
                <a:pPr>
                  <a:defRPr sz="16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'activities-data'!$A$4:$A$18</c:f>
              <c:strCache>
                <c:ptCount val="1"/>
                <c:pt idx="0">
                  <c:v>All</c:v>
                </c:pt>
              </c:strCache>
              <c:extLst/>
            </c:strRef>
          </c:cat>
          <c:val>
            <c:numRef>
              <c:f>'activities-data'!$S$4:$S$18</c:f>
              <c:numCache>
                <c:formatCode>0%</c:formatCode>
                <c:ptCount val="1"/>
                <c:pt idx="0">
                  <c:v>0.1492776886035313</c:v>
                </c:pt>
              </c:numCache>
              <c:extLst/>
            </c:numRef>
          </c:val>
          <c:extLst>
            <c:ext xmlns:c16="http://schemas.microsoft.com/office/drawing/2014/chart" uri="{C3380CC4-5D6E-409C-BE32-E72D297353CC}">
              <c16:uniqueId val="{0000000A-FE4A-4BFF-87AD-75B6BBB165A5}"/>
            </c:ext>
          </c:extLst>
        </c:ser>
        <c:ser>
          <c:idx val="18"/>
          <c:order val="18"/>
          <c:tx>
            <c:strRef>
              <c:f>'activities-data'!$T$3</c:f>
              <c:strCache>
                <c:ptCount val="1"/>
                <c:pt idx="0">
                  <c:v>10%</c:v>
                </c:pt>
              </c:strCache>
            </c:strRef>
          </c:tx>
          <c:spPr>
            <a:solidFill>
              <a:schemeClr val="accent1">
                <a:lumMod val="80000"/>
              </a:schemeClr>
            </a:solidFill>
            <a:ln>
              <a:noFill/>
            </a:ln>
            <a:effectLst/>
          </c:spPr>
          <c:invertIfNegative val="0"/>
          <c:cat>
            <c:strRef>
              <c:f>'activities-data'!$A$4:$A$18</c:f>
              <c:strCache>
                <c:ptCount val="1"/>
                <c:pt idx="0">
                  <c:v>All</c:v>
                </c:pt>
              </c:strCache>
              <c:extLst/>
            </c:strRef>
          </c:cat>
          <c:val>
            <c:numRef>
              <c:f>'activities-data'!$T$4:$T$18</c:f>
              <c:numCache>
                <c:formatCode>0%</c:formatCode>
                <c:ptCount val="1"/>
                <c:pt idx="0">
                  <c:v>0</c:v>
                </c:pt>
              </c:numCache>
              <c:extLst/>
            </c:numRef>
          </c:val>
          <c:extLst>
            <c:ext xmlns:c16="http://schemas.microsoft.com/office/drawing/2014/chart" uri="{C3380CC4-5D6E-409C-BE32-E72D297353CC}">
              <c16:uniqueId val="{0000000B-FE4A-4BFF-87AD-75B6BBB165A5}"/>
            </c:ext>
          </c:extLst>
        </c:ser>
        <c:ser>
          <c:idx val="19"/>
          <c:order val="19"/>
          <c:tx>
            <c:strRef>
              <c:f>'activities-data'!$U$3</c:f>
              <c:strCache>
                <c:ptCount val="1"/>
                <c:pt idx="0">
                  <c:v>Not started</c:v>
                </c:pt>
              </c:strCache>
            </c:strRef>
          </c:tx>
          <c:spPr>
            <a:solidFill>
              <a:srgbClr val="7030A0"/>
            </a:solidFill>
            <a:ln>
              <a:noFill/>
            </a:ln>
            <a:effectLst/>
          </c:spPr>
          <c:invertIfNegative val="0"/>
          <c:dLbls>
            <c:dLbl>
              <c:idx val="0"/>
              <c:layout>
                <c:manualLayout>
                  <c:x val="-2.136752136752137E-3"/>
                  <c:y val="-0.15810276679841886"/>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FE4A-4BFF-87AD-75B6BBB165A5}"/>
                </c:ext>
              </c:extLst>
            </c:dLbl>
            <c:spPr>
              <a:noFill/>
              <a:ln>
                <a:noFill/>
              </a:ln>
              <a:effectLst/>
            </c:spPr>
            <c:txPr>
              <a:bodyPr rot="0" spcFirstLastPara="1" vertOverflow="ellipsis" vert="horz" wrap="square" lIns="38100" tIns="19050" rIns="38100" bIns="19050" anchor="ctr" anchorCtr="1">
                <a:spAutoFit/>
              </a:bodyPr>
              <a:lstStyle/>
              <a:p>
                <a:pPr>
                  <a:defRPr sz="16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'activities-data'!$A$4:$A$18</c:f>
              <c:strCache>
                <c:ptCount val="1"/>
                <c:pt idx="0">
                  <c:v>All</c:v>
                </c:pt>
              </c:strCache>
              <c:extLst/>
            </c:strRef>
          </c:cat>
          <c:val>
            <c:numRef>
              <c:f>'activities-data'!$U$4:$U$18</c:f>
              <c:numCache>
                <c:formatCode>0%</c:formatCode>
                <c:ptCount val="1"/>
                <c:pt idx="0">
                  <c:v>0.18298555377207062</c:v>
                </c:pt>
              </c:numCache>
              <c:extLst/>
            </c:numRef>
          </c:val>
          <c:extLst>
            <c:ext xmlns:c16="http://schemas.microsoft.com/office/drawing/2014/chart" uri="{C3380CC4-5D6E-409C-BE32-E72D297353CC}">
              <c16:uniqueId val="{0000000D-FE4A-4BFF-87AD-75B6BBB165A5}"/>
            </c:ext>
          </c:extLst>
        </c:ser>
        <c:dLbls>
          <c:showLegendKey val="0"/>
          <c:showVal val="0"/>
          <c:showCatName val="0"/>
          <c:showSerName val="0"/>
          <c:showPercent val="0"/>
          <c:showBubbleSize val="0"/>
        </c:dLbls>
        <c:gapWidth val="150"/>
        <c:overlap val="100"/>
        <c:axId val="851305688"/>
        <c:axId val="851301752"/>
        <c:extLst>
          <c:ext xmlns:c15="http://schemas.microsoft.com/office/drawing/2012/chart" uri="{02D57815-91ED-43cb-92C2-25804820EDAC}">
            <c15:filteredBarSeries>
              <c15:ser>
                <c:idx val="0"/>
                <c:order val="0"/>
                <c:tx>
                  <c:strRef>
                    <c:extLst>
                      <c:ext uri="{02D57815-91ED-43cb-92C2-25804820EDAC}">
                        <c15:formulaRef>
                          <c15:sqref>'activities-data'!$B$3</c15:sqref>
                        </c15:formulaRef>
                      </c:ext>
                    </c:extLst>
                    <c:strCache>
                      <c:ptCount val="1"/>
                      <c:pt idx="0">
                        <c:v>Completed</c:v>
                      </c:pt>
                    </c:strCache>
                  </c:strRef>
                </c:tx>
                <c:spPr>
                  <a:solidFill>
                    <a:schemeClr val="accent1"/>
                  </a:solidFill>
                  <a:ln>
                    <a:noFill/>
                  </a:ln>
                  <a:effectLst/>
                </c:spPr>
                <c:invertIfNegative val="0"/>
                <c:cat>
                  <c:strRef>
                    <c:extLst>
                      <c:ext uri="{02D57815-91ED-43cb-92C2-25804820EDAC}">
                        <c15:formulaRef>
                          <c15:sqref>'activities-data'!$A$4:$A$18</c15:sqref>
                        </c15:formulaRef>
                      </c:ext>
                    </c:extLst>
                    <c:strCache>
                      <c:ptCount val="1"/>
                      <c:pt idx="0">
                        <c:v>All</c:v>
                      </c:pt>
                    </c:strCache>
                  </c:strRef>
                </c:cat>
                <c:val>
                  <c:numRef>
                    <c:extLst>
                      <c:ext uri="{02D57815-91ED-43cb-92C2-25804820EDAC}">
                        <c15:formulaRef>
                          <c15:sqref>'activities-data'!$B$4:$B$18</c15:sqref>
                        </c15:formulaRef>
                      </c:ext>
                    </c:extLst>
                    <c:numCache>
                      <c:formatCode>0%</c:formatCode>
                      <c:ptCount val="1"/>
                      <c:pt idx="0">
                        <c:v>0.51876019575856447</c:v>
                      </c:pt>
                    </c:numCache>
                  </c:numRef>
                </c:val>
                <c:extLst>
                  <c:ext xmlns:c16="http://schemas.microsoft.com/office/drawing/2014/chart" uri="{C3380CC4-5D6E-409C-BE32-E72D297353CC}">
                    <c16:uniqueId val="{0000000E-FE4A-4BFF-87AD-75B6BBB165A5}"/>
                  </c:ext>
                </c:extLst>
              </c15:ser>
            </c15:filteredBarSeries>
            <c15:filteredBarSeries>
              <c15:ser>
                <c:idx val="1"/>
                <c:order val="1"/>
                <c:tx>
                  <c:strRef>
                    <c:extLst xmlns:c15="http://schemas.microsoft.com/office/drawing/2012/chart">
                      <c:ext xmlns:c15="http://schemas.microsoft.com/office/drawing/2012/chart" uri="{02D57815-91ED-43cb-92C2-25804820EDAC}">
                        <c15:formulaRef>
                          <c15:sqref>'activities-data'!$C$3</c15:sqref>
                        </c15:formulaRef>
                      </c:ext>
                    </c:extLst>
                    <c:strCache>
                      <c:ptCount val="1"/>
                      <c:pt idx="0">
                        <c:v>In progress</c:v>
                      </c:pt>
                    </c:strCache>
                  </c:strRef>
                </c:tx>
                <c:spPr>
                  <a:solidFill>
                    <a:schemeClr val="accent2"/>
                  </a:solidFill>
                  <a:ln>
                    <a:noFill/>
                  </a:ln>
                  <a:effectLst/>
                </c:spPr>
                <c:invertIfNegative val="0"/>
                <c:cat>
                  <c:strRef>
                    <c:extLst xmlns:c15="http://schemas.microsoft.com/office/drawing/2012/chart">
                      <c:ext xmlns:c15="http://schemas.microsoft.com/office/drawing/2012/chart" uri="{02D57815-91ED-43cb-92C2-25804820EDAC}">
                        <c15:formulaRef>
                          <c15:sqref>'activities-data'!$A$4:$A$18</c15:sqref>
                        </c15:formulaRef>
                      </c:ext>
                    </c:extLst>
                    <c:strCache>
                      <c:ptCount val="1"/>
                      <c:pt idx="0">
                        <c:v>All</c:v>
                      </c:pt>
                    </c:strCache>
                  </c:strRef>
                </c:cat>
                <c:val>
                  <c:numRef>
                    <c:extLst xmlns:c15="http://schemas.microsoft.com/office/drawing/2012/chart">
                      <c:ext xmlns:c15="http://schemas.microsoft.com/office/drawing/2012/chart" uri="{02D57815-91ED-43cb-92C2-25804820EDAC}">
                        <c15:formulaRef>
                          <c15:sqref>'activities-data'!$C$4:$C$18</c15:sqref>
                        </c15:formulaRef>
                      </c:ext>
                    </c:extLst>
                    <c:numCache>
                      <c:formatCode>0%</c:formatCode>
                      <c:ptCount val="1"/>
                      <c:pt idx="0">
                        <c:v>0.33931484502446985</c:v>
                      </c:pt>
                    </c:numCache>
                  </c:numRef>
                </c:val>
                <c:extLst xmlns:c15="http://schemas.microsoft.com/office/drawing/2012/chart">
                  <c:ext xmlns:c16="http://schemas.microsoft.com/office/drawing/2014/chart" uri="{C3380CC4-5D6E-409C-BE32-E72D297353CC}">
                    <c16:uniqueId val="{0000000F-FE4A-4BFF-87AD-75B6BBB165A5}"/>
                  </c:ext>
                </c:extLst>
              </c15:ser>
            </c15:filteredBarSeries>
            <c15:filteredBarSeries>
              <c15:ser>
                <c:idx val="2"/>
                <c:order val="2"/>
                <c:tx>
                  <c:strRef>
                    <c:extLst xmlns:c15="http://schemas.microsoft.com/office/drawing/2012/chart">
                      <c:ext xmlns:c15="http://schemas.microsoft.com/office/drawing/2012/chart" uri="{02D57815-91ED-43cb-92C2-25804820EDAC}">
                        <c15:formulaRef>
                          <c15:sqref>'activities-data'!$D$3</c15:sqref>
                        </c15:formulaRef>
                      </c:ext>
                    </c:extLst>
                    <c:strCache>
                      <c:ptCount val="1"/>
                      <c:pt idx="0">
                        <c:v>Not started</c:v>
                      </c:pt>
                    </c:strCache>
                  </c:strRef>
                </c:tx>
                <c:spPr>
                  <a:solidFill>
                    <a:srgbClr val="99221F"/>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'activities-data'!$A$4:$A$18</c15:sqref>
                        </c15:formulaRef>
                      </c:ext>
                    </c:extLst>
                    <c:strCache>
                      <c:ptCount val="1"/>
                      <c:pt idx="0">
                        <c:v>All</c:v>
                      </c:pt>
                    </c:strCache>
                  </c:strRef>
                </c:cat>
                <c:val>
                  <c:numRef>
                    <c:extLst xmlns:c15="http://schemas.microsoft.com/office/drawing/2012/chart">
                      <c:ext xmlns:c15="http://schemas.microsoft.com/office/drawing/2012/chart" uri="{02D57815-91ED-43cb-92C2-25804820EDAC}">
                        <c15:formulaRef>
                          <c15:sqref>'activities-data'!$D$4:$D$18</c15:sqref>
                        </c15:formulaRef>
                      </c:ext>
                    </c:extLst>
                    <c:numCache>
                      <c:formatCode>0%</c:formatCode>
                      <c:ptCount val="1"/>
                      <c:pt idx="0">
                        <c:v>0.15660685154975529</c:v>
                      </c:pt>
                    </c:numCache>
                  </c:numRef>
                </c:val>
                <c:extLst xmlns:c15="http://schemas.microsoft.com/office/drawing/2012/chart">
                  <c:ext xmlns:c16="http://schemas.microsoft.com/office/drawing/2014/chart" uri="{C3380CC4-5D6E-409C-BE32-E72D297353CC}">
                    <c16:uniqueId val="{00000010-FE4A-4BFF-87AD-75B6BBB165A5}"/>
                  </c:ext>
                </c:extLst>
              </c15:ser>
            </c15:filteredBarSeries>
            <c15:filteredBarSeries>
              <c15:ser>
                <c:idx val="3"/>
                <c:order val="3"/>
                <c:tx>
                  <c:strRef>
                    <c:extLst xmlns:c15="http://schemas.microsoft.com/office/drawing/2012/chart">
                      <c:ext xmlns:c15="http://schemas.microsoft.com/office/drawing/2012/chart" uri="{02D57815-91ED-43cb-92C2-25804820EDAC}">
                        <c15:formulaRef>
                          <c15:sqref>'activities-data'!$E$3</c15:sqref>
                        </c15:formulaRef>
                      </c:ext>
                    </c:extLst>
                    <c:strCache>
                      <c:ptCount val="1"/>
                      <c:pt idx="0">
                        <c:v>100%</c:v>
                      </c:pt>
                    </c:strCache>
                  </c:strRef>
                </c:tx>
                <c:spPr>
                  <a:solidFill>
                    <a:srgbClr val="FF99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'activities-data'!$A$4:$A$18</c15:sqref>
                        </c15:formulaRef>
                      </c:ext>
                    </c:extLst>
                    <c:strCache>
                      <c:ptCount val="1"/>
                      <c:pt idx="0">
                        <c:v>All</c:v>
                      </c:pt>
                    </c:strCache>
                  </c:strRef>
                </c:cat>
                <c:val>
                  <c:numRef>
                    <c:extLst xmlns:c15="http://schemas.microsoft.com/office/drawing/2012/chart">
                      <c:ext xmlns:c15="http://schemas.microsoft.com/office/drawing/2012/chart" uri="{02D57815-91ED-43cb-92C2-25804820EDAC}">
                        <c15:formulaRef>
                          <c15:sqref>'activities-data'!$E$4:$E$18</c15:sqref>
                        </c15:formulaRef>
                      </c:ext>
                    </c:extLst>
                    <c:numCache>
                      <c:formatCode>0%</c:formatCode>
                      <c:ptCount val="1"/>
                      <c:pt idx="0">
                        <c:v>0.51876019575856447</c:v>
                      </c:pt>
                    </c:numCache>
                  </c:numRef>
                </c:val>
                <c:extLst xmlns:c15="http://schemas.microsoft.com/office/drawing/2012/chart">
                  <c:ext xmlns:c16="http://schemas.microsoft.com/office/drawing/2014/chart" uri="{C3380CC4-5D6E-409C-BE32-E72D297353CC}">
                    <c16:uniqueId val="{00000011-FE4A-4BFF-87AD-75B6BBB165A5}"/>
                  </c:ext>
                </c:extLst>
              </c15:ser>
            </c15:filteredBarSeries>
            <c15:filteredBarSeries>
              <c15:ser>
                <c:idx val="4"/>
                <c:order val="4"/>
                <c:tx>
                  <c:strRef>
                    <c:extLst xmlns:c15="http://schemas.microsoft.com/office/drawing/2012/chart">
                      <c:ext xmlns:c15="http://schemas.microsoft.com/office/drawing/2012/chart" uri="{02D57815-91ED-43cb-92C2-25804820EDAC}">
                        <c15:formulaRef>
                          <c15:sqref>'activities-data'!$F$3</c15:sqref>
                        </c15:formulaRef>
                      </c:ext>
                    </c:extLst>
                    <c:strCache>
                      <c:ptCount val="1"/>
                      <c:pt idx="0">
                        <c:v>90%</c:v>
                      </c:pt>
                    </c:strCache>
                  </c:strRef>
                </c:tx>
                <c:spPr>
                  <a:solidFill>
                    <a:srgbClr val="FFFF6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'activities-data'!$A$4:$A$18</c15:sqref>
                        </c15:formulaRef>
                      </c:ext>
                    </c:extLst>
                    <c:strCache>
                      <c:ptCount val="1"/>
                      <c:pt idx="0">
                        <c:v>All</c:v>
                      </c:pt>
                    </c:strCache>
                  </c:strRef>
                </c:cat>
                <c:val>
                  <c:numRef>
                    <c:extLst xmlns:c15="http://schemas.microsoft.com/office/drawing/2012/chart">
                      <c:ext xmlns:c15="http://schemas.microsoft.com/office/drawing/2012/chart" uri="{02D57815-91ED-43cb-92C2-25804820EDAC}">
                        <c15:formulaRef>
                          <c15:sqref>'activities-data'!$F$4:$F$18</c15:sqref>
                        </c15:formulaRef>
                      </c:ext>
                    </c:extLst>
                    <c:numCache>
                      <c:formatCode>0%</c:formatCode>
                      <c:ptCount val="1"/>
                      <c:pt idx="0">
                        <c:v>2.7732463295269169E-2</c:v>
                      </c:pt>
                    </c:numCache>
                  </c:numRef>
                </c:val>
                <c:extLst xmlns:c15="http://schemas.microsoft.com/office/drawing/2012/chart">
                  <c:ext xmlns:c16="http://schemas.microsoft.com/office/drawing/2014/chart" uri="{C3380CC4-5D6E-409C-BE32-E72D297353CC}">
                    <c16:uniqueId val="{00000012-FE4A-4BFF-87AD-75B6BBB165A5}"/>
                  </c:ext>
                </c:extLst>
              </c15:ser>
            </c15:filteredBarSeries>
            <c15:filteredBarSeries>
              <c15:ser>
                <c:idx val="5"/>
                <c:order val="5"/>
                <c:tx>
                  <c:strRef>
                    <c:extLst xmlns:c15="http://schemas.microsoft.com/office/drawing/2012/chart">
                      <c:ext xmlns:c15="http://schemas.microsoft.com/office/drawing/2012/chart" uri="{02D57815-91ED-43cb-92C2-25804820EDAC}">
                        <c15:formulaRef>
                          <c15:sqref>'activities-data'!$G$3</c15:sqref>
                        </c15:formulaRef>
                      </c:ext>
                    </c:extLst>
                    <c:strCache>
                      <c:ptCount val="1"/>
                      <c:pt idx="0">
                        <c:v>75%</c:v>
                      </c:pt>
                    </c:strCache>
                  </c:strRef>
                </c:tx>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'activities-data'!$A$4:$A$18</c15:sqref>
                        </c15:formulaRef>
                      </c:ext>
                    </c:extLst>
                    <c:strCache>
                      <c:ptCount val="1"/>
                      <c:pt idx="0">
                        <c:v>All</c:v>
                      </c:pt>
                    </c:strCache>
                  </c:strRef>
                </c:cat>
                <c:val>
                  <c:numRef>
                    <c:extLst xmlns:c15="http://schemas.microsoft.com/office/drawing/2012/chart">
                      <c:ext xmlns:c15="http://schemas.microsoft.com/office/drawing/2012/chart" uri="{02D57815-91ED-43cb-92C2-25804820EDAC}">
                        <c15:formulaRef>
                          <c15:sqref>'activities-data'!$G$4:$G$18</c15:sqref>
                        </c15:formulaRef>
                      </c:ext>
                    </c:extLst>
                    <c:numCache>
                      <c:formatCode>0%</c:formatCode>
                      <c:ptCount val="1"/>
                      <c:pt idx="0">
                        <c:v>6.6884176182707991E-2</c:v>
                      </c:pt>
                    </c:numCache>
                  </c:numRef>
                </c:val>
                <c:extLst xmlns:c15="http://schemas.microsoft.com/office/drawing/2012/chart">
                  <c:ext xmlns:c16="http://schemas.microsoft.com/office/drawing/2014/chart" uri="{C3380CC4-5D6E-409C-BE32-E72D297353CC}">
                    <c16:uniqueId val="{00000013-FE4A-4BFF-87AD-75B6BBB165A5}"/>
                  </c:ext>
                </c:extLst>
              </c15:ser>
            </c15:filteredBarSeries>
            <c15:filteredBarSeries>
              <c15:ser>
                <c:idx val="6"/>
                <c:order val="6"/>
                <c:tx>
                  <c:strRef>
                    <c:extLst xmlns:c15="http://schemas.microsoft.com/office/drawing/2012/chart">
                      <c:ext xmlns:c15="http://schemas.microsoft.com/office/drawing/2012/chart" uri="{02D57815-91ED-43cb-92C2-25804820EDAC}">
                        <c15:formulaRef>
                          <c15:sqref>'activities-data'!$H$3</c15:sqref>
                        </c15:formulaRef>
                      </c:ext>
                    </c:extLst>
                    <c:strCache>
                      <c:ptCount val="1"/>
                      <c:pt idx="0">
                        <c:v>50%</c:v>
                      </c:pt>
                    </c:strCache>
                  </c:strRef>
                </c:tx>
                <c:spPr>
                  <a:solidFill>
                    <a:srgbClr val="15FFFF"/>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'activities-data'!$A$4:$A$18</c15:sqref>
                        </c15:formulaRef>
                      </c:ext>
                    </c:extLst>
                    <c:strCache>
                      <c:ptCount val="1"/>
                      <c:pt idx="0">
                        <c:v>All</c:v>
                      </c:pt>
                    </c:strCache>
                  </c:strRef>
                </c:cat>
                <c:val>
                  <c:numRef>
                    <c:extLst xmlns:c15="http://schemas.microsoft.com/office/drawing/2012/chart">
                      <c:ext xmlns:c15="http://schemas.microsoft.com/office/drawing/2012/chart" uri="{02D57815-91ED-43cb-92C2-25804820EDAC}">
                        <c15:formulaRef>
                          <c15:sqref>'activities-data'!$H$4:$H$18</c15:sqref>
                        </c15:formulaRef>
                      </c:ext>
                    </c:extLst>
                    <c:numCache>
                      <c:formatCode>0%</c:formatCode>
                      <c:ptCount val="1"/>
                      <c:pt idx="0">
                        <c:v>9.2985318107667206E-2</c:v>
                      </c:pt>
                    </c:numCache>
                  </c:numRef>
                </c:val>
                <c:extLst xmlns:c15="http://schemas.microsoft.com/office/drawing/2012/chart">
                  <c:ext xmlns:c16="http://schemas.microsoft.com/office/drawing/2014/chart" uri="{C3380CC4-5D6E-409C-BE32-E72D297353CC}">
                    <c16:uniqueId val="{00000014-FE4A-4BFF-87AD-75B6BBB165A5}"/>
                  </c:ext>
                </c:extLst>
              </c15:ser>
            </c15:filteredBarSeries>
            <c15:filteredBarSeries>
              <c15:ser>
                <c:idx val="7"/>
                <c:order val="7"/>
                <c:tx>
                  <c:strRef>
                    <c:extLst xmlns:c15="http://schemas.microsoft.com/office/drawing/2012/chart">
                      <c:ext xmlns:c15="http://schemas.microsoft.com/office/drawing/2012/chart" uri="{02D57815-91ED-43cb-92C2-25804820EDAC}">
                        <c15:formulaRef>
                          <c15:sqref>'activities-data'!$I$3</c15:sqref>
                        </c15:formulaRef>
                      </c:ext>
                    </c:extLst>
                    <c:strCache>
                      <c:ptCount val="1"/>
                      <c:pt idx="0">
                        <c:v>25%</c:v>
                      </c:pt>
                    </c:strCache>
                  </c:strRef>
                </c:tx>
                <c:spPr>
                  <a:solidFill>
                    <a:srgbClr val="3399FF"/>
                  </a:solidFill>
                  <a:ln>
                    <a:noFill/>
                  </a:ln>
                  <a:effectLst/>
                </c:spPr>
                <c:invertIfNegative val="0"/>
                <c:cat>
                  <c:strRef>
                    <c:extLst xmlns:c15="http://schemas.microsoft.com/office/drawing/2012/chart">
                      <c:ext xmlns:c15="http://schemas.microsoft.com/office/drawing/2012/chart" uri="{02D57815-91ED-43cb-92C2-25804820EDAC}">
                        <c15:formulaRef>
                          <c15:sqref>'activities-data'!$A$4:$A$18</c15:sqref>
                        </c15:formulaRef>
                      </c:ext>
                    </c:extLst>
                    <c:strCache>
                      <c:ptCount val="1"/>
                      <c:pt idx="0">
                        <c:v>All</c:v>
                      </c:pt>
                    </c:strCache>
                  </c:strRef>
                </c:cat>
                <c:val>
                  <c:numRef>
                    <c:extLst xmlns:c15="http://schemas.microsoft.com/office/drawing/2012/chart">
                      <c:ext xmlns:c15="http://schemas.microsoft.com/office/drawing/2012/chart" uri="{02D57815-91ED-43cb-92C2-25804820EDAC}">
                        <c15:formulaRef>
                          <c15:sqref>'activities-data'!$I$4:$I$18</c15:sqref>
                        </c15:formulaRef>
                      </c:ext>
                    </c:extLst>
                    <c:numCache>
                      <c:formatCode>0%</c:formatCode>
                      <c:ptCount val="1"/>
                      <c:pt idx="0">
                        <c:v>0.15171288743882544</c:v>
                      </c:pt>
                    </c:numCache>
                  </c:numRef>
                </c:val>
                <c:extLst xmlns:c15="http://schemas.microsoft.com/office/drawing/2012/chart">
                  <c:ext xmlns:c16="http://schemas.microsoft.com/office/drawing/2014/chart" uri="{C3380CC4-5D6E-409C-BE32-E72D297353CC}">
                    <c16:uniqueId val="{00000015-FE4A-4BFF-87AD-75B6BBB165A5}"/>
                  </c:ext>
                </c:extLst>
              </c15:ser>
            </c15:filteredBarSeries>
            <c15:filteredBarSeries>
              <c15:ser>
                <c:idx val="8"/>
                <c:order val="8"/>
                <c:tx>
                  <c:strRef>
                    <c:extLst xmlns:c15="http://schemas.microsoft.com/office/drawing/2012/chart">
                      <c:ext xmlns:c15="http://schemas.microsoft.com/office/drawing/2012/chart" uri="{02D57815-91ED-43cb-92C2-25804820EDAC}">
                        <c15:formulaRef>
                          <c15:sqref>'activities-data'!$J$3</c15:sqref>
                        </c15:formulaRef>
                      </c:ext>
                    </c:extLst>
                    <c:strCache>
                      <c:ptCount val="1"/>
                      <c:pt idx="0">
                        <c:v>10%</c:v>
                      </c:pt>
                    </c:strCache>
                  </c:strRef>
                </c:tx>
                <c:spPr>
                  <a:solidFill>
                    <a:srgbClr val="7030A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'activities-data'!$A$4:$A$18</c15:sqref>
                        </c15:formulaRef>
                      </c:ext>
                    </c:extLst>
                    <c:strCache>
                      <c:ptCount val="1"/>
                      <c:pt idx="0">
                        <c:v>All</c:v>
                      </c:pt>
                    </c:strCache>
                  </c:strRef>
                </c:cat>
                <c:val>
                  <c:numRef>
                    <c:extLst xmlns:c15="http://schemas.microsoft.com/office/drawing/2012/chart">
                      <c:ext xmlns:c15="http://schemas.microsoft.com/office/drawing/2012/chart" uri="{02D57815-91ED-43cb-92C2-25804820EDAC}">
                        <c15:formulaRef>
                          <c15:sqref>'activities-data'!$J$4:$J$18</c15:sqref>
                        </c15:formulaRef>
                      </c:ext>
                    </c:extLst>
                    <c:numCache>
                      <c:formatCode>0%</c:formatCode>
                      <c:ptCount val="1"/>
                      <c:pt idx="0">
                        <c:v>0</c:v>
                      </c:pt>
                    </c:numCache>
                  </c:numRef>
                </c:val>
                <c:extLst xmlns:c15="http://schemas.microsoft.com/office/drawing/2012/chart">
                  <c:ext xmlns:c16="http://schemas.microsoft.com/office/drawing/2014/chart" uri="{C3380CC4-5D6E-409C-BE32-E72D297353CC}">
                    <c16:uniqueId val="{00000016-FE4A-4BFF-87AD-75B6BBB165A5}"/>
                  </c:ext>
                </c:extLst>
              </c15:ser>
            </c15:filteredBarSeries>
            <c15:filteredBarSeries>
              <c15:ser>
                <c:idx val="9"/>
                <c:order val="9"/>
                <c:tx>
                  <c:strRef>
                    <c:extLst xmlns:c15="http://schemas.microsoft.com/office/drawing/2012/chart">
                      <c:ext xmlns:c15="http://schemas.microsoft.com/office/drawing/2012/chart" uri="{02D57815-91ED-43cb-92C2-25804820EDAC}">
                        <c15:formulaRef>
                          <c15:sqref>'activities-data'!$K$3</c15:sqref>
                        </c15:formulaRef>
                      </c:ext>
                    </c:extLst>
                    <c:strCache>
                      <c:ptCount val="1"/>
                      <c:pt idx="0">
                        <c:v>0%</c:v>
                      </c:pt>
                    </c:strCache>
                  </c:strRef>
                </c:tx>
                <c:spPr>
                  <a:solidFill>
                    <a:schemeClr val="accent4">
                      <a:lumMod val="60000"/>
                    </a:schemeClr>
                  </a:solidFill>
                  <a:ln>
                    <a:noFill/>
                  </a:ln>
                  <a:effectLst/>
                </c:spPr>
                <c:invertIfNegative val="0"/>
                <c:cat>
                  <c:strRef>
                    <c:extLst xmlns:c15="http://schemas.microsoft.com/office/drawing/2012/chart">
                      <c:ext xmlns:c15="http://schemas.microsoft.com/office/drawing/2012/chart" uri="{02D57815-91ED-43cb-92C2-25804820EDAC}">
                        <c15:formulaRef>
                          <c15:sqref>'activities-data'!$A$4:$A$18</c15:sqref>
                        </c15:formulaRef>
                      </c:ext>
                    </c:extLst>
                    <c:strCache>
                      <c:ptCount val="1"/>
                      <c:pt idx="0">
                        <c:v>All</c:v>
                      </c:pt>
                    </c:strCache>
                  </c:strRef>
                </c:cat>
                <c:val>
                  <c:numRef>
                    <c:extLst xmlns:c15="http://schemas.microsoft.com/office/drawing/2012/chart">
                      <c:ext xmlns:c15="http://schemas.microsoft.com/office/drawing/2012/chart" uri="{02D57815-91ED-43cb-92C2-25804820EDAC}">
                        <c15:formulaRef>
                          <c15:sqref>'activities-data'!$K$4:$K$18</c15:sqref>
                        </c15:formulaRef>
                      </c:ext>
                    </c:extLst>
                    <c:numCache>
                      <c:formatCode>0%</c:formatCode>
                      <c:ptCount val="1"/>
                      <c:pt idx="0">
                        <c:v>0.15660685154975529</c:v>
                      </c:pt>
                    </c:numCache>
                  </c:numRef>
                </c:val>
                <c:extLst xmlns:c15="http://schemas.microsoft.com/office/drawing/2012/chart">
                  <c:ext xmlns:c16="http://schemas.microsoft.com/office/drawing/2014/chart" uri="{C3380CC4-5D6E-409C-BE32-E72D297353CC}">
                    <c16:uniqueId val="{00000017-FE4A-4BFF-87AD-75B6BBB165A5}"/>
                  </c:ext>
                </c:extLst>
              </c15:ser>
            </c15:filteredBarSeries>
            <c15:filteredBarSeries>
              <c15:ser>
                <c:idx val="10"/>
                <c:order val="10"/>
                <c:tx>
                  <c:strRef>
                    <c:extLst xmlns:c15="http://schemas.microsoft.com/office/drawing/2012/chart">
                      <c:ext xmlns:c15="http://schemas.microsoft.com/office/drawing/2012/chart" uri="{02D57815-91ED-43cb-92C2-25804820EDAC}">
                        <c15:formulaRef>
                          <c15:sqref>'activities-data'!$L$3</c15:sqref>
                        </c15:formulaRef>
                      </c:ext>
                    </c:extLst>
                    <c:strCache>
                      <c:ptCount val="1"/>
                      <c:pt idx="0">
                        <c:v>Completed</c:v>
                      </c:pt>
                    </c:strCache>
                  </c:strRef>
                </c:tx>
                <c:spPr>
                  <a:solidFill>
                    <a:schemeClr val="accent5">
                      <a:lumMod val="60000"/>
                    </a:schemeClr>
                  </a:solidFill>
                  <a:ln>
                    <a:noFill/>
                  </a:ln>
                  <a:effectLst/>
                </c:spPr>
                <c:invertIfNegative val="0"/>
                <c:cat>
                  <c:strRef>
                    <c:extLst xmlns:c15="http://schemas.microsoft.com/office/drawing/2012/chart">
                      <c:ext xmlns:c15="http://schemas.microsoft.com/office/drawing/2012/chart" uri="{02D57815-91ED-43cb-92C2-25804820EDAC}">
                        <c15:formulaRef>
                          <c15:sqref>'activities-data'!$A$4:$A$18</c15:sqref>
                        </c15:formulaRef>
                      </c:ext>
                    </c:extLst>
                    <c:strCache>
                      <c:ptCount val="1"/>
                      <c:pt idx="0">
                        <c:v>All</c:v>
                      </c:pt>
                    </c:strCache>
                  </c:strRef>
                </c:cat>
                <c:val>
                  <c:numRef>
                    <c:extLst xmlns:c15="http://schemas.microsoft.com/office/drawing/2012/chart">
                      <c:ext xmlns:c15="http://schemas.microsoft.com/office/drawing/2012/chart" uri="{02D57815-91ED-43cb-92C2-25804820EDAC}">
                        <c15:formulaRef>
                          <c15:sqref>'activities-data'!$L$4:$L$18</c15:sqref>
                        </c15:formulaRef>
                      </c:ext>
                    </c:extLst>
                    <c:numCache>
                      <c:formatCode>0%</c:formatCode>
                      <c:ptCount val="1"/>
                      <c:pt idx="0">
                        <c:v>0.4301765650080257</c:v>
                      </c:pt>
                    </c:numCache>
                  </c:numRef>
                </c:val>
                <c:extLst xmlns:c15="http://schemas.microsoft.com/office/drawing/2012/chart">
                  <c:ext xmlns:c16="http://schemas.microsoft.com/office/drawing/2014/chart" uri="{C3380CC4-5D6E-409C-BE32-E72D297353CC}">
                    <c16:uniqueId val="{00000018-FE4A-4BFF-87AD-75B6BBB165A5}"/>
                  </c:ext>
                </c:extLst>
              </c15:ser>
            </c15:filteredBarSeries>
            <c15:filteredBarSeries>
              <c15:ser>
                <c:idx val="11"/>
                <c:order val="11"/>
                <c:tx>
                  <c:strRef>
                    <c:extLst xmlns:c15="http://schemas.microsoft.com/office/drawing/2012/chart">
                      <c:ext xmlns:c15="http://schemas.microsoft.com/office/drawing/2012/chart" uri="{02D57815-91ED-43cb-92C2-25804820EDAC}">
                        <c15:formulaRef>
                          <c15:sqref>'activities-data'!$M$3</c15:sqref>
                        </c15:formulaRef>
                      </c:ext>
                    </c:extLst>
                    <c:strCache>
                      <c:ptCount val="1"/>
                      <c:pt idx="0">
                        <c:v>In progress</c:v>
                      </c:pt>
                    </c:strCache>
                  </c:strRef>
                </c:tx>
                <c:spPr>
                  <a:solidFill>
                    <a:schemeClr val="accent6">
                      <a:lumMod val="60000"/>
                    </a:schemeClr>
                  </a:solidFill>
                  <a:ln>
                    <a:noFill/>
                  </a:ln>
                  <a:effectLst/>
                </c:spPr>
                <c:invertIfNegative val="0"/>
                <c:cat>
                  <c:strRef>
                    <c:extLst xmlns:c15="http://schemas.microsoft.com/office/drawing/2012/chart">
                      <c:ext xmlns:c15="http://schemas.microsoft.com/office/drawing/2012/chart" uri="{02D57815-91ED-43cb-92C2-25804820EDAC}">
                        <c15:formulaRef>
                          <c15:sqref>'activities-data'!$A$4:$A$18</c15:sqref>
                        </c15:formulaRef>
                      </c:ext>
                    </c:extLst>
                    <c:strCache>
                      <c:ptCount val="1"/>
                      <c:pt idx="0">
                        <c:v>All</c:v>
                      </c:pt>
                    </c:strCache>
                  </c:strRef>
                </c:cat>
                <c:val>
                  <c:numRef>
                    <c:extLst xmlns:c15="http://schemas.microsoft.com/office/drawing/2012/chart">
                      <c:ext xmlns:c15="http://schemas.microsoft.com/office/drawing/2012/chart" uri="{02D57815-91ED-43cb-92C2-25804820EDAC}">
                        <c15:formulaRef>
                          <c15:sqref>'activities-data'!$M$4:$M$18</c15:sqref>
                        </c15:formulaRef>
                      </c:ext>
                    </c:extLst>
                    <c:numCache>
                      <c:formatCode>0%</c:formatCode>
                      <c:ptCount val="1"/>
                      <c:pt idx="0">
                        <c:v>0.31942215088282505</c:v>
                      </c:pt>
                    </c:numCache>
                  </c:numRef>
                </c:val>
                <c:extLst xmlns:c15="http://schemas.microsoft.com/office/drawing/2012/chart">
                  <c:ext xmlns:c16="http://schemas.microsoft.com/office/drawing/2014/chart" uri="{C3380CC4-5D6E-409C-BE32-E72D297353CC}">
                    <c16:uniqueId val="{00000019-FE4A-4BFF-87AD-75B6BBB165A5}"/>
                  </c:ext>
                </c:extLst>
              </c15:ser>
            </c15:filteredBarSeries>
            <c15:filteredBarSeries>
              <c15:ser>
                <c:idx val="12"/>
                <c:order val="12"/>
                <c:tx>
                  <c:strRef>
                    <c:extLst xmlns:c15="http://schemas.microsoft.com/office/drawing/2012/chart">
                      <c:ext xmlns:c15="http://schemas.microsoft.com/office/drawing/2012/chart" uri="{02D57815-91ED-43cb-92C2-25804820EDAC}">
                        <c15:formulaRef>
                          <c15:sqref>'activities-data'!$N$3</c15:sqref>
                        </c15:formulaRef>
                      </c:ext>
                    </c:extLst>
                    <c:strCache>
                      <c:ptCount val="1"/>
                      <c:pt idx="0">
                        <c:v>Not started</c:v>
                      </c:pt>
                    </c:strCache>
                  </c:strRef>
                </c:tx>
                <c:spPr>
                  <a:solidFill>
                    <a:schemeClr val="accent1">
                      <a:lumMod val="80000"/>
                      <a:lumOff val="20000"/>
                    </a:schemeClr>
                  </a:solidFill>
                  <a:ln>
                    <a:noFill/>
                  </a:ln>
                  <a:effectLst/>
                </c:spPr>
                <c:invertIfNegative val="0"/>
                <c:cat>
                  <c:strRef>
                    <c:extLst xmlns:c15="http://schemas.microsoft.com/office/drawing/2012/chart">
                      <c:ext xmlns:c15="http://schemas.microsoft.com/office/drawing/2012/chart" uri="{02D57815-91ED-43cb-92C2-25804820EDAC}">
                        <c15:formulaRef>
                          <c15:sqref>'activities-data'!$A$4:$A$18</c15:sqref>
                        </c15:formulaRef>
                      </c:ext>
                    </c:extLst>
                    <c:strCache>
                      <c:ptCount val="1"/>
                      <c:pt idx="0">
                        <c:v>All</c:v>
                      </c:pt>
                    </c:strCache>
                  </c:strRef>
                </c:cat>
                <c:val>
                  <c:numRef>
                    <c:extLst xmlns:c15="http://schemas.microsoft.com/office/drawing/2012/chart">
                      <c:ext xmlns:c15="http://schemas.microsoft.com/office/drawing/2012/chart" uri="{02D57815-91ED-43cb-92C2-25804820EDAC}">
                        <c15:formulaRef>
                          <c15:sqref>'activities-data'!$N$4:$N$18</c15:sqref>
                        </c15:formulaRef>
                      </c:ext>
                    </c:extLst>
                    <c:numCache>
                      <c:formatCode>0%</c:formatCode>
                      <c:ptCount val="1"/>
                      <c:pt idx="0">
                        <c:v>0.18298555377207062</c:v>
                      </c:pt>
                    </c:numCache>
                  </c:numRef>
                </c:val>
                <c:extLst xmlns:c15="http://schemas.microsoft.com/office/drawing/2012/chart">
                  <c:ext xmlns:c16="http://schemas.microsoft.com/office/drawing/2014/chart" uri="{C3380CC4-5D6E-409C-BE32-E72D297353CC}">
                    <c16:uniqueId val="{0000001A-FE4A-4BFF-87AD-75B6BBB165A5}"/>
                  </c:ext>
                </c:extLst>
              </c15:ser>
            </c15:filteredBarSeries>
            <c15:filteredBarSeries>
              <c15:ser>
                <c:idx val="20"/>
                <c:order val="20"/>
                <c:tx>
                  <c:strRef>
                    <c:extLst xmlns:c15="http://schemas.microsoft.com/office/drawing/2012/chart">
                      <c:ext xmlns:c15="http://schemas.microsoft.com/office/drawing/2012/chart" uri="{02D57815-91ED-43cb-92C2-25804820EDAC}">
                        <c15:formulaRef>
                          <c15:sqref>'activities-data'!$V$3</c15:sqref>
                        </c15:formulaRef>
                      </c:ext>
                    </c:extLst>
                    <c:strCache>
                      <c:ptCount val="1"/>
                      <c:pt idx="0">
                        <c:v>Completed</c:v>
                      </c:pt>
                    </c:strCache>
                  </c:strRef>
                </c:tx>
                <c:spPr>
                  <a:solidFill>
                    <a:schemeClr val="accent3">
                      <a:lumMod val="80000"/>
                    </a:schemeClr>
                  </a:solidFill>
                  <a:ln>
                    <a:noFill/>
                  </a:ln>
                  <a:effectLst/>
                </c:spPr>
                <c:invertIfNegative val="0"/>
                <c:cat>
                  <c:strRef>
                    <c:extLst xmlns:c15="http://schemas.microsoft.com/office/drawing/2012/chart">
                      <c:ext xmlns:c15="http://schemas.microsoft.com/office/drawing/2012/chart" uri="{02D57815-91ED-43cb-92C2-25804820EDAC}">
                        <c15:formulaRef>
                          <c15:sqref>'activities-data'!$A$4:$A$18</c15:sqref>
                        </c15:formulaRef>
                      </c:ext>
                    </c:extLst>
                    <c:strCache>
                      <c:ptCount val="1"/>
                      <c:pt idx="0">
                        <c:v>All</c:v>
                      </c:pt>
                    </c:strCache>
                  </c:strRef>
                </c:cat>
                <c:val>
                  <c:numRef>
                    <c:extLst xmlns:c15="http://schemas.microsoft.com/office/drawing/2012/chart">
                      <c:ext xmlns:c15="http://schemas.microsoft.com/office/drawing/2012/chart" uri="{02D57815-91ED-43cb-92C2-25804820EDAC}">
                        <c15:formulaRef>
                          <c15:sqref>'activities-data'!$V$4:$V$18</c15:sqref>
                        </c15:formulaRef>
                      </c:ext>
                    </c:extLst>
                    <c:numCache>
                      <c:formatCode>0%</c:formatCode>
                      <c:ptCount val="1"/>
                      <c:pt idx="0">
                        <c:v>0.39017341040462428</c:v>
                      </c:pt>
                    </c:numCache>
                  </c:numRef>
                </c:val>
                <c:extLst xmlns:c15="http://schemas.microsoft.com/office/drawing/2012/chart">
                  <c:ext xmlns:c16="http://schemas.microsoft.com/office/drawing/2014/chart" uri="{C3380CC4-5D6E-409C-BE32-E72D297353CC}">
                    <c16:uniqueId val="{0000001B-FE4A-4BFF-87AD-75B6BBB165A5}"/>
                  </c:ext>
                </c:extLst>
              </c15:ser>
            </c15:filteredBarSeries>
            <c15:filteredBarSeries>
              <c15:ser>
                <c:idx val="21"/>
                <c:order val="21"/>
                <c:tx>
                  <c:strRef>
                    <c:extLst xmlns:c15="http://schemas.microsoft.com/office/drawing/2012/chart">
                      <c:ext xmlns:c15="http://schemas.microsoft.com/office/drawing/2012/chart" uri="{02D57815-91ED-43cb-92C2-25804820EDAC}">
                        <c15:formulaRef>
                          <c15:sqref>'activities-data'!$W$3</c15:sqref>
                        </c15:formulaRef>
                      </c:ext>
                    </c:extLst>
                    <c:strCache>
                      <c:ptCount val="1"/>
                      <c:pt idx="0">
                        <c:v>In progress</c:v>
                      </c:pt>
                    </c:strCache>
                  </c:strRef>
                </c:tx>
                <c:spPr>
                  <a:solidFill>
                    <a:schemeClr val="accent4">
                      <a:lumMod val="80000"/>
                    </a:schemeClr>
                  </a:solidFill>
                  <a:ln>
                    <a:noFill/>
                  </a:ln>
                  <a:effectLst/>
                </c:spPr>
                <c:invertIfNegative val="0"/>
                <c:cat>
                  <c:strRef>
                    <c:extLst xmlns:c15="http://schemas.microsoft.com/office/drawing/2012/chart">
                      <c:ext xmlns:c15="http://schemas.microsoft.com/office/drawing/2012/chart" uri="{02D57815-91ED-43cb-92C2-25804820EDAC}">
                        <c15:formulaRef>
                          <c15:sqref>'activities-data'!$A$4:$A$18</c15:sqref>
                        </c15:formulaRef>
                      </c:ext>
                    </c:extLst>
                    <c:strCache>
                      <c:ptCount val="1"/>
                      <c:pt idx="0">
                        <c:v>All</c:v>
                      </c:pt>
                    </c:strCache>
                  </c:strRef>
                </c:cat>
                <c:val>
                  <c:numRef>
                    <c:extLst xmlns:c15="http://schemas.microsoft.com/office/drawing/2012/chart">
                      <c:ext xmlns:c15="http://schemas.microsoft.com/office/drawing/2012/chart" uri="{02D57815-91ED-43cb-92C2-25804820EDAC}">
                        <c15:formulaRef>
                          <c15:sqref>'activities-data'!$W$4:$W$18</c15:sqref>
                        </c15:formulaRef>
                      </c:ext>
                    </c:extLst>
                    <c:numCache>
                      <c:formatCode>0%</c:formatCode>
                      <c:ptCount val="1"/>
                      <c:pt idx="0">
                        <c:v>0.33815028901734107</c:v>
                      </c:pt>
                    </c:numCache>
                  </c:numRef>
                </c:val>
                <c:extLst xmlns:c15="http://schemas.microsoft.com/office/drawing/2012/chart">
                  <c:ext xmlns:c16="http://schemas.microsoft.com/office/drawing/2014/chart" uri="{C3380CC4-5D6E-409C-BE32-E72D297353CC}">
                    <c16:uniqueId val="{0000001C-FE4A-4BFF-87AD-75B6BBB165A5}"/>
                  </c:ext>
                </c:extLst>
              </c15:ser>
            </c15:filteredBarSeries>
            <c15:filteredBarSeries>
              <c15:ser>
                <c:idx val="22"/>
                <c:order val="22"/>
                <c:tx>
                  <c:strRef>
                    <c:extLst xmlns:c15="http://schemas.microsoft.com/office/drawing/2012/chart">
                      <c:ext xmlns:c15="http://schemas.microsoft.com/office/drawing/2012/chart" uri="{02D57815-91ED-43cb-92C2-25804820EDAC}">
                        <c15:formulaRef>
                          <c15:sqref>'activities-data'!$X$3</c15:sqref>
                        </c15:formulaRef>
                      </c:ext>
                    </c:extLst>
                    <c:strCache>
                      <c:ptCount val="1"/>
                      <c:pt idx="0">
                        <c:v>Not started</c:v>
                      </c:pt>
                    </c:strCache>
                  </c:strRef>
                </c:tx>
                <c:spPr>
                  <a:solidFill>
                    <a:schemeClr val="accent5">
                      <a:lumMod val="80000"/>
                    </a:schemeClr>
                  </a:solidFill>
                  <a:ln>
                    <a:noFill/>
                  </a:ln>
                  <a:effectLst/>
                </c:spPr>
                <c:invertIfNegative val="0"/>
                <c:cat>
                  <c:strRef>
                    <c:extLst xmlns:c15="http://schemas.microsoft.com/office/drawing/2012/chart">
                      <c:ext xmlns:c15="http://schemas.microsoft.com/office/drawing/2012/chart" uri="{02D57815-91ED-43cb-92C2-25804820EDAC}">
                        <c15:formulaRef>
                          <c15:sqref>'activities-data'!$A$4:$A$18</c15:sqref>
                        </c15:formulaRef>
                      </c:ext>
                    </c:extLst>
                    <c:strCache>
                      <c:ptCount val="1"/>
                      <c:pt idx="0">
                        <c:v>All</c:v>
                      </c:pt>
                    </c:strCache>
                  </c:strRef>
                </c:cat>
                <c:val>
                  <c:numRef>
                    <c:extLst xmlns:c15="http://schemas.microsoft.com/office/drawing/2012/chart">
                      <c:ext xmlns:c15="http://schemas.microsoft.com/office/drawing/2012/chart" uri="{02D57815-91ED-43cb-92C2-25804820EDAC}">
                        <c15:formulaRef>
                          <c15:sqref>'activities-data'!$X$4:$X$18</c15:sqref>
                        </c15:formulaRef>
                      </c:ext>
                    </c:extLst>
                    <c:numCache>
                      <c:formatCode>0%</c:formatCode>
                      <c:ptCount val="1"/>
                      <c:pt idx="0">
                        <c:v>0.26589595375722541</c:v>
                      </c:pt>
                    </c:numCache>
                  </c:numRef>
                </c:val>
                <c:extLst xmlns:c15="http://schemas.microsoft.com/office/drawing/2012/chart">
                  <c:ext xmlns:c16="http://schemas.microsoft.com/office/drawing/2014/chart" uri="{C3380CC4-5D6E-409C-BE32-E72D297353CC}">
                    <c16:uniqueId val="{0000001D-FE4A-4BFF-87AD-75B6BBB165A5}"/>
                  </c:ext>
                </c:extLst>
              </c15:ser>
            </c15:filteredBarSeries>
            <c15:filteredBarSeries>
              <c15:ser>
                <c:idx val="23"/>
                <c:order val="23"/>
                <c:tx>
                  <c:strRef>
                    <c:extLst xmlns:c15="http://schemas.microsoft.com/office/drawing/2012/chart">
                      <c:ext xmlns:c15="http://schemas.microsoft.com/office/drawing/2012/chart" uri="{02D57815-91ED-43cb-92C2-25804820EDAC}">
                        <c15:formulaRef>
                          <c15:sqref>'activities-data'!$Y$3</c15:sqref>
                        </c15:formulaRef>
                      </c:ext>
                    </c:extLst>
                    <c:strCache>
                      <c:ptCount val="1"/>
                      <c:pt idx="0">
                        <c:v>Completed</c:v>
                      </c:pt>
                    </c:strCache>
                  </c:strRef>
                </c:tx>
                <c:spPr>
                  <a:solidFill>
                    <a:schemeClr val="accent6">
                      <a:lumMod val="80000"/>
                    </a:schemeClr>
                  </a:solidFill>
                  <a:ln>
                    <a:noFill/>
                  </a:ln>
                  <a:effectLst/>
                </c:spPr>
                <c:invertIfNegative val="0"/>
                <c:cat>
                  <c:strRef>
                    <c:extLst xmlns:c15="http://schemas.microsoft.com/office/drawing/2012/chart">
                      <c:ext xmlns:c15="http://schemas.microsoft.com/office/drawing/2012/chart" uri="{02D57815-91ED-43cb-92C2-25804820EDAC}">
                        <c15:formulaRef>
                          <c15:sqref>'activities-data'!$A$4:$A$18</c15:sqref>
                        </c15:formulaRef>
                      </c:ext>
                    </c:extLst>
                    <c:strCache>
                      <c:ptCount val="1"/>
                      <c:pt idx="0">
                        <c:v>All</c:v>
                      </c:pt>
                    </c:strCache>
                  </c:strRef>
                </c:cat>
                <c:val>
                  <c:numRef>
                    <c:extLst xmlns:c15="http://schemas.microsoft.com/office/drawing/2012/chart">
                      <c:ext xmlns:c15="http://schemas.microsoft.com/office/drawing/2012/chart" uri="{02D57815-91ED-43cb-92C2-25804820EDAC}">
                        <c15:formulaRef>
                          <c15:sqref>'activities-data'!$Y$4:$Y$18</c15:sqref>
                        </c15:formulaRef>
                      </c:ext>
                    </c:extLst>
                    <c:numCache>
                      <c:formatCode>0%</c:formatCode>
                      <c:ptCount val="1"/>
                      <c:pt idx="0">
                        <c:v>0.39017341040462428</c:v>
                      </c:pt>
                    </c:numCache>
                  </c:numRef>
                </c:val>
                <c:extLst xmlns:c15="http://schemas.microsoft.com/office/drawing/2012/chart">
                  <c:ext xmlns:c16="http://schemas.microsoft.com/office/drawing/2014/chart" uri="{C3380CC4-5D6E-409C-BE32-E72D297353CC}">
                    <c16:uniqueId val="{0000001E-FE4A-4BFF-87AD-75B6BBB165A5}"/>
                  </c:ext>
                </c:extLst>
              </c15:ser>
            </c15:filteredBarSeries>
            <c15:filteredBarSeries>
              <c15:ser>
                <c:idx val="24"/>
                <c:order val="24"/>
                <c:tx>
                  <c:strRef>
                    <c:extLst xmlns:c15="http://schemas.microsoft.com/office/drawing/2012/chart">
                      <c:ext xmlns:c15="http://schemas.microsoft.com/office/drawing/2012/chart" uri="{02D57815-91ED-43cb-92C2-25804820EDAC}">
                        <c15:formulaRef>
                          <c15:sqref>'activities-data'!$Z$3</c15:sqref>
                        </c15:formulaRef>
                      </c:ext>
                    </c:extLst>
                    <c:strCache>
                      <c:ptCount val="1"/>
                      <c:pt idx="0">
                        <c:v>90%</c:v>
                      </c:pt>
                    </c:strCache>
                  </c:strRef>
                </c:tx>
                <c:spPr>
                  <a:solidFill>
                    <a:schemeClr val="accent1">
                      <a:lumMod val="60000"/>
                      <a:lumOff val="40000"/>
                    </a:schemeClr>
                  </a:solidFill>
                  <a:ln>
                    <a:noFill/>
                  </a:ln>
                  <a:effectLst/>
                </c:spPr>
                <c:invertIfNegative val="0"/>
                <c:cat>
                  <c:strRef>
                    <c:extLst xmlns:c15="http://schemas.microsoft.com/office/drawing/2012/chart">
                      <c:ext xmlns:c15="http://schemas.microsoft.com/office/drawing/2012/chart" uri="{02D57815-91ED-43cb-92C2-25804820EDAC}">
                        <c15:formulaRef>
                          <c15:sqref>'activities-data'!$A$4:$A$18</c15:sqref>
                        </c15:formulaRef>
                      </c:ext>
                    </c:extLst>
                    <c:strCache>
                      <c:ptCount val="1"/>
                      <c:pt idx="0">
                        <c:v>All</c:v>
                      </c:pt>
                    </c:strCache>
                  </c:strRef>
                </c:cat>
                <c:val>
                  <c:numRef>
                    <c:extLst xmlns:c15="http://schemas.microsoft.com/office/drawing/2012/chart">
                      <c:ext xmlns:c15="http://schemas.microsoft.com/office/drawing/2012/chart" uri="{02D57815-91ED-43cb-92C2-25804820EDAC}">
                        <c15:formulaRef>
                          <c15:sqref>'activities-data'!$Z$4:$Z$18</c15:sqref>
                        </c15:formulaRef>
                      </c:ext>
                    </c:extLst>
                    <c:numCache>
                      <c:formatCode>0%</c:formatCode>
                      <c:ptCount val="1"/>
                      <c:pt idx="0">
                        <c:v>2.6011560693641619E-2</c:v>
                      </c:pt>
                    </c:numCache>
                  </c:numRef>
                </c:val>
                <c:extLst xmlns:c15="http://schemas.microsoft.com/office/drawing/2012/chart">
                  <c:ext xmlns:c16="http://schemas.microsoft.com/office/drawing/2014/chart" uri="{C3380CC4-5D6E-409C-BE32-E72D297353CC}">
                    <c16:uniqueId val="{0000001F-FE4A-4BFF-87AD-75B6BBB165A5}"/>
                  </c:ext>
                </c:extLst>
              </c15:ser>
            </c15:filteredBarSeries>
            <c15:filteredBarSeries>
              <c15:ser>
                <c:idx val="25"/>
                <c:order val="25"/>
                <c:tx>
                  <c:strRef>
                    <c:extLst xmlns:c15="http://schemas.microsoft.com/office/drawing/2012/chart">
                      <c:ext xmlns:c15="http://schemas.microsoft.com/office/drawing/2012/chart" uri="{02D57815-91ED-43cb-92C2-25804820EDAC}">
                        <c15:formulaRef>
                          <c15:sqref>'activities-data'!$AA$3</c15:sqref>
                        </c15:formulaRef>
                      </c:ext>
                    </c:extLst>
                    <c:strCache>
                      <c:ptCount val="1"/>
                      <c:pt idx="0">
                        <c:v>75%</c:v>
                      </c:pt>
                    </c:strCache>
                  </c:strRef>
                </c:tx>
                <c:spPr>
                  <a:solidFill>
                    <a:schemeClr val="accent2">
                      <a:lumMod val="60000"/>
                      <a:lumOff val="40000"/>
                    </a:schemeClr>
                  </a:solidFill>
                  <a:ln>
                    <a:noFill/>
                  </a:ln>
                  <a:effectLst/>
                </c:spPr>
                <c:invertIfNegative val="0"/>
                <c:cat>
                  <c:strRef>
                    <c:extLst xmlns:c15="http://schemas.microsoft.com/office/drawing/2012/chart">
                      <c:ext xmlns:c15="http://schemas.microsoft.com/office/drawing/2012/chart" uri="{02D57815-91ED-43cb-92C2-25804820EDAC}">
                        <c15:formulaRef>
                          <c15:sqref>'activities-data'!$A$4:$A$18</c15:sqref>
                        </c15:formulaRef>
                      </c:ext>
                    </c:extLst>
                    <c:strCache>
                      <c:ptCount val="1"/>
                      <c:pt idx="0">
                        <c:v>All</c:v>
                      </c:pt>
                    </c:strCache>
                  </c:strRef>
                </c:cat>
                <c:val>
                  <c:numRef>
                    <c:extLst xmlns:c15="http://schemas.microsoft.com/office/drawing/2012/chart">
                      <c:ext xmlns:c15="http://schemas.microsoft.com/office/drawing/2012/chart" uri="{02D57815-91ED-43cb-92C2-25804820EDAC}">
                        <c15:formulaRef>
                          <c15:sqref>'activities-data'!$AA$4:$AA$18</c15:sqref>
                        </c15:formulaRef>
                      </c:ext>
                    </c:extLst>
                    <c:numCache>
                      <c:formatCode>0%</c:formatCode>
                      <c:ptCount val="1"/>
                      <c:pt idx="0">
                        <c:v>8.6705202312138727E-2</c:v>
                      </c:pt>
                    </c:numCache>
                  </c:numRef>
                </c:val>
                <c:extLst xmlns:c15="http://schemas.microsoft.com/office/drawing/2012/chart">
                  <c:ext xmlns:c16="http://schemas.microsoft.com/office/drawing/2014/chart" uri="{C3380CC4-5D6E-409C-BE32-E72D297353CC}">
                    <c16:uniqueId val="{00000020-FE4A-4BFF-87AD-75B6BBB165A5}"/>
                  </c:ext>
                </c:extLst>
              </c15:ser>
            </c15:filteredBarSeries>
            <c15:filteredBarSeries>
              <c15:ser>
                <c:idx val="26"/>
                <c:order val="26"/>
                <c:tx>
                  <c:strRef>
                    <c:extLst xmlns:c15="http://schemas.microsoft.com/office/drawing/2012/chart">
                      <c:ext xmlns:c15="http://schemas.microsoft.com/office/drawing/2012/chart" uri="{02D57815-91ED-43cb-92C2-25804820EDAC}">
                        <c15:formulaRef>
                          <c15:sqref>'activities-data'!$AB$3</c15:sqref>
                        </c15:formulaRef>
                      </c:ext>
                    </c:extLst>
                    <c:strCache>
                      <c:ptCount val="1"/>
                      <c:pt idx="0">
                        <c:v>50%</c:v>
                      </c:pt>
                    </c:strCache>
                  </c:strRef>
                </c:tx>
                <c:spPr>
                  <a:solidFill>
                    <a:schemeClr val="accent3">
                      <a:lumMod val="60000"/>
                      <a:lumOff val="40000"/>
                    </a:schemeClr>
                  </a:solidFill>
                  <a:ln>
                    <a:noFill/>
                  </a:ln>
                  <a:effectLst/>
                </c:spPr>
                <c:invertIfNegative val="0"/>
                <c:cat>
                  <c:strRef>
                    <c:extLst xmlns:c15="http://schemas.microsoft.com/office/drawing/2012/chart">
                      <c:ext xmlns:c15="http://schemas.microsoft.com/office/drawing/2012/chart" uri="{02D57815-91ED-43cb-92C2-25804820EDAC}">
                        <c15:formulaRef>
                          <c15:sqref>'activities-data'!$A$4:$A$18</c15:sqref>
                        </c15:formulaRef>
                      </c:ext>
                    </c:extLst>
                    <c:strCache>
                      <c:ptCount val="1"/>
                      <c:pt idx="0">
                        <c:v>All</c:v>
                      </c:pt>
                    </c:strCache>
                  </c:strRef>
                </c:cat>
                <c:val>
                  <c:numRef>
                    <c:extLst xmlns:c15="http://schemas.microsoft.com/office/drawing/2012/chart">
                      <c:ext xmlns:c15="http://schemas.microsoft.com/office/drawing/2012/chart" uri="{02D57815-91ED-43cb-92C2-25804820EDAC}">
                        <c15:formulaRef>
                          <c15:sqref>'activities-data'!$AB$4:$AB$18</c15:sqref>
                        </c15:formulaRef>
                      </c:ext>
                    </c:extLst>
                    <c:numCache>
                      <c:formatCode>0%</c:formatCode>
                      <c:ptCount val="1"/>
                      <c:pt idx="0">
                        <c:v>9.8265895953757232E-2</c:v>
                      </c:pt>
                    </c:numCache>
                  </c:numRef>
                </c:val>
                <c:extLst xmlns:c15="http://schemas.microsoft.com/office/drawing/2012/chart">
                  <c:ext xmlns:c16="http://schemas.microsoft.com/office/drawing/2014/chart" uri="{C3380CC4-5D6E-409C-BE32-E72D297353CC}">
                    <c16:uniqueId val="{00000021-FE4A-4BFF-87AD-75B6BBB165A5}"/>
                  </c:ext>
                </c:extLst>
              </c15:ser>
            </c15:filteredBarSeries>
            <c15:filteredBarSeries>
              <c15:ser>
                <c:idx val="27"/>
                <c:order val="27"/>
                <c:tx>
                  <c:strRef>
                    <c:extLst xmlns:c15="http://schemas.microsoft.com/office/drawing/2012/chart">
                      <c:ext xmlns:c15="http://schemas.microsoft.com/office/drawing/2012/chart" uri="{02D57815-91ED-43cb-92C2-25804820EDAC}">
                        <c15:formulaRef>
                          <c15:sqref>'activities-data'!$AC$3</c15:sqref>
                        </c15:formulaRef>
                      </c:ext>
                    </c:extLst>
                    <c:strCache>
                      <c:ptCount val="1"/>
                      <c:pt idx="0">
                        <c:v>25%</c:v>
                      </c:pt>
                    </c:strCache>
                  </c:strRef>
                </c:tx>
                <c:spPr>
                  <a:solidFill>
                    <a:schemeClr val="accent4">
                      <a:lumMod val="60000"/>
                      <a:lumOff val="40000"/>
                    </a:schemeClr>
                  </a:solidFill>
                  <a:ln>
                    <a:noFill/>
                  </a:ln>
                  <a:effectLst/>
                </c:spPr>
                <c:invertIfNegative val="0"/>
                <c:cat>
                  <c:strRef>
                    <c:extLst xmlns:c15="http://schemas.microsoft.com/office/drawing/2012/chart">
                      <c:ext xmlns:c15="http://schemas.microsoft.com/office/drawing/2012/chart" uri="{02D57815-91ED-43cb-92C2-25804820EDAC}">
                        <c15:formulaRef>
                          <c15:sqref>'activities-data'!$A$4:$A$18</c15:sqref>
                        </c15:formulaRef>
                      </c:ext>
                    </c:extLst>
                    <c:strCache>
                      <c:ptCount val="1"/>
                      <c:pt idx="0">
                        <c:v>All</c:v>
                      </c:pt>
                    </c:strCache>
                  </c:strRef>
                </c:cat>
                <c:val>
                  <c:numRef>
                    <c:extLst xmlns:c15="http://schemas.microsoft.com/office/drawing/2012/chart">
                      <c:ext xmlns:c15="http://schemas.microsoft.com/office/drawing/2012/chart" uri="{02D57815-91ED-43cb-92C2-25804820EDAC}">
                        <c15:formulaRef>
                          <c15:sqref>'activities-data'!$AC$4:$AC$18</c15:sqref>
                        </c15:formulaRef>
                      </c:ext>
                    </c:extLst>
                    <c:numCache>
                      <c:formatCode>0%</c:formatCode>
                      <c:ptCount val="1"/>
                      <c:pt idx="0">
                        <c:v>0.12716763005780346</c:v>
                      </c:pt>
                    </c:numCache>
                  </c:numRef>
                </c:val>
                <c:extLst xmlns:c15="http://schemas.microsoft.com/office/drawing/2012/chart">
                  <c:ext xmlns:c16="http://schemas.microsoft.com/office/drawing/2014/chart" uri="{C3380CC4-5D6E-409C-BE32-E72D297353CC}">
                    <c16:uniqueId val="{00000022-FE4A-4BFF-87AD-75B6BBB165A5}"/>
                  </c:ext>
                </c:extLst>
              </c15:ser>
            </c15:filteredBarSeries>
            <c15:filteredBarSeries>
              <c15:ser>
                <c:idx val="28"/>
                <c:order val="28"/>
                <c:tx>
                  <c:strRef>
                    <c:extLst xmlns:c15="http://schemas.microsoft.com/office/drawing/2012/chart">
                      <c:ext xmlns:c15="http://schemas.microsoft.com/office/drawing/2012/chart" uri="{02D57815-91ED-43cb-92C2-25804820EDAC}">
                        <c15:formulaRef>
                          <c15:sqref>'activities-data'!$AD$3</c15:sqref>
                        </c15:formulaRef>
                      </c:ext>
                    </c:extLst>
                    <c:strCache>
                      <c:ptCount val="1"/>
                      <c:pt idx="0">
                        <c:v>10%</c:v>
                      </c:pt>
                    </c:strCache>
                  </c:strRef>
                </c:tx>
                <c:spPr>
                  <a:solidFill>
                    <a:schemeClr val="accent5">
                      <a:lumMod val="60000"/>
                      <a:lumOff val="40000"/>
                    </a:schemeClr>
                  </a:solidFill>
                  <a:ln>
                    <a:noFill/>
                  </a:ln>
                  <a:effectLst/>
                </c:spPr>
                <c:invertIfNegative val="0"/>
                <c:cat>
                  <c:strRef>
                    <c:extLst xmlns:c15="http://schemas.microsoft.com/office/drawing/2012/chart">
                      <c:ext xmlns:c15="http://schemas.microsoft.com/office/drawing/2012/chart" uri="{02D57815-91ED-43cb-92C2-25804820EDAC}">
                        <c15:formulaRef>
                          <c15:sqref>'activities-data'!$A$4:$A$18</c15:sqref>
                        </c15:formulaRef>
                      </c:ext>
                    </c:extLst>
                    <c:strCache>
                      <c:ptCount val="1"/>
                      <c:pt idx="0">
                        <c:v>All</c:v>
                      </c:pt>
                    </c:strCache>
                  </c:strRef>
                </c:cat>
                <c:val>
                  <c:numRef>
                    <c:extLst xmlns:c15="http://schemas.microsoft.com/office/drawing/2012/chart">
                      <c:ext xmlns:c15="http://schemas.microsoft.com/office/drawing/2012/chart" uri="{02D57815-91ED-43cb-92C2-25804820EDAC}">
                        <c15:formulaRef>
                          <c15:sqref>'activities-data'!$AD$4:$AD$18</c15:sqref>
                        </c15:formulaRef>
                      </c:ext>
                    </c:extLst>
                    <c:numCache>
                      <c:formatCode>0%</c:formatCode>
                      <c:ptCount val="1"/>
                      <c:pt idx="0">
                        <c:v>0</c:v>
                      </c:pt>
                    </c:numCache>
                  </c:numRef>
                </c:val>
                <c:extLst xmlns:c15="http://schemas.microsoft.com/office/drawing/2012/chart">
                  <c:ext xmlns:c16="http://schemas.microsoft.com/office/drawing/2014/chart" uri="{C3380CC4-5D6E-409C-BE32-E72D297353CC}">
                    <c16:uniqueId val="{00000023-FE4A-4BFF-87AD-75B6BBB165A5}"/>
                  </c:ext>
                </c:extLst>
              </c15:ser>
            </c15:filteredBarSeries>
            <c15:filteredBarSeries>
              <c15:ser>
                <c:idx val="29"/>
                <c:order val="29"/>
                <c:tx>
                  <c:strRef>
                    <c:extLst xmlns:c15="http://schemas.microsoft.com/office/drawing/2012/chart">
                      <c:ext xmlns:c15="http://schemas.microsoft.com/office/drawing/2012/chart" uri="{02D57815-91ED-43cb-92C2-25804820EDAC}">
                        <c15:formulaRef>
                          <c15:sqref>'activities-data'!$AE$3</c15:sqref>
                        </c15:formulaRef>
                      </c:ext>
                    </c:extLst>
                    <c:strCache>
                      <c:ptCount val="1"/>
                      <c:pt idx="0">
                        <c:v>Not started</c:v>
                      </c:pt>
                    </c:strCache>
                  </c:strRef>
                </c:tx>
                <c:spPr>
                  <a:solidFill>
                    <a:schemeClr val="accent6">
                      <a:lumMod val="60000"/>
                      <a:lumOff val="40000"/>
                    </a:schemeClr>
                  </a:solidFill>
                  <a:ln>
                    <a:noFill/>
                  </a:ln>
                  <a:effectLst/>
                </c:spPr>
                <c:invertIfNegative val="0"/>
                <c:cat>
                  <c:strRef>
                    <c:extLst xmlns:c15="http://schemas.microsoft.com/office/drawing/2012/chart">
                      <c:ext xmlns:c15="http://schemas.microsoft.com/office/drawing/2012/chart" uri="{02D57815-91ED-43cb-92C2-25804820EDAC}">
                        <c15:formulaRef>
                          <c15:sqref>'activities-data'!$A$4:$A$18</c15:sqref>
                        </c15:formulaRef>
                      </c:ext>
                    </c:extLst>
                    <c:strCache>
                      <c:ptCount val="1"/>
                      <c:pt idx="0">
                        <c:v>All</c:v>
                      </c:pt>
                    </c:strCache>
                  </c:strRef>
                </c:cat>
                <c:val>
                  <c:numRef>
                    <c:extLst xmlns:c15="http://schemas.microsoft.com/office/drawing/2012/chart">
                      <c:ext xmlns:c15="http://schemas.microsoft.com/office/drawing/2012/chart" uri="{02D57815-91ED-43cb-92C2-25804820EDAC}">
                        <c15:formulaRef>
                          <c15:sqref>'activities-data'!$AE$4:$AE$18</c15:sqref>
                        </c15:formulaRef>
                      </c:ext>
                    </c:extLst>
                    <c:numCache>
                      <c:formatCode>0%</c:formatCode>
                      <c:ptCount val="1"/>
                      <c:pt idx="0">
                        <c:v>0.26589595375722541</c:v>
                      </c:pt>
                    </c:numCache>
                  </c:numRef>
                </c:val>
                <c:extLst xmlns:c15="http://schemas.microsoft.com/office/drawing/2012/chart">
                  <c:ext xmlns:c16="http://schemas.microsoft.com/office/drawing/2014/chart" uri="{C3380CC4-5D6E-409C-BE32-E72D297353CC}">
                    <c16:uniqueId val="{00000024-FE4A-4BFF-87AD-75B6BBB165A5}"/>
                  </c:ext>
                </c:extLst>
              </c15:ser>
            </c15:filteredBarSeries>
          </c:ext>
        </c:extLst>
      </c:barChart>
      <c:catAx>
        <c:axId val="851305688"/>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51301752"/>
        <c:crosses val="autoZero"/>
        <c:auto val="1"/>
        <c:lblAlgn val="ctr"/>
        <c:lblOffset val="100"/>
        <c:noMultiLvlLbl val="0"/>
      </c:catAx>
      <c:valAx>
        <c:axId val="851301752"/>
        <c:scaling>
          <c:orientation val="minMax"/>
          <c:max val="1"/>
        </c:scaling>
        <c:delete val="0"/>
        <c:axPos val="t"/>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51305688"/>
        <c:crosses val="autoZero"/>
        <c:crossBetween val="between"/>
      </c:valAx>
      <c:spPr>
        <a:noFill/>
        <a:ln>
          <a:noFill/>
        </a:ln>
        <a:effectLst/>
      </c:spPr>
    </c:plotArea>
    <c:legend>
      <c:legendPos val="b"/>
      <c:layout>
        <c:manualLayout>
          <c:xMode val="edge"/>
          <c:yMode val="edge"/>
          <c:x val="0.14171831886398817"/>
          <c:y val="0.3254966646955692"/>
          <c:w val="0.73125058886869909"/>
          <c:h val="5.7220208654558562E-2"/>
        </c:manualLayout>
      </c:layout>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4"/>
    </mc:Choice>
    <mc:Fallback>
      <c:style val="4"/>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Topic Area - Common Performance Measures</a:t>
            </a:r>
            <a:br>
              <a:rPr lang="en-US"/>
            </a:br>
            <a:r>
              <a:rPr lang="en-US"/>
              <a:t>Activity #2</a:t>
            </a:r>
          </a:p>
        </c:rich>
      </c:tx>
      <c:layout>
        <c:manualLayout>
          <c:xMode val="edge"/>
          <c:yMode val="edge"/>
          <c:x val="0.22550607545054205"/>
          <c:y val="1.5640543542949398E-3"/>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3773248222116805"/>
          <c:y val="0.25325772269284524"/>
          <c:w val="0.78942722632790041"/>
          <c:h val="0.66602748393145406"/>
        </c:manualLayout>
      </c:layout>
      <c:barChart>
        <c:barDir val="col"/>
        <c:grouping val="percentStacked"/>
        <c:varyColors val="0"/>
        <c:ser>
          <c:idx val="3"/>
          <c:order val="3"/>
          <c:tx>
            <c:strRef>
              <c:f>'individual-chart-cpm'!$F$2</c:f>
              <c:strCache>
                <c:ptCount val="1"/>
                <c:pt idx="0">
                  <c:v>Completed</c:v>
                </c:pt>
              </c:strCache>
            </c:strRef>
          </c:tx>
          <c:spPr>
            <a:solidFill>
              <a:srgbClr val="99221F"/>
            </a:solidFill>
            <a:ln>
              <a:noFill/>
            </a:ln>
            <a:effectLst/>
          </c:spPr>
          <c:invertIfNegative val="0"/>
          <c:dLbls>
            <c:dLbl>
              <c:idx val="0"/>
              <c:layout>
                <c:manualLayout>
                  <c:x val="-0.17508411319348757"/>
                  <c:y val="-2.2569298408775605E-2"/>
                </c:manualLayout>
              </c:layout>
              <c:spPr>
                <a:noFill/>
                <a:ln>
                  <a:noFill/>
                </a:ln>
                <a:effectLst/>
              </c:spPr>
              <c:txPr>
                <a:bodyPr rot="0" spcFirstLastPara="1" vertOverflow="ellipsis" vert="horz" wrap="square" lIns="38100" tIns="19050" rIns="38100" bIns="19050" anchor="ctr" anchorCtr="1">
                  <a:spAutoFit/>
                </a:bodyPr>
                <a:lstStyle/>
                <a:p>
                  <a:pPr>
                    <a:defRPr sz="1600" b="0" i="0" u="none" strike="noStrike" kern="1200" baseline="0">
                      <a:solidFill>
                        <a:sysClr val="windowText" lastClr="000000"/>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72E4-4A55-8796-5C15CB09F29E}"/>
                </c:ext>
              </c:extLst>
            </c:dLbl>
            <c:dLbl>
              <c:idx val="1"/>
              <c:layout>
                <c:manualLayout>
                  <c:x val="-0.16610544072202657"/>
                  <c:y val="-2.2569298408775605E-2"/>
                </c:manualLayout>
              </c:layout>
              <c:spPr>
                <a:noFill/>
                <a:ln>
                  <a:noFill/>
                </a:ln>
                <a:effectLst/>
              </c:spPr>
              <c:txPr>
                <a:bodyPr rot="0" spcFirstLastPara="1" vertOverflow="ellipsis" vert="horz" wrap="square" lIns="38100" tIns="19050" rIns="38100" bIns="19050" anchor="ctr" anchorCtr="1">
                  <a:spAutoFit/>
                </a:bodyPr>
                <a:lstStyle/>
                <a:p>
                  <a:pPr>
                    <a:defRPr sz="1600" b="0" i="0" u="none" strike="noStrike" kern="1200" baseline="0">
                      <a:solidFill>
                        <a:sysClr val="windowText" lastClr="000000"/>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72E4-4A55-8796-5C15CB09F29E}"/>
                </c:ext>
              </c:extLst>
            </c:dLbl>
            <c:spPr>
              <a:noFill/>
              <a:ln>
                <a:noFill/>
              </a:ln>
              <a:effectLst/>
            </c:spPr>
            <c:txPr>
              <a:bodyPr rot="0" spcFirstLastPara="1" vertOverflow="ellipsis" vert="horz" wrap="square" lIns="38100" tIns="19050" rIns="38100" bIns="19050" anchor="ctr" anchorCtr="1">
                <a:spAutoFit/>
              </a:bodyPr>
              <a:lstStyle/>
              <a:p>
                <a:pPr>
                  <a:defRPr sz="1600" b="0"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'individual-chart-cpm'!$B$3:$B$30</c:f>
              <c:strCache>
                <c:ptCount val="2"/>
                <c:pt idx="0">
                  <c:v>Activity</c:v>
                </c:pt>
                <c:pt idx="1">
                  <c:v>Outputs</c:v>
                </c:pt>
              </c:strCache>
              <c:extLst/>
            </c:strRef>
          </c:cat>
          <c:val>
            <c:numRef>
              <c:f>'individual-chart-cpm'!$F$3:$F$30</c:f>
              <c:numCache>
                <c:formatCode>0%</c:formatCode>
                <c:ptCount val="2"/>
                <c:pt idx="0">
                  <c:v>0.1111111111111111</c:v>
                </c:pt>
                <c:pt idx="1">
                  <c:v>0.1111111111111111</c:v>
                </c:pt>
              </c:numCache>
              <c:extLst/>
            </c:numRef>
          </c:val>
          <c:extLst>
            <c:ext xmlns:c16="http://schemas.microsoft.com/office/drawing/2014/chart" uri="{C3380CC4-5D6E-409C-BE32-E72D297353CC}">
              <c16:uniqueId val="{00000002-72E4-4A55-8796-5C15CB09F29E}"/>
            </c:ext>
          </c:extLst>
        </c:ser>
        <c:ser>
          <c:idx val="4"/>
          <c:order val="4"/>
          <c:tx>
            <c:strRef>
              <c:f>'individual-chart-cpm'!$G$2</c:f>
              <c:strCache>
                <c:ptCount val="1"/>
                <c:pt idx="0">
                  <c:v>90%</c:v>
                </c:pt>
              </c:strCache>
            </c:strRef>
          </c:tx>
          <c:spPr>
            <a:solidFill>
              <a:srgbClr val="D73D39"/>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'individual-chart-cpm'!$B$3:$B$30</c:f>
              <c:strCache>
                <c:ptCount val="2"/>
                <c:pt idx="0">
                  <c:v>Activity</c:v>
                </c:pt>
                <c:pt idx="1">
                  <c:v>Outputs</c:v>
                </c:pt>
              </c:strCache>
              <c:extLst/>
            </c:strRef>
          </c:cat>
          <c:val>
            <c:numRef>
              <c:f>'individual-chart-cpm'!$G$3:$G$30</c:f>
              <c:numCache>
                <c:formatCode>General</c:formatCode>
                <c:ptCount val="2"/>
              </c:numCache>
              <c:extLst/>
            </c:numRef>
          </c:val>
          <c:extLst>
            <c:ext xmlns:c16="http://schemas.microsoft.com/office/drawing/2014/chart" uri="{C3380CC4-5D6E-409C-BE32-E72D297353CC}">
              <c16:uniqueId val="{00000003-72E4-4A55-8796-5C15CB09F29E}"/>
            </c:ext>
          </c:extLst>
        </c:ser>
        <c:ser>
          <c:idx val="5"/>
          <c:order val="5"/>
          <c:tx>
            <c:strRef>
              <c:f>'individual-chart-cpm'!$H$2</c:f>
              <c:strCache>
                <c:ptCount val="1"/>
                <c:pt idx="0">
                  <c:v>75%</c:v>
                </c:pt>
              </c:strCache>
            </c:strRef>
          </c:tx>
          <c:spPr>
            <a:solidFill>
              <a:srgbClr val="DC5350"/>
            </a:solidFill>
            <a:ln>
              <a:noFill/>
            </a:ln>
            <a:effectLst/>
          </c:spPr>
          <c:invertIfNegative val="0"/>
          <c:dLbls>
            <c:dLbl>
              <c:idx val="0"/>
              <c:layout>
                <c:manualLayout>
                  <c:x val="4.4893378226711564E-3"/>
                  <c:y val="-1.0031347962382354E-2"/>
                </c:manualLayout>
              </c:layout>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ysClr val="windowText" lastClr="000000"/>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72E4-4A55-8796-5C15CB09F29E}"/>
                </c:ext>
              </c:extLst>
            </c:dLbl>
            <c:dLbl>
              <c:idx val="1"/>
              <c:layout>
                <c:manualLayout>
                  <c:x val="-8.9786756453423943E-3"/>
                  <c:y val="-3.5107940661022574E-2"/>
                </c:manualLayout>
              </c:layout>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ysClr val="windowText" lastClr="000000"/>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72E4-4A55-8796-5C15CB09F29E}"/>
                </c:ext>
              </c:extLst>
            </c:dLbl>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'individual-chart-cpm'!$B$3:$B$30</c:f>
              <c:strCache>
                <c:ptCount val="2"/>
                <c:pt idx="0">
                  <c:v>Activity</c:v>
                </c:pt>
                <c:pt idx="1">
                  <c:v>Outputs</c:v>
                </c:pt>
              </c:strCache>
              <c:extLst/>
            </c:strRef>
          </c:cat>
          <c:val>
            <c:numRef>
              <c:f>'individual-chart-cpm'!$H$3:$H$30</c:f>
              <c:numCache>
                <c:formatCode>0%</c:formatCode>
                <c:ptCount val="2"/>
                <c:pt idx="0">
                  <c:v>0.1111111111111111</c:v>
                </c:pt>
                <c:pt idx="1">
                  <c:v>3.7037037037037035E-2</c:v>
                </c:pt>
              </c:numCache>
              <c:extLst/>
            </c:numRef>
          </c:val>
          <c:extLst>
            <c:ext xmlns:c16="http://schemas.microsoft.com/office/drawing/2014/chart" uri="{C3380CC4-5D6E-409C-BE32-E72D297353CC}">
              <c16:uniqueId val="{00000006-72E4-4A55-8796-5C15CB09F29E}"/>
            </c:ext>
          </c:extLst>
        </c:ser>
        <c:ser>
          <c:idx val="6"/>
          <c:order val="6"/>
          <c:tx>
            <c:strRef>
              <c:f>'individual-chart-cpm'!$I$2</c:f>
              <c:strCache>
                <c:ptCount val="1"/>
                <c:pt idx="0">
                  <c:v>50%</c:v>
                </c:pt>
              </c:strCache>
            </c:strRef>
          </c:tx>
          <c:spPr>
            <a:solidFill>
              <a:srgbClr val="EBA19F"/>
            </a:solidFill>
            <a:ln>
              <a:noFill/>
            </a:ln>
            <a:effectLst/>
          </c:spPr>
          <c:invertIfNegative val="0"/>
          <c:dLbls>
            <c:dLbl>
              <c:idx val="0"/>
              <c:layout>
                <c:manualLayout>
                  <c:x val="0"/>
                  <c:y val="-3.2602078345222614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72E4-4A55-8796-5C15CB09F29E}"/>
                </c:ext>
              </c:extLst>
            </c:dLbl>
            <c:dLbl>
              <c:idx val="1"/>
              <c:layout>
                <c:manualLayout>
                  <c:x val="0"/>
                  <c:y val="-4.2632636437686666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72E4-4A55-8796-5C15CB09F29E}"/>
                </c:ext>
              </c:extLst>
            </c:dLbl>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'individual-chart-cpm'!$B$3:$B$30</c:f>
              <c:strCache>
                <c:ptCount val="2"/>
                <c:pt idx="0">
                  <c:v>Activity</c:v>
                </c:pt>
                <c:pt idx="1">
                  <c:v>Outputs</c:v>
                </c:pt>
              </c:strCache>
              <c:extLst/>
            </c:strRef>
          </c:cat>
          <c:val>
            <c:numRef>
              <c:f>'individual-chart-cpm'!$I$3:$I$30</c:f>
              <c:numCache>
                <c:formatCode>0%</c:formatCode>
                <c:ptCount val="2"/>
                <c:pt idx="0">
                  <c:v>0.22222222222222221</c:v>
                </c:pt>
                <c:pt idx="1">
                  <c:v>0.29629629629629628</c:v>
                </c:pt>
              </c:numCache>
              <c:extLst/>
            </c:numRef>
          </c:val>
          <c:extLst>
            <c:ext xmlns:c16="http://schemas.microsoft.com/office/drawing/2014/chart" uri="{C3380CC4-5D6E-409C-BE32-E72D297353CC}">
              <c16:uniqueId val="{00000009-72E4-4A55-8796-5C15CB09F29E}"/>
            </c:ext>
          </c:extLst>
        </c:ser>
        <c:ser>
          <c:idx val="7"/>
          <c:order val="7"/>
          <c:tx>
            <c:strRef>
              <c:f>'individual-chart-cpm'!$J$2</c:f>
              <c:strCache>
                <c:ptCount val="1"/>
                <c:pt idx="0">
                  <c:v>25%</c:v>
                </c:pt>
              </c:strCache>
            </c:strRef>
          </c:tx>
          <c:spPr>
            <a:solidFill>
              <a:srgbClr val="F3C6C5"/>
            </a:solidFill>
            <a:ln>
              <a:noFill/>
            </a:ln>
            <a:effectLst/>
          </c:spPr>
          <c:invertIfNegative val="0"/>
          <c:dLbls>
            <c:dLbl>
              <c:idx val="0"/>
              <c:layout>
                <c:manualLayout>
                  <c:x val="-8.9786756453423128E-3"/>
                  <c:y val="-1.5047021943573668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72E4-4A55-8796-5C15CB09F29E}"/>
                </c:ext>
              </c:extLst>
            </c:dLbl>
            <c:dLbl>
              <c:idx val="1"/>
              <c:layout>
                <c:manualLayout>
                  <c:x val="4.4893378226711564E-3"/>
                  <c:y val="-3.7617554858934171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72E4-4A55-8796-5C15CB09F29E}"/>
                </c:ext>
              </c:extLst>
            </c:dLbl>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'individual-chart-cpm'!$B$3:$B$30</c:f>
              <c:strCache>
                <c:ptCount val="2"/>
                <c:pt idx="0">
                  <c:v>Activity</c:v>
                </c:pt>
                <c:pt idx="1">
                  <c:v>Outputs</c:v>
                </c:pt>
              </c:strCache>
              <c:extLst/>
            </c:strRef>
          </c:cat>
          <c:val>
            <c:numRef>
              <c:f>'individual-chart-cpm'!$J$3:$J$30</c:f>
              <c:numCache>
                <c:formatCode>0%</c:formatCode>
                <c:ptCount val="2"/>
                <c:pt idx="0">
                  <c:v>0.48148148148148145</c:v>
                </c:pt>
                <c:pt idx="1">
                  <c:v>0.44444444444444442</c:v>
                </c:pt>
              </c:numCache>
              <c:extLst/>
            </c:numRef>
          </c:val>
          <c:extLst>
            <c:ext xmlns:c16="http://schemas.microsoft.com/office/drawing/2014/chart" uri="{C3380CC4-5D6E-409C-BE32-E72D297353CC}">
              <c16:uniqueId val="{0000000C-72E4-4A55-8796-5C15CB09F29E}"/>
            </c:ext>
          </c:extLst>
        </c:ser>
        <c:ser>
          <c:idx val="8"/>
          <c:order val="8"/>
          <c:tx>
            <c:strRef>
              <c:f>'individual-chart-cpm'!$K$2</c:f>
              <c:strCache>
                <c:ptCount val="1"/>
                <c:pt idx="0">
                  <c:v>10%</c:v>
                </c:pt>
              </c:strCache>
            </c:strRef>
          </c:tx>
          <c:spPr>
            <a:solidFill>
              <a:schemeClr val="accent2">
                <a:tint val="56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'individual-chart-cpm'!$B$3:$B$30</c:f>
              <c:strCache>
                <c:ptCount val="2"/>
                <c:pt idx="0">
                  <c:v>Activity</c:v>
                </c:pt>
                <c:pt idx="1">
                  <c:v>Outputs</c:v>
                </c:pt>
              </c:strCache>
              <c:extLst/>
            </c:strRef>
          </c:cat>
          <c:val>
            <c:numRef>
              <c:f>'individual-chart-cpm'!$K$3:$K$30</c:f>
              <c:numCache>
                <c:formatCode>General</c:formatCode>
                <c:ptCount val="2"/>
              </c:numCache>
              <c:extLst/>
            </c:numRef>
          </c:val>
          <c:extLst>
            <c:ext xmlns:c16="http://schemas.microsoft.com/office/drawing/2014/chart" uri="{C3380CC4-5D6E-409C-BE32-E72D297353CC}">
              <c16:uniqueId val="{0000000D-72E4-4A55-8796-5C15CB09F29E}"/>
            </c:ext>
          </c:extLst>
        </c:ser>
        <c:ser>
          <c:idx val="9"/>
          <c:order val="9"/>
          <c:tx>
            <c:strRef>
              <c:f>'individual-chart-cpm'!$L$2</c:f>
              <c:strCache>
                <c:ptCount val="1"/>
                <c:pt idx="0">
                  <c:v>Not Started</c:v>
                </c:pt>
              </c:strCache>
            </c:strRef>
          </c:tx>
          <c:spPr>
            <a:solidFill>
              <a:srgbClr val="FCF2F2"/>
            </a:solidFill>
            <a:ln>
              <a:noFill/>
            </a:ln>
            <a:effectLst/>
          </c:spPr>
          <c:invertIfNegative val="0"/>
          <c:dLbls>
            <c:dLbl>
              <c:idx val="0"/>
              <c:layout>
                <c:manualLayout>
                  <c:x val="-8.9786756453423128E-3"/>
                  <c:y val="2.5076395231160369E-3"/>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72E4-4A55-8796-5C15CB09F29E}"/>
                </c:ext>
              </c:extLst>
            </c:dLbl>
            <c:dLbl>
              <c:idx val="1"/>
              <c:layout>
                <c:manualLayout>
                  <c:x val="-8.9786756453422295E-3"/>
                  <c:y val="-4.5976480370028312E-17"/>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72E4-4A55-8796-5C15CB09F29E}"/>
                </c:ext>
              </c:extLst>
            </c:dLbl>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'individual-chart-cpm'!$B$3:$B$30</c:f>
              <c:strCache>
                <c:ptCount val="2"/>
                <c:pt idx="0">
                  <c:v>Activity</c:v>
                </c:pt>
                <c:pt idx="1">
                  <c:v>Outputs</c:v>
                </c:pt>
              </c:strCache>
              <c:extLst/>
            </c:strRef>
          </c:cat>
          <c:val>
            <c:numRef>
              <c:f>'individual-chart-cpm'!$L$3:$L$30</c:f>
              <c:numCache>
                <c:formatCode>0%</c:formatCode>
                <c:ptCount val="2"/>
                <c:pt idx="0">
                  <c:v>7.407407407407407E-2</c:v>
                </c:pt>
                <c:pt idx="1">
                  <c:v>0.1111111111111111</c:v>
                </c:pt>
              </c:numCache>
              <c:extLst/>
            </c:numRef>
          </c:val>
          <c:extLst>
            <c:ext xmlns:c16="http://schemas.microsoft.com/office/drawing/2014/chart" uri="{C3380CC4-5D6E-409C-BE32-E72D297353CC}">
              <c16:uniqueId val="{00000010-72E4-4A55-8796-5C15CB09F29E}"/>
            </c:ext>
          </c:extLst>
        </c:ser>
        <c:dLbls>
          <c:dLblPos val="ctr"/>
          <c:showLegendKey val="0"/>
          <c:showVal val="1"/>
          <c:showCatName val="0"/>
          <c:showSerName val="0"/>
          <c:showPercent val="0"/>
          <c:showBubbleSize val="0"/>
        </c:dLbls>
        <c:gapWidth val="150"/>
        <c:overlap val="100"/>
        <c:axId val="790958128"/>
        <c:axId val="790961408"/>
        <c:extLst>
          <c:ext xmlns:c15="http://schemas.microsoft.com/office/drawing/2012/chart" uri="{02D57815-91ED-43cb-92C2-25804820EDAC}">
            <c15:filteredBarSeries>
              <c15:ser>
                <c:idx val="0"/>
                <c:order val="0"/>
                <c:tx>
                  <c:strRef>
                    <c:extLst>
                      <c:ext uri="{02D57815-91ED-43cb-92C2-25804820EDAC}">
                        <c15:formulaRef>
                          <c15:sqref>'individual-chart-cpm'!$C$2</c15:sqref>
                        </c15:formulaRef>
                      </c:ext>
                    </c:extLst>
                    <c:strCache>
                      <c:ptCount val="1"/>
                      <c:pt idx="0">
                        <c:v>Completed</c:v>
                      </c:pt>
                    </c:strCache>
                  </c:strRef>
                </c:tx>
                <c:spPr>
                  <a:solidFill>
                    <a:schemeClr val="accent2">
                      <a:shade val="42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c:ext uri="{02D57815-91ED-43cb-92C2-25804820EDAC}">
                        <c15:formulaRef>
                          <c15:sqref>'individual-chart-cpm'!$B$3:$B$30</c15:sqref>
                        </c15:formulaRef>
                      </c:ext>
                    </c:extLst>
                    <c:strCache>
                      <c:ptCount val="2"/>
                      <c:pt idx="0">
                        <c:v>Activity</c:v>
                      </c:pt>
                      <c:pt idx="1">
                        <c:v>Outputs</c:v>
                      </c:pt>
                    </c:strCache>
                  </c:strRef>
                </c:cat>
                <c:val>
                  <c:numRef>
                    <c:extLst>
                      <c:ext uri="{02D57815-91ED-43cb-92C2-25804820EDAC}">
                        <c15:formulaRef>
                          <c15:sqref>'individual-chart-cpm'!$C$3:$C$30</c15:sqref>
                        </c15:formulaRef>
                      </c:ext>
                    </c:extLst>
                    <c:numCache>
                      <c:formatCode>0%</c:formatCode>
                      <c:ptCount val="2"/>
                      <c:pt idx="0">
                        <c:v>0.1111111111111111</c:v>
                      </c:pt>
                      <c:pt idx="1">
                        <c:v>0.1111111111111111</c:v>
                      </c:pt>
                    </c:numCache>
                  </c:numRef>
                </c:val>
                <c:extLst>
                  <c:ext xmlns:c16="http://schemas.microsoft.com/office/drawing/2014/chart" uri="{C3380CC4-5D6E-409C-BE32-E72D297353CC}">
                    <c16:uniqueId val="{00000011-72E4-4A55-8796-5C15CB09F29E}"/>
                  </c:ext>
                </c:extLst>
              </c15:ser>
            </c15:filteredBarSeries>
            <c15:filteredBarSeries>
              <c15:ser>
                <c:idx val="1"/>
                <c:order val="1"/>
                <c:tx>
                  <c:strRef>
                    <c:extLst xmlns:c15="http://schemas.microsoft.com/office/drawing/2012/chart">
                      <c:ext xmlns:c15="http://schemas.microsoft.com/office/drawing/2012/chart" uri="{02D57815-91ED-43cb-92C2-25804820EDAC}">
                        <c15:formulaRef>
                          <c15:sqref>'individual-chart-cpm'!$D$2</c15:sqref>
                        </c15:formulaRef>
                      </c:ext>
                    </c:extLst>
                    <c:strCache>
                      <c:ptCount val="1"/>
                      <c:pt idx="0">
                        <c:v>In progress</c:v>
                      </c:pt>
                    </c:strCache>
                  </c:strRef>
                </c:tx>
                <c:spPr>
                  <a:solidFill>
                    <a:schemeClr val="accent2">
                      <a:shade val="5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'individual-chart-cpm'!$B$3:$B$30</c15:sqref>
                        </c15:formulaRef>
                      </c:ext>
                    </c:extLst>
                    <c:strCache>
                      <c:ptCount val="2"/>
                      <c:pt idx="0">
                        <c:v>Activity</c:v>
                      </c:pt>
                      <c:pt idx="1">
                        <c:v>Outputs</c:v>
                      </c:pt>
                    </c:strCache>
                  </c:strRef>
                </c:cat>
                <c:val>
                  <c:numRef>
                    <c:extLst xmlns:c15="http://schemas.microsoft.com/office/drawing/2012/chart">
                      <c:ext xmlns:c15="http://schemas.microsoft.com/office/drawing/2012/chart" uri="{02D57815-91ED-43cb-92C2-25804820EDAC}">
                        <c15:formulaRef>
                          <c15:sqref>'individual-chart-cpm'!$D$3:$D$30</c15:sqref>
                        </c15:formulaRef>
                      </c:ext>
                    </c:extLst>
                    <c:numCache>
                      <c:formatCode>0%</c:formatCode>
                      <c:ptCount val="2"/>
                      <c:pt idx="0">
                        <c:v>0.81481481481481477</c:v>
                      </c:pt>
                      <c:pt idx="1">
                        <c:v>0.77777777777777779</c:v>
                      </c:pt>
                    </c:numCache>
                  </c:numRef>
                </c:val>
                <c:extLst xmlns:c15="http://schemas.microsoft.com/office/drawing/2012/chart">
                  <c:ext xmlns:c16="http://schemas.microsoft.com/office/drawing/2014/chart" uri="{C3380CC4-5D6E-409C-BE32-E72D297353CC}">
                    <c16:uniqueId val="{00000012-72E4-4A55-8796-5C15CB09F29E}"/>
                  </c:ext>
                </c:extLst>
              </c15:ser>
            </c15:filteredBarSeries>
            <c15:filteredBarSeries>
              <c15:ser>
                <c:idx val="2"/>
                <c:order val="2"/>
                <c:tx>
                  <c:strRef>
                    <c:extLst xmlns:c15="http://schemas.microsoft.com/office/drawing/2012/chart">
                      <c:ext xmlns:c15="http://schemas.microsoft.com/office/drawing/2012/chart" uri="{02D57815-91ED-43cb-92C2-25804820EDAC}">
                        <c15:formulaRef>
                          <c15:sqref>'individual-chart-cpm'!$E$2</c15:sqref>
                        </c15:formulaRef>
                      </c:ext>
                    </c:extLst>
                    <c:strCache>
                      <c:ptCount val="1"/>
                      <c:pt idx="0">
                        <c:v>Not started</c:v>
                      </c:pt>
                    </c:strCache>
                  </c:strRef>
                </c:tx>
                <c:spPr>
                  <a:solidFill>
                    <a:schemeClr val="accent2">
                      <a:shade val="68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'individual-chart-cpm'!$B$3:$B$30</c15:sqref>
                        </c15:formulaRef>
                      </c:ext>
                    </c:extLst>
                    <c:strCache>
                      <c:ptCount val="2"/>
                      <c:pt idx="0">
                        <c:v>Activity</c:v>
                      </c:pt>
                      <c:pt idx="1">
                        <c:v>Outputs</c:v>
                      </c:pt>
                    </c:strCache>
                  </c:strRef>
                </c:cat>
                <c:val>
                  <c:numRef>
                    <c:extLst xmlns:c15="http://schemas.microsoft.com/office/drawing/2012/chart">
                      <c:ext xmlns:c15="http://schemas.microsoft.com/office/drawing/2012/chart" uri="{02D57815-91ED-43cb-92C2-25804820EDAC}">
                        <c15:formulaRef>
                          <c15:sqref>'individual-chart-cpm'!$E$3:$E$30</c15:sqref>
                        </c15:formulaRef>
                      </c:ext>
                    </c:extLst>
                    <c:numCache>
                      <c:formatCode>0%</c:formatCode>
                      <c:ptCount val="2"/>
                      <c:pt idx="0">
                        <c:v>7.407407407407407E-2</c:v>
                      </c:pt>
                      <c:pt idx="1">
                        <c:v>0.1111111111111111</c:v>
                      </c:pt>
                    </c:numCache>
                  </c:numRef>
                </c:val>
                <c:extLst xmlns:c15="http://schemas.microsoft.com/office/drawing/2012/chart">
                  <c:ext xmlns:c16="http://schemas.microsoft.com/office/drawing/2014/chart" uri="{C3380CC4-5D6E-409C-BE32-E72D297353CC}">
                    <c16:uniqueId val="{00000013-72E4-4A55-8796-5C15CB09F29E}"/>
                  </c:ext>
                </c:extLst>
              </c15:ser>
            </c15:filteredBarSeries>
          </c:ext>
        </c:extLst>
      </c:barChart>
      <c:catAx>
        <c:axId val="7909581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n-US"/>
          </a:p>
        </c:txPr>
        <c:crossAx val="790961408"/>
        <c:crosses val="autoZero"/>
        <c:auto val="1"/>
        <c:lblAlgn val="ctr"/>
        <c:lblOffset val="100"/>
        <c:noMultiLvlLbl val="0"/>
      </c:catAx>
      <c:valAx>
        <c:axId val="790961408"/>
        <c:scaling>
          <c:orientation val="minMax"/>
          <c:min val="0"/>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90958128"/>
        <c:crossesAt val="1"/>
        <c:crossBetween val="between"/>
      </c:valAx>
      <c:spPr>
        <a:noFill/>
        <a:ln>
          <a:noFill/>
        </a:ln>
        <a:effectLst/>
      </c:spPr>
    </c:plotArea>
    <c:legend>
      <c:legendPos val="t"/>
      <c:layout>
        <c:manualLayout>
          <c:xMode val="edge"/>
          <c:yMode val="edge"/>
          <c:x val="0.18225149756480022"/>
          <c:y val="0.12763422019026135"/>
          <c:w val="0.70460273616206281"/>
          <c:h val="0.12652310298086494"/>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userShapes r:id="rId5"/>
</c:chartSpace>
</file>

<file path=word/charts/chart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4"/>
    </mc:Choice>
    <mc:Fallback>
      <c:style val="4"/>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Topic Area - Common Performance Measures</a:t>
            </a:r>
            <a:br>
              <a:rPr lang="en-US"/>
            </a:br>
            <a:r>
              <a:rPr lang="en-US"/>
              <a:t>Activity #3</a:t>
            </a:r>
          </a:p>
        </c:rich>
      </c:tx>
      <c:layout>
        <c:manualLayout>
          <c:xMode val="edge"/>
          <c:yMode val="edge"/>
          <c:x val="0.22550607545054205"/>
          <c:y val="1.5640543542949398E-3"/>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3773248222116805"/>
          <c:y val="0.25325772269284524"/>
          <c:w val="0.78942722632790041"/>
          <c:h val="0.66602748393145406"/>
        </c:manualLayout>
      </c:layout>
      <c:barChart>
        <c:barDir val="col"/>
        <c:grouping val="percentStacked"/>
        <c:varyColors val="0"/>
        <c:ser>
          <c:idx val="3"/>
          <c:order val="3"/>
          <c:tx>
            <c:strRef>
              <c:f>'individual-chart-cpm'!$F$2</c:f>
              <c:strCache>
                <c:ptCount val="1"/>
                <c:pt idx="0">
                  <c:v>Completed</c:v>
                </c:pt>
              </c:strCache>
            </c:strRef>
          </c:tx>
          <c:spPr>
            <a:solidFill>
              <a:srgbClr val="99221F"/>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600" b="0"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'individual-chart-cpm'!$B$3:$B$30</c:f>
              <c:strCache>
                <c:ptCount val="2"/>
                <c:pt idx="0">
                  <c:v>Activity</c:v>
                </c:pt>
                <c:pt idx="1">
                  <c:v>Outputs</c:v>
                </c:pt>
              </c:strCache>
              <c:extLst/>
            </c:strRef>
          </c:cat>
          <c:val>
            <c:numRef>
              <c:f>'individual-chart-cpm'!$F$3:$F$30</c:f>
              <c:numCache>
                <c:formatCode>General</c:formatCode>
                <c:ptCount val="2"/>
              </c:numCache>
              <c:extLst/>
            </c:numRef>
          </c:val>
          <c:extLst>
            <c:ext xmlns:c16="http://schemas.microsoft.com/office/drawing/2014/chart" uri="{C3380CC4-5D6E-409C-BE32-E72D297353CC}">
              <c16:uniqueId val="{00000000-6340-4CA1-A4F9-5AE76C0F058D}"/>
            </c:ext>
          </c:extLst>
        </c:ser>
        <c:ser>
          <c:idx val="4"/>
          <c:order val="4"/>
          <c:tx>
            <c:strRef>
              <c:f>'individual-chart-cpm'!$G$2</c:f>
              <c:strCache>
                <c:ptCount val="1"/>
                <c:pt idx="0">
                  <c:v>90%</c:v>
                </c:pt>
              </c:strCache>
            </c:strRef>
          </c:tx>
          <c:spPr>
            <a:solidFill>
              <a:srgbClr val="D73D39"/>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'individual-chart-cpm'!$B$3:$B$30</c:f>
              <c:strCache>
                <c:ptCount val="2"/>
                <c:pt idx="0">
                  <c:v>Activity</c:v>
                </c:pt>
                <c:pt idx="1">
                  <c:v>Outputs</c:v>
                </c:pt>
              </c:strCache>
              <c:extLst/>
            </c:strRef>
          </c:cat>
          <c:val>
            <c:numRef>
              <c:f>'individual-chart-cpm'!$G$3:$G$30</c:f>
              <c:numCache>
                <c:formatCode>General</c:formatCode>
                <c:ptCount val="2"/>
              </c:numCache>
              <c:extLst/>
            </c:numRef>
          </c:val>
          <c:extLst>
            <c:ext xmlns:c16="http://schemas.microsoft.com/office/drawing/2014/chart" uri="{C3380CC4-5D6E-409C-BE32-E72D297353CC}">
              <c16:uniqueId val="{00000001-6340-4CA1-A4F9-5AE76C0F058D}"/>
            </c:ext>
          </c:extLst>
        </c:ser>
        <c:ser>
          <c:idx val="5"/>
          <c:order val="5"/>
          <c:tx>
            <c:strRef>
              <c:f>'individual-chart-cpm'!$H$2</c:f>
              <c:strCache>
                <c:ptCount val="1"/>
                <c:pt idx="0">
                  <c:v>75%</c:v>
                </c:pt>
              </c:strCache>
            </c:strRef>
          </c:tx>
          <c:spPr>
            <a:solidFill>
              <a:srgbClr val="DC5350"/>
            </a:solidFill>
            <a:ln>
              <a:noFill/>
            </a:ln>
            <a:effectLst/>
          </c:spPr>
          <c:invertIfNegative val="0"/>
          <c:dLbls>
            <c:dLbl>
              <c:idx val="0"/>
              <c:layout>
                <c:manualLayout>
                  <c:x val="-8.9786756453423128E-3"/>
                  <c:y val="-4.7647718016439078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6340-4CA1-A4F9-5AE76C0F058D}"/>
                </c:ext>
              </c:extLst>
            </c:dLbl>
            <c:dLbl>
              <c:idx val="1"/>
              <c:layout>
                <c:manualLayout>
                  <c:x val="4.4893378226711564E-3"/>
                  <c:y val="-5.0155949941994023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6340-4CA1-A4F9-5AE76C0F058D}"/>
                </c:ext>
              </c:extLst>
            </c:dLbl>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'individual-chart-cpm'!$B$3:$B$30</c:f>
              <c:strCache>
                <c:ptCount val="2"/>
                <c:pt idx="0">
                  <c:v>Activity</c:v>
                </c:pt>
                <c:pt idx="1">
                  <c:v>Outputs</c:v>
                </c:pt>
              </c:strCache>
              <c:extLst/>
            </c:strRef>
          </c:cat>
          <c:val>
            <c:numRef>
              <c:f>'individual-chart-cpm'!$H$3:$H$30</c:f>
              <c:numCache>
                <c:formatCode>0%</c:formatCode>
                <c:ptCount val="2"/>
                <c:pt idx="0">
                  <c:v>0.2</c:v>
                </c:pt>
                <c:pt idx="1">
                  <c:v>0.16</c:v>
                </c:pt>
              </c:numCache>
              <c:extLst/>
            </c:numRef>
          </c:val>
          <c:extLst>
            <c:ext xmlns:c16="http://schemas.microsoft.com/office/drawing/2014/chart" uri="{C3380CC4-5D6E-409C-BE32-E72D297353CC}">
              <c16:uniqueId val="{00000004-6340-4CA1-A4F9-5AE76C0F058D}"/>
            </c:ext>
          </c:extLst>
        </c:ser>
        <c:ser>
          <c:idx val="6"/>
          <c:order val="6"/>
          <c:tx>
            <c:strRef>
              <c:f>'individual-chart-cpm'!$I$2</c:f>
              <c:strCache>
                <c:ptCount val="1"/>
                <c:pt idx="0">
                  <c:v>50%</c:v>
                </c:pt>
              </c:strCache>
            </c:strRef>
          </c:tx>
          <c:spPr>
            <a:solidFill>
              <a:srgbClr val="EBA19F"/>
            </a:solidFill>
            <a:ln>
              <a:noFill/>
            </a:ln>
            <a:effectLst/>
          </c:spPr>
          <c:invertIfNegative val="0"/>
          <c:dLbls>
            <c:dLbl>
              <c:idx val="0"/>
              <c:layout>
                <c:manualLayout>
                  <c:x val="-8.9786756453423128E-3"/>
                  <c:y val="0"/>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6340-4CA1-A4F9-5AE76C0F058D}"/>
                </c:ext>
              </c:extLst>
            </c:dLbl>
            <c:dLbl>
              <c:idx val="1"/>
              <c:layout>
                <c:manualLayout>
                  <c:x val="1.3468013468013467E-2"/>
                  <c:y val="-1.5046232073655462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6340-4CA1-A4F9-5AE76C0F058D}"/>
                </c:ext>
              </c:extLst>
            </c:dLbl>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'individual-chart-cpm'!$B$3:$B$30</c:f>
              <c:strCache>
                <c:ptCount val="2"/>
                <c:pt idx="0">
                  <c:v>Activity</c:v>
                </c:pt>
                <c:pt idx="1">
                  <c:v>Outputs</c:v>
                </c:pt>
              </c:strCache>
              <c:extLst/>
            </c:strRef>
          </c:cat>
          <c:val>
            <c:numRef>
              <c:f>'individual-chart-cpm'!$I$3:$I$30</c:f>
              <c:numCache>
                <c:formatCode>0%</c:formatCode>
                <c:ptCount val="2"/>
                <c:pt idx="0">
                  <c:v>0.36</c:v>
                </c:pt>
                <c:pt idx="1">
                  <c:v>0.36</c:v>
                </c:pt>
              </c:numCache>
              <c:extLst/>
            </c:numRef>
          </c:val>
          <c:extLst>
            <c:ext xmlns:c16="http://schemas.microsoft.com/office/drawing/2014/chart" uri="{C3380CC4-5D6E-409C-BE32-E72D297353CC}">
              <c16:uniqueId val="{00000007-6340-4CA1-A4F9-5AE76C0F058D}"/>
            </c:ext>
          </c:extLst>
        </c:ser>
        <c:ser>
          <c:idx val="7"/>
          <c:order val="7"/>
          <c:tx>
            <c:strRef>
              <c:f>'individual-chart-cpm'!$J$2</c:f>
              <c:strCache>
                <c:ptCount val="1"/>
                <c:pt idx="0">
                  <c:v>25%</c:v>
                </c:pt>
              </c:strCache>
            </c:strRef>
          </c:tx>
          <c:spPr>
            <a:solidFill>
              <a:srgbClr val="F3C6C5"/>
            </a:solidFill>
            <a:ln>
              <a:noFill/>
            </a:ln>
            <a:effectLst/>
          </c:spPr>
          <c:invertIfNegative val="0"/>
          <c:dLbls>
            <c:dLbl>
              <c:idx val="0"/>
              <c:layout>
                <c:manualLayout>
                  <c:x val="-4.1151787985519167E-17"/>
                  <c:y val="-9.1952960740056625E-17"/>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6340-4CA1-A4F9-5AE76C0F058D}"/>
                </c:ext>
              </c:extLst>
            </c:dLbl>
            <c:dLbl>
              <c:idx val="1"/>
              <c:layout>
                <c:manualLayout>
                  <c:x val="8.9786756453423128E-3"/>
                  <c:y val="5.0154765137116484E-3"/>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6340-4CA1-A4F9-5AE76C0F058D}"/>
                </c:ext>
              </c:extLst>
            </c:dLbl>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'individual-chart-cpm'!$B$3:$B$30</c:f>
              <c:strCache>
                <c:ptCount val="2"/>
                <c:pt idx="0">
                  <c:v>Activity</c:v>
                </c:pt>
                <c:pt idx="1">
                  <c:v>Outputs</c:v>
                </c:pt>
              </c:strCache>
              <c:extLst/>
            </c:strRef>
          </c:cat>
          <c:val>
            <c:numRef>
              <c:f>'individual-chart-cpm'!$J$3:$J$30</c:f>
              <c:numCache>
                <c:formatCode>0%</c:formatCode>
                <c:ptCount val="2"/>
                <c:pt idx="0">
                  <c:v>0.04</c:v>
                </c:pt>
                <c:pt idx="1">
                  <c:v>0.04</c:v>
                </c:pt>
              </c:numCache>
              <c:extLst/>
            </c:numRef>
          </c:val>
          <c:extLst>
            <c:ext xmlns:c16="http://schemas.microsoft.com/office/drawing/2014/chart" uri="{C3380CC4-5D6E-409C-BE32-E72D297353CC}">
              <c16:uniqueId val="{0000000A-6340-4CA1-A4F9-5AE76C0F058D}"/>
            </c:ext>
          </c:extLst>
        </c:ser>
        <c:ser>
          <c:idx val="8"/>
          <c:order val="8"/>
          <c:tx>
            <c:strRef>
              <c:f>'individual-chart-cpm'!$K$2</c:f>
              <c:strCache>
                <c:ptCount val="1"/>
                <c:pt idx="0">
                  <c:v>10%</c:v>
                </c:pt>
              </c:strCache>
            </c:strRef>
          </c:tx>
          <c:spPr>
            <a:solidFill>
              <a:schemeClr val="accent2">
                <a:tint val="56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'individual-chart-cpm'!$B$3:$B$30</c:f>
              <c:strCache>
                <c:ptCount val="2"/>
                <c:pt idx="0">
                  <c:v>Activity</c:v>
                </c:pt>
                <c:pt idx="1">
                  <c:v>Outputs</c:v>
                </c:pt>
              </c:strCache>
              <c:extLst/>
            </c:strRef>
          </c:cat>
          <c:val>
            <c:numRef>
              <c:f>'individual-chart-cpm'!$K$3:$K$30</c:f>
              <c:numCache>
                <c:formatCode>General</c:formatCode>
                <c:ptCount val="2"/>
              </c:numCache>
              <c:extLst/>
            </c:numRef>
          </c:val>
          <c:extLst>
            <c:ext xmlns:c16="http://schemas.microsoft.com/office/drawing/2014/chart" uri="{C3380CC4-5D6E-409C-BE32-E72D297353CC}">
              <c16:uniqueId val="{0000000B-6340-4CA1-A4F9-5AE76C0F058D}"/>
            </c:ext>
          </c:extLst>
        </c:ser>
        <c:ser>
          <c:idx val="9"/>
          <c:order val="9"/>
          <c:tx>
            <c:strRef>
              <c:f>'individual-chart-cpm'!$L$2</c:f>
              <c:strCache>
                <c:ptCount val="1"/>
                <c:pt idx="0">
                  <c:v>Not Started</c:v>
                </c:pt>
              </c:strCache>
            </c:strRef>
          </c:tx>
          <c:spPr>
            <a:solidFill>
              <a:srgbClr val="FCF2F2"/>
            </a:solidFill>
            <a:ln>
              <a:noFill/>
            </a:ln>
            <a:effectLst/>
          </c:spPr>
          <c:invertIfNegative val="0"/>
          <c:dLbls>
            <c:dLbl>
              <c:idx val="0"/>
              <c:layout>
                <c:manualLayout>
                  <c:x val="0"/>
                  <c:y val="5.0156739811912229E-3"/>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6340-4CA1-A4F9-5AE76C0F058D}"/>
                </c:ext>
              </c:extLst>
            </c:dLbl>
            <c:dLbl>
              <c:idx val="1"/>
              <c:layout>
                <c:manualLayout>
                  <c:x val="-4.489337822671074E-3"/>
                  <c:y val="-7.5231160368277308E-3"/>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6340-4CA1-A4F9-5AE76C0F058D}"/>
                </c:ext>
              </c:extLst>
            </c:dLbl>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'individual-chart-cpm'!$B$3:$B$30</c:f>
              <c:strCache>
                <c:ptCount val="2"/>
                <c:pt idx="0">
                  <c:v>Activity</c:v>
                </c:pt>
                <c:pt idx="1">
                  <c:v>Outputs</c:v>
                </c:pt>
              </c:strCache>
              <c:extLst/>
            </c:strRef>
          </c:cat>
          <c:val>
            <c:numRef>
              <c:f>'individual-chart-cpm'!$L$3:$L$30</c:f>
              <c:numCache>
                <c:formatCode>0%</c:formatCode>
                <c:ptCount val="2"/>
                <c:pt idx="0">
                  <c:v>0.4</c:v>
                </c:pt>
                <c:pt idx="1">
                  <c:v>0.44</c:v>
                </c:pt>
              </c:numCache>
              <c:extLst/>
            </c:numRef>
          </c:val>
          <c:extLst>
            <c:ext xmlns:c16="http://schemas.microsoft.com/office/drawing/2014/chart" uri="{C3380CC4-5D6E-409C-BE32-E72D297353CC}">
              <c16:uniqueId val="{0000000E-6340-4CA1-A4F9-5AE76C0F058D}"/>
            </c:ext>
          </c:extLst>
        </c:ser>
        <c:dLbls>
          <c:dLblPos val="ctr"/>
          <c:showLegendKey val="0"/>
          <c:showVal val="1"/>
          <c:showCatName val="0"/>
          <c:showSerName val="0"/>
          <c:showPercent val="0"/>
          <c:showBubbleSize val="0"/>
        </c:dLbls>
        <c:gapWidth val="150"/>
        <c:overlap val="100"/>
        <c:axId val="790958128"/>
        <c:axId val="790961408"/>
        <c:extLst>
          <c:ext xmlns:c15="http://schemas.microsoft.com/office/drawing/2012/chart" uri="{02D57815-91ED-43cb-92C2-25804820EDAC}">
            <c15:filteredBarSeries>
              <c15:ser>
                <c:idx val="0"/>
                <c:order val="0"/>
                <c:tx>
                  <c:strRef>
                    <c:extLst>
                      <c:ext uri="{02D57815-91ED-43cb-92C2-25804820EDAC}">
                        <c15:formulaRef>
                          <c15:sqref>'individual-chart-cpm'!$C$2</c15:sqref>
                        </c15:formulaRef>
                      </c:ext>
                    </c:extLst>
                    <c:strCache>
                      <c:ptCount val="1"/>
                      <c:pt idx="0">
                        <c:v>Completed</c:v>
                      </c:pt>
                    </c:strCache>
                  </c:strRef>
                </c:tx>
                <c:spPr>
                  <a:solidFill>
                    <a:schemeClr val="accent2">
                      <a:shade val="42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c:ext uri="{02D57815-91ED-43cb-92C2-25804820EDAC}">
                        <c15:formulaRef>
                          <c15:sqref>'individual-chart-cpm'!$B$3:$B$30</c15:sqref>
                        </c15:formulaRef>
                      </c:ext>
                    </c:extLst>
                    <c:strCache>
                      <c:ptCount val="2"/>
                      <c:pt idx="0">
                        <c:v>Activity</c:v>
                      </c:pt>
                      <c:pt idx="1">
                        <c:v>Outputs</c:v>
                      </c:pt>
                    </c:strCache>
                  </c:strRef>
                </c:cat>
                <c:val>
                  <c:numRef>
                    <c:extLst>
                      <c:ext uri="{02D57815-91ED-43cb-92C2-25804820EDAC}">
                        <c15:formulaRef>
                          <c15:sqref>'individual-chart-cpm'!$C$3:$C$30</c15:sqref>
                        </c15:formulaRef>
                      </c:ext>
                    </c:extLst>
                    <c:numCache>
                      <c:formatCode>General</c:formatCode>
                      <c:ptCount val="2"/>
                    </c:numCache>
                  </c:numRef>
                </c:val>
                <c:extLst>
                  <c:ext xmlns:c16="http://schemas.microsoft.com/office/drawing/2014/chart" uri="{C3380CC4-5D6E-409C-BE32-E72D297353CC}">
                    <c16:uniqueId val="{0000000F-6340-4CA1-A4F9-5AE76C0F058D}"/>
                  </c:ext>
                </c:extLst>
              </c15:ser>
            </c15:filteredBarSeries>
            <c15:filteredBarSeries>
              <c15:ser>
                <c:idx val="1"/>
                <c:order val="1"/>
                <c:tx>
                  <c:strRef>
                    <c:extLst xmlns:c15="http://schemas.microsoft.com/office/drawing/2012/chart">
                      <c:ext xmlns:c15="http://schemas.microsoft.com/office/drawing/2012/chart" uri="{02D57815-91ED-43cb-92C2-25804820EDAC}">
                        <c15:formulaRef>
                          <c15:sqref>'individual-chart-cpm'!$D$2</c15:sqref>
                        </c15:formulaRef>
                      </c:ext>
                    </c:extLst>
                    <c:strCache>
                      <c:ptCount val="1"/>
                      <c:pt idx="0">
                        <c:v>In progress</c:v>
                      </c:pt>
                    </c:strCache>
                  </c:strRef>
                </c:tx>
                <c:spPr>
                  <a:solidFill>
                    <a:schemeClr val="accent2">
                      <a:shade val="5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'individual-chart-cpm'!$B$3:$B$30</c15:sqref>
                        </c15:formulaRef>
                      </c:ext>
                    </c:extLst>
                    <c:strCache>
                      <c:ptCount val="2"/>
                      <c:pt idx="0">
                        <c:v>Activity</c:v>
                      </c:pt>
                      <c:pt idx="1">
                        <c:v>Outputs</c:v>
                      </c:pt>
                    </c:strCache>
                  </c:strRef>
                </c:cat>
                <c:val>
                  <c:numRef>
                    <c:extLst xmlns:c15="http://schemas.microsoft.com/office/drawing/2012/chart">
                      <c:ext xmlns:c15="http://schemas.microsoft.com/office/drawing/2012/chart" uri="{02D57815-91ED-43cb-92C2-25804820EDAC}">
                        <c15:formulaRef>
                          <c15:sqref>'individual-chart-cpm'!$D$3:$D$30</c15:sqref>
                        </c15:formulaRef>
                      </c:ext>
                    </c:extLst>
                    <c:numCache>
                      <c:formatCode>0%</c:formatCode>
                      <c:ptCount val="2"/>
                      <c:pt idx="0">
                        <c:v>0.6</c:v>
                      </c:pt>
                      <c:pt idx="1">
                        <c:v>0.56000000000000005</c:v>
                      </c:pt>
                    </c:numCache>
                  </c:numRef>
                </c:val>
                <c:extLst xmlns:c15="http://schemas.microsoft.com/office/drawing/2012/chart">
                  <c:ext xmlns:c16="http://schemas.microsoft.com/office/drawing/2014/chart" uri="{C3380CC4-5D6E-409C-BE32-E72D297353CC}">
                    <c16:uniqueId val="{00000010-6340-4CA1-A4F9-5AE76C0F058D}"/>
                  </c:ext>
                </c:extLst>
              </c15:ser>
            </c15:filteredBarSeries>
            <c15:filteredBarSeries>
              <c15:ser>
                <c:idx val="2"/>
                <c:order val="2"/>
                <c:tx>
                  <c:strRef>
                    <c:extLst xmlns:c15="http://schemas.microsoft.com/office/drawing/2012/chart">
                      <c:ext xmlns:c15="http://schemas.microsoft.com/office/drawing/2012/chart" uri="{02D57815-91ED-43cb-92C2-25804820EDAC}">
                        <c15:formulaRef>
                          <c15:sqref>'individual-chart-cpm'!$E$2</c15:sqref>
                        </c15:formulaRef>
                      </c:ext>
                    </c:extLst>
                    <c:strCache>
                      <c:ptCount val="1"/>
                      <c:pt idx="0">
                        <c:v>Not started</c:v>
                      </c:pt>
                    </c:strCache>
                  </c:strRef>
                </c:tx>
                <c:spPr>
                  <a:solidFill>
                    <a:schemeClr val="accent2">
                      <a:shade val="68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'individual-chart-cpm'!$B$3:$B$30</c15:sqref>
                        </c15:formulaRef>
                      </c:ext>
                    </c:extLst>
                    <c:strCache>
                      <c:ptCount val="2"/>
                      <c:pt idx="0">
                        <c:v>Activity</c:v>
                      </c:pt>
                      <c:pt idx="1">
                        <c:v>Outputs</c:v>
                      </c:pt>
                    </c:strCache>
                  </c:strRef>
                </c:cat>
                <c:val>
                  <c:numRef>
                    <c:extLst xmlns:c15="http://schemas.microsoft.com/office/drawing/2012/chart">
                      <c:ext xmlns:c15="http://schemas.microsoft.com/office/drawing/2012/chart" uri="{02D57815-91ED-43cb-92C2-25804820EDAC}">
                        <c15:formulaRef>
                          <c15:sqref>'individual-chart-cpm'!$E$3:$E$30</c15:sqref>
                        </c15:formulaRef>
                      </c:ext>
                    </c:extLst>
                    <c:numCache>
                      <c:formatCode>0%</c:formatCode>
                      <c:ptCount val="2"/>
                      <c:pt idx="0">
                        <c:v>0.4</c:v>
                      </c:pt>
                      <c:pt idx="1">
                        <c:v>0.44</c:v>
                      </c:pt>
                    </c:numCache>
                  </c:numRef>
                </c:val>
                <c:extLst xmlns:c15="http://schemas.microsoft.com/office/drawing/2012/chart">
                  <c:ext xmlns:c16="http://schemas.microsoft.com/office/drawing/2014/chart" uri="{C3380CC4-5D6E-409C-BE32-E72D297353CC}">
                    <c16:uniqueId val="{00000011-6340-4CA1-A4F9-5AE76C0F058D}"/>
                  </c:ext>
                </c:extLst>
              </c15:ser>
            </c15:filteredBarSeries>
          </c:ext>
        </c:extLst>
      </c:barChart>
      <c:catAx>
        <c:axId val="7909581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n-US"/>
          </a:p>
        </c:txPr>
        <c:crossAx val="790961408"/>
        <c:crosses val="autoZero"/>
        <c:auto val="1"/>
        <c:lblAlgn val="ctr"/>
        <c:lblOffset val="100"/>
        <c:noMultiLvlLbl val="0"/>
      </c:catAx>
      <c:valAx>
        <c:axId val="790961408"/>
        <c:scaling>
          <c:orientation val="minMax"/>
          <c:min val="0"/>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90958128"/>
        <c:crossesAt val="1"/>
        <c:crossBetween val="between"/>
      </c:valAx>
      <c:spPr>
        <a:noFill/>
        <a:ln>
          <a:noFill/>
        </a:ln>
        <a:effectLst/>
      </c:spPr>
    </c:plotArea>
    <c:legend>
      <c:legendPos val="t"/>
      <c:layout>
        <c:manualLayout>
          <c:xMode val="edge"/>
          <c:yMode val="edge"/>
          <c:x val="0.18225149756480022"/>
          <c:y val="0.12763422019026135"/>
          <c:w val="0.70460273616206281"/>
          <c:h val="0.12652310298086494"/>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userShapes r:id="rId5"/>
</c:chartSpace>
</file>

<file path=word/charts/chart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4"/>
    </mc:Choice>
    <mc:Fallback>
      <c:style val="4"/>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Topic Area - Common Performance Measures</a:t>
            </a:r>
            <a:br>
              <a:rPr lang="en-US"/>
            </a:br>
            <a:r>
              <a:rPr lang="en-US"/>
              <a:t>Activity #4</a:t>
            </a:r>
          </a:p>
        </c:rich>
      </c:tx>
      <c:layout>
        <c:manualLayout>
          <c:xMode val="edge"/>
          <c:yMode val="edge"/>
          <c:x val="0.22550607545054205"/>
          <c:y val="1.5640543542949398E-3"/>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3773248222116805"/>
          <c:y val="0.25325772269284524"/>
          <c:w val="0.78942722632790041"/>
          <c:h val="0.66602748393145406"/>
        </c:manualLayout>
      </c:layout>
      <c:barChart>
        <c:barDir val="col"/>
        <c:grouping val="percentStacked"/>
        <c:varyColors val="0"/>
        <c:ser>
          <c:idx val="3"/>
          <c:order val="3"/>
          <c:tx>
            <c:strRef>
              <c:f>'individual-chart-cpm'!$F$2</c:f>
              <c:strCache>
                <c:ptCount val="1"/>
                <c:pt idx="0">
                  <c:v>Completed</c:v>
                </c:pt>
              </c:strCache>
            </c:strRef>
          </c:tx>
          <c:spPr>
            <a:solidFill>
              <a:srgbClr val="99221F"/>
            </a:solidFill>
            <a:ln>
              <a:noFill/>
            </a:ln>
            <a:effectLst/>
          </c:spPr>
          <c:invertIfNegative val="0"/>
          <c:dLbls>
            <c:dLbl>
              <c:idx val="0"/>
              <c:layout>
                <c:manualLayout>
                  <c:x val="-0.18406285072951739"/>
                  <c:y val="-1.8390592148011325E-16"/>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5D5E-4B3E-9D8E-B960D7B28407}"/>
                </c:ext>
              </c:extLst>
            </c:dLbl>
            <c:dLbl>
              <c:idx val="1"/>
              <c:layout>
                <c:manualLayout>
                  <c:x val="-0.18855218855218855"/>
                  <c:y val="-1.8390592148011325E-16"/>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5D5E-4B3E-9D8E-B960D7B28407}"/>
                </c:ext>
              </c:extLst>
            </c:dLbl>
            <c:spPr>
              <a:noFill/>
              <a:ln>
                <a:noFill/>
              </a:ln>
              <a:effectLst/>
            </c:spPr>
            <c:txPr>
              <a:bodyPr rot="0" spcFirstLastPara="1" vertOverflow="ellipsis" vert="horz" wrap="square" lIns="38100" tIns="19050" rIns="38100" bIns="19050" anchor="ctr" anchorCtr="1">
                <a:spAutoFit/>
              </a:bodyPr>
              <a:lstStyle/>
              <a:p>
                <a:pPr>
                  <a:defRPr sz="1600" b="0" i="0" u="none" strike="noStrike" kern="1200" baseline="0">
                    <a:solidFill>
                      <a:sysClr val="windowText" lastClr="000000"/>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'individual-chart-cpm'!$B$3:$B$30</c:f>
              <c:strCache>
                <c:ptCount val="2"/>
                <c:pt idx="0">
                  <c:v>Activity</c:v>
                </c:pt>
                <c:pt idx="1">
                  <c:v>Outputs</c:v>
                </c:pt>
              </c:strCache>
              <c:extLst/>
            </c:strRef>
          </c:cat>
          <c:val>
            <c:numRef>
              <c:f>'individual-chart-cpm'!$F$3:$F$30</c:f>
              <c:numCache>
                <c:formatCode>0%</c:formatCode>
                <c:ptCount val="2"/>
                <c:pt idx="0">
                  <c:v>0.1111111111111111</c:v>
                </c:pt>
                <c:pt idx="1">
                  <c:v>0.1111111111111111</c:v>
                </c:pt>
              </c:numCache>
              <c:extLst/>
            </c:numRef>
          </c:val>
          <c:extLst>
            <c:ext xmlns:c16="http://schemas.microsoft.com/office/drawing/2014/chart" uri="{C3380CC4-5D6E-409C-BE32-E72D297353CC}">
              <c16:uniqueId val="{00000002-5D5E-4B3E-9D8E-B960D7B28407}"/>
            </c:ext>
          </c:extLst>
        </c:ser>
        <c:ser>
          <c:idx val="4"/>
          <c:order val="4"/>
          <c:tx>
            <c:strRef>
              <c:f>'individual-chart-cpm'!$G$2</c:f>
              <c:strCache>
                <c:ptCount val="1"/>
                <c:pt idx="0">
                  <c:v>90%</c:v>
                </c:pt>
              </c:strCache>
            </c:strRef>
          </c:tx>
          <c:spPr>
            <a:solidFill>
              <a:srgbClr val="D73D39"/>
            </a:solidFill>
            <a:ln>
              <a:noFill/>
            </a:ln>
            <a:effectLst/>
          </c:spPr>
          <c:invertIfNegative val="0"/>
          <c:dLbls>
            <c:dLbl>
              <c:idx val="0"/>
              <c:layout>
                <c:manualLayout>
                  <c:x val="-0.13468008707191356"/>
                  <c:y val="2.5076998231971059E-3"/>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5D5E-4B3E-9D8E-B960D7B28407}"/>
                </c:ext>
              </c:extLst>
            </c:dLbl>
            <c:dLbl>
              <c:idx val="1"/>
              <c:layout>
                <c:manualLayout>
                  <c:x val="-0.17957351290684631"/>
                  <c:y val="2.5078369905955195E-3"/>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5D5E-4B3E-9D8E-B960D7B28407}"/>
                </c:ext>
              </c:extLst>
            </c:dLbl>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'individual-chart-cpm'!$B$3:$B$30</c:f>
              <c:strCache>
                <c:ptCount val="2"/>
                <c:pt idx="0">
                  <c:v>Activity</c:v>
                </c:pt>
                <c:pt idx="1">
                  <c:v>Outputs</c:v>
                </c:pt>
              </c:strCache>
              <c:extLst/>
            </c:strRef>
          </c:cat>
          <c:val>
            <c:numRef>
              <c:f>'individual-chart-cpm'!$G$3:$G$30</c:f>
              <c:numCache>
                <c:formatCode>0%</c:formatCode>
                <c:ptCount val="2"/>
                <c:pt idx="0">
                  <c:v>3.7037037037037035E-2</c:v>
                </c:pt>
                <c:pt idx="1">
                  <c:v>3.7037037037037035E-2</c:v>
                </c:pt>
              </c:numCache>
              <c:extLst/>
            </c:numRef>
          </c:val>
          <c:extLst>
            <c:ext xmlns:c16="http://schemas.microsoft.com/office/drawing/2014/chart" uri="{C3380CC4-5D6E-409C-BE32-E72D297353CC}">
              <c16:uniqueId val="{00000005-5D5E-4B3E-9D8E-B960D7B28407}"/>
            </c:ext>
          </c:extLst>
        </c:ser>
        <c:ser>
          <c:idx val="5"/>
          <c:order val="5"/>
          <c:tx>
            <c:strRef>
              <c:f>'individual-chart-cpm'!$H$2</c:f>
              <c:strCache>
                <c:ptCount val="1"/>
                <c:pt idx="0">
                  <c:v>75%</c:v>
                </c:pt>
              </c:strCache>
            </c:strRef>
          </c:tx>
          <c:spPr>
            <a:solidFill>
              <a:srgbClr val="DC535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'individual-chart-cpm'!$B$3:$B$30</c:f>
              <c:strCache>
                <c:ptCount val="2"/>
                <c:pt idx="0">
                  <c:v>Activity</c:v>
                </c:pt>
                <c:pt idx="1">
                  <c:v>Outputs</c:v>
                </c:pt>
              </c:strCache>
              <c:extLst/>
            </c:strRef>
          </c:cat>
          <c:val>
            <c:numRef>
              <c:f>'individual-chart-cpm'!$H$3:$H$30</c:f>
              <c:numCache>
                <c:formatCode>General</c:formatCode>
                <c:ptCount val="2"/>
              </c:numCache>
              <c:extLst/>
            </c:numRef>
          </c:val>
          <c:extLst>
            <c:ext xmlns:c16="http://schemas.microsoft.com/office/drawing/2014/chart" uri="{C3380CC4-5D6E-409C-BE32-E72D297353CC}">
              <c16:uniqueId val="{00000006-5D5E-4B3E-9D8E-B960D7B28407}"/>
            </c:ext>
          </c:extLst>
        </c:ser>
        <c:ser>
          <c:idx val="6"/>
          <c:order val="6"/>
          <c:tx>
            <c:strRef>
              <c:f>'individual-chart-cpm'!$I$2</c:f>
              <c:strCache>
                <c:ptCount val="1"/>
                <c:pt idx="0">
                  <c:v>50%</c:v>
                </c:pt>
              </c:strCache>
            </c:strRef>
          </c:tx>
          <c:spPr>
            <a:solidFill>
              <a:srgbClr val="EBA19F"/>
            </a:solidFill>
            <a:ln>
              <a:noFill/>
            </a:ln>
            <a:effectLst/>
          </c:spPr>
          <c:invertIfNegative val="0"/>
          <c:dLbls>
            <c:dLbl>
              <c:idx val="0"/>
              <c:layout>
                <c:manualLayout>
                  <c:x val="-1.3468013468013467E-2"/>
                  <c:y val="0"/>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5D5E-4B3E-9D8E-B960D7B28407}"/>
                </c:ext>
              </c:extLst>
            </c:dLbl>
            <c:dLbl>
              <c:idx val="1"/>
              <c:layout>
                <c:manualLayout>
                  <c:x val="-2.2446689113355862E-2"/>
                  <c:y val="-2.5076395231160369E-3"/>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5D5E-4B3E-9D8E-B960D7B28407}"/>
                </c:ext>
              </c:extLst>
            </c:dLbl>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'individual-chart-cpm'!$B$3:$B$30</c:f>
              <c:strCache>
                <c:ptCount val="2"/>
                <c:pt idx="0">
                  <c:v>Activity</c:v>
                </c:pt>
                <c:pt idx="1">
                  <c:v>Outputs</c:v>
                </c:pt>
              </c:strCache>
              <c:extLst/>
            </c:strRef>
          </c:cat>
          <c:val>
            <c:numRef>
              <c:f>'individual-chart-cpm'!$I$3:$I$30</c:f>
              <c:numCache>
                <c:formatCode>0%</c:formatCode>
                <c:ptCount val="2"/>
                <c:pt idx="0">
                  <c:v>7.407407407407407E-2</c:v>
                </c:pt>
                <c:pt idx="1">
                  <c:v>3.7037037037037035E-2</c:v>
                </c:pt>
              </c:numCache>
              <c:extLst/>
            </c:numRef>
          </c:val>
          <c:extLst>
            <c:ext xmlns:c16="http://schemas.microsoft.com/office/drawing/2014/chart" uri="{C3380CC4-5D6E-409C-BE32-E72D297353CC}">
              <c16:uniqueId val="{00000009-5D5E-4B3E-9D8E-B960D7B28407}"/>
            </c:ext>
          </c:extLst>
        </c:ser>
        <c:ser>
          <c:idx val="7"/>
          <c:order val="7"/>
          <c:tx>
            <c:strRef>
              <c:f>'individual-chart-cpm'!$J$2</c:f>
              <c:strCache>
                <c:ptCount val="1"/>
                <c:pt idx="0">
                  <c:v>25%</c:v>
                </c:pt>
              </c:strCache>
            </c:strRef>
          </c:tx>
          <c:spPr>
            <a:solidFill>
              <a:srgbClr val="F3C6C5"/>
            </a:solidFill>
            <a:ln>
              <a:noFill/>
            </a:ln>
            <a:effectLst/>
          </c:spPr>
          <c:invertIfNegative val="0"/>
          <c:dLbls>
            <c:dLbl>
              <c:idx val="0"/>
              <c:layout>
                <c:manualLayout>
                  <c:x val="0"/>
                  <c:y val="-5.0154765137116484E-3"/>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5D5E-4B3E-9D8E-B960D7B28407}"/>
                </c:ext>
              </c:extLst>
            </c:dLbl>
            <c:dLbl>
              <c:idx val="1"/>
              <c:layout>
                <c:manualLayout>
                  <c:x val="-8.9786756453422295E-3"/>
                  <c:y val="-1.504623207365537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5D5E-4B3E-9D8E-B960D7B28407}"/>
                </c:ext>
              </c:extLst>
            </c:dLbl>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'individual-chart-cpm'!$B$3:$B$30</c:f>
              <c:strCache>
                <c:ptCount val="2"/>
                <c:pt idx="0">
                  <c:v>Activity</c:v>
                </c:pt>
                <c:pt idx="1">
                  <c:v>Outputs</c:v>
                </c:pt>
              </c:strCache>
              <c:extLst/>
            </c:strRef>
          </c:cat>
          <c:val>
            <c:numRef>
              <c:f>'individual-chart-cpm'!$J$3:$J$30</c:f>
              <c:numCache>
                <c:formatCode>0%</c:formatCode>
                <c:ptCount val="2"/>
                <c:pt idx="0">
                  <c:v>0.29629629629629628</c:v>
                </c:pt>
                <c:pt idx="1">
                  <c:v>0.25925925925925924</c:v>
                </c:pt>
              </c:numCache>
              <c:extLst/>
            </c:numRef>
          </c:val>
          <c:extLst>
            <c:ext xmlns:c16="http://schemas.microsoft.com/office/drawing/2014/chart" uri="{C3380CC4-5D6E-409C-BE32-E72D297353CC}">
              <c16:uniqueId val="{0000000C-5D5E-4B3E-9D8E-B960D7B28407}"/>
            </c:ext>
          </c:extLst>
        </c:ser>
        <c:ser>
          <c:idx val="8"/>
          <c:order val="8"/>
          <c:tx>
            <c:strRef>
              <c:f>'individual-chart-cpm'!$K$2</c:f>
              <c:strCache>
                <c:ptCount val="1"/>
                <c:pt idx="0">
                  <c:v>10%</c:v>
                </c:pt>
              </c:strCache>
            </c:strRef>
          </c:tx>
          <c:spPr>
            <a:solidFill>
              <a:schemeClr val="accent2">
                <a:tint val="56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'individual-chart-cpm'!$B$3:$B$30</c:f>
              <c:strCache>
                <c:ptCount val="2"/>
                <c:pt idx="0">
                  <c:v>Activity</c:v>
                </c:pt>
                <c:pt idx="1">
                  <c:v>Outputs</c:v>
                </c:pt>
              </c:strCache>
              <c:extLst/>
            </c:strRef>
          </c:cat>
          <c:val>
            <c:numRef>
              <c:f>'individual-chart-cpm'!$K$3:$K$30</c:f>
              <c:numCache>
                <c:formatCode>General</c:formatCode>
                <c:ptCount val="2"/>
              </c:numCache>
              <c:extLst/>
            </c:numRef>
          </c:val>
          <c:extLst>
            <c:ext xmlns:c16="http://schemas.microsoft.com/office/drawing/2014/chart" uri="{C3380CC4-5D6E-409C-BE32-E72D297353CC}">
              <c16:uniqueId val="{0000000D-5D5E-4B3E-9D8E-B960D7B28407}"/>
            </c:ext>
          </c:extLst>
        </c:ser>
        <c:ser>
          <c:idx val="9"/>
          <c:order val="9"/>
          <c:tx>
            <c:strRef>
              <c:f>'individual-chart-cpm'!$L$2</c:f>
              <c:strCache>
                <c:ptCount val="1"/>
                <c:pt idx="0">
                  <c:v>Not Started</c:v>
                </c:pt>
              </c:strCache>
            </c:strRef>
          </c:tx>
          <c:spPr>
            <a:solidFill>
              <a:srgbClr val="FCF2F2"/>
            </a:solidFill>
            <a:ln>
              <a:noFill/>
            </a:ln>
            <a:effectLst/>
          </c:spPr>
          <c:invertIfNegative val="0"/>
          <c:dLbls>
            <c:dLbl>
              <c:idx val="0"/>
              <c:layout>
                <c:manualLayout>
                  <c:x val="-1.3468013468013467E-2"/>
                  <c:y val="2.5076395231160369E-3"/>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5D5E-4B3E-9D8E-B960D7B28407}"/>
                </c:ext>
              </c:extLst>
            </c:dLbl>
            <c:dLbl>
              <c:idx val="1"/>
              <c:layout>
                <c:manualLayout>
                  <c:x val="8.9786756453423128E-3"/>
                  <c:y val="-2.0061708587366972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5D5E-4B3E-9D8E-B960D7B28407}"/>
                </c:ext>
              </c:extLst>
            </c:dLbl>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'individual-chart-cpm'!$B$3:$B$30</c:f>
              <c:strCache>
                <c:ptCount val="2"/>
                <c:pt idx="0">
                  <c:v>Activity</c:v>
                </c:pt>
                <c:pt idx="1">
                  <c:v>Outputs</c:v>
                </c:pt>
              </c:strCache>
              <c:extLst/>
            </c:strRef>
          </c:cat>
          <c:val>
            <c:numRef>
              <c:f>'individual-chart-cpm'!$L$3:$L$30</c:f>
              <c:numCache>
                <c:formatCode>0%</c:formatCode>
                <c:ptCount val="2"/>
                <c:pt idx="0">
                  <c:v>0.48148148148148145</c:v>
                </c:pt>
                <c:pt idx="1">
                  <c:v>0.55555555555555558</c:v>
                </c:pt>
              </c:numCache>
              <c:extLst/>
            </c:numRef>
          </c:val>
          <c:extLst>
            <c:ext xmlns:c16="http://schemas.microsoft.com/office/drawing/2014/chart" uri="{C3380CC4-5D6E-409C-BE32-E72D297353CC}">
              <c16:uniqueId val="{00000010-5D5E-4B3E-9D8E-B960D7B28407}"/>
            </c:ext>
          </c:extLst>
        </c:ser>
        <c:dLbls>
          <c:dLblPos val="ctr"/>
          <c:showLegendKey val="0"/>
          <c:showVal val="1"/>
          <c:showCatName val="0"/>
          <c:showSerName val="0"/>
          <c:showPercent val="0"/>
          <c:showBubbleSize val="0"/>
        </c:dLbls>
        <c:gapWidth val="150"/>
        <c:overlap val="100"/>
        <c:axId val="790958128"/>
        <c:axId val="790961408"/>
        <c:extLst>
          <c:ext xmlns:c15="http://schemas.microsoft.com/office/drawing/2012/chart" uri="{02D57815-91ED-43cb-92C2-25804820EDAC}">
            <c15:filteredBarSeries>
              <c15:ser>
                <c:idx val="0"/>
                <c:order val="0"/>
                <c:tx>
                  <c:strRef>
                    <c:extLst>
                      <c:ext uri="{02D57815-91ED-43cb-92C2-25804820EDAC}">
                        <c15:formulaRef>
                          <c15:sqref>'individual-chart-cpm'!$C$2</c15:sqref>
                        </c15:formulaRef>
                      </c:ext>
                    </c:extLst>
                    <c:strCache>
                      <c:ptCount val="1"/>
                      <c:pt idx="0">
                        <c:v>Completed</c:v>
                      </c:pt>
                    </c:strCache>
                  </c:strRef>
                </c:tx>
                <c:spPr>
                  <a:solidFill>
                    <a:schemeClr val="accent2">
                      <a:shade val="42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c:ext uri="{02D57815-91ED-43cb-92C2-25804820EDAC}">
                        <c15:formulaRef>
                          <c15:sqref>'individual-chart-cpm'!$B$3:$B$30</c15:sqref>
                        </c15:formulaRef>
                      </c:ext>
                    </c:extLst>
                    <c:strCache>
                      <c:ptCount val="2"/>
                      <c:pt idx="0">
                        <c:v>Activity</c:v>
                      </c:pt>
                      <c:pt idx="1">
                        <c:v>Outputs</c:v>
                      </c:pt>
                    </c:strCache>
                  </c:strRef>
                </c:cat>
                <c:val>
                  <c:numRef>
                    <c:extLst>
                      <c:ext uri="{02D57815-91ED-43cb-92C2-25804820EDAC}">
                        <c15:formulaRef>
                          <c15:sqref>'individual-chart-cpm'!$C$3:$C$30</c15:sqref>
                        </c15:formulaRef>
                      </c:ext>
                    </c:extLst>
                    <c:numCache>
                      <c:formatCode>0%</c:formatCode>
                      <c:ptCount val="2"/>
                      <c:pt idx="0">
                        <c:v>0.1111111111111111</c:v>
                      </c:pt>
                      <c:pt idx="1">
                        <c:v>0.1111111111111111</c:v>
                      </c:pt>
                    </c:numCache>
                  </c:numRef>
                </c:val>
                <c:extLst>
                  <c:ext xmlns:c16="http://schemas.microsoft.com/office/drawing/2014/chart" uri="{C3380CC4-5D6E-409C-BE32-E72D297353CC}">
                    <c16:uniqueId val="{00000011-5D5E-4B3E-9D8E-B960D7B28407}"/>
                  </c:ext>
                </c:extLst>
              </c15:ser>
            </c15:filteredBarSeries>
            <c15:filteredBarSeries>
              <c15:ser>
                <c:idx val="1"/>
                <c:order val="1"/>
                <c:tx>
                  <c:strRef>
                    <c:extLst xmlns:c15="http://schemas.microsoft.com/office/drawing/2012/chart">
                      <c:ext xmlns:c15="http://schemas.microsoft.com/office/drawing/2012/chart" uri="{02D57815-91ED-43cb-92C2-25804820EDAC}">
                        <c15:formulaRef>
                          <c15:sqref>'individual-chart-cpm'!$D$2</c15:sqref>
                        </c15:formulaRef>
                      </c:ext>
                    </c:extLst>
                    <c:strCache>
                      <c:ptCount val="1"/>
                      <c:pt idx="0">
                        <c:v>In progress</c:v>
                      </c:pt>
                    </c:strCache>
                  </c:strRef>
                </c:tx>
                <c:spPr>
                  <a:solidFill>
                    <a:schemeClr val="accent2">
                      <a:shade val="5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'individual-chart-cpm'!$B$3:$B$30</c15:sqref>
                        </c15:formulaRef>
                      </c:ext>
                    </c:extLst>
                    <c:strCache>
                      <c:ptCount val="2"/>
                      <c:pt idx="0">
                        <c:v>Activity</c:v>
                      </c:pt>
                      <c:pt idx="1">
                        <c:v>Outputs</c:v>
                      </c:pt>
                    </c:strCache>
                  </c:strRef>
                </c:cat>
                <c:val>
                  <c:numRef>
                    <c:extLst xmlns:c15="http://schemas.microsoft.com/office/drawing/2012/chart">
                      <c:ext xmlns:c15="http://schemas.microsoft.com/office/drawing/2012/chart" uri="{02D57815-91ED-43cb-92C2-25804820EDAC}">
                        <c15:formulaRef>
                          <c15:sqref>'individual-chart-cpm'!$D$3:$D$30</c15:sqref>
                        </c15:formulaRef>
                      </c:ext>
                    </c:extLst>
                    <c:numCache>
                      <c:formatCode>0%</c:formatCode>
                      <c:ptCount val="2"/>
                      <c:pt idx="0">
                        <c:v>0.40740740740740738</c:v>
                      </c:pt>
                      <c:pt idx="1">
                        <c:v>0.33333333333333331</c:v>
                      </c:pt>
                    </c:numCache>
                  </c:numRef>
                </c:val>
                <c:extLst xmlns:c15="http://schemas.microsoft.com/office/drawing/2012/chart">
                  <c:ext xmlns:c16="http://schemas.microsoft.com/office/drawing/2014/chart" uri="{C3380CC4-5D6E-409C-BE32-E72D297353CC}">
                    <c16:uniqueId val="{00000012-5D5E-4B3E-9D8E-B960D7B28407}"/>
                  </c:ext>
                </c:extLst>
              </c15:ser>
            </c15:filteredBarSeries>
            <c15:filteredBarSeries>
              <c15:ser>
                <c:idx val="2"/>
                <c:order val="2"/>
                <c:tx>
                  <c:strRef>
                    <c:extLst xmlns:c15="http://schemas.microsoft.com/office/drawing/2012/chart">
                      <c:ext xmlns:c15="http://schemas.microsoft.com/office/drawing/2012/chart" uri="{02D57815-91ED-43cb-92C2-25804820EDAC}">
                        <c15:formulaRef>
                          <c15:sqref>'individual-chart-cpm'!$E$2</c15:sqref>
                        </c15:formulaRef>
                      </c:ext>
                    </c:extLst>
                    <c:strCache>
                      <c:ptCount val="1"/>
                      <c:pt idx="0">
                        <c:v>Not started</c:v>
                      </c:pt>
                    </c:strCache>
                  </c:strRef>
                </c:tx>
                <c:spPr>
                  <a:solidFill>
                    <a:schemeClr val="accent2">
                      <a:shade val="68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'individual-chart-cpm'!$B$3:$B$30</c15:sqref>
                        </c15:formulaRef>
                      </c:ext>
                    </c:extLst>
                    <c:strCache>
                      <c:ptCount val="2"/>
                      <c:pt idx="0">
                        <c:v>Activity</c:v>
                      </c:pt>
                      <c:pt idx="1">
                        <c:v>Outputs</c:v>
                      </c:pt>
                    </c:strCache>
                  </c:strRef>
                </c:cat>
                <c:val>
                  <c:numRef>
                    <c:extLst xmlns:c15="http://schemas.microsoft.com/office/drawing/2012/chart">
                      <c:ext xmlns:c15="http://schemas.microsoft.com/office/drawing/2012/chart" uri="{02D57815-91ED-43cb-92C2-25804820EDAC}">
                        <c15:formulaRef>
                          <c15:sqref>'individual-chart-cpm'!$E$3:$E$30</c15:sqref>
                        </c15:formulaRef>
                      </c:ext>
                    </c:extLst>
                    <c:numCache>
                      <c:formatCode>0%</c:formatCode>
                      <c:ptCount val="2"/>
                      <c:pt idx="0">
                        <c:v>0.48148148148148145</c:v>
                      </c:pt>
                      <c:pt idx="1">
                        <c:v>0.55555555555555558</c:v>
                      </c:pt>
                    </c:numCache>
                  </c:numRef>
                </c:val>
                <c:extLst xmlns:c15="http://schemas.microsoft.com/office/drawing/2012/chart">
                  <c:ext xmlns:c16="http://schemas.microsoft.com/office/drawing/2014/chart" uri="{C3380CC4-5D6E-409C-BE32-E72D297353CC}">
                    <c16:uniqueId val="{00000013-5D5E-4B3E-9D8E-B960D7B28407}"/>
                  </c:ext>
                </c:extLst>
              </c15:ser>
            </c15:filteredBarSeries>
          </c:ext>
        </c:extLst>
      </c:barChart>
      <c:catAx>
        <c:axId val="7909581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n-US"/>
          </a:p>
        </c:txPr>
        <c:crossAx val="790961408"/>
        <c:crosses val="autoZero"/>
        <c:auto val="1"/>
        <c:lblAlgn val="ctr"/>
        <c:lblOffset val="100"/>
        <c:noMultiLvlLbl val="0"/>
      </c:catAx>
      <c:valAx>
        <c:axId val="790961408"/>
        <c:scaling>
          <c:orientation val="minMax"/>
          <c:min val="0"/>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90958128"/>
        <c:crossesAt val="1"/>
        <c:crossBetween val="between"/>
      </c:valAx>
      <c:spPr>
        <a:noFill/>
        <a:ln>
          <a:noFill/>
        </a:ln>
        <a:effectLst/>
      </c:spPr>
    </c:plotArea>
    <c:legend>
      <c:legendPos val="t"/>
      <c:layout>
        <c:manualLayout>
          <c:xMode val="edge"/>
          <c:yMode val="edge"/>
          <c:x val="0.18225149756480022"/>
          <c:y val="0.12763422019026135"/>
          <c:w val="0.70460273616206281"/>
          <c:h val="0.12652310298086494"/>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userShapes r:id="rId5"/>
</c:chartSpace>
</file>

<file path=word/charts/chart3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4"/>
    </mc:Choice>
    <mc:Fallback>
      <c:style val="4"/>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Topic Area - Common Performance Measures</a:t>
            </a:r>
            <a:br>
              <a:rPr lang="en-US"/>
            </a:br>
            <a:r>
              <a:rPr lang="en-US"/>
              <a:t>Activity #5</a:t>
            </a:r>
          </a:p>
        </c:rich>
      </c:tx>
      <c:layout>
        <c:manualLayout>
          <c:xMode val="edge"/>
          <c:yMode val="edge"/>
          <c:x val="0.22550607545054205"/>
          <c:y val="1.5640543542949398E-3"/>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3773248222116805"/>
          <c:y val="0.25325772269284524"/>
          <c:w val="0.78942722632790041"/>
          <c:h val="0.66602748393145406"/>
        </c:manualLayout>
      </c:layout>
      <c:barChart>
        <c:barDir val="col"/>
        <c:grouping val="percentStacked"/>
        <c:varyColors val="0"/>
        <c:ser>
          <c:idx val="3"/>
          <c:order val="3"/>
          <c:tx>
            <c:strRef>
              <c:f>'individual-chart-cpm'!$F$2</c:f>
              <c:strCache>
                <c:ptCount val="1"/>
                <c:pt idx="0">
                  <c:v>Completed</c:v>
                </c:pt>
              </c:strCache>
            </c:strRef>
          </c:tx>
          <c:spPr>
            <a:solidFill>
              <a:srgbClr val="99221F"/>
            </a:solidFill>
            <a:ln>
              <a:noFill/>
            </a:ln>
            <a:effectLst/>
          </c:spPr>
          <c:invertIfNegative val="0"/>
          <c:dLbls>
            <c:dLbl>
              <c:idx val="0"/>
              <c:layout>
                <c:manualLayout>
                  <c:x val="8.9786724714608999E-3"/>
                  <c:y val="-4.5138596817551307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5BEF-4BB1-B4F8-39D21A9146A6}"/>
                </c:ext>
              </c:extLst>
            </c:dLbl>
            <c:dLbl>
              <c:idx val="1"/>
              <c:layout>
                <c:manualLayout>
                  <c:x val="0"/>
                  <c:y val="-4.7646296640748501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5BEF-4BB1-B4F8-39D21A9146A6}"/>
                </c:ext>
              </c:extLst>
            </c:dLbl>
            <c:spPr>
              <a:noFill/>
              <a:ln>
                <a:noFill/>
              </a:ln>
              <a:effectLst/>
            </c:spPr>
            <c:txPr>
              <a:bodyPr rot="0" spcFirstLastPara="1" vertOverflow="ellipsis" vert="horz" wrap="square" lIns="38100" tIns="19050" rIns="38100" bIns="19050" anchor="ctr" anchorCtr="1">
                <a:spAutoFit/>
              </a:bodyPr>
              <a:lstStyle/>
              <a:p>
                <a:pPr>
                  <a:defRPr sz="1600" b="0"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'individual-chart-cpm'!$B$3:$B$30</c:f>
              <c:strCache>
                <c:ptCount val="2"/>
                <c:pt idx="0">
                  <c:v>Activity</c:v>
                </c:pt>
                <c:pt idx="1">
                  <c:v>Outputs</c:v>
                </c:pt>
              </c:strCache>
              <c:extLst/>
            </c:strRef>
          </c:cat>
          <c:val>
            <c:numRef>
              <c:f>'individual-chart-cpm'!$F$3:$F$30</c:f>
              <c:numCache>
                <c:formatCode>0%</c:formatCode>
                <c:ptCount val="2"/>
                <c:pt idx="0">
                  <c:v>0.25</c:v>
                </c:pt>
                <c:pt idx="1">
                  <c:v>0.25</c:v>
                </c:pt>
              </c:numCache>
              <c:extLst/>
            </c:numRef>
          </c:val>
          <c:extLst>
            <c:ext xmlns:c16="http://schemas.microsoft.com/office/drawing/2014/chart" uri="{C3380CC4-5D6E-409C-BE32-E72D297353CC}">
              <c16:uniqueId val="{00000002-5BEF-4BB1-B4F8-39D21A9146A6}"/>
            </c:ext>
          </c:extLst>
        </c:ser>
        <c:ser>
          <c:idx val="4"/>
          <c:order val="4"/>
          <c:tx>
            <c:strRef>
              <c:f>'individual-chart-cpm'!$G$2</c:f>
              <c:strCache>
                <c:ptCount val="1"/>
                <c:pt idx="0">
                  <c:v>90%</c:v>
                </c:pt>
              </c:strCache>
            </c:strRef>
          </c:tx>
          <c:spPr>
            <a:solidFill>
              <a:srgbClr val="D73D39"/>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'individual-chart-cpm'!$B$3:$B$30</c:f>
              <c:strCache>
                <c:ptCount val="2"/>
                <c:pt idx="0">
                  <c:v>Activity</c:v>
                </c:pt>
                <c:pt idx="1">
                  <c:v>Outputs</c:v>
                </c:pt>
              </c:strCache>
              <c:extLst/>
            </c:strRef>
          </c:cat>
          <c:val>
            <c:numRef>
              <c:f>'individual-chart-cpm'!$G$3:$G$30</c:f>
              <c:numCache>
                <c:formatCode>General</c:formatCode>
                <c:ptCount val="2"/>
              </c:numCache>
              <c:extLst/>
            </c:numRef>
          </c:val>
          <c:extLst>
            <c:ext xmlns:c16="http://schemas.microsoft.com/office/drawing/2014/chart" uri="{C3380CC4-5D6E-409C-BE32-E72D297353CC}">
              <c16:uniqueId val="{00000003-5BEF-4BB1-B4F8-39D21A9146A6}"/>
            </c:ext>
          </c:extLst>
        </c:ser>
        <c:ser>
          <c:idx val="5"/>
          <c:order val="5"/>
          <c:tx>
            <c:strRef>
              <c:f>'individual-chart-cpm'!$H$2</c:f>
              <c:strCache>
                <c:ptCount val="1"/>
                <c:pt idx="0">
                  <c:v>75%</c:v>
                </c:pt>
              </c:strCache>
            </c:strRef>
          </c:tx>
          <c:spPr>
            <a:solidFill>
              <a:srgbClr val="DC535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'individual-chart-cpm'!$B$3:$B$30</c:f>
              <c:strCache>
                <c:ptCount val="2"/>
                <c:pt idx="0">
                  <c:v>Activity</c:v>
                </c:pt>
                <c:pt idx="1">
                  <c:v>Outputs</c:v>
                </c:pt>
              </c:strCache>
              <c:extLst/>
            </c:strRef>
          </c:cat>
          <c:val>
            <c:numRef>
              <c:f>'individual-chart-cpm'!$H$3:$H$30</c:f>
              <c:numCache>
                <c:formatCode>General</c:formatCode>
                <c:ptCount val="2"/>
              </c:numCache>
              <c:extLst/>
            </c:numRef>
          </c:val>
          <c:extLst>
            <c:ext xmlns:c16="http://schemas.microsoft.com/office/drawing/2014/chart" uri="{C3380CC4-5D6E-409C-BE32-E72D297353CC}">
              <c16:uniqueId val="{00000004-5BEF-4BB1-B4F8-39D21A9146A6}"/>
            </c:ext>
          </c:extLst>
        </c:ser>
        <c:ser>
          <c:idx val="6"/>
          <c:order val="6"/>
          <c:tx>
            <c:strRef>
              <c:f>'individual-chart-cpm'!$I$2</c:f>
              <c:strCache>
                <c:ptCount val="1"/>
                <c:pt idx="0">
                  <c:v>50%</c:v>
                </c:pt>
              </c:strCache>
            </c:strRef>
          </c:tx>
          <c:spPr>
            <a:solidFill>
              <a:srgbClr val="EBA19F"/>
            </a:solidFill>
            <a:ln>
              <a:noFill/>
            </a:ln>
            <a:effectLst/>
          </c:spPr>
          <c:invertIfNegative val="0"/>
          <c:dLbls>
            <c:dLbl>
              <c:idx val="0"/>
              <c:layout>
                <c:manualLayout>
                  <c:x val="4.4893378226711564E-3"/>
                  <c:y val="-7.5233135043072594E-3"/>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5BEF-4BB1-B4F8-39D21A9146A6}"/>
                </c:ext>
              </c:extLst>
            </c:dLbl>
            <c:dLbl>
              <c:idx val="1"/>
              <c:layout>
                <c:manualLayout>
                  <c:x val="4.4893378226711564E-3"/>
                  <c:y val="-1.5047021943573668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5BEF-4BB1-B4F8-39D21A9146A6}"/>
                </c:ext>
              </c:extLst>
            </c:dLbl>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'individual-chart-cpm'!$B$3:$B$30</c:f>
              <c:strCache>
                <c:ptCount val="2"/>
                <c:pt idx="0">
                  <c:v>Activity</c:v>
                </c:pt>
                <c:pt idx="1">
                  <c:v>Outputs</c:v>
                </c:pt>
              </c:strCache>
              <c:extLst/>
            </c:strRef>
          </c:cat>
          <c:val>
            <c:numRef>
              <c:f>'individual-chart-cpm'!$I$3:$I$30</c:f>
              <c:numCache>
                <c:formatCode>0%</c:formatCode>
                <c:ptCount val="2"/>
                <c:pt idx="0">
                  <c:v>0.625</c:v>
                </c:pt>
                <c:pt idx="1">
                  <c:v>0.625</c:v>
                </c:pt>
              </c:numCache>
              <c:extLst/>
            </c:numRef>
          </c:val>
          <c:extLst>
            <c:ext xmlns:c16="http://schemas.microsoft.com/office/drawing/2014/chart" uri="{C3380CC4-5D6E-409C-BE32-E72D297353CC}">
              <c16:uniqueId val="{00000007-5BEF-4BB1-B4F8-39D21A9146A6}"/>
            </c:ext>
          </c:extLst>
        </c:ser>
        <c:ser>
          <c:idx val="7"/>
          <c:order val="7"/>
          <c:tx>
            <c:strRef>
              <c:f>'individual-chart-cpm'!$J$2</c:f>
              <c:strCache>
                <c:ptCount val="1"/>
                <c:pt idx="0">
                  <c:v>25%</c:v>
                </c:pt>
              </c:strCache>
            </c:strRef>
          </c:tx>
          <c:spPr>
            <a:solidFill>
              <a:srgbClr val="F3C6C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'individual-chart-cpm'!$B$3:$B$30</c:f>
              <c:strCache>
                <c:ptCount val="2"/>
                <c:pt idx="0">
                  <c:v>Activity</c:v>
                </c:pt>
                <c:pt idx="1">
                  <c:v>Outputs</c:v>
                </c:pt>
              </c:strCache>
              <c:extLst/>
            </c:strRef>
          </c:cat>
          <c:val>
            <c:numRef>
              <c:f>'individual-chart-cpm'!$J$3:$J$30</c:f>
              <c:numCache>
                <c:formatCode>General</c:formatCode>
                <c:ptCount val="2"/>
              </c:numCache>
              <c:extLst/>
            </c:numRef>
          </c:val>
          <c:extLst>
            <c:ext xmlns:c16="http://schemas.microsoft.com/office/drawing/2014/chart" uri="{C3380CC4-5D6E-409C-BE32-E72D297353CC}">
              <c16:uniqueId val="{00000008-5BEF-4BB1-B4F8-39D21A9146A6}"/>
            </c:ext>
          </c:extLst>
        </c:ser>
        <c:ser>
          <c:idx val="8"/>
          <c:order val="8"/>
          <c:tx>
            <c:strRef>
              <c:f>'individual-chart-cpm'!$K$2</c:f>
              <c:strCache>
                <c:ptCount val="1"/>
                <c:pt idx="0">
                  <c:v>10%</c:v>
                </c:pt>
              </c:strCache>
            </c:strRef>
          </c:tx>
          <c:spPr>
            <a:solidFill>
              <a:schemeClr val="accent2">
                <a:tint val="56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'individual-chart-cpm'!$B$3:$B$30</c:f>
              <c:strCache>
                <c:ptCount val="2"/>
                <c:pt idx="0">
                  <c:v>Activity</c:v>
                </c:pt>
                <c:pt idx="1">
                  <c:v>Outputs</c:v>
                </c:pt>
              </c:strCache>
              <c:extLst/>
            </c:strRef>
          </c:cat>
          <c:val>
            <c:numRef>
              <c:f>'individual-chart-cpm'!$K$3:$K$30</c:f>
              <c:numCache>
                <c:formatCode>General</c:formatCode>
                <c:ptCount val="2"/>
              </c:numCache>
              <c:extLst/>
            </c:numRef>
          </c:val>
          <c:extLst>
            <c:ext xmlns:c16="http://schemas.microsoft.com/office/drawing/2014/chart" uri="{C3380CC4-5D6E-409C-BE32-E72D297353CC}">
              <c16:uniqueId val="{00000009-5BEF-4BB1-B4F8-39D21A9146A6}"/>
            </c:ext>
          </c:extLst>
        </c:ser>
        <c:ser>
          <c:idx val="9"/>
          <c:order val="9"/>
          <c:tx>
            <c:strRef>
              <c:f>'individual-chart-cpm'!$L$2</c:f>
              <c:strCache>
                <c:ptCount val="1"/>
                <c:pt idx="0">
                  <c:v>Not Started</c:v>
                </c:pt>
              </c:strCache>
            </c:strRef>
          </c:tx>
          <c:spPr>
            <a:solidFill>
              <a:srgbClr val="FCF2F2"/>
            </a:solidFill>
            <a:ln>
              <a:noFill/>
            </a:ln>
            <a:effectLst/>
          </c:spPr>
          <c:invertIfNegative val="0"/>
          <c:dLbls>
            <c:dLbl>
              <c:idx val="0"/>
              <c:layout>
                <c:manualLayout>
                  <c:x val="-8.9786756453423128E-3"/>
                  <c:y val="-7.5231160368276848E-3"/>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5BEF-4BB1-B4F8-39D21A9146A6}"/>
                </c:ext>
              </c:extLst>
            </c:dLbl>
            <c:dLbl>
              <c:idx val="1"/>
              <c:layout>
                <c:manualLayout>
                  <c:x val="-4.489337822671074E-3"/>
                  <c:y val="-5.0152790462321198E-3"/>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5BEF-4BB1-B4F8-39D21A9146A6}"/>
                </c:ext>
              </c:extLst>
            </c:dLbl>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'individual-chart-cpm'!$B$3:$B$30</c:f>
              <c:strCache>
                <c:ptCount val="2"/>
                <c:pt idx="0">
                  <c:v>Activity</c:v>
                </c:pt>
                <c:pt idx="1">
                  <c:v>Outputs</c:v>
                </c:pt>
              </c:strCache>
              <c:extLst/>
            </c:strRef>
          </c:cat>
          <c:val>
            <c:numRef>
              <c:f>'individual-chart-cpm'!$L$3:$L$30</c:f>
              <c:numCache>
                <c:formatCode>0%</c:formatCode>
                <c:ptCount val="2"/>
                <c:pt idx="0">
                  <c:v>0.125</c:v>
                </c:pt>
                <c:pt idx="1">
                  <c:v>0.125</c:v>
                </c:pt>
              </c:numCache>
              <c:extLst/>
            </c:numRef>
          </c:val>
          <c:extLst>
            <c:ext xmlns:c16="http://schemas.microsoft.com/office/drawing/2014/chart" uri="{C3380CC4-5D6E-409C-BE32-E72D297353CC}">
              <c16:uniqueId val="{0000000C-5BEF-4BB1-B4F8-39D21A9146A6}"/>
            </c:ext>
          </c:extLst>
        </c:ser>
        <c:dLbls>
          <c:dLblPos val="ctr"/>
          <c:showLegendKey val="0"/>
          <c:showVal val="1"/>
          <c:showCatName val="0"/>
          <c:showSerName val="0"/>
          <c:showPercent val="0"/>
          <c:showBubbleSize val="0"/>
        </c:dLbls>
        <c:gapWidth val="150"/>
        <c:overlap val="100"/>
        <c:axId val="790958128"/>
        <c:axId val="790961408"/>
        <c:extLst>
          <c:ext xmlns:c15="http://schemas.microsoft.com/office/drawing/2012/chart" uri="{02D57815-91ED-43cb-92C2-25804820EDAC}">
            <c15:filteredBarSeries>
              <c15:ser>
                <c:idx val="0"/>
                <c:order val="0"/>
                <c:tx>
                  <c:strRef>
                    <c:extLst>
                      <c:ext uri="{02D57815-91ED-43cb-92C2-25804820EDAC}">
                        <c15:formulaRef>
                          <c15:sqref>'individual-chart-cpm'!$C$2</c15:sqref>
                        </c15:formulaRef>
                      </c:ext>
                    </c:extLst>
                    <c:strCache>
                      <c:ptCount val="1"/>
                      <c:pt idx="0">
                        <c:v>Completed</c:v>
                      </c:pt>
                    </c:strCache>
                  </c:strRef>
                </c:tx>
                <c:spPr>
                  <a:solidFill>
                    <a:schemeClr val="accent2">
                      <a:shade val="42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c:ext uri="{02D57815-91ED-43cb-92C2-25804820EDAC}">
                        <c15:formulaRef>
                          <c15:sqref>'individual-chart-cpm'!$B$3:$B$30</c15:sqref>
                        </c15:formulaRef>
                      </c:ext>
                    </c:extLst>
                    <c:strCache>
                      <c:ptCount val="2"/>
                      <c:pt idx="0">
                        <c:v>Activity</c:v>
                      </c:pt>
                      <c:pt idx="1">
                        <c:v>Outputs</c:v>
                      </c:pt>
                    </c:strCache>
                  </c:strRef>
                </c:cat>
                <c:val>
                  <c:numRef>
                    <c:extLst>
                      <c:ext uri="{02D57815-91ED-43cb-92C2-25804820EDAC}">
                        <c15:formulaRef>
                          <c15:sqref>'individual-chart-cpm'!$C$3:$C$30</c15:sqref>
                        </c15:formulaRef>
                      </c:ext>
                    </c:extLst>
                    <c:numCache>
                      <c:formatCode>0%</c:formatCode>
                      <c:ptCount val="2"/>
                      <c:pt idx="0">
                        <c:v>0.25</c:v>
                      </c:pt>
                      <c:pt idx="1">
                        <c:v>0.25</c:v>
                      </c:pt>
                    </c:numCache>
                  </c:numRef>
                </c:val>
                <c:extLst>
                  <c:ext xmlns:c16="http://schemas.microsoft.com/office/drawing/2014/chart" uri="{C3380CC4-5D6E-409C-BE32-E72D297353CC}">
                    <c16:uniqueId val="{0000000D-5BEF-4BB1-B4F8-39D21A9146A6}"/>
                  </c:ext>
                </c:extLst>
              </c15:ser>
            </c15:filteredBarSeries>
            <c15:filteredBarSeries>
              <c15:ser>
                <c:idx val="1"/>
                <c:order val="1"/>
                <c:tx>
                  <c:strRef>
                    <c:extLst xmlns:c15="http://schemas.microsoft.com/office/drawing/2012/chart">
                      <c:ext xmlns:c15="http://schemas.microsoft.com/office/drawing/2012/chart" uri="{02D57815-91ED-43cb-92C2-25804820EDAC}">
                        <c15:formulaRef>
                          <c15:sqref>'individual-chart-cpm'!$D$2</c15:sqref>
                        </c15:formulaRef>
                      </c:ext>
                    </c:extLst>
                    <c:strCache>
                      <c:ptCount val="1"/>
                      <c:pt idx="0">
                        <c:v>In progress</c:v>
                      </c:pt>
                    </c:strCache>
                  </c:strRef>
                </c:tx>
                <c:spPr>
                  <a:solidFill>
                    <a:schemeClr val="accent2">
                      <a:shade val="5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'individual-chart-cpm'!$B$3:$B$30</c15:sqref>
                        </c15:formulaRef>
                      </c:ext>
                    </c:extLst>
                    <c:strCache>
                      <c:ptCount val="2"/>
                      <c:pt idx="0">
                        <c:v>Activity</c:v>
                      </c:pt>
                      <c:pt idx="1">
                        <c:v>Outputs</c:v>
                      </c:pt>
                    </c:strCache>
                  </c:strRef>
                </c:cat>
                <c:val>
                  <c:numRef>
                    <c:extLst xmlns:c15="http://schemas.microsoft.com/office/drawing/2012/chart">
                      <c:ext xmlns:c15="http://schemas.microsoft.com/office/drawing/2012/chart" uri="{02D57815-91ED-43cb-92C2-25804820EDAC}">
                        <c15:formulaRef>
                          <c15:sqref>'individual-chart-cpm'!$D$3:$D$30</c15:sqref>
                        </c15:formulaRef>
                      </c:ext>
                    </c:extLst>
                    <c:numCache>
                      <c:formatCode>0%</c:formatCode>
                      <c:ptCount val="2"/>
                      <c:pt idx="0">
                        <c:v>0.625</c:v>
                      </c:pt>
                      <c:pt idx="1">
                        <c:v>0.625</c:v>
                      </c:pt>
                    </c:numCache>
                  </c:numRef>
                </c:val>
                <c:extLst xmlns:c15="http://schemas.microsoft.com/office/drawing/2012/chart">
                  <c:ext xmlns:c16="http://schemas.microsoft.com/office/drawing/2014/chart" uri="{C3380CC4-5D6E-409C-BE32-E72D297353CC}">
                    <c16:uniqueId val="{0000000E-5BEF-4BB1-B4F8-39D21A9146A6}"/>
                  </c:ext>
                </c:extLst>
              </c15:ser>
            </c15:filteredBarSeries>
            <c15:filteredBarSeries>
              <c15:ser>
                <c:idx val="2"/>
                <c:order val="2"/>
                <c:tx>
                  <c:strRef>
                    <c:extLst xmlns:c15="http://schemas.microsoft.com/office/drawing/2012/chart">
                      <c:ext xmlns:c15="http://schemas.microsoft.com/office/drawing/2012/chart" uri="{02D57815-91ED-43cb-92C2-25804820EDAC}">
                        <c15:formulaRef>
                          <c15:sqref>'individual-chart-cpm'!$E$2</c15:sqref>
                        </c15:formulaRef>
                      </c:ext>
                    </c:extLst>
                    <c:strCache>
                      <c:ptCount val="1"/>
                      <c:pt idx="0">
                        <c:v>Not started</c:v>
                      </c:pt>
                    </c:strCache>
                  </c:strRef>
                </c:tx>
                <c:spPr>
                  <a:solidFill>
                    <a:schemeClr val="accent2">
                      <a:shade val="68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'individual-chart-cpm'!$B$3:$B$30</c15:sqref>
                        </c15:formulaRef>
                      </c:ext>
                    </c:extLst>
                    <c:strCache>
                      <c:ptCount val="2"/>
                      <c:pt idx="0">
                        <c:v>Activity</c:v>
                      </c:pt>
                      <c:pt idx="1">
                        <c:v>Outputs</c:v>
                      </c:pt>
                    </c:strCache>
                  </c:strRef>
                </c:cat>
                <c:val>
                  <c:numRef>
                    <c:extLst xmlns:c15="http://schemas.microsoft.com/office/drawing/2012/chart">
                      <c:ext xmlns:c15="http://schemas.microsoft.com/office/drawing/2012/chart" uri="{02D57815-91ED-43cb-92C2-25804820EDAC}">
                        <c15:formulaRef>
                          <c15:sqref>'individual-chart-cpm'!$E$3:$E$30</c15:sqref>
                        </c15:formulaRef>
                      </c:ext>
                    </c:extLst>
                    <c:numCache>
                      <c:formatCode>0%</c:formatCode>
                      <c:ptCount val="2"/>
                      <c:pt idx="0">
                        <c:v>0.125</c:v>
                      </c:pt>
                      <c:pt idx="1">
                        <c:v>0.125</c:v>
                      </c:pt>
                    </c:numCache>
                  </c:numRef>
                </c:val>
                <c:extLst xmlns:c15="http://schemas.microsoft.com/office/drawing/2012/chart">
                  <c:ext xmlns:c16="http://schemas.microsoft.com/office/drawing/2014/chart" uri="{C3380CC4-5D6E-409C-BE32-E72D297353CC}">
                    <c16:uniqueId val="{0000000F-5BEF-4BB1-B4F8-39D21A9146A6}"/>
                  </c:ext>
                </c:extLst>
              </c15:ser>
            </c15:filteredBarSeries>
          </c:ext>
        </c:extLst>
      </c:barChart>
      <c:catAx>
        <c:axId val="7909581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n-US"/>
          </a:p>
        </c:txPr>
        <c:crossAx val="790961408"/>
        <c:crosses val="autoZero"/>
        <c:auto val="1"/>
        <c:lblAlgn val="ctr"/>
        <c:lblOffset val="100"/>
        <c:noMultiLvlLbl val="0"/>
      </c:catAx>
      <c:valAx>
        <c:axId val="790961408"/>
        <c:scaling>
          <c:orientation val="minMax"/>
          <c:min val="0"/>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90958128"/>
        <c:crossesAt val="1"/>
        <c:crossBetween val="between"/>
      </c:valAx>
      <c:spPr>
        <a:noFill/>
        <a:ln>
          <a:noFill/>
        </a:ln>
        <a:effectLst/>
      </c:spPr>
    </c:plotArea>
    <c:legend>
      <c:legendPos val="t"/>
      <c:layout>
        <c:manualLayout>
          <c:xMode val="edge"/>
          <c:yMode val="edge"/>
          <c:x val="0.18225149756480022"/>
          <c:y val="0.12763422019026135"/>
          <c:w val="0.70460273616206281"/>
          <c:h val="0.12652310298086494"/>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userShapes r:id="rId5"/>
</c:chartSpace>
</file>

<file path=word/charts/chart3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4"/>
    </mc:Choice>
    <mc:Fallback>
      <c:style val="4"/>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Topic Area - Common Performance Measures</a:t>
            </a:r>
            <a:br>
              <a:rPr lang="en-US"/>
            </a:br>
            <a:r>
              <a:rPr lang="en-US"/>
              <a:t>Activity #6</a:t>
            </a:r>
          </a:p>
        </c:rich>
      </c:tx>
      <c:layout>
        <c:manualLayout>
          <c:xMode val="edge"/>
          <c:yMode val="edge"/>
          <c:x val="0.22550607545054205"/>
          <c:y val="1.5640543542949398E-3"/>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3773248222116805"/>
          <c:y val="0.25325772269284524"/>
          <c:w val="0.78942722632790041"/>
          <c:h val="0.66602748393145406"/>
        </c:manualLayout>
      </c:layout>
      <c:barChart>
        <c:barDir val="col"/>
        <c:grouping val="percentStacked"/>
        <c:varyColors val="0"/>
        <c:ser>
          <c:idx val="3"/>
          <c:order val="3"/>
          <c:tx>
            <c:strRef>
              <c:f>'individual-chart-cpm'!$F$2</c:f>
              <c:strCache>
                <c:ptCount val="1"/>
                <c:pt idx="0">
                  <c:v>Completed</c:v>
                </c:pt>
              </c:strCache>
            </c:strRef>
          </c:tx>
          <c:spPr>
            <a:solidFill>
              <a:srgbClr val="99221F"/>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600" b="0"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'individual-chart-cpm'!$B$3:$B$30</c:f>
              <c:strCache>
                <c:ptCount val="2"/>
                <c:pt idx="0">
                  <c:v>Activity</c:v>
                </c:pt>
                <c:pt idx="1">
                  <c:v>Outputs</c:v>
                </c:pt>
              </c:strCache>
              <c:extLst/>
            </c:strRef>
          </c:cat>
          <c:val>
            <c:numRef>
              <c:f>'individual-chart-cpm'!$F$3:$F$30</c:f>
              <c:numCache>
                <c:formatCode>0%</c:formatCode>
                <c:ptCount val="2"/>
                <c:pt idx="0">
                  <c:v>0.73913043478260865</c:v>
                </c:pt>
                <c:pt idx="1">
                  <c:v>0.73913043478260865</c:v>
                </c:pt>
              </c:numCache>
              <c:extLst/>
            </c:numRef>
          </c:val>
          <c:extLst>
            <c:ext xmlns:c16="http://schemas.microsoft.com/office/drawing/2014/chart" uri="{C3380CC4-5D6E-409C-BE32-E72D297353CC}">
              <c16:uniqueId val="{00000000-6E73-4548-8E00-D7881B0F3B0F}"/>
            </c:ext>
          </c:extLst>
        </c:ser>
        <c:ser>
          <c:idx val="4"/>
          <c:order val="4"/>
          <c:tx>
            <c:strRef>
              <c:f>'individual-chart-cpm'!$G$2</c:f>
              <c:strCache>
                <c:ptCount val="1"/>
                <c:pt idx="0">
                  <c:v>90%</c:v>
                </c:pt>
              </c:strCache>
            </c:strRef>
          </c:tx>
          <c:spPr>
            <a:solidFill>
              <a:srgbClr val="D73D39"/>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'individual-chart-cpm'!$B$3:$B$30</c:f>
              <c:strCache>
                <c:ptCount val="2"/>
                <c:pt idx="0">
                  <c:v>Activity</c:v>
                </c:pt>
                <c:pt idx="1">
                  <c:v>Outputs</c:v>
                </c:pt>
              </c:strCache>
              <c:extLst/>
            </c:strRef>
          </c:cat>
          <c:val>
            <c:numRef>
              <c:f>'individual-chart-cpm'!$G$3:$G$30</c:f>
              <c:numCache>
                <c:formatCode>General</c:formatCode>
                <c:ptCount val="2"/>
              </c:numCache>
              <c:extLst/>
            </c:numRef>
          </c:val>
          <c:extLst>
            <c:ext xmlns:c16="http://schemas.microsoft.com/office/drawing/2014/chart" uri="{C3380CC4-5D6E-409C-BE32-E72D297353CC}">
              <c16:uniqueId val="{00000001-6E73-4548-8E00-D7881B0F3B0F}"/>
            </c:ext>
          </c:extLst>
        </c:ser>
        <c:ser>
          <c:idx val="5"/>
          <c:order val="5"/>
          <c:tx>
            <c:strRef>
              <c:f>'individual-chart-cpm'!$H$2</c:f>
              <c:strCache>
                <c:ptCount val="1"/>
                <c:pt idx="0">
                  <c:v>75%</c:v>
                </c:pt>
              </c:strCache>
            </c:strRef>
          </c:tx>
          <c:spPr>
            <a:solidFill>
              <a:srgbClr val="DC5350"/>
            </a:solidFill>
            <a:ln>
              <a:noFill/>
            </a:ln>
            <a:effectLst/>
          </c:spPr>
          <c:invertIfNegative val="0"/>
          <c:dLbls>
            <c:dLbl>
              <c:idx val="0"/>
              <c:layout>
                <c:manualLayout>
                  <c:x val="-4.1151787985519167E-17"/>
                  <c:y val="-4.5976480370028312E-17"/>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6E73-4548-8E00-D7881B0F3B0F}"/>
                </c:ext>
              </c:extLst>
            </c:dLbl>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'individual-chart-cpm'!$B$3:$B$30</c:f>
              <c:strCache>
                <c:ptCount val="2"/>
                <c:pt idx="0">
                  <c:v>Activity</c:v>
                </c:pt>
                <c:pt idx="1">
                  <c:v>Outputs</c:v>
                </c:pt>
              </c:strCache>
              <c:extLst/>
            </c:strRef>
          </c:cat>
          <c:val>
            <c:numRef>
              <c:f>'individual-chart-cpm'!$H$3:$H$30</c:f>
              <c:numCache>
                <c:formatCode>General</c:formatCode>
                <c:ptCount val="2"/>
                <c:pt idx="0" formatCode="0%">
                  <c:v>4.3478260869565216E-2</c:v>
                </c:pt>
              </c:numCache>
              <c:extLst/>
            </c:numRef>
          </c:val>
          <c:extLst>
            <c:ext xmlns:c16="http://schemas.microsoft.com/office/drawing/2014/chart" uri="{C3380CC4-5D6E-409C-BE32-E72D297353CC}">
              <c16:uniqueId val="{00000003-6E73-4548-8E00-D7881B0F3B0F}"/>
            </c:ext>
          </c:extLst>
        </c:ser>
        <c:ser>
          <c:idx val="6"/>
          <c:order val="6"/>
          <c:tx>
            <c:strRef>
              <c:f>'individual-chart-cpm'!$I$2</c:f>
              <c:strCache>
                <c:ptCount val="1"/>
                <c:pt idx="0">
                  <c:v>50%</c:v>
                </c:pt>
              </c:strCache>
            </c:strRef>
          </c:tx>
          <c:spPr>
            <a:solidFill>
              <a:srgbClr val="EBA19F"/>
            </a:solidFill>
            <a:ln>
              <a:noFill/>
            </a:ln>
            <a:effectLst/>
          </c:spPr>
          <c:invertIfNegative val="0"/>
          <c:dLbls>
            <c:dLbl>
              <c:idx val="0"/>
              <c:layout>
                <c:manualLayout>
                  <c:x val="1.7957351290684584E-2"/>
                  <c:y val="-4.5976480370028312E-17"/>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6E73-4548-8E00-D7881B0F3B0F}"/>
                </c:ext>
              </c:extLst>
            </c:dLbl>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'individual-chart-cpm'!$B$3:$B$30</c:f>
              <c:strCache>
                <c:ptCount val="2"/>
                <c:pt idx="0">
                  <c:v>Activity</c:v>
                </c:pt>
                <c:pt idx="1">
                  <c:v>Outputs</c:v>
                </c:pt>
              </c:strCache>
              <c:extLst/>
            </c:strRef>
          </c:cat>
          <c:val>
            <c:numRef>
              <c:f>'individual-chart-cpm'!$I$3:$I$30</c:f>
              <c:numCache>
                <c:formatCode>0%</c:formatCode>
                <c:ptCount val="2"/>
                <c:pt idx="0">
                  <c:v>8.6956521739130432E-2</c:v>
                </c:pt>
                <c:pt idx="1">
                  <c:v>0.13043478260869565</c:v>
                </c:pt>
              </c:numCache>
              <c:extLst/>
            </c:numRef>
          </c:val>
          <c:extLst>
            <c:ext xmlns:c16="http://schemas.microsoft.com/office/drawing/2014/chart" uri="{C3380CC4-5D6E-409C-BE32-E72D297353CC}">
              <c16:uniqueId val="{00000005-6E73-4548-8E00-D7881B0F3B0F}"/>
            </c:ext>
          </c:extLst>
        </c:ser>
        <c:ser>
          <c:idx val="7"/>
          <c:order val="7"/>
          <c:tx>
            <c:strRef>
              <c:f>'individual-chart-cpm'!$J$2</c:f>
              <c:strCache>
                <c:ptCount val="1"/>
                <c:pt idx="0">
                  <c:v>25%</c:v>
                </c:pt>
              </c:strCache>
            </c:strRef>
          </c:tx>
          <c:spPr>
            <a:solidFill>
              <a:srgbClr val="F3C6C5"/>
            </a:solidFill>
            <a:ln>
              <a:noFill/>
            </a:ln>
            <a:effectLst/>
          </c:spPr>
          <c:invertIfNegative val="0"/>
          <c:dLbls>
            <c:dLbl>
              <c:idx val="0"/>
              <c:layout>
                <c:manualLayout>
                  <c:x val="1.3468013468013428E-2"/>
                  <c:y val="0"/>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6E73-4548-8E00-D7881B0F3B0F}"/>
                </c:ext>
              </c:extLst>
            </c:dLbl>
            <c:dLbl>
              <c:idx val="1"/>
              <c:layout>
                <c:manualLayout>
                  <c:x val="0"/>
                  <c:y val="2.5076395231160369E-3"/>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6E73-4548-8E00-D7881B0F3B0F}"/>
                </c:ext>
              </c:extLst>
            </c:dLbl>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'individual-chart-cpm'!$B$3:$B$30</c:f>
              <c:strCache>
                <c:ptCount val="2"/>
                <c:pt idx="0">
                  <c:v>Activity</c:v>
                </c:pt>
                <c:pt idx="1">
                  <c:v>Outputs</c:v>
                </c:pt>
              </c:strCache>
              <c:extLst/>
            </c:strRef>
          </c:cat>
          <c:val>
            <c:numRef>
              <c:f>'individual-chart-cpm'!$J$3:$J$30</c:f>
              <c:numCache>
                <c:formatCode>0%</c:formatCode>
                <c:ptCount val="2"/>
                <c:pt idx="0">
                  <c:v>8.6956521739130432E-2</c:v>
                </c:pt>
                <c:pt idx="1">
                  <c:v>8.6956521739130432E-2</c:v>
                </c:pt>
              </c:numCache>
              <c:extLst/>
            </c:numRef>
          </c:val>
          <c:extLst>
            <c:ext xmlns:c16="http://schemas.microsoft.com/office/drawing/2014/chart" uri="{C3380CC4-5D6E-409C-BE32-E72D297353CC}">
              <c16:uniqueId val="{00000008-6E73-4548-8E00-D7881B0F3B0F}"/>
            </c:ext>
          </c:extLst>
        </c:ser>
        <c:ser>
          <c:idx val="8"/>
          <c:order val="8"/>
          <c:tx>
            <c:strRef>
              <c:f>'individual-chart-cpm'!$K$2</c:f>
              <c:strCache>
                <c:ptCount val="1"/>
                <c:pt idx="0">
                  <c:v>10%</c:v>
                </c:pt>
              </c:strCache>
            </c:strRef>
          </c:tx>
          <c:spPr>
            <a:solidFill>
              <a:schemeClr val="accent2">
                <a:tint val="56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'individual-chart-cpm'!$B$3:$B$30</c:f>
              <c:strCache>
                <c:ptCount val="2"/>
                <c:pt idx="0">
                  <c:v>Activity</c:v>
                </c:pt>
                <c:pt idx="1">
                  <c:v>Outputs</c:v>
                </c:pt>
              </c:strCache>
              <c:extLst/>
            </c:strRef>
          </c:cat>
          <c:val>
            <c:numRef>
              <c:f>'individual-chart-cpm'!$K$3:$K$30</c:f>
              <c:numCache>
                <c:formatCode>General</c:formatCode>
                <c:ptCount val="2"/>
              </c:numCache>
              <c:extLst/>
            </c:numRef>
          </c:val>
          <c:extLst>
            <c:ext xmlns:c16="http://schemas.microsoft.com/office/drawing/2014/chart" uri="{C3380CC4-5D6E-409C-BE32-E72D297353CC}">
              <c16:uniqueId val="{00000009-6E73-4548-8E00-D7881B0F3B0F}"/>
            </c:ext>
          </c:extLst>
        </c:ser>
        <c:ser>
          <c:idx val="9"/>
          <c:order val="9"/>
          <c:tx>
            <c:strRef>
              <c:f>'individual-chart-cpm'!$L$2</c:f>
              <c:strCache>
                <c:ptCount val="1"/>
                <c:pt idx="0">
                  <c:v>Not Started</c:v>
                </c:pt>
              </c:strCache>
            </c:strRef>
          </c:tx>
          <c:spPr>
            <a:solidFill>
              <a:srgbClr val="FCF2F2"/>
            </a:solidFill>
            <a:ln>
              <a:noFill/>
            </a:ln>
            <a:effectLst/>
          </c:spPr>
          <c:invertIfNegative val="0"/>
          <c:dLbls>
            <c:dLbl>
              <c:idx val="0"/>
              <c:layout>
                <c:manualLayout>
                  <c:x val="8.9786756453422711E-3"/>
                  <c:y val="-4.5976480370028312E-17"/>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6E73-4548-8E00-D7881B0F3B0F}"/>
                </c:ext>
              </c:extLst>
            </c:dLbl>
            <c:dLbl>
              <c:idx val="1"/>
              <c:layout>
                <c:manualLayout>
                  <c:x val="1.3468013468013386E-2"/>
                  <c:y val="-4.5976480370028312E-17"/>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6E73-4548-8E00-D7881B0F3B0F}"/>
                </c:ext>
              </c:extLst>
            </c:dLbl>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'individual-chart-cpm'!$B$3:$B$30</c:f>
              <c:strCache>
                <c:ptCount val="2"/>
                <c:pt idx="0">
                  <c:v>Activity</c:v>
                </c:pt>
                <c:pt idx="1">
                  <c:v>Outputs</c:v>
                </c:pt>
              </c:strCache>
              <c:extLst/>
            </c:strRef>
          </c:cat>
          <c:val>
            <c:numRef>
              <c:f>'individual-chart-cpm'!$L$3:$L$30</c:f>
              <c:numCache>
                <c:formatCode>0%</c:formatCode>
                <c:ptCount val="2"/>
                <c:pt idx="0">
                  <c:v>4.3478260869565216E-2</c:v>
                </c:pt>
                <c:pt idx="1">
                  <c:v>4.3478260869565216E-2</c:v>
                </c:pt>
              </c:numCache>
              <c:extLst/>
            </c:numRef>
          </c:val>
          <c:extLst>
            <c:ext xmlns:c16="http://schemas.microsoft.com/office/drawing/2014/chart" uri="{C3380CC4-5D6E-409C-BE32-E72D297353CC}">
              <c16:uniqueId val="{0000000C-6E73-4548-8E00-D7881B0F3B0F}"/>
            </c:ext>
          </c:extLst>
        </c:ser>
        <c:dLbls>
          <c:dLblPos val="ctr"/>
          <c:showLegendKey val="0"/>
          <c:showVal val="1"/>
          <c:showCatName val="0"/>
          <c:showSerName val="0"/>
          <c:showPercent val="0"/>
          <c:showBubbleSize val="0"/>
        </c:dLbls>
        <c:gapWidth val="150"/>
        <c:overlap val="100"/>
        <c:axId val="790958128"/>
        <c:axId val="790961408"/>
        <c:extLst>
          <c:ext xmlns:c15="http://schemas.microsoft.com/office/drawing/2012/chart" uri="{02D57815-91ED-43cb-92C2-25804820EDAC}">
            <c15:filteredBarSeries>
              <c15:ser>
                <c:idx val="0"/>
                <c:order val="0"/>
                <c:tx>
                  <c:strRef>
                    <c:extLst>
                      <c:ext uri="{02D57815-91ED-43cb-92C2-25804820EDAC}">
                        <c15:formulaRef>
                          <c15:sqref>'individual-chart-cpm'!$C$2</c15:sqref>
                        </c15:formulaRef>
                      </c:ext>
                    </c:extLst>
                    <c:strCache>
                      <c:ptCount val="1"/>
                      <c:pt idx="0">
                        <c:v>Completed</c:v>
                      </c:pt>
                    </c:strCache>
                  </c:strRef>
                </c:tx>
                <c:spPr>
                  <a:solidFill>
                    <a:schemeClr val="accent2">
                      <a:shade val="42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c:ext uri="{02D57815-91ED-43cb-92C2-25804820EDAC}">
                        <c15:formulaRef>
                          <c15:sqref>'individual-chart-cpm'!$B$3:$B$30</c15:sqref>
                        </c15:formulaRef>
                      </c:ext>
                    </c:extLst>
                    <c:strCache>
                      <c:ptCount val="2"/>
                      <c:pt idx="0">
                        <c:v>Activity</c:v>
                      </c:pt>
                      <c:pt idx="1">
                        <c:v>Outputs</c:v>
                      </c:pt>
                    </c:strCache>
                  </c:strRef>
                </c:cat>
                <c:val>
                  <c:numRef>
                    <c:extLst>
                      <c:ext uri="{02D57815-91ED-43cb-92C2-25804820EDAC}">
                        <c15:formulaRef>
                          <c15:sqref>'individual-chart-cpm'!$C$3:$C$30</c15:sqref>
                        </c15:formulaRef>
                      </c:ext>
                    </c:extLst>
                    <c:numCache>
                      <c:formatCode>0%</c:formatCode>
                      <c:ptCount val="2"/>
                      <c:pt idx="0">
                        <c:v>0.73913043478260865</c:v>
                      </c:pt>
                      <c:pt idx="1">
                        <c:v>0.73913043478260865</c:v>
                      </c:pt>
                    </c:numCache>
                  </c:numRef>
                </c:val>
                <c:extLst>
                  <c:ext xmlns:c16="http://schemas.microsoft.com/office/drawing/2014/chart" uri="{C3380CC4-5D6E-409C-BE32-E72D297353CC}">
                    <c16:uniqueId val="{0000000D-6E73-4548-8E00-D7881B0F3B0F}"/>
                  </c:ext>
                </c:extLst>
              </c15:ser>
            </c15:filteredBarSeries>
            <c15:filteredBarSeries>
              <c15:ser>
                <c:idx val="1"/>
                <c:order val="1"/>
                <c:tx>
                  <c:strRef>
                    <c:extLst xmlns:c15="http://schemas.microsoft.com/office/drawing/2012/chart">
                      <c:ext xmlns:c15="http://schemas.microsoft.com/office/drawing/2012/chart" uri="{02D57815-91ED-43cb-92C2-25804820EDAC}">
                        <c15:formulaRef>
                          <c15:sqref>'individual-chart-cpm'!$D$2</c15:sqref>
                        </c15:formulaRef>
                      </c:ext>
                    </c:extLst>
                    <c:strCache>
                      <c:ptCount val="1"/>
                      <c:pt idx="0">
                        <c:v>In progress</c:v>
                      </c:pt>
                    </c:strCache>
                  </c:strRef>
                </c:tx>
                <c:spPr>
                  <a:solidFill>
                    <a:schemeClr val="accent2">
                      <a:shade val="5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'individual-chart-cpm'!$B$3:$B$30</c15:sqref>
                        </c15:formulaRef>
                      </c:ext>
                    </c:extLst>
                    <c:strCache>
                      <c:ptCount val="2"/>
                      <c:pt idx="0">
                        <c:v>Activity</c:v>
                      </c:pt>
                      <c:pt idx="1">
                        <c:v>Outputs</c:v>
                      </c:pt>
                    </c:strCache>
                  </c:strRef>
                </c:cat>
                <c:val>
                  <c:numRef>
                    <c:extLst xmlns:c15="http://schemas.microsoft.com/office/drawing/2012/chart">
                      <c:ext xmlns:c15="http://schemas.microsoft.com/office/drawing/2012/chart" uri="{02D57815-91ED-43cb-92C2-25804820EDAC}">
                        <c15:formulaRef>
                          <c15:sqref>'individual-chart-cpm'!$D$3:$D$30</c15:sqref>
                        </c15:formulaRef>
                      </c:ext>
                    </c:extLst>
                    <c:numCache>
                      <c:formatCode>0%</c:formatCode>
                      <c:ptCount val="2"/>
                      <c:pt idx="0">
                        <c:v>0.21739130434782608</c:v>
                      </c:pt>
                      <c:pt idx="1">
                        <c:v>0.21739130434782608</c:v>
                      </c:pt>
                    </c:numCache>
                  </c:numRef>
                </c:val>
                <c:extLst xmlns:c15="http://schemas.microsoft.com/office/drawing/2012/chart">
                  <c:ext xmlns:c16="http://schemas.microsoft.com/office/drawing/2014/chart" uri="{C3380CC4-5D6E-409C-BE32-E72D297353CC}">
                    <c16:uniqueId val="{0000000E-6E73-4548-8E00-D7881B0F3B0F}"/>
                  </c:ext>
                </c:extLst>
              </c15:ser>
            </c15:filteredBarSeries>
            <c15:filteredBarSeries>
              <c15:ser>
                <c:idx val="2"/>
                <c:order val="2"/>
                <c:tx>
                  <c:strRef>
                    <c:extLst xmlns:c15="http://schemas.microsoft.com/office/drawing/2012/chart">
                      <c:ext xmlns:c15="http://schemas.microsoft.com/office/drawing/2012/chart" uri="{02D57815-91ED-43cb-92C2-25804820EDAC}">
                        <c15:formulaRef>
                          <c15:sqref>'individual-chart-cpm'!$E$2</c15:sqref>
                        </c15:formulaRef>
                      </c:ext>
                    </c:extLst>
                    <c:strCache>
                      <c:ptCount val="1"/>
                      <c:pt idx="0">
                        <c:v>Not started</c:v>
                      </c:pt>
                    </c:strCache>
                  </c:strRef>
                </c:tx>
                <c:spPr>
                  <a:solidFill>
                    <a:schemeClr val="accent2">
                      <a:shade val="68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'individual-chart-cpm'!$B$3:$B$30</c15:sqref>
                        </c15:formulaRef>
                      </c:ext>
                    </c:extLst>
                    <c:strCache>
                      <c:ptCount val="2"/>
                      <c:pt idx="0">
                        <c:v>Activity</c:v>
                      </c:pt>
                      <c:pt idx="1">
                        <c:v>Outputs</c:v>
                      </c:pt>
                    </c:strCache>
                  </c:strRef>
                </c:cat>
                <c:val>
                  <c:numRef>
                    <c:extLst xmlns:c15="http://schemas.microsoft.com/office/drawing/2012/chart">
                      <c:ext xmlns:c15="http://schemas.microsoft.com/office/drawing/2012/chart" uri="{02D57815-91ED-43cb-92C2-25804820EDAC}">
                        <c15:formulaRef>
                          <c15:sqref>'individual-chart-cpm'!$E$3:$E$30</c15:sqref>
                        </c15:formulaRef>
                      </c:ext>
                    </c:extLst>
                    <c:numCache>
                      <c:formatCode>0%</c:formatCode>
                      <c:ptCount val="2"/>
                      <c:pt idx="0">
                        <c:v>4.3478260869565216E-2</c:v>
                      </c:pt>
                      <c:pt idx="1">
                        <c:v>4.3478260869565216E-2</c:v>
                      </c:pt>
                    </c:numCache>
                  </c:numRef>
                </c:val>
                <c:extLst xmlns:c15="http://schemas.microsoft.com/office/drawing/2012/chart">
                  <c:ext xmlns:c16="http://schemas.microsoft.com/office/drawing/2014/chart" uri="{C3380CC4-5D6E-409C-BE32-E72D297353CC}">
                    <c16:uniqueId val="{0000000F-6E73-4548-8E00-D7881B0F3B0F}"/>
                  </c:ext>
                </c:extLst>
              </c15:ser>
            </c15:filteredBarSeries>
          </c:ext>
        </c:extLst>
      </c:barChart>
      <c:catAx>
        <c:axId val="7909581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n-US"/>
          </a:p>
        </c:txPr>
        <c:crossAx val="790961408"/>
        <c:crosses val="autoZero"/>
        <c:auto val="1"/>
        <c:lblAlgn val="ctr"/>
        <c:lblOffset val="100"/>
        <c:noMultiLvlLbl val="0"/>
      </c:catAx>
      <c:valAx>
        <c:axId val="790961408"/>
        <c:scaling>
          <c:orientation val="minMax"/>
          <c:min val="0"/>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90958128"/>
        <c:crossesAt val="1"/>
        <c:crossBetween val="between"/>
      </c:valAx>
      <c:spPr>
        <a:noFill/>
        <a:ln>
          <a:noFill/>
        </a:ln>
        <a:effectLst/>
      </c:spPr>
    </c:plotArea>
    <c:legend>
      <c:legendPos val="t"/>
      <c:layout>
        <c:manualLayout>
          <c:xMode val="edge"/>
          <c:yMode val="edge"/>
          <c:x val="0.18225149756480022"/>
          <c:y val="0.12763422019026135"/>
          <c:w val="0.70460273616206281"/>
          <c:h val="0.12652310298086494"/>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userShapes r:id="rId5"/>
</c:chartSpace>
</file>

<file path=word/charts/chart3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4"/>
    </mc:Choice>
    <mc:Fallback>
      <c:style val="4"/>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Topic Area - Common Performance Measures</a:t>
            </a:r>
            <a:br>
              <a:rPr lang="en-US"/>
            </a:br>
            <a:r>
              <a:rPr lang="en-US"/>
              <a:t>Activity Unique</a:t>
            </a:r>
          </a:p>
        </c:rich>
      </c:tx>
      <c:layout>
        <c:manualLayout>
          <c:xMode val="edge"/>
          <c:yMode val="edge"/>
          <c:x val="0.22550607545054205"/>
          <c:y val="1.5640543542949398E-3"/>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3773248222116805"/>
          <c:y val="0.25325772269284524"/>
          <c:w val="0.78942722632790041"/>
          <c:h val="0.66602748393145406"/>
        </c:manualLayout>
      </c:layout>
      <c:barChart>
        <c:barDir val="col"/>
        <c:grouping val="percentStacked"/>
        <c:varyColors val="0"/>
        <c:ser>
          <c:idx val="3"/>
          <c:order val="3"/>
          <c:tx>
            <c:strRef>
              <c:f>'individual-chart-cpm'!$F$2</c:f>
              <c:strCache>
                <c:ptCount val="1"/>
                <c:pt idx="0">
                  <c:v>Completed</c:v>
                </c:pt>
              </c:strCache>
            </c:strRef>
          </c:tx>
          <c:spPr>
            <a:solidFill>
              <a:srgbClr val="99221F"/>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600" b="0" i="0" u="none" strike="noStrike" kern="1200" baseline="0">
                    <a:solidFill>
                      <a:sysClr val="windowText" lastClr="000000"/>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'individual-chart-cpm'!$B$3:$B$30</c:f>
              <c:strCache>
                <c:ptCount val="2"/>
                <c:pt idx="0">
                  <c:v>Activity</c:v>
                </c:pt>
                <c:pt idx="1">
                  <c:v>Outputs</c:v>
                </c:pt>
              </c:strCache>
              <c:extLst/>
            </c:strRef>
          </c:cat>
          <c:val>
            <c:numRef>
              <c:f>'individual-chart-cpm'!$F$3:$F$30</c:f>
              <c:numCache>
                <c:formatCode>General</c:formatCode>
                <c:ptCount val="2"/>
              </c:numCache>
              <c:extLst/>
            </c:numRef>
          </c:val>
          <c:extLst>
            <c:ext xmlns:c16="http://schemas.microsoft.com/office/drawing/2014/chart" uri="{C3380CC4-5D6E-409C-BE32-E72D297353CC}">
              <c16:uniqueId val="{00000000-1851-4521-BB81-2C4172AC5C1E}"/>
            </c:ext>
          </c:extLst>
        </c:ser>
        <c:ser>
          <c:idx val="4"/>
          <c:order val="4"/>
          <c:tx>
            <c:strRef>
              <c:f>'individual-chart-cpm'!$G$2</c:f>
              <c:strCache>
                <c:ptCount val="1"/>
                <c:pt idx="0">
                  <c:v>90%</c:v>
                </c:pt>
              </c:strCache>
            </c:strRef>
          </c:tx>
          <c:spPr>
            <a:solidFill>
              <a:srgbClr val="D73D39"/>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'individual-chart-cpm'!$B$3:$B$30</c:f>
              <c:strCache>
                <c:ptCount val="2"/>
                <c:pt idx="0">
                  <c:v>Activity</c:v>
                </c:pt>
                <c:pt idx="1">
                  <c:v>Outputs</c:v>
                </c:pt>
              </c:strCache>
              <c:extLst/>
            </c:strRef>
          </c:cat>
          <c:val>
            <c:numRef>
              <c:f>'individual-chart-cpm'!$G$3:$G$30</c:f>
              <c:numCache>
                <c:formatCode>General</c:formatCode>
                <c:ptCount val="2"/>
              </c:numCache>
              <c:extLst/>
            </c:numRef>
          </c:val>
          <c:extLst>
            <c:ext xmlns:c16="http://schemas.microsoft.com/office/drawing/2014/chart" uri="{C3380CC4-5D6E-409C-BE32-E72D297353CC}">
              <c16:uniqueId val="{00000001-1851-4521-BB81-2C4172AC5C1E}"/>
            </c:ext>
          </c:extLst>
        </c:ser>
        <c:ser>
          <c:idx val="5"/>
          <c:order val="5"/>
          <c:tx>
            <c:strRef>
              <c:f>'individual-chart-cpm'!$H$2</c:f>
              <c:strCache>
                <c:ptCount val="1"/>
                <c:pt idx="0">
                  <c:v>75%</c:v>
                </c:pt>
              </c:strCache>
            </c:strRef>
          </c:tx>
          <c:spPr>
            <a:solidFill>
              <a:srgbClr val="DC535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'individual-chart-cpm'!$B$3:$B$30</c:f>
              <c:strCache>
                <c:ptCount val="2"/>
                <c:pt idx="0">
                  <c:v>Activity</c:v>
                </c:pt>
                <c:pt idx="1">
                  <c:v>Outputs</c:v>
                </c:pt>
              </c:strCache>
              <c:extLst/>
            </c:strRef>
          </c:cat>
          <c:val>
            <c:numRef>
              <c:f>'individual-chart-cpm'!$H$3:$H$30</c:f>
              <c:numCache>
                <c:formatCode>General</c:formatCode>
                <c:ptCount val="2"/>
              </c:numCache>
              <c:extLst/>
            </c:numRef>
          </c:val>
          <c:extLst>
            <c:ext xmlns:c16="http://schemas.microsoft.com/office/drawing/2014/chart" uri="{C3380CC4-5D6E-409C-BE32-E72D297353CC}">
              <c16:uniqueId val="{00000002-1851-4521-BB81-2C4172AC5C1E}"/>
            </c:ext>
          </c:extLst>
        </c:ser>
        <c:ser>
          <c:idx val="6"/>
          <c:order val="6"/>
          <c:tx>
            <c:strRef>
              <c:f>'individual-chart-cpm'!$I$2</c:f>
              <c:strCache>
                <c:ptCount val="1"/>
                <c:pt idx="0">
                  <c:v>50%</c:v>
                </c:pt>
              </c:strCache>
            </c:strRef>
          </c:tx>
          <c:spPr>
            <a:solidFill>
              <a:srgbClr val="EBA19F"/>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'individual-chart-cpm'!$B$3:$B$30</c:f>
              <c:strCache>
                <c:ptCount val="2"/>
                <c:pt idx="0">
                  <c:v>Activity</c:v>
                </c:pt>
                <c:pt idx="1">
                  <c:v>Outputs</c:v>
                </c:pt>
              </c:strCache>
              <c:extLst/>
            </c:strRef>
          </c:cat>
          <c:val>
            <c:numRef>
              <c:f>'individual-chart-cpm'!$I$3:$I$30</c:f>
              <c:numCache>
                <c:formatCode>General</c:formatCode>
                <c:ptCount val="2"/>
              </c:numCache>
              <c:extLst/>
            </c:numRef>
          </c:val>
          <c:extLst>
            <c:ext xmlns:c16="http://schemas.microsoft.com/office/drawing/2014/chart" uri="{C3380CC4-5D6E-409C-BE32-E72D297353CC}">
              <c16:uniqueId val="{00000003-1851-4521-BB81-2C4172AC5C1E}"/>
            </c:ext>
          </c:extLst>
        </c:ser>
        <c:ser>
          <c:idx val="7"/>
          <c:order val="7"/>
          <c:tx>
            <c:strRef>
              <c:f>'individual-chart-cpm'!$J$2</c:f>
              <c:strCache>
                <c:ptCount val="1"/>
                <c:pt idx="0">
                  <c:v>25%</c:v>
                </c:pt>
              </c:strCache>
            </c:strRef>
          </c:tx>
          <c:spPr>
            <a:solidFill>
              <a:srgbClr val="F3C6C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'individual-chart-cpm'!$B$3:$B$30</c:f>
              <c:strCache>
                <c:ptCount val="2"/>
                <c:pt idx="0">
                  <c:v>Activity</c:v>
                </c:pt>
                <c:pt idx="1">
                  <c:v>Outputs</c:v>
                </c:pt>
              </c:strCache>
              <c:extLst/>
            </c:strRef>
          </c:cat>
          <c:val>
            <c:numRef>
              <c:f>'individual-chart-cpm'!$J$3:$J$30</c:f>
              <c:numCache>
                <c:formatCode>General</c:formatCode>
                <c:ptCount val="2"/>
              </c:numCache>
              <c:extLst/>
            </c:numRef>
          </c:val>
          <c:extLst>
            <c:ext xmlns:c16="http://schemas.microsoft.com/office/drawing/2014/chart" uri="{C3380CC4-5D6E-409C-BE32-E72D297353CC}">
              <c16:uniqueId val="{00000004-1851-4521-BB81-2C4172AC5C1E}"/>
            </c:ext>
          </c:extLst>
        </c:ser>
        <c:ser>
          <c:idx val="8"/>
          <c:order val="8"/>
          <c:tx>
            <c:strRef>
              <c:f>'individual-chart-cpm'!$K$2</c:f>
              <c:strCache>
                <c:ptCount val="1"/>
                <c:pt idx="0">
                  <c:v>10%</c:v>
                </c:pt>
              </c:strCache>
            </c:strRef>
          </c:tx>
          <c:spPr>
            <a:solidFill>
              <a:schemeClr val="accent2">
                <a:tint val="56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'individual-chart-cpm'!$B$3:$B$30</c:f>
              <c:strCache>
                <c:ptCount val="2"/>
                <c:pt idx="0">
                  <c:v>Activity</c:v>
                </c:pt>
                <c:pt idx="1">
                  <c:v>Outputs</c:v>
                </c:pt>
              </c:strCache>
              <c:extLst/>
            </c:strRef>
          </c:cat>
          <c:val>
            <c:numRef>
              <c:f>'individual-chart-cpm'!$K$3:$K$30</c:f>
              <c:numCache>
                <c:formatCode>General</c:formatCode>
                <c:ptCount val="2"/>
              </c:numCache>
              <c:extLst/>
            </c:numRef>
          </c:val>
          <c:extLst>
            <c:ext xmlns:c16="http://schemas.microsoft.com/office/drawing/2014/chart" uri="{C3380CC4-5D6E-409C-BE32-E72D297353CC}">
              <c16:uniqueId val="{00000005-1851-4521-BB81-2C4172AC5C1E}"/>
            </c:ext>
          </c:extLst>
        </c:ser>
        <c:ser>
          <c:idx val="9"/>
          <c:order val="9"/>
          <c:tx>
            <c:strRef>
              <c:f>'individual-chart-cpm'!$L$2</c:f>
              <c:strCache>
                <c:ptCount val="1"/>
                <c:pt idx="0">
                  <c:v>Not Started</c:v>
                </c:pt>
              </c:strCache>
            </c:strRef>
          </c:tx>
          <c:spPr>
            <a:solidFill>
              <a:srgbClr val="FCF2F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600" b="0" i="0" u="none" strike="noStrike" kern="1200" baseline="0">
                    <a:solidFill>
                      <a:sysClr val="windowText" lastClr="000000"/>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'individual-chart-cpm'!$B$3:$B$30</c:f>
              <c:strCache>
                <c:ptCount val="2"/>
                <c:pt idx="0">
                  <c:v>Activity</c:v>
                </c:pt>
                <c:pt idx="1">
                  <c:v>Outputs</c:v>
                </c:pt>
              </c:strCache>
              <c:extLst/>
            </c:strRef>
          </c:cat>
          <c:val>
            <c:numRef>
              <c:f>'individual-chart-cpm'!$L$3:$L$30</c:f>
              <c:numCache>
                <c:formatCode>0%</c:formatCode>
                <c:ptCount val="2"/>
                <c:pt idx="0">
                  <c:v>1</c:v>
                </c:pt>
                <c:pt idx="1">
                  <c:v>1</c:v>
                </c:pt>
              </c:numCache>
              <c:extLst/>
            </c:numRef>
          </c:val>
          <c:extLst>
            <c:ext xmlns:c16="http://schemas.microsoft.com/office/drawing/2014/chart" uri="{C3380CC4-5D6E-409C-BE32-E72D297353CC}">
              <c16:uniqueId val="{00000006-1851-4521-BB81-2C4172AC5C1E}"/>
            </c:ext>
          </c:extLst>
        </c:ser>
        <c:dLbls>
          <c:dLblPos val="ctr"/>
          <c:showLegendKey val="0"/>
          <c:showVal val="1"/>
          <c:showCatName val="0"/>
          <c:showSerName val="0"/>
          <c:showPercent val="0"/>
          <c:showBubbleSize val="0"/>
        </c:dLbls>
        <c:gapWidth val="150"/>
        <c:overlap val="100"/>
        <c:axId val="790958128"/>
        <c:axId val="790961408"/>
        <c:extLst>
          <c:ext xmlns:c15="http://schemas.microsoft.com/office/drawing/2012/chart" uri="{02D57815-91ED-43cb-92C2-25804820EDAC}">
            <c15:filteredBarSeries>
              <c15:ser>
                <c:idx val="0"/>
                <c:order val="0"/>
                <c:tx>
                  <c:strRef>
                    <c:extLst>
                      <c:ext uri="{02D57815-91ED-43cb-92C2-25804820EDAC}">
                        <c15:formulaRef>
                          <c15:sqref>'individual-chart-cpm'!$C$2</c15:sqref>
                        </c15:formulaRef>
                      </c:ext>
                    </c:extLst>
                    <c:strCache>
                      <c:ptCount val="1"/>
                      <c:pt idx="0">
                        <c:v>Completed</c:v>
                      </c:pt>
                    </c:strCache>
                  </c:strRef>
                </c:tx>
                <c:spPr>
                  <a:solidFill>
                    <a:schemeClr val="accent2">
                      <a:shade val="42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c:ext uri="{02D57815-91ED-43cb-92C2-25804820EDAC}">
                        <c15:formulaRef>
                          <c15:sqref>'individual-chart-cpm'!$B$3:$B$30</c15:sqref>
                        </c15:formulaRef>
                      </c:ext>
                    </c:extLst>
                    <c:strCache>
                      <c:ptCount val="2"/>
                      <c:pt idx="0">
                        <c:v>Activity</c:v>
                      </c:pt>
                      <c:pt idx="1">
                        <c:v>Outputs</c:v>
                      </c:pt>
                    </c:strCache>
                  </c:strRef>
                </c:cat>
                <c:val>
                  <c:numRef>
                    <c:extLst>
                      <c:ext uri="{02D57815-91ED-43cb-92C2-25804820EDAC}">
                        <c15:formulaRef>
                          <c15:sqref>'individual-chart-cpm'!$C$3:$C$30</c15:sqref>
                        </c15:formulaRef>
                      </c:ext>
                    </c:extLst>
                    <c:numCache>
                      <c:formatCode>General</c:formatCode>
                      <c:ptCount val="2"/>
                    </c:numCache>
                  </c:numRef>
                </c:val>
                <c:extLst>
                  <c:ext xmlns:c16="http://schemas.microsoft.com/office/drawing/2014/chart" uri="{C3380CC4-5D6E-409C-BE32-E72D297353CC}">
                    <c16:uniqueId val="{00000007-1851-4521-BB81-2C4172AC5C1E}"/>
                  </c:ext>
                </c:extLst>
              </c15:ser>
            </c15:filteredBarSeries>
            <c15:filteredBarSeries>
              <c15:ser>
                <c:idx val="1"/>
                <c:order val="1"/>
                <c:tx>
                  <c:strRef>
                    <c:extLst xmlns:c15="http://schemas.microsoft.com/office/drawing/2012/chart">
                      <c:ext xmlns:c15="http://schemas.microsoft.com/office/drawing/2012/chart" uri="{02D57815-91ED-43cb-92C2-25804820EDAC}">
                        <c15:formulaRef>
                          <c15:sqref>'individual-chart-cpm'!$D$2</c15:sqref>
                        </c15:formulaRef>
                      </c:ext>
                    </c:extLst>
                    <c:strCache>
                      <c:ptCount val="1"/>
                      <c:pt idx="0">
                        <c:v>In progress</c:v>
                      </c:pt>
                    </c:strCache>
                  </c:strRef>
                </c:tx>
                <c:spPr>
                  <a:solidFill>
                    <a:schemeClr val="accent2">
                      <a:shade val="5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'individual-chart-cpm'!$B$3:$B$30</c15:sqref>
                        </c15:formulaRef>
                      </c:ext>
                    </c:extLst>
                    <c:strCache>
                      <c:ptCount val="2"/>
                      <c:pt idx="0">
                        <c:v>Activity</c:v>
                      </c:pt>
                      <c:pt idx="1">
                        <c:v>Outputs</c:v>
                      </c:pt>
                    </c:strCache>
                  </c:strRef>
                </c:cat>
                <c:val>
                  <c:numRef>
                    <c:extLst xmlns:c15="http://schemas.microsoft.com/office/drawing/2012/chart">
                      <c:ext xmlns:c15="http://schemas.microsoft.com/office/drawing/2012/chart" uri="{02D57815-91ED-43cb-92C2-25804820EDAC}">
                        <c15:formulaRef>
                          <c15:sqref>'individual-chart-cpm'!$D$3:$D$30</c15:sqref>
                        </c15:formulaRef>
                      </c:ext>
                    </c:extLst>
                    <c:numCache>
                      <c:formatCode>General</c:formatCode>
                      <c:ptCount val="2"/>
                    </c:numCache>
                  </c:numRef>
                </c:val>
                <c:extLst xmlns:c15="http://schemas.microsoft.com/office/drawing/2012/chart">
                  <c:ext xmlns:c16="http://schemas.microsoft.com/office/drawing/2014/chart" uri="{C3380CC4-5D6E-409C-BE32-E72D297353CC}">
                    <c16:uniqueId val="{00000008-1851-4521-BB81-2C4172AC5C1E}"/>
                  </c:ext>
                </c:extLst>
              </c15:ser>
            </c15:filteredBarSeries>
            <c15:filteredBarSeries>
              <c15:ser>
                <c:idx val="2"/>
                <c:order val="2"/>
                <c:tx>
                  <c:strRef>
                    <c:extLst xmlns:c15="http://schemas.microsoft.com/office/drawing/2012/chart">
                      <c:ext xmlns:c15="http://schemas.microsoft.com/office/drawing/2012/chart" uri="{02D57815-91ED-43cb-92C2-25804820EDAC}">
                        <c15:formulaRef>
                          <c15:sqref>'individual-chart-cpm'!$E$2</c15:sqref>
                        </c15:formulaRef>
                      </c:ext>
                    </c:extLst>
                    <c:strCache>
                      <c:ptCount val="1"/>
                      <c:pt idx="0">
                        <c:v>Not started</c:v>
                      </c:pt>
                    </c:strCache>
                  </c:strRef>
                </c:tx>
                <c:spPr>
                  <a:solidFill>
                    <a:schemeClr val="accent2">
                      <a:shade val="68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'individual-chart-cpm'!$B$3:$B$30</c15:sqref>
                        </c15:formulaRef>
                      </c:ext>
                    </c:extLst>
                    <c:strCache>
                      <c:ptCount val="2"/>
                      <c:pt idx="0">
                        <c:v>Activity</c:v>
                      </c:pt>
                      <c:pt idx="1">
                        <c:v>Outputs</c:v>
                      </c:pt>
                    </c:strCache>
                  </c:strRef>
                </c:cat>
                <c:val>
                  <c:numRef>
                    <c:extLst xmlns:c15="http://schemas.microsoft.com/office/drawing/2012/chart">
                      <c:ext xmlns:c15="http://schemas.microsoft.com/office/drawing/2012/chart" uri="{02D57815-91ED-43cb-92C2-25804820EDAC}">
                        <c15:formulaRef>
                          <c15:sqref>'individual-chart-cpm'!$E$3:$E$30</c15:sqref>
                        </c15:formulaRef>
                      </c:ext>
                    </c:extLst>
                    <c:numCache>
                      <c:formatCode>0%</c:formatCode>
                      <c:ptCount val="2"/>
                      <c:pt idx="0">
                        <c:v>1</c:v>
                      </c:pt>
                      <c:pt idx="1">
                        <c:v>1</c:v>
                      </c:pt>
                    </c:numCache>
                  </c:numRef>
                </c:val>
                <c:extLst xmlns:c15="http://schemas.microsoft.com/office/drawing/2012/chart">
                  <c:ext xmlns:c16="http://schemas.microsoft.com/office/drawing/2014/chart" uri="{C3380CC4-5D6E-409C-BE32-E72D297353CC}">
                    <c16:uniqueId val="{00000009-1851-4521-BB81-2C4172AC5C1E}"/>
                  </c:ext>
                </c:extLst>
              </c15:ser>
            </c15:filteredBarSeries>
          </c:ext>
        </c:extLst>
      </c:barChart>
      <c:catAx>
        <c:axId val="7909581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n-US"/>
          </a:p>
        </c:txPr>
        <c:crossAx val="790961408"/>
        <c:crosses val="autoZero"/>
        <c:auto val="1"/>
        <c:lblAlgn val="ctr"/>
        <c:lblOffset val="100"/>
        <c:noMultiLvlLbl val="0"/>
      </c:catAx>
      <c:valAx>
        <c:axId val="790961408"/>
        <c:scaling>
          <c:orientation val="minMax"/>
          <c:min val="0"/>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90958128"/>
        <c:crossesAt val="1"/>
        <c:crossBetween val="between"/>
      </c:valAx>
      <c:spPr>
        <a:noFill/>
        <a:ln>
          <a:noFill/>
        </a:ln>
        <a:effectLst/>
      </c:spPr>
    </c:plotArea>
    <c:legend>
      <c:legendPos val="t"/>
      <c:layout>
        <c:manualLayout>
          <c:xMode val="edge"/>
          <c:yMode val="edge"/>
          <c:x val="0.18225149756480022"/>
          <c:y val="0.12763422019026135"/>
          <c:w val="0.70460273616206281"/>
          <c:h val="0.12652310298086494"/>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all" spc="120" normalizeH="0" baseline="0">
                <a:solidFill>
                  <a:schemeClr val="tx1">
                    <a:lumMod val="65000"/>
                    <a:lumOff val="35000"/>
                  </a:schemeClr>
                </a:solidFill>
                <a:latin typeface="+mn-lt"/>
                <a:ea typeface="+mn-ea"/>
                <a:cs typeface="+mn-cs"/>
              </a:defRPr>
            </a:pPr>
            <a:r>
              <a:rPr lang="en-US"/>
              <a:t>Progress </a:t>
            </a:r>
            <a:r>
              <a:rPr lang="en-US" sz="1600" b="1" i="0" u="none" strike="noStrike" cap="all" normalizeH="0" baseline="0">
                <a:effectLst/>
              </a:rPr>
              <a:t>Workforce Integration Activities </a:t>
            </a:r>
            <a:endParaRPr lang="en-US"/>
          </a:p>
        </c:rich>
      </c:tx>
      <c:overlay val="0"/>
      <c:spPr>
        <a:noFill/>
        <a:ln>
          <a:noFill/>
        </a:ln>
        <a:effectLst/>
      </c:spPr>
      <c:txPr>
        <a:bodyPr rot="0" spcFirstLastPara="1" vertOverflow="ellipsis" vert="horz" wrap="square" anchor="ctr" anchorCtr="1"/>
        <a:lstStyle/>
        <a:p>
          <a:pPr>
            <a:defRPr sz="1600" b="1" i="0" u="none" strike="noStrike" kern="1200" cap="all" spc="120" normalizeH="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3.3720388225764973E-2"/>
          <c:y val="0.14584098852712488"/>
          <c:w val="0.94109226599161167"/>
          <c:h val="0.62853727315905772"/>
        </c:manualLayout>
      </c:layout>
      <c:barChart>
        <c:barDir val="bar"/>
        <c:grouping val="stacked"/>
        <c:varyColors val="0"/>
        <c:ser>
          <c:idx val="2"/>
          <c:order val="2"/>
          <c:tx>
            <c:strRef>
              <c:f>'activities-percent-completed'!$D$3</c:f>
              <c:strCache>
                <c:ptCount val="1"/>
                <c:pt idx="0">
                  <c:v>Completed</c:v>
                </c:pt>
              </c:strCache>
            </c:strRef>
          </c:tx>
          <c:spPr>
            <a:solidFill>
              <a:srgbClr val="B22724"/>
            </a:solidFill>
            <a:ln>
              <a:noFill/>
            </a:ln>
            <a:effectLst/>
          </c:spPr>
          <c:invertIfNegative val="0"/>
          <c:dLbls>
            <c:dLbl>
              <c:idx val="0"/>
              <c:layout>
                <c:manualLayout>
                  <c:x val="-2.8756857404505297E-17"/>
                  <c:y val="0.22895926622898344"/>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365E-48F4-A632-62A4ACC608CA}"/>
                </c:ext>
              </c:extLst>
            </c:dLbl>
            <c:spPr>
              <a:noFill/>
              <a:ln>
                <a:noFill/>
              </a:ln>
              <a:effectLst/>
            </c:spPr>
            <c:txPr>
              <a:bodyPr rot="0" spcFirstLastPara="1" vertOverflow="ellipsis" vert="horz" wrap="square" lIns="38100" tIns="19050" rIns="38100" bIns="19050" anchor="ctr" anchorCtr="1">
                <a:spAutoFit/>
              </a:bodyPr>
              <a:lstStyle/>
              <a:p>
                <a:pPr>
                  <a:defRPr sz="16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'activities-percent-completed'!$A$4:$A$11</c:f>
              <c:strCache>
                <c:ptCount val="1"/>
                <c:pt idx="0">
                  <c:v>Workforce Integration*</c:v>
                </c:pt>
              </c:strCache>
              <c:extLst/>
            </c:strRef>
          </c:cat>
          <c:val>
            <c:numRef>
              <c:f>'activities-percent-completed'!$D$4:$D$11</c:f>
              <c:numCache>
                <c:formatCode>0%</c:formatCode>
                <c:ptCount val="1"/>
                <c:pt idx="0">
                  <c:v>0.38709677419354838</c:v>
                </c:pt>
              </c:numCache>
              <c:extLst/>
            </c:numRef>
          </c:val>
          <c:extLst>
            <c:ext xmlns:c16="http://schemas.microsoft.com/office/drawing/2014/chart" uri="{C3380CC4-5D6E-409C-BE32-E72D297353CC}">
              <c16:uniqueId val="{00000001-365E-48F4-A632-62A4ACC608CA}"/>
            </c:ext>
          </c:extLst>
        </c:ser>
        <c:ser>
          <c:idx val="3"/>
          <c:order val="3"/>
          <c:tx>
            <c:strRef>
              <c:f>'activities-percent-completed'!$E$3</c:f>
              <c:strCache>
                <c:ptCount val="1"/>
                <c:pt idx="0">
                  <c:v>90%</c:v>
                </c:pt>
              </c:strCache>
            </c:strRef>
          </c:tx>
          <c:spPr>
            <a:solidFill>
              <a:schemeClr val="accent4"/>
            </a:solidFill>
            <a:ln>
              <a:noFill/>
            </a:ln>
            <a:effectLst/>
          </c:spPr>
          <c:invertIfNegative val="0"/>
          <c:dLbls>
            <c:delete val="1"/>
          </c:dLbls>
          <c:cat>
            <c:strRef>
              <c:f>'activities-percent-completed'!$A$4:$A$11</c:f>
              <c:strCache>
                <c:ptCount val="1"/>
                <c:pt idx="0">
                  <c:v>Workforce Integration*</c:v>
                </c:pt>
              </c:strCache>
              <c:extLst/>
            </c:strRef>
          </c:cat>
          <c:val>
            <c:numRef>
              <c:f>'activities-percent-completed'!$E$4:$E$11</c:f>
              <c:numCache>
                <c:formatCode>0%</c:formatCode>
                <c:ptCount val="1"/>
                <c:pt idx="0">
                  <c:v>0</c:v>
                </c:pt>
              </c:numCache>
              <c:extLst/>
            </c:numRef>
          </c:val>
          <c:extLst>
            <c:ext xmlns:c16="http://schemas.microsoft.com/office/drawing/2014/chart" uri="{C3380CC4-5D6E-409C-BE32-E72D297353CC}">
              <c16:uniqueId val="{00000002-365E-48F4-A632-62A4ACC608CA}"/>
            </c:ext>
          </c:extLst>
        </c:ser>
        <c:ser>
          <c:idx val="4"/>
          <c:order val="4"/>
          <c:tx>
            <c:strRef>
              <c:f>'activities-percent-completed'!$F$3</c:f>
              <c:strCache>
                <c:ptCount val="1"/>
                <c:pt idx="0">
                  <c:v>75%</c:v>
                </c:pt>
              </c:strCache>
            </c:strRef>
          </c:tx>
          <c:spPr>
            <a:solidFill>
              <a:srgbClr val="FFFF66"/>
            </a:solidFill>
            <a:ln>
              <a:noFill/>
            </a:ln>
            <a:effectLst/>
          </c:spPr>
          <c:invertIfNegative val="0"/>
          <c:dLbls>
            <c:dLbl>
              <c:idx val="0"/>
              <c:layout>
                <c:manualLayout>
                  <c:x val="1.5685739785186881E-3"/>
                  <c:y val="0.24977374497707294"/>
                </c:manualLayout>
              </c:layout>
              <c:spPr>
                <a:solidFill>
                  <a:sysClr val="window" lastClr="FFFFFF"/>
                </a:solidFill>
                <a:ln>
                  <a:noFill/>
                </a:ln>
                <a:effectLst/>
              </c:spPr>
              <c:txPr>
                <a:bodyPr rot="0" spcFirstLastPara="1" vertOverflow="ellipsis" vert="horz" wrap="square" lIns="38100" tIns="19050" rIns="38100" bIns="19050" anchor="ctr" anchorCtr="1">
                  <a:spAutoFit/>
                </a:bodyPr>
                <a:lstStyle/>
                <a:p>
                  <a:pPr>
                    <a:defRPr sz="16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365E-48F4-A632-62A4ACC608CA}"/>
                </c:ext>
              </c:extLst>
            </c:dLbl>
            <c:spPr>
              <a:solidFill>
                <a:srgbClr val="FFFF66"/>
              </a:solidFill>
              <a:ln>
                <a:noFill/>
              </a:ln>
              <a:effectLst/>
            </c:spPr>
            <c:txPr>
              <a:bodyPr rot="0" spcFirstLastPara="1" vertOverflow="ellipsis" vert="horz" wrap="square" lIns="38100" tIns="19050" rIns="38100" bIns="19050" anchor="ctr" anchorCtr="1">
                <a:spAutoFit/>
              </a:bodyPr>
              <a:lstStyle/>
              <a:p>
                <a:pPr>
                  <a:defRPr sz="14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'activities-percent-completed'!$A$4:$A$11</c:f>
              <c:strCache>
                <c:ptCount val="1"/>
                <c:pt idx="0">
                  <c:v>Workforce Integration*</c:v>
                </c:pt>
              </c:strCache>
              <c:extLst/>
            </c:strRef>
          </c:cat>
          <c:val>
            <c:numRef>
              <c:f>'activities-percent-completed'!$F$4:$F$11</c:f>
              <c:numCache>
                <c:formatCode>0%</c:formatCode>
                <c:ptCount val="1"/>
                <c:pt idx="0">
                  <c:v>4.8387096774193547E-2</c:v>
                </c:pt>
              </c:numCache>
              <c:extLst/>
            </c:numRef>
          </c:val>
          <c:extLst>
            <c:ext xmlns:c16="http://schemas.microsoft.com/office/drawing/2014/chart" uri="{C3380CC4-5D6E-409C-BE32-E72D297353CC}">
              <c16:uniqueId val="{00000004-365E-48F4-A632-62A4ACC608CA}"/>
            </c:ext>
          </c:extLst>
        </c:ser>
        <c:ser>
          <c:idx val="5"/>
          <c:order val="5"/>
          <c:tx>
            <c:strRef>
              <c:f>'activities-percent-completed'!$G$3</c:f>
              <c:strCache>
                <c:ptCount val="1"/>
                <c:pt idx="0">
                  <c:v>50%</c:v>
                </c:pt>
              </c:strCache>
            </c:strRef>
          </c:tx>
          <c:spPr>
            <a:solidFill>
              <a:schemeClr val="accent6"/>
            </a:solidFill>
            <a:ln>
              <a:noFill/>
            </a:ln>
            <a:effectLst/>
          </c:spPr>
          <c:invertIfNegative val="0"/>
          <c:dLbls>
            <c:dLbl>
              <c:idx val="0"/>
              <c:layout>
                <c:manualLayout>
                  <c:x val="3.1371479570373763E-3"/>
                  <c:y val="0.24977374497707294"/>
                </c:manualLayout>
              </c:layout>
              <c:spPr>
                <a:noFill/>
                <a:ln>
                  <a:noFill/>
                </a:ln>
                <a:effectLst/>
              </c:spPr>
              <c:txPr>
                <a:bodyPr rot="0" spcFirstLastPara="1" vertOverflow="ellipsis" vert="horz" wrap="square" lIns="38100" tIns="19050" rIns="38100" bIns="19050" anchor="ctr" anchorCtr="1">
                  <a:spAutoFit/>
                </a:bodyPr>
                <a:lstStyle/>
                <a:p>
                  <a:pPr>
                    <a:defRPr sz="16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365E-48F4-A632-62A4ACC608CA}"/>
                </c:ext>
              </c:extLst>
            </c:dLbl>
            <c:spPr>
              <a:noFill/>
              <a:ln>
                <a:noFill/>
              </a:ln>
              <a:effectLst/>
            </c:spPr>
            <c:txPr>
              <a:bodyPr rot="0" spcFirstLastPara="1" vertOverflow="ellipsis" vert="horz" wrap="square" lIns="38100" tIns="19050" rIns="38100" bIns="19050" anchor="ctr" anchorCtr="1">
                <a:spAutoFit/>
              </a:bodyPr>
              <a:lstStyle/>
              <a:p>
                <a:pPr>
                  <a:defRPr sz="14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'activities-percent-completed'!$A$4:$A$11</c:f>
              <c:strCache>
                <c:ptCount val="1"/>
                <c:pt idx="0">
                  <c:v>Workforce Integration*</c:v>
                </c:pt>
              </c:strCache>
              <c:extLst/>
            </c:strRef>
          </c:cat>
          <c:val>
            <c:numRef>
              <c:f>'activities-percent-completed'!$G$4:$G$11</c:f>
              <c:numCache>
                <c:formatCode>0%</c:formatCode>
                <c:ptCount val="1"/>
                <c:pt idx="0">
                  <c:v>6.4516129032258063E-2</c:v>
                </c:pt>
              </c:numCache>
              <c:extLst/>
            </c:numRef>
          </c:val>
          <c:extLst>
            <c:ext xmlns:c16="http://schemas.microsoft.com/office/drawing/2014/chart" uri="{C3380CC4-5D6E-409C-BE32-E72D297353CC}">
              <c16:uniqueId val="{00000006-365E-48F4-A632-62A4ACC608CA}"/>
            </c:ext>
          </c:extLst>
        </c:ser>
        <c:ser>
          <c:idx val="6"/>
          <c:order val="6"/>
          <c:tx>
            <c:strRef>
              <c:f>'activities-percent-completed'!$H$3</c:f>
              <c:strCache>
                <c:ptCount val="1"/>
                <c:pt idx="0">
                  <c:v>25%</c:v>
                </c:pt>
              </c:strCache>
            </c:strRef>
          </c:tx>
          <c:spPr>
            <a:solidFill>
              <a:srgbClr val="15FFFF"/>
            </a:solidFill>
            <a:ln>
              <a:noFill/>
            </a:ln>
            <a:effectLst/>
          </c:spPr>
          <c:invertIfNegative val="0"/>
          <c:dLbls>
            <c:dLbl>
              <c:idx val="0"/>
              <c:layout>
                <c:manualLayout>
                  <c:x val="0"/>
                  <c:y val="0.22895926622898344"/>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365E-48F4-A632-62A4ACC608CA}"/>
                </c:ext>
              </c:extLst>
            </c:dLbl>
            <c:spPr>
              <a:noFill/>
              <a:ln>
                <a:noFill/>
              </a:ln>
              <a:effectLst/>
            </c:spPr>
            <c:txPr>
              <a:bodyPr rot="0" spcFirstLastPara="1" vertOverflow="ellipsis" vert="horz" wrap="square" lIns="38100" tIns="19050" rIns="38100" bIns="19050" anchor="ctr" anchorCtr="1">
                <a:spAutoFit/>
              </a:bodyPr>
              <a:lstStyle/>
              <a:p>
                <a:pPr>
                  <a:defRPr sz="16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'activities-percent-completed'!$A$4:$A$11</c:f>
              <c:strCache>
                <c:ptCount val="1"/>
                <c:pt idx="0">
                  <c:v>Workforce Integration*</c:v>
                </c:pt>
              </c:strCache>
              <c:extLst/>
            </c:strRef>
          </c:cat>
          <c:val>
            <c:numRef>
              <c:f>'activities-percent-completed'!$H$4:$H$11</c:f>
              <c:numCache>
                <c:formatCode>0%</c:formatCode>
                <c:ptCount val="1"/>
                <c:pt idx="0">
                  <c:v>0.25806451612903225</c:v>
                </c:pt>
              </c:numCache>
              <c:extLst/>
            </c:numRef>
          </c:val>
          <c:extLst>
            <c:ext xmlns:c16="http://schemas.microsoft.com/office/drawing/2014/chart" uri="{C3380CC4-5D6E-409C-BE32-E72D297353CC}">
              <c16:uniqueId val="{00000008-365E-48F4-A632-62A4ACC608CA}"/>
            </c:ext>
          </c:extLst>
        </c:ser>
        <c:ser>
          <c:idx val="7"/>
          <c:order val="7"/>
          <c:tx>
            <c:strRef>
              <c:f>'activities-percent-completed'!$I$3</c:f>
              <c:strCache>
                <c:ptCount val="1"/>
                <c:pt idx="0">
                  <c:v>10%</c:v>
                </c:pt>
              </c:strCache>
              <c:extLst xmlns:c15="http://schemas.microsoft.com/office/drawing/2012/chart"/>
            </c:strRef>
          </c:tx>
          <c:spPr>
            <a:solidFill>
              <a:srgbClr val="3399FF"/>
            </a:solidFill>
            <a:ln>
              <a:noFill/>
            </a:ln>
            <a:effectLst/>
          </c:spPr>
          <c:invertIfNegative val="0"/>
          <c:dLbls>
            <c:delete val="1"/>
          </c:dLbls>
          <c:cat>
            <c:strRef>
              <c:f>'activities-percent-completed'!$A$4:$A$11</c:f>
              <c:strCache>
                <c:ptCount val="1"/>
                <c:pt idx="0">
                  <c:v>Workforce Integration*</c:v>
                </c:pt>
              </c:strCache>
              <c:extLst/>
            </c:strRef>
          </c:cat>
          <c:val>
            <c:numRef>
              <c:f>'activities-percent-completed'!$I$4:$I$11</c:f>
              <c:numCache>
                <c:formatCode>0%</c:formatCode>
                <c:ptCount val="1"/>
                <c:pt idx="0">
                  <c:v>0</c:v>
                </c:pt>
              </c:numCache>
              <c:extLst/>
            </c:numRef>
          </c:val>
          <c:extLst xmlns:c15="http://schemas.microsoft.com/office/drawing/2012/chart">
            <c:ext xmlns:c16="http://schemas.microsoft.com/office/drawing/2014/chart" uri="{C3380CC4-5D6E-409C-BE32-E72D297353CC}">
              <c16:uniqueId val="{00000009-365E-48F4-A632-62A4ACC608CA}"/>
            </c:ext>
          </c:extLst>
        </c:ser>
        <c:ser>
          <c:idx val="8"/>
          <c:order val="8"/>
          <c:tx>
            <c:strRef>
              <c:f>'activities-percent-completed'!$J$3</c:f>
              <c:strCache>
                <c:ptCount val="1"/>
                <c:pt idx="0">
                  <c:v>Not started</c:v>
                </c:pt>
              </c:strCache>
              <c:extLst xmlns:c15="http://schemas.microsoft.com/office/drawing/2012/chart"/>
            </c:strRef>
          </c:tx>
          <c:spPr>
            <a:solidFill>
              <a:srgbClr val="7030A0"/>
            </a:solidFill>
            <a:ln>
              <a:noFill/>
            </a:ln>
            <a:effectLst/>
          </c:spPr>
          <c:invertIfNegative val="0"/>
          <c:dLbls>
            <c:dLbl>
              <c:idx val="0"/>
              <c:layout>
                <c:manualLayout>
                  <c:x val="-4.7057219355559491E-3"/>
                  <c:y val="0.23312216197860133"/>
                </c:manualLayout>
              </c:layout>
              <c:spPr>
                <a:noFill/>
                <a:ln>
                  <a:noFill/>
                </a:ln>
                <a:effectLst/>
              </c:spPr>
              <c:txPr>
                <a:bodyPr rot="0" spcFirstLastPara="1" vertOverflow="ellipsis" vert="horz" wrap="square" lIns="38100" tIns="19050" rIns="38100" bIns="19050" anchor="ctr" anchorCtr="1">
                  <a:spAutoFit/>
                </a:bodyPr>
                <a:lstStyle/>
                <a:p>
                  <a:pPr>
                    <a:defRPr sz="1600" b="0" i="0" u="none" strike="noStrike" kern="1200" baseline="0">
                      <a:solidFill>
                        <a:sysClr val="windowText" lastClr="000000"/>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365E-48F4-A632-62A4ACC608CA}"/>
                </c:ext>
              </c:extLst>
            </c:dLbl>
            <c:spPr>
              <a:noFill/>
              <a:ln>
                <a:noFill/>
              </a:ln>
              <a:effectLst/>
            </c:spPr>
            <c:txPr>
              <a:bodyPr rot="0" spcFirstLastPara="1" vertOverflow="ellipsis" vert="horz" wrap="square" lIns="38100" tIns="19050" rIns="38100" bIns="19050" anchor="ctr" anchorCtr="1">
                <a:spAutoFit/>
              </a:bodyPr>
              <a:lstStyle/>
              <a:p>
                <a:pPr>
                  <a:defRPr sz="1400" b="0" i="0" u="none" strike="noStrike" kern="1200" baseline="0">
                    <a:solidFill>
                      <a:sysClr val="windowText" lastClr="000000"/>
                    </a:solidFill>
                    <a:latin typeface="+mn-lt"/>
                    <a:ea typeface="+mn-ea"/>
                    <a:cs typeface="+mn-cs"/>
                  </a:defRPr>
                </a:pPr>
                <a:endParaRPr lang="en-US"/>
              </a:p>
            </c:txPr>
            <c:dLblPos val="ct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'activities-percent-completed'!$A$4:$A$11</c:f>
              <c:strCache>
                <c:ptCount val="1"/>
                <c:pt idx="0">
                  <c:v>Workforce Integration*</c:v>
                </c:pt>
              </c:strCache>
              <c:extLst/>
            </c:strRef>
          </c:cat>
          <c:val>
            <c:numRef>
              <c:f>'activities-percent-completed'!$J$4:$J$11</c:f>
              <c:numCache>
                <c:formatCode>0%</c:formatCode>
                <c:ptCount val="1"/>
                <c:pt idx="0">
                  <c:v>0.24193548387096775</c:v>
                </c:pt>
              </c:numCache>
              <c:extLst/>
            </c:numRef>
          </c:val>
          <c:extLst xmlns:c15="http://schemas.microsoft.com/office/drawing/2012/chart">
            <c:ext xmlns:c16="http://schemas.microsoft.com/office/drawing/2014/chart" uri="{C3380CC4-5D6E-409C-BE32-E72D297353CC}">
              <c16:uniqueId val="{0000000B-365E-48F4-A632-62A4ACC608CA}"/>
            </c:ext>
          </c:extLst>
        </c:ser>
        <c:dLbls>
          <c:dLblPos val="ctr"/>
          <c:showLegendKey val="0"/>
          <c:showVal val="1"/>
          <c:showCatName val="0"/>
          <c:showSerName val="0"/>
          <c:showPercent val="0"/>
          <c:showBubbleSize val="0"/>
        </c:dLbls>
        <c:gapWidth val="79"/>
        <c:overlap val="100"/>
        <c:axId val="610520992"/>
        <c:axId val="610522632"/>
        <c:extLst>
          <c:ext xmlns:c15="http://schemas.microsoft.com/office/drawing/2012/chart" uri="{02D57815-91ED-43cb-92C2-25804820EDAC}">
            <c15:filteredBarSeries>
              <c15:ser>
                <c:idx val="0"/>
                <c:order val="0"/>
                <c:tx>
                  <c:strRef>
                    <c:extLst>
                      <c:ext uri="{02D57815-91ED-43cb-92C2-25804820EDAC}">
                        <c15:formulaRef>
                          <c15:sqref>'activities-percent-completed'!$B$3</c15:sqref>
                        </c15:formulaRef>
                      </c:ext>
                    </c:extLst>
                    <c:strCache>
                      <c:ptCount val="1"/>
                      <c:pt idx="0">
                        <c:v># of Total Activities</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showLeaderLines val="0"/>
                  <c:extLst>
                    <c:ext uri="{CE6537A1-D6FC-4f65-9D91-7224C49458BB}">
                      <c15:showLeaderLines val="1"/>
                      <c15:leaderLines>
                        <c:spPr>
                          <a:ln w="9525">
                            <a:solidFill>
                              <a:schemeClr val="tx1">
                                <a:lumMod val="35000"/>
                                <a:lumOff val="65000"/>
                              </a:schemeClr>
                            </a:solidFill>
                          </a:ln>
                          <a:effectLst/>
                        </c:spPr>
                      </c15:leaderLines>
                    </c:ext>
                  </c:extLst>
                </c:dLbls>
                <c:cat>
                  <c:strRef>
                    <c:extLst>
                      <c:ext uri="{02D57815-91ED-43cb-92C2-25804820EDAC}">
                        <c15:formulaRef>
                          <c15:sqref>'activities-percent-completed'!$A$4:$A$11</c15:sqref>
                        </c15:formulaRef>
                      </c:ext>
                    </c:extLst>
                    <c:strCache>
                      <c:ptCount val="1"/>
                      <c:pt idx="0">
                        <c:v>Workforce Integration*</c:v>
                      </c:pt>
                    </c:strCache>
                  </c:strRef>
                </c:cat>
                <c:val>
                  <c:numRef>
                    <c:extLst>
                      <c:ext uri="{02D57815-91ED-43cb-92C2-25804820EDAC}">
                        <c15:formulaRef>
                          <c15:sqref>'activities-percent-completed'!$B$4:$B$11</c15:sqref>
                        </c15:formulaRef>
                      </c:ext>
                    </c:extLst>
                    <c:numCache>
                      <c:formatCode>0</c:formatCode>
                      <c:ptCount val="1"/>
                      <c:pt idx="0">
                        <c:v>62</c:v>
                      </c:pt>
                    </c:numCache>
                  </c:numRef>
                </c:val>
                <c:extLst>
                  <c:ext xmlns:c16="http://schemas.microsoft.com/office/drawing/2014/chart" uri="{C3380CC4-5D6E-409C-BE32-E72D297353CC}">
                    <c16:uniqueId val="{0000000C-365E-48F4-A632-62A4ACC608CA}"/>
                  </c:ext>
                </c:extLst>
              </c15:ser>
            </c15:filteredBarSeries>
            <c15:filteredBarSeries>
              <c15:ser>
                <c:idx val="1"/>
                <c:order val="1"/>
                <c:tx>
                  <c:strRef>
                    <c:extLst xmlns:c15="http://schemas.microsoft.com/office/drawing/2012/chart">
                      <c:ext xmlns:c15="http://schemas.microsoft.com/office/drawing/2012/chart" uri="{02D57815-91ED-43cb-92C2-25804820EDAC}">
                        <c15:formulaRef>
                          <c15:sqref>'activities-percent-completed'!$C$3</c15:sqref>
                        </c15:formulaRef>
                      </c:ext>
                    </c:extLst>
                    <c:strCache>
                      <c:ptCount val="1"/>
                      <c:pt idx="0">
                        <c:v>Average Progress on Activities (%)</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extLst xmlns:c15="http://schemas.microsoft.com/office/drawing/2012/chart">
                      <c:ext xmlns:c15="http://schemas.microsoft.com/office/drawing/2012/chart" uri="{02D57815-91ED-43cb-92C2-25804820EDAC}">
                        <c15:formulaRef>
                          <c15:sqref>'activities-percent-completed'!$A$4:$A$11</c15:sqref>
                        </c15:formulaRef>
                      </c:ext>
                    </c:extLst>
                    <c:strCache>
                      <c:ptCount val="1"/>
                      <c:pt idx="0">
                        <c:v>Workforce Integration*</c:v>
                      </c:pt>
                    </c:strCache>
                  </c:strRef>
                </c:cat>
                <c:val>
                  <c:numRef>
                    <c:extLst xmlns:c15="http://schemas.microsoft.com/office/drawing/2012/chart">
                      <c:ext xmlns:c15="http://schemas.microsoft.com/office/drawing/2012/chart" uri="{02D57815-91ED-43cb-92C2-25804820EDAC}">
                        <c15:formulaRef>
                          <c15:sqref>'activities-percent-completed'!$C$4:$C$11</c15:sqref>
                        </c15:formulaRef>
                      </c:ext>
                    </c:extLst>
                    <c:numCache>
                      <c:formatCode>0%</c:formatCode>
                      <c:ptCount val="1"/>
                      <c:pt idx="0">
                        <c:v>0.52016129032258063</c:v>
                      </c:pt>
                    </c:numCache>
                  </c:numRef>
                </c:val>
                <c:extLst xmlns:c15="http://schemas.microsoft.com/office/drawing/2012/chart">
                  <c:ext xmlns:c16="http://schemas.microsoft.com/office/drawing/2014/chart" uri="{C3380CC4-5D6E-409C-BE32-E72D297353CC}">
                    <c16:uniqueId val="{0000000D-365E-48F4-A632-62A4ACC608CA}"/>
                  </c:ext>
                </c:extLst>
              </c15:ser>
            </c15:filteredBarSeries>
          </c:ext>
        </c:extLst>
      </c:barChart>
      <c:catAx>
        <c:axId val="610520992"/>
        <c:scaling>
          <c:orientation val="minMax"/>
        </c:scaling>
        <c:delete val="1"/>
        <c:axPos val="l"/>
        <c:majorGridlines>
          <c:spPr>
            <a:ln w="9525" cap="flat" cmpd="sng" algn="ctr">
              <a:solidFill>
                <a:schemeClr val="tx1">
                  <a:lumMod val="15000"/>
                  <a:lumOff val="85000"/>
                </a:schemeClr>
              </a:solidFill>
              <a:round/>
            </a:ln>
            <a:effectLst/>
          </c:spPr>
        </c:majorGridlines>
        <c:minorGridlines>
          <c:spPr>
            <a:ln>
              <a:solidFill>
                <a:schemeClr val="tx1">
                  <a:lumMod val="5000"/>
                  <a:lumOff val="95000"/>
                </a:schemeClr>
              </a:solidFill>
            </a:ln>
            <a:effectLst/>
          </c:spPr>
        </c:minorGridlines>
        <c:numFmt formatCode="General" sourceLinked="1"/>
        <c:majorTickMark val="out"/>
        <c:minorTickMark val="none"/>
        <c:tickLblPos val="nextTo"/>
        <c:crossAx val="610522632"/>
        <c:crosses val="autoZero"/>
        <c:auto val="1"/>
        <c:lblAlgn val="ctr"/>
        <c:lblOffset val="100"/>
        <c:noMultiLvlLbl val="0"/>
      </c:catAx>
      <c:valAx>
        <c:axId val="610522632"/>
        <c:scaling>
          <c:orientation val="minMax"/>
          <c:max val="1"/>
        </c:scaling>
        <c:delete val="0"/>
        <c:axPos val="b"/>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10520992"/>
        <c:crosses val="autoZero"/>
        <c:crossBetween val="between"/>
      </c:valAx>
      <c:spPr>
        <a:noFill/>
        <a:ln>
          <a:noFill/>
        </a:ln>
        <a:effectLst/>
      </c:spPr>
    </c:plotArea>
    <c:legend>
      <c:legendPos val="t"/>
      <c:layout>
        <c:manualLayout>
          <c:xMode val="edge"/>
          <c:yMode val="edge"/>
          <c:x val="0.13182110450827919"/>
          <c:y val="0.82538651831461063"/>
          <c:w val="0.64893140058634902"/>
          <c:h val="0.17049185518430976"/>
        </c:manualLayout>
      </c:layout>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4"/>
    </mc:Choice>
    <mc:Fallback>
      <c:style val="4"/>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Topic Area - Workforce Integration</a:t>
            </a:r>
            <a:r>
              <a:rPr lang="en-US" baseline="0"/>
              <a:t> </a:t>
            </a:r>
            <a:r>
              <a:rPr lang="en-US"/>
              <a:t>Activity #1</a:t>
            </a:r>
          </a:p>
        </c:rich>
      </c:tx>
      <c:layout>
        <c:manualLayout>
          <c:xMode val="edge"/>
          <c:yMode val="edge"/>
          <c:x val="0.19036893921647433"/>
          <c:y val="1.9647278009469723E-3"/>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6017916604892113"/>
          <c:y val="0.23265365094271845"/>
          <c:w val="0.78942722632790041"/>
          <c:h val="0.66602748393145406"/>
        </c:manualLayout>
      </c:layout>
      <c:barChart>
        <c:barDir val="col"/>
        <c:grouping val="percentStacked"/>
        <c:varyColors val="0"/>
        <c:ser>
          <c:idx val="3"/>
          <c:order val="3"/>
          <c:tx>
            <c:strRef>
              <c:f>'individual-chart-workforce'!$F$2</c:f>
              <c:strCache>
                <c:ptCount val="1"/>
                <c:pt idx="0">
                  <c:v>Completed</c:v>
                </c:pt>
              </c:strCache>
            </c:strRef>
          </c:tx>
          <c:spPr>
            <a:solidFill>
              <a:srgbClr val="99221F"/>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800" b="0"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'individual-chart-workforce'!$B$3:$B$50</c:f>
              <c:strCache>
                <c:ptCount val="2"/>
                <c:pt idx="0">
                  <c:v>Activity</c:v>
                </c:pt>
                <c:pt idx="1">
                  <c:v>Outputs</c:v>
                </c:pt>
              </c:strCache>
              <c:extLst/>
            </c:strRef>
          </c:cat>
          <c:val>
            <c:numRef>
              <c:f>'individual-chart-workforce'!$F$3:$F$50</c:f>
              <c:numCache>
                <c:formatCode>0%</c:formatCode>
                <c:ptCount val="2"/>
                <c:pt idx="0">
                  <c:v>0.5</c:v>
                </c:pt>
                <c:pt idx="1">
                  <c:v>0.5</c:v>
                </c:pt>
              </c:numCache>
              <c:extLst/>
            </c:numRef>
          </c:val>
          <c:extLst>
            <c:ext xmlns:c16="http://schemas.microsoft.com/office/drawing/2014/chart" uri="{C3380CC4-5D6E-409C-BE32-E72D297353CC}">
              <c16:uniqueId val="{00000000-5B90-43DD-B1DE-2CB330897430}"/>
            </c:ext>
          </c:extLst>
        </c:ser>
        <c:ser>
          <c:idx val="4"/>
          <c:order val="4"/>
          <c:tx>
            <c:strRef>
              <c:f>'individual-chart-workforce'!$G$2</c:f>
              <c:strCache>
                <c:ptCount val="1"/>
                <c:pt idx="0">
                  <c:v>90%</c:v>
                </c:pt>
              </c:strCache>
            </c:strRef>
          </c:tx>
          <c:spPr>
            <a:solidFill>
              <a:srgbClr val="D73D39"/>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'individual-chart-workforce'!$B$3:$B$50</c:f>
              <c:strCache>
                <c:ptCount val="2"/>
                <c:pt idx="0">
                  <c:v>Activity</c:v>
                </c:pt>
                <c:pt idx="1">
                  <c:v>Outputs</c:v>
                </c:pt>
              </c:strCache>
              <c:extLst/>
            </c:strRef>
          </c:cat>
          <c:val>
            <c:numRef>
              <c:f>'individual-chart-workforce'!$G$3:$G$50</c:f>
              <c:numCache>
                <c:formatCode>General</c:formatCode>
                <c:ptCount val="2"/>
              </c:numCache>
              <c:extLst/>
            </c:numRef>
          </c:val>
          <c:extLst>
            <c:ext xmlns:c16="http://schemas.microsoft.com/office/drawing/2014/chart" uri="{C3380CC4-5D6E-409C-BE32-E72D297353CC}">
              <c16:uniqueId val="{00000001-5B90-43DD-B1DE-2CB330897430}"/>
            </c:ext>
          </c:extLst>
        </c:ser>
        <c:ser>
          <c:idx val="5"/>
          <c:order val="5"/>
          <c:tx>
            <c:strRef>
              <c:f>'individual-chart-workforce'!$H$2</c:f>
              <c:strCache>
                <c:ptCount val="1"/>
                <c:pt idx="0">
                  <c:v>75%</c:v>
                </c:pt>
              </c:strCache>
            </c:strRef>
          </c:tx>
          <c:spPr>
            <a:solidFill>
              <a:srgbClr val="DC5350"/>
            </a:solidFill>
            <a:ln>
              <a:noFill/>
            </a:ln>
            <a:effectLst/>
          </c:spPr>
          <c:invertIfNegative val="0"/>
          <c:dLbls>
            <c:dLbl>
              <c:idx val="0"/>
              <c:layout>
                <c:manualLayout>
                  <c:x val="-0.16034329698284056"/>
                  <c:y val="7.9207920792078723E-3"/>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5B90-43DD-B1DE-2CB330897430}"/>
                </c:ext>
              </c:extLst>
            </c:dLbl>
            <c:dLbl>
              <c:idx val="1"/>
              <c:layout>
                <c:manualLayout>
                  <c:x val="-0.15118082286953546"/>
                  <c:y val="-4.840428131366017E-17"/>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5B90-43DD-B1DE-2CB330897430}"/>
                </c:ext>
              </c:extLst>
            </c:dLbl>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'individual-chart-workforce'!$B$3:$B$50</c:f>
              <c:strCache>
                <c:ptCount val="2"/>
                <c:pt idx="0">
                  <c:v>Activity</c:v>
                </c:pt>
                <c:pt idx="1">
                  <c:v>Outputs</c:v>
                </c:pt>
              </c:strCache>
              <c:extLst/>
            </c:strRef>
          </c:cat>
          <c:val>
            <c:numRef>
              <c:f>'individual-chart-workforce'!$H$3:$H$50</c:f>
              <c:numCache>
                <c:formatCode>General</c:formatCode>
                <c:ptCount val="2"/>
              </c:numCache>
              <c:extLst/>
            </c:numRef>
          </c:val>
          <c:extLst>
            <c:ext xmlns:c16="http://schemas.microsoft.com/office/drawing/2014/chart" uri="{C3380CC4-5D6E-409C-BE32-E72D297353CC}">
              <c16:uniqueId val="{00000004-5B90-43DD-B1DE-2CB330897430}"/>
            </c:ext>
          </c:extLst>
        </c:ser>
        <c:ser>
          <c:idx val="6"/>
          <c:order val="6"/>
          <c:tx>
            <c:strRef>
              <c:f>'individual-chart-workforce'!$I$2</c:f>
              <c:strCache>
                <c:ptCount val="1"/>
                <c:pt idx="0">
                  <c:v>50%</c:v>
                </c:pt>
              </c:strCache>
            </c:strRef>
          </c:tx>
          <c:spPr>
            <a:solidFill>
              <a:srgbClr val="EBA19F"/>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'individual-chart-workforce'!$B$3:$B$50</c:f>
              <c:strCache>
                <c:ptCount val="2"/>
                <c:pt idx="0">
                  <c:v>Activity</c:v>
                </c:pt>
                <c:pt idx="1">
                  <c:v>Outputs</c:v>
                </c:pt>
              </c:strCache>
              <c:extLst/>
            </c:strRef>
          </c:cat>
          <c:val>
            <c:numRef>
              <c:f>'individual-chart-workforce'!$I$3:$I$50</c:f>
              <c:numCache>
                <c:formatCode>General</c:formatCode>
                <c:ptCount val="2"/>
              </c:numCache>
              <c:extLst/>
            </c:numRef>
          </c:val>
          <c:extLst>
            <c:ext xmlns:c16="http://schemas.microsoft.com/office/drawing/2014/chart" uri="{C3380CC4-5D6E-409C-BE32-E72D297353CC}">
              <c16:uniqueId val="{00000005-5B90-43DD-B1DE-2CB330897430}"/>
            </c:ext>
          </c:extLst>
        </c:ser>
        <c:ser>
          <c:idx val="7"/>
          <c:order val="7"/>
          <c:tx>
            <c:strRef>
              <c:f>'individual-chart-workforce'!$J$2</c:f>
              <c:strCache>
                <c:ptCount val="1"/>
                <c:pt idx="0">
                  <c:v>25%</c:v>
                </c:pt>
              </c:strCache>
            </c:strRef>
          </c:tx>
          <c:spPr>
            <a:solidFill>
              <a:srgbClr val="F3C6C5"/>
            </a:solidFill>
            <a:ln>
              <a:noFill/>
            </a:ln>
            <a:effectLst/>
          </c:spPr>
          <c:invertIfNegative val="0"/>
          <c:dLbls>
            <c:dLbl>
              <c:idx val="0"/>
              <c:layout>
                <c:manualLayout>
                  <c:x val="-5.7521870275769665E-3"/>
                  <c:y val="-2.4685262898049864E-3"/>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5B90-43DD-B1DE-2CB330897430}"/>
                </c:ext>
              </c:extLst>
            </c:dLbl>
            <c:dLbl>
              <c:idx val="1"/>
              <c:layout>
                <c:manualLayout>
                  <c:x val="3.4419264470922028E-3"/>
                  <c:y val="-2.4685262898049864E-3"/>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5B90-43DD-B1DE-2CB330897430}"/>
                </c:ext>
              </c:extLst>
            </c:dLbl>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'individual-chart-workforce'!$B$3:$B$50</c:f>
              <c:strCache>
                <c:ptCount val="2"/>
                <c:pt idx="0">
                  <c:v>Activity</c:v>
                </c:pt>
                <c:pt idx="1">
                  <c:v>Outputs</c:v>
                </c:pt>
              </c:strCache>
              <c:extLst/>
            </c:strRef>
          </c:cat>
          <c:val>
            <c:numRef>
              <c:f>'individual-chart-workforce'!$J$3:$J$50</c:f>
              <c:numCache>
                <c:formatCode>0%</c:formatCode>
                <c:ptCount val="2"/>
                <c:pt idx="0">
                  <c:v>0.25</c:v>
                </c:pt>
                <c:pt idx="1">
                  <c:v>0.25</c:v>
                </c:pt>
              </c:numCache>
              <c:extLst/>
            </c:numRef>
          </c:val>
          <c:extLst>
            <c:ext xmlns:c16="http://schemas.microsoft.com/office/drawing/2014/chart" uri="{C3380CC4-5D6E-409C-BE32-E72D297353CC}">
              <c16:uniqueId val="{00000008-5B90-43DD-B1DE-2CB330897430}"/>
            </c:ext>
          </c:extLst>
        </c:ser>
        <c:ser>
          <c:idx val="8"/>
          <c:order val="8"/>
          <c:tx>
            <c:strRef>
              <c:f>'individual-chart-workforce'!$K$2</c:f>
              <c:strCache>
                <c:ptCount val="1"/>
                <c:pt idx="0">
                  <c:v>10%</c:v>
                </c:pt>
              </c:strCache>
            </c:strRef>
          </c:tx>
          <c:spPr>
            <a:solidFill>
              <a:schemeClr val="accent2">
                <a:tint val="56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'individual-chart-workforce'!$B$3:$B$50</c:f>
              <c:strCache>
                <c:ptCount val="2"/>
                <c:pt idx="0">
                  <c:v>Activity</c:v>
                </c:pt>
                <c:pt idx="1">
                  <c:v>Outputs</c:v>
                </c:pt>
              </c:strCache>
              <c:extLst/>
            </c:strRef>
          </c:cat>
          <c:val>
            <c:numRef>
              <c:f>'individual-chart-workforce'!$K$3:$K$50</c:f>
              <c:numCache>
                <c:formatCode>General</c:formatCode>
                <c:ptCount val="2"/>
              </c:numCache>
              <c:extLst/>
            </c:numRef>
          </c:val>
          <c:extLst>
            <c:ext xmlns:c16="http://schemas.microsoft.com/office/drawing/2014/chart" uri="{C3380CC4-5D6E-409C-BE32-E72D297353CC}">
              <c16:uniqueId val="{00000009-5B90-43DD-B1DE-2CB330897430}"/>
            </c:ext>
          </c:extLst>
        </c:ser>
        <c:ser>
          <c:idx val="9"/>
          <c:order val="9"/>
          <c:tx>
            <c:strRef>
              <c:f>'individual-chart-workforce'!$L$2</c:f>
              <c:strCache>
                <c:ptCount val="1"/>
                <c:pt idx="0">
                  <c:v>Not Started</c:v>
                </c:pt>
              </c:strCache>
            </c:strRef>
          </c:tx>
          <c:spPr>
            <a:solidFill>
              <a:srgbClr val="FCF2F2"/>
            </a:solidFill>
            <a:ln>
              <a:noFill/>
            </a:ln>
            <a:effectLst/>
          </c:spPr>
          <c:invertIfNegative val="0"/>
          <c:dLbls>
            <c:dLbl>
              <c:idx val="0"/>
              <c:layout>
                <c:manualLayout>
                  <c:x val="-4.5291711147571103E-3"/>
                  <c:y val="1.9437214880354225E-7"/>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5B90-43DD-B1DE-2CB330897430}"/>
                </c:ext>
              </c:extLst>
            </c:dLbl>
            <c:dLbl>
              <c:idx val="1"/>
              <c:layout>
                <c:manualLayout>
                  <c:x val="-1.0127316887937612E-3"/>
                  <c:y val="-7.4055788694150047E-3"/>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5B90-43DD-B1DE-2CB330897430}"/>
                </c:ext>
              </c:extLst>
            </c:dLbl>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'individual-chart-workforce'!$B$3:$B$50</c:f>
              <c:strCache>
                <c:ptCount val="2"/>
                <c:pt idx="0">
                  <c:v>Activity</c:v>
                </c:pt>
                <c:pt idx="1">
                  <c:v>Outputs</c:v>
                </c:pt>
              </c:strCache>
              <c:extLst/>
            </c:strRef>
          </c:cat>
          <c:val>
            <c:numRef>
              <c:f>'individual-chart-workforce'!$L$3:$L$50</c:f>
              <c:numCache>
                <c:formatCode>0%</c:formatCode>
                <c:ptCount val="2"/>
                <c:pt idx="0">
                  <c:v>0.25</c:v>
                </c:pt>
                <c:pt idx="1">
                  <c:v>0.25</c:v>
                </c:pt>
              </c:numCache>
              <c:extLst/>
            </c:numRef>
          </c:val>
          <c:extLst>
            <c:ext xmlns:c16="http://schemas.microsoft.com/office/drawing/2014/chart" uri="{C3380CC4-5D6E-409C-BE32-E72D297353CC}">
              <c16:uniqueId val="{0000000C-5B90-43DD-B1DE-2CB330897430}"/>
            </c:ext>
          </c:extLst>
        </c:ser>
        <c:dLbls>
          <c:dLblPos val="ctr"/>
          <c:showLegendKey val="0"/>
          <c:showVal val="1"/>
          <c:showCatName val="0"/>
          <c:showSerName val="0"/>
          <c:showPercent val="0"/>
          <c:showBubbleSize val="0"/>
        </c:dLbls>
        <c:gapWidth val="150"/>
        <c:overlap val="100"/>
        <c:axId val="790958128"/>
        <c:axId val="790961408"/>
        <c:extLst>
          <c:ext xmlns:c15="http://schemas.microsoft.com/office/drawing/2012/chart" uri="{02D57815-91ED-43cb-92C2-25804820EDAC}">
            <c15:filteredBarSeries>
              <c15:ser>
                <c:idx val="0"/>
                <c:order val="0"/>
                <c:tx>
                  <c:strRef>
                    <c:extLst>
                      <c:ext uri="{02D57815-91ED-43cb-92C2-25804820EDAC}">
                        <c15:formulaRef>
                          <c15:sqref>'individual-chart-workforce'!$C$2</c15:sqref>
                        </c15:formulaRef>
                      </c:ext>
                    </c:extLst>
                    <c:strCache>
                      <c:ptCount val="1"/>
                      <c:pt idx="0">
                        <c:v>Completed</c:v>
                      </c:pt>
                    </c:strCache>
                  </c:strRef>
                </c:tx>
                <c:spPr>
                  <a:solidFill>
                    <a:schemeClr val="accent2">
                      <a:shade val="42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c:ext uri="{02D57815-91ED-43cb-92C2-25804820EDAC}">
                        <c15:formulaRef>
                          <c15:sqref>'individual-chart-workforce'!$B$3:$B$50</c15:sqref>
                        </c15:formulaRef>
                      </c:ext>
                    </c:extLst>
                    <c:strCache>
                      <c:ptCount val="2"/>
                      <c:pt idx="0">
                        <c:v>Activity</c:v>
                      </c:pt>
                      <c:pt idx="1">
                        <c:v>Outputs</c:v>
                      </c:pt>
                    </c:strCache>
                  </c:strRef>
                </c:cat>
                <c:val>
                  <c:numRef>
                    <c:extLst>
                      <c:ext uri="{02D57815-91ED-43cb-92C2-25804820EDAC}">
                        <c15:formulaRef>
                          <c15:sqref>'individual-chart-workforce'!$C$3:$C$50</c15:sqref>
                        </c15:formulaRef>
                      </c:ext>
                    </c:extLst>
                    <c:numCache>
                      <c:formatCode>0%</c:formatCode>
                      <c:ptCount val="2"/>
                      <c:pt idx="0">
                        <c:v>0.5</c:v>
                      </c:pt>
                      <c:pt idx="1">
                        <c:v>0.5</c:v>
                      </c:pt>
                    </c:numCache>
                  </c:numRef>
                </c:val>
                <c:extLst>
                  <c:ext xmlns:c16="http://schemas.microsoft.com/office/drawing/2014/chart" uri="{C3380CC4-5D6E-409C-BE32-E72D297353CC}">
                    <c16:uniqueId val="{0000000D-5B90-43DD-B1DE-2CB330897430}"/>
                  </c:ext>
                </c:extLst>
              </c15:ser>
            </c15:filteredBarSeries>
            <c15:filteredBarSeries>
              <c15:ser>
                <c:idx val="1"/>
                <c:order val="1"/>
                <c:tx>
                  <c:strRef>
                    <c:extLst xmlns:c15="http://schemas.microsoft.com/office/drawing/2012/chart">
                      <c:ext xmlns:c15="http://schemas.microsoft.com/office/drawing/2012/chart" uri="{02D57815-91ED-43cb-92C2-25804820EDAC}">
                        <c15:formulaRef>
                          <c15:sqref>'individual-chart-workforce'!$D$2</c15:sqref>
                        </c15:formulaRef>
                      </c:ext>
                    </c:extLst>
                    <c:strCache>
                      <c:ptCount val="1"/>
                      <c:pt idx="0">
                        <c:v>In progress</c:v>
                      </c:pt>
                    </c:strCache>
                  </c:strRef>
                </c:tx>
                <c:spPr>
                  <a:solidFill>
                    <a:schemeClr val="accent2">
                      <a:shade val="5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'individual-chart-workforce'!$B$3:$B$50</c15:sqref>
                        </c15:formulaRef>
                      </c:ext>
                    </c:extLst>
                    <c:strCache>
                      <c:ptCount val="2"/>
                      <c:pt idx="0">
                        <c:v>Activity</c:v>
                      </c:pt>
                      <c:pt idx="1">
                        <c:v>Outputs</c:v>
                      </c:pt>
                    </c:strCache>
                  </c:strRef>
                </c:cat>
                <c:val>
                  <c:numRef>
                    <c:extLst xmlns:c15="http://schemas.microsoft.com/office/drawing/2012/chart">
                      <c:ext xmlns:c15="http://schemas.microsoft.com/office/drawing/2012/chart" uri="{02D57815-91ED-43cb-92C2-25804820EDAC}">
                        <c15:formulaRef>
                          <c15:sqref>'individual-chart-workforce'!$D$3:$D$50</c15:sqref>
                        </c15:formulaRef>
                      </c:ext>
                    </c:extLst>
                    <c:numCache>
                      <c:formatCode>0%</c:formatCode>
                      <c:ptCount val="2"/>
                      <c:pt idx="0">
                        <c:v>0.25</c:v>
                      </c:pt>
                      <c:pt idx="1">
                        <c:v>0.25</c:v>
                      </c:pt>
                    </c:numCache>
                  </c:numRef>
                </c:val>
                <c:extLst xmlns:c15="http://schemas.microsoft.com/office/drawing/2012/chart">
                  <c:ext xmlns:c16="http://schemas.microsoft.com/office/drawing/2014/chart" uri="{C3380CC4-5D6E-409C-BE32-E72D297353CC}">
                    <c16:uniqueId val="{0000000E-5B90-43DD-B1DE-2CB330897430}"/>
                  </c:ext>
                </c:extLst>
              </c15:ser>
            </c15:filteredBarSeries>
            <c15:filteredBarSeries>
              <c15:ser>
                <c:idx val="2"/>
                <c:order val="2"/>
                <c:tx>
                  <c:strRef>
                    <c:extLst xmlns:c15="http://schemas.microsoft.com/office/drawing/2012/chart">
                      <c:ext xmlns:c15="http://schemas.microsoft.com/office/drawing/2012/chart" uri="{02D57815-91ED-43cb-92C2-25804820EDAC}">
                        <c15:formulaRef>
                          <c15:sqref>'individual-chart-workforce'!$E$2</c15:sqref>
                        </c15:formulaRef>
                      </c:ext>
                    </c:extLst>
                    <c:strCache>
                      <c:ptCount val="1"/>
                      <c:pt idx="0">
                        <c:v>Not started</c:v>
                      </c:pt>
                    </c:strCache>
                  </c:strRef>
                </c:tx>
                <c:spPr>
                  <a:solidFill>
                    <a:schemeClr val="accent2">
                      <a:shade val="68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'individual-chart-workforce'!$B$3:$B$50</c15:sqref>
                        </c15:formulaRef>
                      </c:ext>
                    </c:extLst>
                    <c:strCache>
                      <c:ptCount val="2"/>
                      <c:pt idx="0">
                        <c:v>Activity</c:v>
                      </c:pt>
                      <c:pt idx="1">
                        <c:v>Outputs</c:v>
                      </c:pt>
                    </c:strCache>
                  </c:strRef>
                </c:cat>
                <c:val>
                  <c:numRef>
                    <c:extLst xmlns:c15="http://schemas.microsoft.com/office/drawing/2012/chart">
                      <c:ext xmlns:c15="http://schemas.microsoft.com/office/drawing/2012/chart" uri="{02D57815-91ED-43cb-92C2-25804820EDAC}">
                        <c15:formulaRef>
                          <c15:sqref>'individual-chart-workforce'!$E$3:$E$50</c15:sqref>
                        </c15:formulaRef>
                      </c:ext>
                    </c:extLst>
                    <c:numCache>
                      <c:formatCode>0%</c:formatCode>
                      <c:ptCount val="2"/>
                      <c:pt idx="0">
                        <c:v>0.25</c:v>
                      </c:pt>
                      <c:pt idx="1">
                        <c:v>0.25</c:v>
                      </c:pt>
                    </c:numCache>
                  </c:numRef>
                </c:val>
                <c:extLst xmlns:c15="http://schemas.microsoft.com/office/drawing/2012/chart">
                  <c:ext xmlns:c16="http://schemas.microsoft.com/office/drawing/2014/chart" uri="{C3380CC4-5D6E-409C-BE32-E72D297353CC}">
                    <c16:uniqueId val="{0000000F-5B90-43DD-B1DE-2CB330897430}"/>
                  </c:ext>
                </c:extLst>
              </c15:ser>
            </c15:filteredBarSeries>
          </c:ext>
        </c:extLst>
      </c:barChart>
      <c:catAx>
        <c:axId val="7909581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n-US"/>
          </a:p>
        </c:txPr>
        <c:crossAx val="790961408"/>
        <c:crosses val="autoZero"/>
        <c:auto val="1"/>
        <c:lblAlgn val="ctr"/>
        <c:lblOffset val="100"/>
        <c:noMultiLvlLbl val="0"/>
      </c:catAx>
      <c:valAx>
        <c:axId val="790961408"/>
        <c:scaling>
          <c:orientation val="minMax"/>
          <c:min val="0"/>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90958128"/>
        <c:crossesAt val="1"/>
        <c:crossBetween val="between"/>
      </c:valAx>
      <c:spPr>
        <a:noFill/>
        <a:ln>
          <a:noFill/>
        </a:ln>
        <a:effectLst/>
      </c:spPr>
    </c:plotArea>
    <c:legend>
      <c:legendPos val="t"/>
      <c:layout>
        <c:manualLayout>
          <c:xMode val="edge"/>
          <c:yMode val="edge"/>
          <c:x val="0.16878354491402861"/>
          <c:y val="0.14071530758226036"/>
          <c:w val="0.78488188976377948"/>
          <c:h val="8.3691663005643596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userShapes r:id="rId5"/>
</c:chartSpace>
</file>

<file path=word/charts/chart3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4"/>
    </mc:Choice>
    <mc:Fallback>
      <c:style val="4"/>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Topic Area - </a:t>
            </a:r>
            <a:r>
              <a:rPr lang="en-US" sz="1400" b="0" i="0" u="none" strike="noStrike" baseline="0">
                <a:effectLst/>
              </a:rPr>
              <a:t>Workforce Integration </a:t>
            </a:r>
            <a:r>
              <a:rPr lang="en-US"/>
              <a:t>Activity #2</a:t>
            </a:r>
          </a:p>
        </c:rich>
      </c:tx>
      <c:layout>
        <c:manualLayout>
          <c:xMode val="edge"/>
          <c:yMode val="edge"/>
          <c:x val="0.15852625564661557"/>
          <c:y val="1.4306151645207439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6017916604892113"/>
          <c:y val="0.23265365094271845"/>
          <c:w val="0.78942722632790041"/>
          <c:h val="0.66602748393145406"/>
        </c:manualLayout>
      </c:layout>
      <c:barChart>
        <c:barDir val="col"/>
        <c:grouping val="percentStacked"/>
        <c:varyColors val="0"/>
        <c:ser>
          <c:idx val="3"/>
          <c:order val="3"/>
          <c:tx>
            <c:strRef>
              <c:f>'individual-chart-workforce'!$F$2</c:f>
              <c:strCache>
                <c:ptCount val="1"/>
                <c:pt idx="0">
                  <c:v>Completed</c:v>
                </c:pt>
              </c:strCache>
            </c:strRef>
          </c:tx>
          <c:spPr>
            <a:solidFill>
              <a:srgbClr val="99221F"/>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800" b="0"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'individual-chart-workforce'!$B$3:$B$50</c:f>
              <c:strCache>
                <c:ptCount val="2"/>
                <c:pt idx="0">
                  <c:v>Activity</c:v>
                </c:pt>
                <c:pt idx="1">
                  <c:v>Outputs</c:v>
                </c:pt>
              </c:strCache>
              <c:extLst/>
            </c:strRef>
          </c:cat>
          <c:val>
            <c:numRef>
              <c:f>'individual-chart-workforce'!$F$3:$F$50</c:f>
              <c:numCache>
                <c:formatCode>General</c:formatCode>
                <c:ptCount val="2"/>
              </c:numCache>
              <c:extLst/>
            </c:numRef>
          </c:val>
          <c:extLst>
            <c:ext xmlns:c16="http://schemas.microsoft.com/office/drawing/2014/chart" uri="{C3380CC4-5D6E-409C-BE32-E72D297353CC}">
              <c16:uniqueId val="{00000000-3C12-4101-8652-11AF1BB1A8A8}"/>
            </c:ext>
          </c:extLst>
        </c:ser>
        <c:ser>
          <c:idx val="4"/>
          <c:order val="4"/>
          <c:tx>
            <c:strRef>
              <c:f>'individual-chart-workforce'!$G$2</c:f>
              <c:strCache>
                <c:ptCount val="1"/>
                <c:pt idx="0">
                  <c:v>90%</c:v>
                </c:pt>
              </c:strCache>
            </c:strRef>
          </c:tx>
          <c:spPr>
            <a:solidFill>
              <a:srgbClr val="D73D39"/>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'individual-chart-workforce'!$B$3:$B$50</c:f>
              <c:strCache>
                <c:ptCount val="2"/>
                <c:pt idx="0">
                  <c:v>Activity</c:v>
                </c:pt>
                <c:pt idx="1">
                  <c:v>Outputs</c:v>
                </c:pt>
              </c:strCache>
              <c:extLst/>
            </c:strRef>
          </c:cat>
          <c:val>
            <c:numRef>
              <c:f>'individual-chart-workforce'!$G$3:$G$50</c:f>
              <c:numCache>
                <c:formatCode>General</c:formatCode>
                <c:ptCount val="2"/>
              </c:numCache>
              <c:extLst/>
            </c:numRef>
          </c:val>
          <c:extLst>
            <c:ext xmlns:c16="http://schemas.microsoft.com/office/drawing/2014/chart" uri="{C3380CC4-5D6E-409C-BE32-E72D297353CC}">
              <c16:uniqueId val="{00000001-3C12-4101-8652-11AF1BB1A8A8}"/>
            </c:ext>
          </c:extLst>
        </c:ser>
        <c:ser>
          <c:idx val="5"/>
          <c:order val="5"/>
          <c:tx>
            <c:strRef>
              <c:f>'individual-chart-workforce'!$H$2</c:f>
              <c:strCache>
                <c:ptCount val="1"/>
                <c:pt idx="0">
                  <c:v>75%</c:v>
                </c:pt>
              </c:strCache>
            </c:strRef>
          </c:tx>
          <c:spPr>
            <a:solidFill>
              <a:srgbClr val="DC535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'individual-chart-workforce'!$B$3:$B$50</c:f>
              <c:strCache>
                <c:ptCount val="2"/>
                <c:pt idx="0">
                  <c:v>Activity</c:v>
                </c:pt>
                <c:pt idx="1">
                  <c:v>Outputs</c:v>
                </c:pt>
              </c:strCache>
              <c:extLst/>
            </c:strRef>
          </c:cat>
          <c:val>
            <c:numRef>
              <c:f>'individual-chart-workforce'!$H$3:$H$50</c:f>
              <c:numCache>
                <c:formatCode>General</c:formatCode>
                <c:ptCount val="2"/>
              </c:numCache>
              <c:extLst/>
            </c:numRef>
          </c:val>
          <c:extLst>
            <c:ext xmlns:c16="http://schemas.microsoft.com/office/drawing/2014/chart" uri="{C3380CC4-5D6E-409C-BE32-E72D297353CC}">
              <c16:uniqueId val="{00000002-3C12-4101-8652-11AF1BB1A8A8}"/>
            </c:ext>
          </c:extLst>
        </c:ser>
        <c:ser>
          <c:idx val="6"/>
          <c:order val="6"/>
          <c:tx>
            <c:strRef>
              <c:f>'individual-chart-workforce'!$I$2</c:f>
              <c:strCache>
                <c:ptCount val="1"/>
                <c:pt idx="0">
                  <c:v>50%</c:v>
                </c:pt>
              </c:strCache>
            </c:strRef>
          </c:tx>
          <c:spPr>
            <a:solidFill>
              <a:srgbClr val="EBA19F"/>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'individual-chart-workforce'!$B$3:$B$50</c:f>
              <c:strCache>
                <c:ptCount val="2"/>
                <c:pt idx="0">
                  <c:v>Activity</c:v>
                </c:pt>
                <c:pt idx="1">
                  <c:v>Outputs</c:v>
                </c:pt>
              </c:strCache>
              <c:extLst/>
            </c:strRef>
          </c:cat>
          <c:val>
            <c:numRef>
              <c:f>'individual-chart-workforce'!$I$3:$I$50</c:f>
              <c:numCache>
                <c:formatCode>General</c:formatCode>
                <c:ptCount val="2"/>
                <c:pt idx="0" formatCode="0%">
                  <c:v>1</c:v>
                </c:pt>
              </c:numCache>
              <c:extLst/>
            </c:numRef>
          </c:val>
          <c:extLst>
            <c:ext xmlns:c16="http://schemas.microsoft.com/office/drawing/2014/chart" uri="{C3380CC4-5D6E-409C-BE32-E72D297353CC}">
              <c16:uniqueId val="{00000003-3C12-4101-8652-11AF1BB1A8A8}"/>
            </c:ext>
          </c:extLst>
        </c:ser>
        <c:ser>
          <c:idx val="7"/>
          <c:order val="7"/>
          <c:tx>
            <c:strRef>
              <c:f>'individual-chart-workforce'!$J$2</c:f>
              <c:strCache>
                <c:ptCount val="1"/>
                <c:pt idx="0">
                  <c:v>25%</c:v>
                </c:pt>
              </c:strCache>
            </c:strRef>
          </c:tx>
          <c:spPr>
            <a:solidFill>
              <a:srgbClr val="F3C6C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'individual-chart-workforce'!$B$3:$B$50</c:f>
              <c:strCache>
                <c:ptCount val="2"/>
                <c:pt idx="0">
                  <c:v>Activity</c:v>
                </c:pt>
                <c:pt idx="1">
                  <c:v>Outputs</c:v>
                </c:pt>
              </c:strCache>
              <c:extLst/>
            </c:strRef>
          </c:cat>
          <c:val>
            <c:numRef>
              <c:f>'individual-chart-workforce'!$J$3:$J$50</c:f>
              <c:numCache>
                <c:formatCode>0%</c:formatCode>
                <c:ptCount val="2"/>
                <c:pt idx="1">
                  <c:v>1</c:v>
                </c:pt>
              </c:numCache>
              <c:extLst/>
            </c:numRef>
          </c:val>
          <c:extLst>
            <c:ext xmlns:c16="http://schemas.microsoft.com/office/drawing/2014/chart" uri="{C3380CC4-5D6E-409C-BE32-E72D297353CC}">
              <c16:uniqueId val="{00000004-3C12-4101-8652-11AF1BB1A8A8}"/>
            </c:ext>
          </c:extLst>
        </c:ser>
        <c:ser>
          <c:idx val="8"/>
          <c:order val="8"/>
          <c:tx>
            <c:strRef>
              <c:f>'individual-chart-workforce'!$K$2</c:f>
              <c:strCache>
                <c:ptCount val="1"/>
                <c:pt idx="0">
                  <c:v>10%</c:v>
                </c:pt>
              </c:strCache>
            </c:strRef>
          </c:tx>
          <c:spPr>
            <a:solidFill>
              <a:schemeClr val="accent2">
                <a:tint val="56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'individual-chart-workforce'!$B$3:$B$50</c:f>
              <c:strCache>
                <c:ptCount val="2"/>
                <c:pt idx="0">
                  <c:v>Activity</c:v>
                </c:pt>
                <c:pt idx="1">
                  <c:v>Outputs</c:v>
                </c:pt>
              </c:strCache>
              <c:extLst/>
            </c:strRef>
          </c:cat>
          <c:val>
            <c:numRef>
              <c:f>'individual-chart-workforce'!$K$3:$K$50</c:f>
              <c:numCache>
                <c:formatCode>General</c:formatCode>
                <c:ptCount val="2"/>
              </c:numCache>
              <c:extLst/>
            </c:numRef>
          </c:val>
          <c:extLst>
            <c:ext xmlns:c16="http://schemas.microsoft.com/office/drawing/2014/chart" uri="{C3380CC4-5D6E-409C-BE32-E72D297353CC}">
              <c16:uniqueId val="{00000005-3C12-4101-8652-11AF1BB1A8A8}"/>
            </c:ext>
          </c:extLst>
        </c:ser>
        <c:ser>
          <c:idx val="9"/>
          <c:order val="9"/>
          <c:tx>
            <c:strRef>
              <c:f>'individual-chart-workforce'!$L$2</c:f>
              <c:strCache>
                <c:ptCount val="1"/>
                <c:pt idx="0">
                  <c:v>Not Started</c:v>
                </c:pt>
              </c:strCache>
            </c:strRef>
          </c:tx>
          <c:spPr>
            <a:solidFill>
              <a:srgbClr val="FCF2F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'individual-chart-workforce'!$B$3:$B$50</c:f>
              <c:strCache>
                <c:ptCount val="2"/>
                <c:pt idx="0">
                  <c:v>Activity</c:v>
                </c:pt>
                <c:pt idx="1">
                  <c:v>Outputs</c:v>
                </c:pt>
              </c:strCache>
              <c:extLst/>
            </c:strRef>
          </c:cat>
          <c:val>
            <c:numRef>
              <c:f>'individual-chart-workforce'!$L$3:$L$50</c:f>
              <c:numCache>
                <c:formatCode>General</c:formatCode>
                <c:ptCount val="2"/>
              </c:numCache>
              <c:extLst/>
            </c:numRef>
          </c:val>
          <c:extLst>
            <c:ext xmlns:c16="http://schemas.microsoft.com/office/drawing/2014/chart" uri="{C3380CC4-5D6E-409C-BE32-E72D297353CC}">
              <c16:uniqueId val="{00000006-3C12-4101-8652-11AF1BB1A8A8}"/>
            </c:ext>
          </c:extLst>
        </c:ser>
        <c:dLbls>
          <c:dLblPos val="ctr"/>
          <c:showLegendKey val="0"/>
          <c:showVal val="1"/>
          <c:showCatName val="0"/>
          <c:showSerName val="0"/>
          <c:showPercent val="0"/>
          <c:showBubbleSize val="0"/>
        </c:dLbls>
        <c:gapWidth val="150"/>
        <c:overlap val="100"/>
        <c:axId val="790958128"/>
        <c:axId val="790961408"/>
        <c:extLst>
          <c:ext xmlns:c15="http://schemas.microsoft.com/office/drawing/2012/chart" uri="{02D57815-91ED-43cb-92C2-25804820EDAC}">
            <c15:filteredBarSeries>
              <c15:ser>
                <c:idx val="0"/>
                <c:order val="0"/>
                <c:tx>
                  <c:strRef>
                    <c:extLst>
                      <c:ext uri="{02D57815-91ED-43cb-92C2-25804820EDAC}">
                        <c15:formulaRef>
                          <c15:sqref>'individual-chart-workforce'!$C$2</c15:sqref>
                        </c15:formulaRef>
                      </c:ext>
                    </c:extLst>
                    <c:strCache>
                      <c:ptCount val="1"/>
                      <c:pt idx="0">
                        <c:v>Completed</c:v>
                      </c:pt>
                    </c:strCache>
                  </c:strRef>
                </c:tx>
                <c:spPr>
                  <a:solidFill>
                    <a:schemeClr val="accent2">
                      <a:shade val="42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c:ext uri="{02D57815-91ED-43cb-92C2-25804820EDAC}">
                        <c15:formulaRef>
                          <c15:sqref>'individual-chart-workforce'!$B$3:$B$50</c15:sqref>
                        </c15:formulaRef>
                      </c:ext>
                    </c:extLst>
                    <c:strCache>
                      <c:ptCount val="2"/>
                      <c:pt idx="0">
                        <c:v>Activity</c:v>
                      </c:pt>
                      <c:pt idx="1">
                        <c:v>Outputs</c:v>
                      </c:pt>
                    </c:strCache>
                  </c:strRef>
                </c:cat>
                <c:val>
                  <c:numRef>
                    <c:extLst>
                      <c:ext uri="{02D57815-91ED-43cb-92C2-25804820EDAC}">
                        <c15:formulaRef>
                          <c15:sqref>'individual-chart-workforce'!$C$3:$C$50</c15:sqref>
                        </c15:formulaRef>
                      </c:ext>
                    </c:extLst>
                    <c:numCache>
                      <c:formatCode>General</c:formatCode>
                      <c:ptCount val="2"/>
                    </c:numCache>
                  </c:numRef>
                </c:val>
                <c:extLst>
                  <c:ext xmlns:c16="http://schemas.microsoft.com/office/drawing/2014/chart" uri="{C3380CC4-5D6E-409C-BE32-E72D297353CC}">
                    <c16:uniqueId val="{00000007-3C12-4101-8652-11AF1BB1A8A8}"/>
                  </c:ext>
                </c:extLst>
              </c15:ser>
            </c15:filteredBarSeries>
            <c15:filteredBarSeries>
              <c15:ser>
                <c:idx val="1"/>
                <c:order val="1"/>
                <c:tx>
                  <c:strRef>
                    <c:extLst xmlns:c15="http://schemas.microsoft.com/office/drawing/2012/chart">
                      <c:ext xmlns:c15="http://schemas.microsoft.com/office/drawing/2012/chart" uri="{02D57815-91ED-43cb-92C2-25804820EDAC}">
                        <c15:formulaRef>
                          <c15:sqref>'individual-chart-workforce'!$D$2</c15:sqref>
                        </c15:formulaRef>
                      </c:ext>
                    </c:extLst>
                    <c:strCache>
                      <c:ptCount val="1"/>
                      <c:pt idx="0">
                        <c:v>In progress</c:v>
                      </c:pt>
                    </c:strCache>
                  </c:strRef>
                </c:tx>
                <c:spPr>
                  <a:solidFill>
                    <a:schemeClr val="accent2">
                      <a:shade val="5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'individual-chart-workforce'!$B$3:$B$50</c15:sqref>
                        </c15:formulaRef>
                      </c:ext>
                    </c:extLst>
                    <c:strCache>
                      <c:ptCount val="2"/>
                      <c:pt idx="0">
                        <c:v>Activity</c:v>
                      </c:pt>
                      <c:pt idx="1">
                        <c:v>Outputs</c:v>
                      </c:pt>
                    </c:strCache>
                  </c:strRef>
                </c:cat>
                <c:val>
                  <c:numRef>
                    <c:extLst xmlns:c15="http://schemas.microsoft.com/office/drawing/2012/chart">
                      <c:ext xmlns:c15="http://schemas.microsoft.com/office/drawing/2012/chart" uri="{02D57815-91ED-43cb-92C2-25804820EDAC}">
                        <c15:formulaRef>
                          <c15:sqref>'individual-chart-workforce'!$D$3:$D$50</c15:sqref>
                        </c15:formulaRef>
                      </c:ext>
                    </c:extLst>
                    <c:numCache>
                      <c:formatCode>0%</c:formatCode>
                      <c:ptCount val="2"/>
                      <c:pt idx="0">
                        <c:v>1</c:v>
                      </c:pt>
                      <c:pt idx="1">
                        <c:v>1</c:v>
                      </c:pt>
                    </c:numCache>
                  </c:numRef>
                </c:val>
                <c:extLst xmlns:c15="http://schemas.microsoft.com/office/drawing/2012/chart">
                  <c:ext xmlns:c16="http://schemas.microsoft.com/office/drawing/2014/chart" uri="{C3380CC4-5D6E-409C-BE32-E72D297353CC}">
                    <c16:uniqueId val="{00000008-3C12-4101-8652-11AF1BB1A8A8}"/>
                  </c:ext>
                </c:extLst>
              </c15:ser>
            </c15:filteredBarSeries>
            <c15:filteredBarSeries>
              <c15:ser>
                <c:idx val="2"/>
                <c:order val="2"/>
                <c:tx>
                  <c:strRef>
                    <c:extLst xmlns:c15="http://schemas.microsoft.com/office/drawing/2012/chart">
                      <c:ext xmlns:c15="http://schemas.microsoft.com/office/drawing/2012/chart" uri="{02D57815-91ED-43cb-92C2-25804820EDAC}">
                        <c15:formulaRef>
                          <c15:sqref>'individual-chart-workforce'!$E$2</c15:sqref>
                        </c15:formulaRef>
                      </c:ext>
                    </c:extLst>
                    <c:strCache>
                      <c:ptCount val="1"/>
                      <c:pt idx="0">
                        <c:v>Not started</c:v>
                      </c:pt>
                    </c:strCache>
                  </c:strRef>
                </c:tx>
                <c:spPr>
                  <a:solidFill>
                    <a:schemeClr val="accent2">
                      <a:shade val="68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'individual-chart-workforce'!$B$3:$B$50</c15:sqref>
                        </c15:formulaRef>
                      </c:ext>
                    </c:extLst>
                    <c:strCache>
                      <c:ptCount val="2"/>
                      <c:pt idx="0">
                        <c:v>Activity</c:v>
                      </c:pt>
                      <c:pt idx="1">
                        <c:v>Outputs</c:v>
                      </c:pt>
                    </c:strCache>
                  </c:strRef>
                </c:cat>
                <c:val>
                  <c:numRef>
                    <c:extLst xmlns:c15="http://schemas.microsoft.com/office/drawing/2012/chart">
                      <c:ext xmlns:c15="http://schemas.microsoft.com/office/drawing/2012/chart" uri="{02D57815-91ED-43cb-92C2-25804820EDAC}">
                        <c15:formulaRef>
                          <c15:sqref>'individual-chart-workforce'!$E$3:$E$50</c15:sqref>
                        </c15:formulaRef>
                      </c:ext>
                    </c:extLst>
                    <c:numCache>
                      <c:formatCode>General</c:formatCode>
                      <c:ptCount val="2"/>
                    </c:numCache>
                  </c:numRef>
                </c:val>
                <c:extLst xmlns:c15="http://schemas.microsoft.com/office/drawing/2012/chart">
                  <c:ext xmlns:c16="http://schemas.microsoft.com/office/drawing/2014/chart" uri="{C3380CC4-5D6E-409C-BE32-E72D297353CC}">
                    <c16:uniqueId val="{00000009-3C12-4101-8652-11AF1BB1A8A8}"/>
                  </c:ext>
                </c:extLst>
              </c15:ser>
            </c15:filteredBarSeries>
          </c:ext>
        </c:extLst>
      </c:barChart>
      <c:catAx>
        <c:axId val="7909581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n-US"/>
          </a:p>
        </c:txPr>
        <c:crossAx val="790961408"/>
        <c:crosses val="autoZero"/>
        <c:auto val="1"/>
        <c:lblAlgn val="ctr"/>
        <c:lblOffset val="100"/>
        <c:noMultiLvlLbl val="0"/>
      </c:catAx>
      <c:valAx>
        <c:axId val="790961408"/>
        <c:scaling>
          <c:orientation val="minMax"/>
          <c:min val="0"/>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90958128"/>
        <c:crossesAt val="1"/>
        <c:crossBetween val="between"/>
      </c:valAx>
      <c:spPr>
        <a:noFill/>
        <a:ln>
          <a:noFill/>
        </a:ln>
        <a:effectLst/>
      </c:spPr>
    </c:plotArea>
    <c:legend>
      <c:legendPos val="t"/>
      <c:layout>
        <c:manualLayout>
          <c:xMode val="edge"/>
          <c:yMode val="edge"/>
          <c:x val="0.16878354491402861"/>
          <c:y val="0.14071530758226036"/>
          <c:w val="0.78488188976377948"/>
          <c:h val="8.3691663005643596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userShapes r:id="rId5"/>
</c:chartSpace>
</file>

<file path=word/charts/chart3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4"/>
    </mc:Choice>
    <mc:Fallback>
      <c:style val="4"/>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Topic Area - </a:t>
            </a:r>
            <a:r>
              <a:rPr lang="en-US" sz="1400" b="0" i="0" u="none" strike="noStrike" baseline="0">
                <a:effectLst/>
              </a:rPr>
              <a:t>Workforce Integration</a:t>
            </a:r>
            <a:r>
              <a:rPr lang="en-US"/>
              <a:t> </a:t>
            </a:r>
            <a:r>
              <a:rPr lang="en-US" baseline="0"/>
              <a:t> </a:t>
            </a:r>
            <a:r>
              <a:rPr lang="en-US"/>
              <a:t>Activity #3</a:t>
            </a:r>
          </a:p>
        </c:rich>
      </c:tx>
      <c:layout>
        <c:manualLayout>
          <c:xMode val="edge"/>
          <c:yMode val="edge"/>
          <c:x val="0.15852625564661557"/>
          <c:y val="1.4306151645207439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6017916604892113"/>
          <c:y val="0.23265365094271845"/>
          <c:w val="0.78942722632790041"/>
          <c:h val="0.66602748393145406"/>
        </c:manualLayout>
      </c:layout>
      <c:barChart>
        <c:barDir val="col"/>
        <c:grouping val="percentStacked"/>
        <c:varyColors val="0"/>
        <c:ser>
          <c:idx val="3"/>
          <c:order val="3"/>
          <c:tx>
            <c:strRef>
              <c:f>'individual-chart-workforce'!$F$2</c:f>
              <c:strCache>
                <c:ptCount val="1"/>
                <c:pt idx="0">
                  <c:v>Completed</c:v>
                </c:pt>
              </c:strCache>
            </c:strRef>
          </c:tx>
          <c:spPr>
            <a:solidFill>
              <a:srgbClr val="99221F"/>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800" b="0"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'individual-chart-workforce'!$B$3:$B$50</c:f>
              <c:strCache>
                <c:ptCount val="2"/>
                <c:pt idx="0">
                  <c:v>Activity</c:v>
                </c:pt>
                <c:pt idx="1">
                  <c:v>Outputs</c:v>
                </c:pt>
              </c:strCache>
              <c:extLst/>
            </c:strRef>
          </c:cat>
          <c:val>
            <c:numRef>
              <c:f>'individual-chart-workforce'!$F$3:$F$50</c:f>
              <c:numCache>
                <c:formatCode>0%</c:formatCode>
                <c:ptCount val="2"/>
                <c:pt idx="0">
                  <c:v>0.4</c:v>
                </c:pt>
                <c:pt idx="1">
                  <c:v>0.4</c:v>
                </c:pt>
              </c:numCache>
              <c:extLst/>
            </c:numRef>
          </c:val>
          <c:extLst>
            <c:ext xmlns:c16="http://schemas.microsoft.com/office/drawing/2014/chart" uri="{C3380CC4-5D6E-409C-BE32-E72D297353CC}">
              <c16:uniqueId val="{00000000-7F82-48AD-A61B-E3BB31FF5903}"/>
            </c:ext>
          </c:extLst>
        </c:ser>
        <c:ser>
          <c:idx val="4"/>
          <c:order val="4"/>
          <c:tx>
            <c:strRef>
              <c:f>'individual-chart-workforce'!$G$2</c:f>
              <c:strCache>
                <c:ptCount val="1"/>
                <c:pt idx="0">
                  <c:v>90%</c:v>
                </c:pt>
              </c:strCache>
            </c:strRef>
          </c:tx>
          <c:spPr>
            <a:solidFill>
              <a:srgbClr val="D73D39"/>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'individual-chart-workforce'!$B$3:$B$50</c:f>
              <c:strCache>
                <c:ptCount val="2"/>
                <c:pt idx="0">
                  <c:v>Activity</c:v>
                </c:pt>
                <c:pt idx="1">
                  <c:v>Outputs</c:v>
                </c:pt>
              </c:strCache>
              <c:extLst/>
            </c:strRef>
          </c:cat>
          <c:val>
            <c:numRef>
              <c:f>'individual-chart-workforce'!$G$3:$G$50</c:f>
              <c:numCache>
                <c:formatCode>General</c:formatCode>
                <c:ptCount val="2"/>
              </c:numCache>
              <c:extLst/>
            </c:numRef>
          </c:val>
          <c:extLst>
            <c:ext xmlns:c16="http://schemas.microsoft.com/office/drawing/2014/chart" uri="{C3380CC4-5D6E-409C-BE32-E72D297353CC}">
              <c16:uniqueId val="{00000001-7F82-48AD-A61B-E3BB31FF5903}"/>
            </c:ext>
          </c:extLst>
        </c:ser>
        <c:ser>
          <c:idx val="5"/>
          <c:order val="5"/>
          <c:tx>
            <c:strRef>
              <c:f>'individual-chart-workforce'!$H$2</c:f>
              <c:strCache>
                <c:ptCount val="1"/>
                <c:pt idx="0">
                  <c:v>75%</c:v>
                </c:pt>
              </c:strCache>
            </c:strRef>
          </c:tx>
          <c:spPr>
            <a:solidFill>
              <a:srgbClr val="DC535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'individual-chart-workforce'!$B$3:$B$50</c:f>
              <c:strCache>
                <c:ptCount val="2"/>
                <c:pt idx="0">
                  <c:v>Activity</c:v>
                </c:pt>
                <c:pt idx="1">
                  <c:v>Outputs</c:v>
                </c:pt>
              </c:strCache>
              <c:extLst/>
            </c:strRef>
          </c:cat>
          <c:val>
            <c:numRef>
              <c:f>'individual-chart-workforce'!$H$3:$H$50</c:f>
              <c:numCache>
                <c:formatCode>0%</c:formatCode>
                <c:ptCount val="2"/>
                <c:pt idx="0">
                  <c:v>0.2</c:v>
                </c:pt>
                <c:pt idx="1">
                  <c:v>0.2</c:v>
                </c:pt>
              </c:numCache>
              <c:extLst/>
            </c:numRef>
          </c:val>
          <c:extLst>
            <c:ext xmlns:c16="http://schemas.microsoft.com/office/drawing/2014/chart" uri="{C3380CC4-5D6E-409C-BE32-E72D297353CC}">
              <c16:uniqueId val="{00000002-7F82-48AD-A61B-E3BB31FF5903}"/>
            </c:ext>
          </c:extLst>
        </c:ser>
        <c:ser>
          <c:idx val="6"/>
          <c:order val="6"/>
          <c:tx>
            <c:strRef>
              <c:f>'individual-chart-workforce'!$I$2</c:f>
              <c:strCache>
                <c:ptCount val="1"/>
                <c:pt idx="0">
                  <c:v>50%</c:v>
                </c:pt>
              </c:strCache>
            </c:strRef>
          </c:tx>
          <c:spPr>
            <a:solidFill>
              <a:srgbClr val="EBA19F"/>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'individual-chart-workforce'!$B$3:$B$50</c:f>
              <c:strCache>
                <c:ptCount val="2"/>
                <c:pt idx="0">
                  <c:v>Activity</c:v>
                </c:pt>
                <c:pt idx="1">
                  <c:v>Outputs</c:v>
                </c:pt>
              </c:strCache>
              <c:extLst/>
            </c:strRef>
          </c:cat>
          <c:val>
            <c:numRef>
              <c:f>'individual-chart-workforce'!$I$3:$I$50</c:f>
              <c:numCache>
                <c:formatCode>General</c:formatCode>
                <c:ptCount val="2"/>
              </c:numCache>
              <c:extLst/>
            </c:numRef>
          </c:val>
          <c:extLst>
            <c:ext xmlns:c16="http://schemas.microsoft.com/office/drawing/2014/chart" uri="{C3380CC4-5D6E-409C-BE32-E72D297353CC}">
              <c16:uniqueId val="{00000003-7F82-48AD-A61B-E3BB31FF5903}"/>
            </c:ext>
          </c:extLst>
        </c:ser>
        <c:ser>
          <c:idx val="7"/>
          <c:order val="7"/>
          <c:tx>
            <c:strRef>
              <c:f>'individual-chart-workforce'!$J$2</c:f>
              <c:strCache>
                <c:ptCount val="1"/>
                <c:pt idx="0">
                  <c:v>25%</c:v>
                </c:pt>
              </c:strCache>
            </c:strRef>
          </c:tx>
          <c:spPr>
            <a:solidFill>
              <a:srgbClr val="F3C6C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'individual-chart-workforce'!$B$3:$B$50</c:f>
              <c:strCache>
                <c:ptCount val="2"/>
                <c:pt idx="0">
                  <c:v>Activity</c:v>
                </c:pt>
                <c:pt idx="1">
                  <c:v>Outputs</c:v>
                </c:pt>
              </c:strCache>
              <c:extLst/>
            </c:strRef>
          </c:cat>
          <c:val>
            <c:numRef>
              <c:f>'individual-chart-workforce'!$J$3:$J$50</c:f>
              <c:numCache>
                <c:formatCode>General</c:formatCode>
                <c:ptCount val="2"/>
              </c:numCache>
              <c:extLst/>
            </c:numRef>
          </c:val>
          <c:extLst>
            <c:ext xmlns:c16="http://schemas.microsoft.com/office/drawing/2014/chart" uri="{C3380CC4-5D6E-409C-BE32-E72D297353CC}">
              <c16:uniqueId val="{00000004-7F82-48AD-A61B-E3BB31FF5903}"/>
            </c:ext>
          </c:extLst>
        </c:ser>
        <c:ser>
          <c:idx val="8"/>
          <c:order val="8"/>
          <c:tx>
            <c:strRef>
              <c:f>'individual-chart-workforce'!$K$2</c:f>
              <c:strCache>
                <c:ptCount val="1"/>
                <c:pt idx="0">
                  <c:v>10%</c:v>
                </c:pt>
              </c:strCache>
            </c:strRef>
          </c:tx>
          <c:spPr>
            <a:solidFill>
              <a:schemeClr val="accent2">
                <a:tint val="56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'individual-chart-workforce'!$B$3:$B$50</c:f>
              <c:strCache>
                <c:ptCount val="2"/>
                <c:pt idx="0">
                  <c:v>Activity</c:v>
                </c:pt>
                <c:pt idx="1">
                  <c:v>Outputs</c:v>
                </c:pt>
              </c:strCache>
              <c:extLst/>
            </c:strRef>
          </c:cat>
          <c:val>
            <c:numRef>
              <c:f>'individual-chart-workforce'!$K$3:$K$50</c:f>
              <c:numCache>
                <c:formatCode>General</c:formatCode>
                <c:ptCount val="2"/>
              </c:numCache>
              <c:extLst/>
            </c:numRef>
          </c:val>
          <c:extLst>
            <c:ext xmlns:c16="http://schemas.microsoft.com/office/drawing/2014/chart" uri="{C3380CC4-5D6E-409C-BE32-E72D297353CC}">
              <c16:uniqueId val="{00000005-7F82-48AD-A61B-E3BB31FF5903}"/>
            </c:ext>
          </c:extLst>
        </c:ser>
        <c:ser>
          <c:idx val="9"/>
          <c:order val="9"/>
          <c:tx>
            <c:strRef>
              <c:f>'individual-chart-workforce'!$L$2</c:f>
              <c:strCache>
                <c:ptCount val="1"/>
                <c:pt idx="0">
                  <c:v>Not Started</c:v>
                </c:pt>
              </c:strCache>
            </c:strRef>
          </c:tx>
          <c:spPr>
            <a:solidFill>
              <a:srgbClr val="FCF2F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'individual-chart-workforce'!$B$3:$B$50</c:f>
              <c:strCache>
                <c:ptCount val="2"/>
                <c:pt idx="0">
                  <c:v>Activity</c:v>
                </c:pt>
                <c:pt idx="1">
                  <c:v>Outputs</c:v>
                </c:pt>
              </c:strCache>
              <c:extLst/>
            </c:strRef>
          </c:cat>
          <c:val>
            <c:numRef>
              <c:f>'individual-chart-workforce'!$L$3:$L$50</c:f>
              <c:numCache>
                <c:formatCode>0%</c:formatCode>
                <c:ptCount val="2"/>
                <c:pt idx="0">
                  <c:v>0.4</c:v>
                </c:pt>
                <c:pt idx="1">
                  <c:v>0.4</c:v>
                </c:pt>
              </c:numCache>
              <c:extLst/>
            </c:numRef>
          </c:val>
          <c:extLst>
            <c:ext xmlns:c16="http://schemas.microsoft.com/office/drawing/2014/chart" uri="{C3380CC4-5D6E-409C-BE32-E72D297353CC}">
              <c16:uniqueId val="{00000006-7F82-48AD-A61B-E3BB31FF5903}"/>
            </c:ext>
          </c:extLst>
        </c:ser>
        <c:dLbls>
          <c:dLblPos val="ctr"/>
          <c:showLegendKey val="0"/>
          <c:showVal val="1"/>
          <c:showCatName val="0"/>
          <c:showSerName val="0"/>
          <c:showPercent val="0"/>
          <c:showBubbleSize val="0"/>
        </c:dLbls>
        <c:gapWidth val="150"/>
        <c:overlap val="100"/>
        <c:axId val="790958128"/>
        <c:axId val="790961408"/>
        <c:extLst>
          <c:ext xmlns:c15="http://schemas.microsoft.com/office/drawing/2012/chart" uri="{02D57815-91ED-43cb-92C2-25804820EDAC}">
            <c15:filteredBarSeries>
              <c15:ser>
                <c:idx val="0"/>
                <c:order val="0"/>
                <c:tx>
                  <c:strRef>
                    <c:extLst>
                      <c:ext uri="{02D57815-91ED-43cb-92C2-25804820EDAC}">
                        <c15:formulaRef>
                          <c15:sqref>'individual-chart-workforce'!$C$2</c15:sqref>
                        </c15:formulaRef>
                      </c:ext>
                    </c:extLst>
                    <c:strCache>
                      <c:ptCount val="1"/>
                      <c:pt idx="0">
                        <c:v>Completed</c:v>
                      </c:pt>
                    </c:strCache>
                  </c:strRef>
                </c:tx>
                <c:spPr>
                  <a:solidFill>
                    <a:schemeClr val="accent2">
                      <a:shade val="42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c:ext uri="{02D57815-91ED-43cb-92C2-25804820EDAC}">
                        <c15:formulaRef>
                          <c15:sqref>'individual-chart-workforce'!$B$3:$B$50</c15:sqref>
                        </c15:formulaRef>
                      </c:ext>
                    </c:extLst>
                    <c:strCache>
                      <c:ptCount val="2"/>
                      <c:pt idx="0">
                        <c:v>Activity</c:v>
                      </c:pt>
                      <c:pt idx="1">
                        <c:v>Outputs</c:v>
                      </c:pt>
                    </c:strCache>
                  </c:strRef>
                </c:cat>
                <c:val>
                  <c:numRef>
                    <c:extLst>
                      <c:ext uri="{02D57815-91ED-43cb-92C2-25804820EDAC}">
                        <c15:formulaRef>
                          <c15:sqref>'individual-chart-workforce'!$C$3:$C$50</c15:sqref>
                        </c15:formulaRef>
                      </c:ext>
                    </c:extLst>
                    <c:numCache>
                      <c:formatCode>0%</c:formatCode>
                      <c:ptCount val="2"/>
                      <c:pt idx="0">
                        <c:v>0.4</c:v>
                      </c:pt>
                      <c:pt idx="1">
                        <c:v>0.4</c:v>
                      </c:pt>
                    </c:numCache>
                  </c:numRef>
                </c:val>
                <c:extLst>
                  <c:ext xmlns:c16="http://schemas.microsoft.com/office/drawing/2014/chart" uri="{C3380CC4-5D6E-409C-BE32-E72D297353CC}">
                    <c16:uniqueId val="{00000007-7F82-48AD-A61B-E3BB31FF5903}"/>
                  </c:ext>
                </c:extLst>
              </c15:ser>
            </c15:filteredBarSeries>
            <c15:filteredBarSeries>
              <c15:ser>
                <c:idx val="1"/>
                <c:order val="1"/>
                <c:tx>
                  <c:strRef>
                    <c:extLst xmlns:c15="http://schemas.microsoft.com/office/drawing/2012/chart">
                      <c:ext xmlns:c15="http://schemas.microsoft.com/office/drawing/2012/chart" uri="{02D57815-91ED-43cb-92C2-25804820EDAC}">
                        <c15:formulaRef>
                          <c15:sqref>'individual-chart-workforce'!$D$2</c15:sqref>
                        </c15:formulaRef>
                      </c:ext>
                    </c:extLst>
                    <c:strCache>
                      <c:ptCount val="1"/>
                      <c:pt idx="0">
                        <c:v>In progress</c:v>
                      </c:pt>
                    </c:strCache>
                  </c:strRef>
                </c:tx>
                <c:spPr>
                  <a:solidFill>
                    <a:schemeClr val="accent2">
                      <a:shade val="5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'individual-chart-workforce'!$B$3:$B$50</c15:sqref>
                        </c15:formulaRef>
                      </c:ext>
                    </c:extLst>
                    <c:strCache>
                      <c:ptCount val="2"/>
                      <c:pt idx="0">
                        <c:v>Activity</c:v>
                      </c:pt>
                      <c:pt idx="1">
                        <c:v>Outputs</c:v>
                      </c:pt>
                    </c:strCache>
                  </c:strRef>
                </c:cat>
                <c:val>
                  <c:numRef>
                    <c:extLst xmlns:c15="http://schemas.microsoft.com/office/drawing/2012/chart">
                      <c:ext xmlns:c15="http://schemas.microsoft.com/office/drawing/2012/chart" uri="{02D57815-91ED-43cb-92C2-25804820EDAC}">
                        <c15:formulaRef>
                          <c15:sqref>'individual-chart-workforce'!$D$3:$D$50</c15:sqref>
                        </c15:formulaRef>
                      </c:ext>
                    </c:extLst>
                    <c:numCache>
                      <c:formatCode>0%</c:formatCode>
                      <c:ptCount val="2"/>
                      <c:pt idx="0">
                        <c:v>0.2</c:v>
                      </c:pt>
                      <c:pt idx="1">
                        <c:v>0.2</c:v>
                      </c:pt>
                    </c:numCache>
                  </c:numRef>
                </c:val>
                <c:extLst xmlns:c15="http://schemas.microsoft.com/office/drawing/2012/chart">
                  <c:ext xmlns:c16="http://schemas.microsoft.com/office/drawing/2014/chart" uri="{C3380CC4-5D6E-409C-BE32-E72D297353CC}">
                    <c16:uniqueId val="{00000008-7F82-48AD-A61B-E3BB31FF5903}"/>
                  </c:ext>
                </c:extLst>
              </c15:ser>
            </c15:filteredBarSeries>
            <c15:filteredBarSeries>
              <c15:ser>
                <c:idx val="2"/>
                <c:order val="2"/>
                <c:tx>
                  <c:strRef>
                    <c:extLst xmlns:c15="http://schemas.microsoft.com/office/drawing/2012/chart">
                      <c:ext xmlns:c15="http://schemas.microsoft.com/office/drawing/2012/chart" uri="{02D57815-91ED-43cb-92C2-25804820EDAC}">
                        <c15:formulaRef>
                          <c15:sqref>'individual-chart-workforce'!$E$2</c15:sqref>
                        </c15:formulaRef>
                      </c:ext>
                    </c:extLst>
                    <c:strCache>
                      <c:ptCount val="1"/>
                      <c:pt idx="0">
                        <c:v>Not started</c:v>
                      </c:pt>
                    </c:strCache>
                  </c:strRef>
                </c:tx>
                <c:spPr>
                  <a:solidFill>
                    <a:schemeClr val="accent2">
                      <a:shade val="68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'individual-chart-workforce'!$B$3:$B$50</c15:sqref>
                        </c15:formulaRef>
                      </c:ext>
                    </c:extLst>
                    <c:strCache>
                      <c:ptCount val="2"/>
                      <c:pt idx="0">
                        <c:v>Activity</c:v>
                      </c:pt>
                      <c:pt idx="1">
                        <c:v>Outputs</c:v>
                      </c:pt>
                    </c:strCache>
                  </c:strRef>
                </c:cat>
                <c:val>
                  <c:numRef>
                    <c:extLst xmlns:c15="http://schemas.microsoft.com/office/drawing/2012/chart">
                      <c:ext xmlns:c15="http://schemas.microsoft.com/office/drawing/2012/chart" uri="{02D57815-91ED-43cb-92C2-25804820EDAC}">
                        <c15:formulaRef>
                          <c15:sqref>'individual-chart-workforce'!$E$3:$E$50</c15:sqref>
                        </c15:formulaRef>
                      </c:ext>
                    </c:extLst>
                    <c:numCache>
                      <c:formatCode>0%</c:formatCode>
                      <c:ptCount val="2"/>
                      <c:pt idx="0">
                        <c:v>0.4</c:v>
                      </c:pt>
                      <c:pt idx="1">
                        <c:v>0.4</c:v>
                      </c:pt>
                    </c:numCache>
                  </c:numRef>
                </c:val>
                <c:extLst xmlns:c15="http://schemas.microsoft.com/office/drawing/2012/chart">
                  <c:ext xmlns:c16="http://schemas.microsoft.com/office/drawing/2014/chart" uri="{C3380CC4-5D6E-409C-BE32-E72D297353CC}">
                    <c16:uniqueId val="{00000009-7F82-48AD-A61B-E3BB31FF5903}"/>
                  </c:ext>
                </c:extLst>
              </c15:ser>
            </c15:filteredBarSeries>
          </c:ext>
        </c:extLst>
      </c:barChart>
      <c:catAx>
        <c:axId val="7909581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n-US"/>
          </a:p>
        </c:txPr>
        <c:crossAx val="790961408"/>
        <c:crosses val="autoZero"/>
        <c:auto val="1"/>
        <c:lblAlgn val="ctr"/>
        <c:lblOffset val="100"/>
        <c:noMultiLvlLbl val="0"/>
      </c:catAx>
      <c:valAx>
        <c:axId val="790961408"/>
        <c:scaling>
          <c:orientation val="minMax"/>
          <c:min val="0"/>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90958128"/>
        <c:crossesAt val="1"/>
        <c:crossBetween val="between"/>
      </c:valAx>
      <c:spPr>
        <a:noFill/>
        <a:ln>
          <a:noFill/>
        </a:ln>
        <a:effectLst/>
      </c:spPr>
    </c:plotArea>
    <c:legend>
      <c:legendPos val="t"/>
      <c:layout>
        <c:manualLayout>
          <c:xMode val="edge"/>
          <c:yMode val="edge"/>
          <c:x val="0.16878354491402861"/>
          <c:y val="0.14071530758226036"/>
          <c:w val="0.78488188976377948"/>
          <c:h val="8.3691663005643596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userShapes r:id="rId5"/>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all" spc="120" normalizeH="0" baseline="0">
                <a:solidFill>
                  <a:schemeClr val="tx1">
                    <a:lumMod val="65000"/>
                    <a:lumOff val="35000"/>
                  </a:schemeClr>
                </a:solidFill>
                <a:latin typeface="+mn-lt"/>
                <a:ea typeface="+mn-ea"/>
                <a:cs typeface="+mn-cs"/>
              </a:defRPr>
            </a:pPr>
            <a:r>
              <a:rPr lang="en-US"/>
              <a:t>Intensive TA outputs Progress ALL ACTIVITIES </a:t>
            </a:r>
          </a:p>
        </c:rich>
      </c:tx>
      <c:overlay val="0"/>
      <c:spPr>
        <a:noFill/>
        <a:ln>
          <a:noFill/>
        </a:ln>
        <a:effectLst/>
      </c:spPr>
      <c:txPr>
        <a:bodyPr rot="0" spcFirstLastPara="1" vertOverflow="ellipsis" vert="horz" wrap="square" anchor="ctr" anchorCtr="1"/>
        <a:lstStyle/>
        <a:p>
          <a:pPr>
            <a:defRPr sz="1600" b="1" i="0" u="none" strike="noStrike" kern="1200" cap="all" spc="120" normalizeH="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stacked"/>
        <c:varyColors val="0"/>
        <c:ser>
          <c:idx val="10"/>
          <c:order val="10"/>
          <c:tx>
            <c:strRef>
              <c:f>'activities-data'!$L$3</c:f>
              <c:strCache>
                <c:ptCount val="1"/>
                <c:pt idx="0">
                  <c:v>Completed</c:v>
                </c:pt>
              </c:strCache>
            </c:strRef>
          </c:tx>
          <c:spPr>
            <a:solidFill>
              <a:srgbClr val="FF99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600" b="0" i="0" u="none" strike="noStrike" kern="1200" baseline="0">
                    <a:solidFill>
                      <a:sysClr val="windowText" lastClr="000000"/>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'activities-data'!$A$4:$A$18</c:f>
              <c:strCache>
                <c:ptCount val="1"/>
                <c:pt idx="0">
                  <c:v>All</c:v>
                </c:pt>
              </c:strCache>
              <c:extLst/>
            </c:strRef>
          </c:cat>
          <c:val>
            <c:numRef>
              <c:f>'activities-data'!$L$4:$L$18</c:f>
              <c:numCache>
                <c:formatCode>0%</c:formatCode>
                <c:ptCount val="1"/>
                <c:pt idx="0">
                  <c:v>0.5</c:v>
                </c:pt>
              </c:numCache>
              <c:extLst/>
            </c:numRef>
          </c:val>
          <c:extLst>
            <c:ext xmlns:c16="http://schemas.microsoft.com/office/drawing/2014/chart" uri="{C3380CC4-5D6E-409C-BE32-E72D297353CC}">
              <c16:uniqueId val="{00000000-6D0D-4D5E-BA42-B768BFBCBE00}"/>
            </c:ext>
          </c:extLst>
        </c:ser>
        <c:ser>
          <c:idx val="11"/>
          <c:order val="11"/>
          <c:tx>
            <c:strRef>
              <c:f>'activities-data'!$M$3</c:f>
              <c:strCache>
                <c:ptCount val="1"/>
                <c:pt idx="0">
                  <c:v>In progress</c:v>
                </c:pt>
              </c:strCache>
            </c:strRef>
          </c:tx>
          <c:spPr>
            <a:solidFill>
              <a:srgbClr val="FFCC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600" b="0" i="0" u="none" strike="noStrike" kern="1200" baseline="0">
                    <a:solidFill>
                      <a:sysClr val="windowText" lastClr="000000"/>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'activities-data'!$A$4:$A$18</c:f>
              <c:strCache>
                <c:ptCount val="1"/>
                <c:pt idx="0">
                  <c:v>All</c:v>
                </c:pt>
              </c:strCache>
              <c:extLst/>
            </c:strRef>
          </c:cat>
          <c:val>
            <c:numRef>
              <c:f>'activities-data'!$M$4:$M$18</c:f>
              <c:numCache>
                <c:formatCode>0%</c:formatCode>
                <c:ptCount val="1"/>
                <c:pt idx="0">
                  <c:v>0.31942215088282505</c:v>
                </c:pt>
              </c:numCache>
              <c:extLst/>
            </c:numRef>
          </c:val>
          <c:extLst>
            <c:ext xmlns:c16="http://schemas.microsoft.com/office/drawing/2014/chart" uri="{C3380CC4-5D6E-409C-BE32-E72D297353CC}">
              <c16:uniqueId val="{00000001-6D0D-4D5E-BA42-B768BFBCBE00}"/>
            </c:ext>
          </c:extLst>
        </c:ser>
        <c:ser>
          <c:idx val="12"/>
          <c:order val="12"/>
          <c:tx>
            <c:strRef>
              <c:f>'activities-data'!$N$3</c:f>
              <c:strCache>
                <c:ptCount val="1"/>
                <c:pt idx="0">
                  <c:v>Not started</c:v>
                </c:pt>
              </c:strCache>
            </c:strRef>
          </c:tx>
          <c:spPr>
            <a:solidFill>
              <a:srgbClr val="0099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600" b="0" i="0" u="none" strike="noStrike" kern="1200" baseline="0">
                    <a:solidFill>
                      <a:sysClr val="windowText" lastClr="000000"/>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'activities-data'!$A$4:$A$18</c:f>
              <c:strCache>
                <c:ptCount val="1"/>
                <c:pt idx="0">
                  <c:v>All</c:v>
                </c:pt>
              </c:strCache>
              <c:extLst/>
            </c:strRef>
          </c:cat>
          <c:val>
            <c:numRef>
              <c:f>'activities-data'!$N$4:$N$18</c:f>
              <c:numCache>
                <c:formatCode>0%</c:formatCode>
                <c:ptCount val="1"/>
                <c:pt idx="0">
                  <c:v>0.18298555377207062</c:v>
                </c:pt>
              </c:numCache>
              <c:extLst/>
            </c:numRef>
          </c:val>
          <c:extLst>
            <c:ext xmlns:c16="http://schemas.microsoft.com/office/drawing/2014/chart" uri="{C3380CC4-5D6E-409C-BE32-E72D297353CC}">
              <c16:uniqueId val="{00000002-6D0D-4D5E-BA42-B768BFBCBE00}"/>
            </c:ext>
          </c:extLst>
        </c:ser>
        <c:dLbls>
          <c:dLblPos val="ctr"/>
          <c:showLegendKey val="0"/>
          <c:showVal val="1"/>
          <c:showCatName val="0"/>
          <c:showSerName val="0"/>
          <c:showPercent val="0"/>
          <c:showBubbleSize val="0"/>
        </c:dLbls>
        <c:gapWidth val="79"/>
        <c:overlap val="100"/>
        <c:axId val="610520992"/>
        <c:axId val="610522632"/>
        <c:extLst>
          <c:ext xmlns:c15="http://schemas.microsoft.com/office/drawing/2012/chart" uri="{02D57815-91ED-43cb-92C2-25804820EDAC}">
            <c15:filteredBarSeries>
              <c15:ser>
                <c:idx val="0"/>
                <c:order val="0"/>
                <c:tx>
                  <c:strRef>
                    <c:extLst>
                      <c:ext uri="{02D57815-91ED-43cb-92C2-25804820EDAC}">
                        <c15:formulaRef>
                          <c15:sqref>'activities-data'!$B$3</c15:sqref>
                        </c15:formulaRef>
                      </c:ext>
                    </c:extLst>
                    <c:strCache>
                      <c:ptCount val="1"/>
                      <c:pt idx="0">
                        <c:v>Completed</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showLeaderLines val="0"/>
                  <c:extLst>
                    <c:ext uri="{CE6537A1-D6FC-4f65-9D91-7224C49458BB}">
                      <c15:showLeaderLines val="1"/>
                      <c15:leaderLines>
                        <c:spPr>
                          <a:ln w="9525">
                            <a:solidFill>
                              <a:schemeClr val="tx1">
                                <a:lumMod val="35000"/>
                                <a:lumOff val="65000"/>
                              </a:schemeClr>
                            </a:solidFill>
                          </a:ln>
                          <a:effectLst/>
                        </c:spPr>
                      </c15:leaderLines>
                    </c:ext>
                  </c:extLst>
                </c:dLbls>
                <c:cat>
                  <c:strRef>
                    <c:extLst>
                      <c:ext uri="{02D57815-91ED-43cb-92C2-25804820EDAC}">
                        <c15:formulaRef>
                          <c15:sqref>'activities-data'!$A$4:$A$18</c15:sqref>
                        </c15:formulaRef>
                      </c:ext>
                    </c:extLst>
                    <c:strCache>
                      <c:ptCount val="1"/>
                      <c:pt idx="0">
                        <c:v>All</c:v>
                      </c:pt>
                    </c:strCache>
                  </c:strRef>
                </c:cat>
                <c:val>
                  <c:numRef>
                    <c:extLst>
                      <c:ext uri="{02D57815-91ED-43cb-92C2-25804820EDAC}">
                        <c15:formulaRef>
                          <c15:sqref>'activities-data'!$B$4:$B$18</c15:sqref>
                        </c15:formulaRef>
                      </c:ext>
                    </c:extLst>
                    <c:numCache>
                      <c:formatCode>0%</c:formatCode>
                      <c:ptCount val="1"/>
                      <c:pt idx="0">
                        <c:v>0.51876019575856447</c:v>
                      </c:pt>
                    </c:numCache>
                  </c:numRef>
                </c:val>
                <c:extLst>
                  <c:ext xmlns:c16="http://schemas.microsoft.com/office/drawing/2014/chart" uri="{C3380CC4-5D6E-409C-BE32-E72D297353CC}">
                    <c16:uniqueId val="{00000003-6D0D-4D5E-BA42-B768BFBCBE00}"/>
                  </c:ext>
                </c:extLst>
              </c15:ser>
            </c15:filteredBarSeries>
            <c15:filteredBarSeries>
              <c15:ser>
                <c:idx val="1"/>
                <c:order val="1"/>
                <c:tx>
                  <c:strRef>
                    <c:extLst xmlns:c15="http://schemas.microsoft.com/office/drawing/2012/chart">
                      <c:ext xmlns:c15="http://schemas.microsoft.com/office/drawing/2012/chart" uri="{02D57815-91ED-43cb-92C2-25804820EDAC}">
                        <c15:formulaRef>
                          <c15:sqref>'activities-data'!$C$3</c15:sqref>
                        </c15:formulaRef>
                      </c:ext>
                    </c:extLst>
                    <c:strCache>
                      <c:ptCount val="1"/>
                      <c:pt idx="0">
                        <c:v>In progress</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extLst xmlns:c15="http://schemas.microsoft.com/office/drawing/2012/chart">
                      <c:ext xmlns:c15="http://schemas.microsoft.com/office/drawing/2012/chart" uri="{02D57815-91ED-43cb-92C2-25804820EDAC}">
                        <c15:formulaRef>
                          <c15:sqref>'activities-data'!$A$4:$A$18</c15:sqref>
                        </c15:formulaRef>
                      </c:ext>
                    </c:extLst>
                    <c:strCache>
                      <c:ptCount val="1"/>
                      <c:pt idx="0">
                        <c:v>All</c:v>
                      </c:pt>
                    </c:strCache>
                  </c:strRef>
                </c:cat>
                <c:val>
                  <c:numRef>
                    <c:extLst xmlns:c15="http://schemas.microsoft.com/office/drawing/2012/chart">
                      <c:ext xmlns:c15="http://schemas.microsoft.com/office/drawing/2012/chart" uri="{02D57815-91ED-43cb-92C2-25804820EDAC}">
                        <c15:formulaRef>
                          <c15:sqref>'activities-data'!$C$4:$C$18</c15:sqref>
                        </c15:formulaRef>
                      </c:ext>
                    </c:extLst>
                    <c:numCache>
                      <c:formatCode>0%</c:formatCode>
                      <c:ptCount val="1"/>
                      <c:pt idx="0">
                        <c:v>0.33931484502446985</c:v>
                      </c:pt>
                    </c:numCache>
                  </c:numRef>
                </c:val>
                <c:extLst xmlns:c15="http://schemas.microsoft.com/office/drawing/2012/chart">
                  <c:ext xmlns:c16="http://schemas.microsoft.com/office/drawing/2014/chart" uri="{C3380CC4-5D6E-409C-BE32-E72D297353CC}">
                    <c16:uniqueId val="{00000004-6D0D-4D5E-BA42-B768BFBCBE00}"/>
                  </c:ext>
                </c:extLst>
              </c15:ser>
            </c15:filteredBarSeries>
            <c15:filteredBarSeries>
              <c15:ser>
                <c:idx val="2"/>
                <c:order val="2"/>
                <c:tx>
                  <c:strRef>
                    <c:extLst xmlns:c15="http://schemas.microsoft.com/office/drawing/2012/chart">
                      <c:ext xmlns:c15="http://schemas.microsoft.com/office/drawing/2012/chart" uri="{02D57815-91ED-43cb-92C2-25804820EDAC}">
                        <c15:formulaRef>
                          <c15:sqref>'activities-data'!$D$3</c15:sqref>
                        </c15:formulaRef>
                      </c:ext>
                    </c:extLst>
                    <c:strCache>
                      <c:ptCount val="1"/>
                      <c:pt idx="0">
                        <c:v>Not started</c:v>
                      </c:pt>
                    </c:strCache>
                  </c:strRef>
                </c:tx>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extLst xmlns:c15="http://schemas.microsoft.com/office/drawing/2012/chart">
                      <c:ext xmlns:c15="http://schemas.microsoft.com/office/drawing/2012/chart" uri="{02D57815-91ED-43cb-92C2-25804820EDAC}">
                        <c15:formulaRef>
                          <c15:sqref>'activities-data'!$A$4:$A$18</c15:sqref>
                        </c15:formulaRef>
                      </c:ext>
                    </c:extLst>
                    <c:strCache>
                      <c:ptCount val="1"/>
                      <c:pt idx="0">
                        <c:v>All</c:v>
                      </c:pt>
                    </c:strCache>
                  </c:strRef>
                </c:cat>
                <c:val>
                  <c:numRef>
                    <c:extLst xmlns:c15="http://schemas.microsoft.com/office/drawing/2012/chart">
                      <c:ext xmlns:c15="http://schemas.microsoft.com/office/drawing/2012/chart" uri="{02D57815-91ED-43cb-92C2-25804820EDAC}">
                        <c15:formulaRef>
                          <c15:sqref>'activities-data'!$D$4:$D$18</c15:sqref>
                        </c15:formulaRef>
                      </c:ext>
                    </c:extLst>
                    <c:numCache>
                      <c:formatCode>0%</c:formatCode>
                      <c:ptCount val="1"/>
                      <c:pt idx="0">
                        <c:v>0.15660685154975529</c:v>
                      </c:pt>
                    </c:numCache>
                  </c:numRef>
                </c:val>
                <c:extLst xmlns:c15="http://schemas.microsoft.com/office/drawing/2012/chart">
                  <c:ext xmlns:c16="http://schemas.microsoft.com/office/drawing/2014/chart" uri="{C3380CC4-5D6E-409C-BE32-E72D297353CC}">
                    <c16:uniqueId val="{00000005-6D0D-4D5E-BA42-B768BFBCBE00}"/>
                  </c:ext>
                </c:extLst>
              </c15:ser>
            </c15:filteredBarSeries>
            <c15:filteredBarSeries>
              <c15:ser>
                <c:idx val="3"/>
                <c:order val="3"/>
                <c:tx>
                  <c:strRef>
                    <c:extLst xmlns:c15="http://schemas.microsoft.com/office/drawing/2012/chart">
                      <c:ext xmlns:c15="http://schemas.microsoft.com/office/drawing/2012/chart" uri="{02D57815-91ED-43cb-92C2-25804820EDAC}">
                        <c15:formulaRef>
                          <c15:sqref>'activities-data'!$E$3</c15:sqref>
                        </c15:formulaRef>
                      </c:ext>
                    </c:extLst>
                    <c:strCache>
                      <c:ptCount val="1"/>
                      <c:pt idx="0">
                        <c:v>100%</c:v>
                      </c:pt>
                    </c:strCache>
                  </c:strRef>
                </c:tx>
                <c:spPr>
                  <a:solidFill>
                    <a:schemeClr val="accent2">
                      <a:lumMod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en-US"/>
                    </a:p>
                  </c:txPr>
                  <c:dLblPos val="ct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extLst xmlns:c15="http://schemas.microsoft.com/office/drawing/2012/chart">
                      <c:ext xmlns:c15="http://schemas.microsoft.com/office/drawing/2012/chart" uri="{02D57815-91ED-43cb-92C2-25804820EDAC}">
                        <c15:formulaRef>
                          <c15:sqref>'activities-data'!$A$4:$A$18</c15:sqref>
                        </c15:formulaRef>
                      </c:ext>
                    </c:extLst>
                    <c:strCache>
                      <c:ptCount val="1"/>
                      <c:pt idx="0">
                        <c:v>All</c:v>
                      </c:pt>
                    </c:strCache>
                  </c:strRef>
                </c:cat>
                <c:val>
                  <c:numRef>
                    <c:extLst xmlns:c15="http://schemas.microsoft.com/office/drawing/2012/chart">
                      <c:ext xmlns:c15="http://schemas.microsoft.com/office/drawing/2012/chart" uri="{02D57815-91ED-43cb-92C2-25804820EDAC}">
                        <c15:formulaRef>
                          <c15:sqref>'activities-data'!$E$4:$E$18</c15:sqref>
                        </c15:formulaRef>
                      </c:ext>
                    </c:extLst>
                    <c:numCache>
                      <c:formatCode>0%</c:formatCode>
                      <c:ptCount val="1"/>
                      <c:pt idx="0">
                        <c:v>0.51876019575856447</c:v>
                      </c:pt>
                    </c:numCache>
                  </c:numRef>
                </c:val>
                <c:extLst xmlns:c15="http://schemas.microsoft.com/office/drawing/2012/chart">
                  <c:ext xmlns:c16="http://schemas.microsoft.com/office/drawing/2014/chart" uri="{C3380CC4-5D6E-409C-BE32-E72D297353CC}">
                    <c16:uniqueId val="{00000006-6D0D-4D5E-BA42-B768BFBCBE00}"/>
                  </c:ext>
                </c:extLst>
              </c15:ser>
            </c15:filteredBarSeries>
            <c15:filteredBarSeries>
              <c15:ser>
                <c:idx val="4"/>
                <c:order val="4"/>
                <c:tx>
                  <c:strRef>
                    <c:extLst xmlns:c15="http://schemas.microsoft.com/office/drawing/2012/chart">
                      <c:ext xmlns:c15="http://schemas.microsoft.com/office/drawing/2012/chart" uri="{02D57815-91ED-43cb-92C2-25804820EDAC}">
                        <c15:formulaRef>
                          <c15:sqref>'activities-data'!$F$3</c15:sqref>
                        </c15:formulaRef>
                      </c:ext>
                    </c:extLst>
                    <c:strCache>
                      <c:ptCount val="1"/>
                      <c:pt idx="0">
                        <c:v>90%</c:v>
                      </c:pt>
                    </c:strCache>
                  </c:strRef>
                </c:tx>
                <c:spPr>
                  <a:solidFill>
                    <a:schemeClr val="accent4">
                      <a:lumMod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en-US"/>
                    </a:p>
                  </c:txPr>
                  <c:dLblPos val="ct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extLst xmlns:c15="http://schemas.microsoft.com/office/drawing/2012/chart">
                      <c:ext xmlns:c15="http://schemas.microsoft.com/office/drawing/2012/chart" uri="{02D57815-91ED-43cb-92C2-25804820EDAC}">
                        <c15:formulaRef>
                          <c15:sqref>'activities-data'!$A$4:$A$18</c15:sqref>
                        </c15:formulaRef>
                      </c:ext>
                    </c:extLst>
                    <c:strCache>
                      <c:ptCount val="1"/>
                      <c:pt idx="0">
                        <c:v>All</c:v>
                      </c:pt>
                    </c:strCache>
                  </c:strRef>
                </c:cat>
                <c:val>
                  <c:numRef>
                    <c:extLst xmlns:c15="http://schemas.microsoft.com/office/drawing/2012/chart">
                      <c:ext xmlns:c15="http://schemas.microsoft.com/office/drawing/2012/chart" uri="{02D57815-91ED-43cb-92C2-25804820EDAC}">
                        <c15:formulaRef>
                          <c15:sqref>'activities-data'!$F$4:$F$18</c15:sqref>
                        </c15:formulaRef>
                      </c:ext>
                    </c:extLst>
                    <c:numCache>
                      <c:formatCode>0%</c:formatCode>
                      <c:ptCount val="1"/>
                      <c:pt idx="0">
                        <c:v>2.7732463295269169E-2</c:v>
                      </c:pt>
                    </c:numCache>
                  </c:numRef>
                </c:val>
                <c:extLst xmlns:c15="http://schemas.microsoft.com/office/drawing/2012/chart">
                  <c:ext xmlns:c16="http://schemas.microsoft.com/office/drawing/2014/chart" uri="{C3380CC4-5D6E-409C-BE32-E72D297353CC}">
                    <c16:uniqueId val="{00000007-6D0D-4D5E-BA42-B768BFBCBE00}"/>
                  </c:ext>
                </c:extLst>
              </c15:ser>
            </c15:filteredBarSeries>
            <c15:filteredBarSeries>
              <c15:ser>
                <c:idx val="5"/>
                <c:order val="5"/>
                <c:tx>
                  <c:strRef>
                    <c:extLst xmlns:c15="http://schemas.microsoft.com/office/drawing/2012/chart">
                      <c:ext xmlns:c15="http://schemas.microsoft.com/office/drawing/2012/chart" uri="{02D57815-91ED-43cb-92C2-25804820EDAC}">
                        <c15:formulaRef>
                          <c15:sqref>'activities-data'!$G$3</c15:sqref>
                        </c15:formulaRef>
                      </c:ext>
                    </c:extLst>
                    <c:strCache>
                      <c:ptCount val="1"/>
                      <c:pt idx="0">
                        <c:v>75%</c:v>
                      </c:pt>
                    </c:strCache>
                  </c:strRef>
                </c:tx>
                <c:spPr>
                  <a:solidFill>
                    <a:schemeClr val="accent6">
                      <a:lumMod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en-US"/>
                    </a:p>
                  </c:txPr>
                  <c:dLblPos val="ct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extLst xmlns:c15="http://schemas.microsoft.com/office/drawing/2012/chart">
                      <c:ext xmlns:c15="http://schemas.microsoft.com/office/drawing/2012/chart" uri="{02D57815-91ED-43cb-92C2-25804820EDAC}">
                        <c15:formulaRef>
                          <c15:sqref>'activities-data'!$A$4:$A$18</c15:sqref>
                        </c15:formulaRef>
                      </c:ext>
                    </c:extLst>
                    <c:strCache>
                      <c:ptCount val="1"/>
                      <c:pt idx="0">
                        <c:v>All</c:v>
                      </c:pt>
                    </c:strCache>
                  </c:strRef>
                </c:cat>
                <c:val>
                  <c:numRef>
                    <c:extLst xmlns:c15="http://schemas.microsoft.com/office/drawing/2012/chart">
                      <c:ext xmlns:c15="http://schemas.microsoft.com/office/drawing/2012/chart" uri="{02D57815-91ED-43cb-92C2-25804820EDAC}">
                        <c15:formulaRef>
                          <c15:sqref>'activities-data'!$G$4:$G$18</c15:sqref>
                        </c15:formulaRef>
                      </c:ext>
                    </c:extLst>
                    <c:numCache>
                      <c:formatCode>0%</c:formatCode>
                      <c:ptCount val="1"/>
                      <c:pt idx="0">
                        <c:v>6.6884176182707991E-2</c:v>
                      </c:pt>
                    </c:numCache>
                  </c:numRef>
                </c:val>
                <c:extLst xmlns:c15="http://schemas.microsoft.com/office/drawing/2012/chart">
                  <c:ext xmlns:c16="http://schemas.microsoft.com/office/drawing/2014/chart" uri="{C3380CC4-5D6E-409C-BE32-E72D297353CC}">
                    <c16:uniqueId val="{00000008-6D0D-4D5E-BA42-B768BFBCBE00}"/>
                  </c:ext>
                </c:extLst>
              </c15:ser>
            </c15:filteredBarSeries>
            <c15:filteredBarSeries>
              <c15:ser>
                <c:idx val="6"/>
                <c:order val="6"/>
                <c:tx>
                  <c:strRef>
                    <c:extLst xmlns:c15="http://schemas.microsoft.com/office/drawing/2012/chart">
                      <c:ext xmlns:c15="http://schemas.microsoft.com/office/drawing/2012/chart" uri="{02D57815-91ED-43cb-92C2-25804820EDAC}">
                        <c15:formulaRef>
                          <c15:sqref>'activities-data'!$H$3</c15:sqref>
                        </c15:formulaRef>
                      </c:ext>
                    </c:extLst>
                    <c:strCache>
                      <c:ptCount val="1"/>
                      <c:pt idx="0">
                        <c:v>50%</c:v>
                      </c:pt>
                    </c:strCache>
                  </c:strRef>
                </c:tx>
                <c:spPr>
                  <a:solidFill>
                    <a:schemeClr val="accent2">
                      <a:lumMod val="80000"/>
                      <a:lumOff val="2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en-US"/>
                    </a:p>
                  </c:txPr>
                  <c:dLblPos val="ct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extLst xmlns:c15="http://schemas.microsoft.com/office/drawing/2012/chart">
                      <c:ext xmlns:c15="http://schemas.microsoft.com/office/drawing/2012/chart" uri="{02D57815-91ED-43cb-92C2-25804820EDAC}">
                        <c15:formulaRef>
                          <c15:sqref>'activities-data'!$A$4:$A$18</c15:sqref>
                        </c15:formulaRef>
                      </c:ext>
                    </c:extLst>
                    <c:strCache>
                      <c:ptCount val="1"/>
                      <c:pt idx="0">
                        <c:v>All</c:v>
                      </c:pt>
                    </c:strCache>
                  </c:strRef>
                </c:cat>
                <c:val>
                  <c:numRef>
                    <c:extLst xmlns:c15="http://schemas.microsoft.com/office/drawing/2012/chart">
                      <c:ext xmlns:c15="http://schemas.microsoft.com/office/drawing/2012/chart" uri="{02D57815-91ED-43cb-92C2-25804820EDAC}">
                        <c15:formulaRef>
                          <c15:sqref>'activities-data'!$H$4:$H$18</c15:sqref>
                        </c15:formulaRef>
                      </c:ext>
                    </c:extLst>
                    <c:numCache>
                      <c:formatCode>0%</c:formatCode>
                      <c:ptCount val="1"/>
                      <c:pt idx="0">
                        <c:v>9.2985318107667206E-2</c:v>
                      </c:pt>
                    </c:numCache>
                  </c:numRef>
                </c:val>
                <c:extLst xmlns:c15="http://schemas.microsoft.com/office/drawing/2012/chart">
                  <c:ext xmlns:c16="http://schemas.microsoft.com/office/drawing/2014/chart" uri="{C3380CC4-5D6E-409C-BE32-E72D297353CC}">
                    <c16:uniqueId val="{00000009-6D0D-4D5E-BA42-B768BFBCBE00}"/>
                  </c:ext>
                </c:extLst>
              </c15:ser>
            </c15:filteredBarSeries>
            <c15:filteredBarSeries>
              <c15:ser>
                <c:idx val="7"/>
                <c:order val="7"/>
                <c:tx>
                  <c:strRef>
                    <c:extLst xmlns:c15="http://schemas.microsoft.com/office/drawing/2012/chart">
                      <c:ext xmlns:c15="http://schemas.microsoft.com/office/drawing/2012/chart" uri="{02D57815-91ED-43cb-92C2-25804820EDAC}">
                        <c15:formulaRef>
                          <c15:sqref>'activities-data'!$I$3</c15:sqref>
                        </c15:formulaRef>
                      </c:ext>
                    </c:extLst>
                    <c:strCache>
                      <c:ptCount val="1"/>
                      <c:pt idx="0">
                        <c:v>25%</c:v>
                      </c:pt>
                    </c:strCache>
                  </c:strRef>
                </c:tx>
                <c:spPr>
                  <a:solidFill>
                    <a:schemeClr val="accent4">
                      <a:lumMod val="80000"/>
                      <a:lumOff val="2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en-US"/>
                    </a:p>
                  </c:txPr>
                  <c:dLblPos val="ct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extLst xmlns:c15="http://schemas.microsoft.com/office/drawing/2012/chart">
                      <c:ext xmlns:c15="http://schemas.microsoft.com/office/drawing/2012/chart" uri="{02D57815-91ED-43cb-92C2-25804820EDAC}">
                        <c15:formulaRef>
                          <c15:sqref>'activities-data'!$A$4:$A$18</c15:sqref>
                        </c15:formulaRef>
                      </c:ext>
                    </c:extLst>
                    <c:strCache>
                      <c:ptCount val="1"/>
                      <c:pt idx="0">
                        <c:v>All</c:v>
                      </c:pt>
                    </c:strCache>
                  </c:strRef>
                </c:cat>
                <c:val>
                  <c:numRef>
                    <c:extLst xmlns:c15="http://schemas.microsoft.com/office/drawing/2012/chart">
                      <c:ext xmlns:c15="http://schemas.microsoft.com/office/drawing/2012/chart" uri="{02D57815-91ED-43cb-92C2-25804820EDAC}">
                        <c15:formulaRef>
                          <c15:sqref>'activities-data'!$I$4:$I$18</c15:sqref>
                        </c15:formulaRef>
                      </c:ext>
                    </c:extLst>
                    <c:numCache>
                      <c:formatCode>0%</c:formatCode>
                      <c:ptCount val="1"/>
                      <c:pt idx="0">
                        <c:v>0.15171288743882544</c:v>
                      </c:pt>
                    </c:numCache>
                  </c:numRef>
                </c:val>
                <c:extLst xmlns:c15="http://schemas.microsoft.com/office/drawing/2012/chart">
                  <c:ext xmlns:c16="http://schemas.microsoft.com/office/drawing/2014/chart" uri="{C3380CC4-5D6E-409C-BE32-E72D297353CC}">
                    <c16:uniqueId val="{0000000A-6D0D-4D5E-BA42-B768BFBCBE00}"/>
                  </c:ext>
                </c:extLst>
              </c15:ser>
            </c15:filteredBarSeries>
            <c15:filteredBarSeries>
              <c15:ser>
                <c:idx val="8"/>
                <c:order val="8"/>
                <c:tx>
                  <c:strRef>
                    <c:extLst xmlns:c15="http://schemas.microsoft.com/office/drawing/2012/chart">
                      <c:ext xmlns:c15="http://schemas.microsoft.com/office/drawing/2012/chart" uri="{02D57815-91ED-43cb-92C2-25804820EDAC}">
                        <c15:formulaRef>
                          <c15:sqref>'activities-data'!$J$3</c15:sqref>
                        </c15:formulaRef>
                      </c:ext>
                    </c:extLst>
                    <c:strCache>
                      <c:ptCount val="1"/>
                      <c:pt idx="0">
                        <c:v>10%</c:v>
                      </c:pt>
                    </c:strCache>
                  </c:strRef>
                </c:tx>
                <c:spPr>
                  <a:solidFill>
                    <a:schemeClr val="accent6">
                      <a:lumMod val="80000"/>
                      <a:lumOff val="2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en-US"/>
                    </a:p>
                  </c:txPr>
                  <c:dLblPos val="ct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extLst xmlns:c15="http://schemas.microsoft.com/office/drawing/2012/chart">
                      <c:ext xmlns:c15="http://schemas.microsoft.com/office/drawing/2012/chart" uri="{02D57815-91ED-43cb-92C2-25804820EDAC}">
                        <c15:formulaRef>
                          <c15:sqref>'activities-data'!$A$4:$A$18</c15:sqref>
                        </c15:formulaRef>
                      </c:ext>
                    </c:extLst>
                    <c:strCache>
                      <c:ptCount val="1"/>
                      <c:pt idx="0">
                        <c:v>All</c:v>
                      </c:pt>
                    </c:strCache>
                  </c:strRef>
                </c:cat>
                <c:val>
                  <c:numRef>
                    <c:extLst xmlns:c15="http://schemas.microsoft.com/office/drawing/2012/chart">
                      <c:ext xmlns:c15="http://schemas.microsoft.com/office/drawing/2012/chart" uri="{02D57815-91ED-43cb-92C2-25804820EDAC}">
                        <c15:formulaRef>
                          <c15:sqref>'activities-data'!$J$4:$J$18</c15:sqref>
                        </c15:formulaRef>
                      </c:ext>
                    </c:extLst>
                    <c:numCache>
                      <c:formatCode>0%</c:formatCode>
                      <c:ptCount val="1"/>
                      <c:pt idx="0">
                        <c:v>0</c:v>
                      </c:pt>
                    </c:numCache>
                  </c:numRef>
                </c:val>
                <c:extLst xmlns:c15="http://schemas.microsoft.com/office/drawing/2012/chart">
                  <c:ext xmlns:c16="http://schemas.microsoft.com/office/drawing/2014/chart" uri="{C3380CC4-5D6E-409C-BE32-E72D297353CC}">
                    <c16:uniqueId val="{0000000B-6D0D-4D5E-BA42-B768BFBCBE00}"/>
                  </c:ext>
                </c:extLst>
              </c15:ser>
            </c15:filteredBarSeries>
            <c15:filteredBarSeries>
              <c15:ser>
                <c:idx val="9"/>
                <c:order val="9"/>
                <c:tx>
                  <c:strRef>
                    <c:extLst xmlns:c15="http://schemas.microsoft.com/office/drawing/2012/chart">
                      <c:ext xmlns:c15="http://schemas.microsoft.com/office/drawing/2012/chart" uri="{02D57815-91ED-43cb-92C2-25804820EDAC}">
                        <c15:formulaRef>
                          <c15:sqref>'activities-data'!$K$3</c15:sqref>
                        </c15:formulaRef>
                      </c:ext>
                    </c:extLst>
                    <c:strCache>
                      <c:ptCount val="1"/>
                      <c:pt idx="0">
                        <c:v>0%</c:v>
                      </c:pt>
                    </c:strCache>
                  </c:strRef>
                </c:tx>
                <c:spPr>
                  <a:solidFill>
                    <a:schemeClr val="accent2">
                      <a:lumMod val="8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en-US"/>
                    </a:p>
                  </c:txPr>
                  <c:dLblPos val="ct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extLst xmlns:c15="http://schemas.microsoft.com/office/drawing/2012/chart">
                      <c:ext xmlns:c15="http://schemas.microsoft.com/office/drawing/2012/chart" uri="{02D57815-91ED-43cb-92C2-25804820EDAC}">
                        <c15:formulaRef>
                          <c15:sqref>'activities-data'!$A$4:$A$18</c15:sqref>
                        </c15:formulaRef>
                      </c:ext>
                    </c:extLst>
                    <c:strCache>
                      <c:ptCount val="1"/>
                      <c:pt idx="0">
                        <c:v>All</c:v>
                      </c:pt>
                    </c:strCache>
                  </c:strRef>
                </c:cat>
                <c:val>
                  <c:numRef>
                    <c:extLst xmlns:c15="http://schemas.microsoft.com/office/drawing/2012/chart">
                      <c:ext xmlns:c15="http://schemas.microsoft.com/office/drawing/2012/chart" uri="{02D57815-91ED-43cb-92C2-25804820EDAC}">
                        <c15:formulaRef>
                          <c15:sqref>'activities-data'!$K$4:$K$18</c15:sqref>
                        </c15:formulaRef>
                      </c:ext>
                    </c:extLst>
                    <c:numCache>
                      <c:formatCode>0%</c:formatCode>
                      <c:ptCount val="1"/>
                      <c:pt idx="0">
                        <c:v>0.15660685154975529</c:v>
                      </c:pt>
                    </c:numCache>
                  </c:numRef>
                </c:val>
                <c:extLst xmlns:c15="http://schemas.microsoft.com/office/drawing/2012/chart">
                  <c:ext xmlns:c16="http://schemas.microsoft.com/office/drawing/2014/chart" uri="{C3380CC4-5D6E-409C-BE32-E72D297353CC}">
                    <c16:uniqueId val="{0000000C-6D0D-4D5E-BA42-B768BFBCBE00}"/>
                  </c:ext>
                </c:extLst>
              </c15:ser>
            </c15:filteredBarSeries>
            <c15:filteredBarSeries>
              <c15:ser>
                <c:idx val="13"/>
                <c:order val="13"/>
                <c:tx>
                  <c:strRef>
                    <c:extLst xmlns:c15="http://schemas.microsoft.com/office/drawing/2012/chart">
                      <c:ext xmlns:c15="http://schemas.microsoft.com/office/drawing/2012/chart" uri="{02D57815-91ED-43cb-92C2-25804820EDAC}">
                        <c15:formulaRef>
                          <c15:sqref>'activities-data'!$O$3</c15:sqref>
                        </c15:formulaRef>
                      </c:ext>
                    </c:extLst>
                    <c:strCache>
                      <c:ptCount val="1"/>
                      <c:pt idx="0">
                        <c:v>Completed</c:v>
                      </c:pt>
                    </c:strCache>
                  </c:strRef>
                </c:tx>
                <c:spPr>
                  <a:solidFill>
                    <a:schemeClr val="accent4">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en-US"/>
                    </a:p>
                  </c:txPr>
                  <c:dLblPos val="ct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extLst xmlns:c15="http://schemas.microsoft.com/office/drawing/2012/chart">
                      <c:ext xmlns:c15="http://schemas.microsoft.com/office/drawing/2012/chart" uri="{02D57815-91ED-43cb-92C2-25804820EDAC}">
                        <c15:formulaRef>
                          <c15:sqref>'activities-data'!$A$4:$A$18</c15:sqref>
                        </c15:formulaRef>
                      </c:ext>
                    </c:extLst>
                    <c:strCache>
                      <c:ptCount val="1"/>
                      <c:pt idx="0">
                        <c:v>All</c:v>
                      </c:pt>
                    </c:strCache>
                  </c:strRef>
                </c:cat>
                <c:val>
                  <c:numRef>
                    <c:extLst xmlns:c15="http://schemas.microsoft.com/office/drawing/2012/chart">
                      <c:ext xmlns:c15="http://schemas.microsoft.com/office/drawing/2012/chart" uri="{02D57815-91ED-43cb-92C2-25804820EDAC}">
                        <c15:formulaRef>
                          <c15:sqref>'activities-data'!$O$4:$O$18</c15:sqref>
                        </c15:formulaRef>
                      </c:ext>
                    </c:extLst>
                    <c:numCache>
                      <c:formatCode>0%</c:formatCode>
                      <c:ptCount val="1"/>
                      <c:pt idx="0">
                        <c:v>0.4959871589085072</c:v>
                      </c:pt>
                    </c:numCache>
                  </c:numRef>
                </c:val>
                <c:extLst xmlns:c15="http://schemas.microsoft.com/office/drawing/2012/chart">
                  <c:ext xmlns:c16="http://schemas.microsoft.com/office/drawing/2014/chart" uri="{C3380CC4-5D6E-409C-BE32-E72D297353CC}">
                    <c16:uniqueId val="{0000000D-6D0D-4D5E-BA42-B768BFBCBE00}"/>
                  </c:ext>
                </c:extLst>
              </c15:ser>
            </c15:filteredBarSeries>
            <c15:filteredBarSeries>
              <c15:ser>
                <c:idx val="14"/>
                <c:order val="14"/>
                <c:tx>
                  <c:strRef>
                    <c:extLst xmlns:c15="http://schemas.microsoft.com/office/drawing/2012/chart">
                      <c:ext xmlns:c15="http://schemas.microsoft.com/office/drawing/2012/chart" uri="{02D57815-91ED-43cb-92C2-25804820EDAC}">
                        <c15:formulaRef>
                          <c15:sqref>'activities-data'!$P$3</c15:sqref>
                        </c15:formulaRef>
                      </c:ext>
                    </c:extLst>
                    <c:strCache>
                      <c:ptCount val="1"/>
                      <c:pt idx="0">
                        <c:v>90%</c:v>
                      </c:pt>
                    </c:strCache>
                  </c:strRef>
                </c:tx>
                <c:spPr>
                  <a:solidFill>
                    <a:schemeClr val="accent6">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en-US"/>
                    </a:p>
                  </c:txPr>
                  <c:dLblPos val="ct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extLst xmlns:c15="http://schemas.microsoft.com/office/drawing/2012/chart">
                      <c:ext xmlns:c15="http://schemas.microsoft.com/office/drawing/2012/chart" uri="{02D57815-91ED-43cb-92C2-25804820EDAC}">
                        <c15:formulaRef>
                          <c15:sqref>'activities-data'!$A$4:$A$18</c15:sqref>
                        </c15:formulaRef>
                      </c:ext>
                    </c:extLst>
                    <c:strCache>
                      <c:ptCount val="1"/>
                      <c:pt idx="0">
                        <c:v>All</c:v>
                      </c:pt>
                    </c:strCache>
                  </c:strRef>
                </c:cat>
                <c:val>
                  <c:numRef>
                    <c:extLst xmlns:c15="http://schemas.microsoft.com/office/drawing/2012/chart">
                      <c:ext xmlns:c15="http://schemas.microsoft.com/office/drawing/2012/chart" uri="{02D57815-91ED-43cb-92C2-25804820EDAC}">
                        <c15:formulaRef>
                          <c15:sqref>'activities-data'!$P$4:$P$18</c15:sqref>
                        </c15:formulaRef>
                      </c:ext>
                    </c:extLst>
                    <c:numCache>
                      <c:formatCode>0%</c:formatCode>
                      <c:ptCount val="1"/>
                      <c:pt idx="0">
                        <c:v>3.2102728731942212E-2</c:v>
                      </c:pt>
                    </c:numCache>
                  </c:numRef>
                </c:val>
                <c:extLst xmlns:c15="http://schemas.microsoft.com/office/drawing/2012/chart">
                  <c:ext xmlns:c16="http://schemas.microsoft.com/office/drawing/2014/chart" uri="{C3380CC4-5D6E-409C-BE32-E72D297353CC}">
                    <c16:uniqueId val="{0000000E-6D0D-4D5E-BA42-B768BFBCBE00}"/>
                  </c:ext>
                </c:extLst>
              </c15:ser>
            </c15:filteredBarSeries>
            <c15:filteredBarSeries>
              <c15:ser>
                <c:idx val="15"/>
                <c:order val="15"/>
                <c:tx>
                  <c:strRef>
                    <c:extLst xmlns:c15="http://schemas.microsoft.com/office/drawing/2012/chart">
                      <c:ext xmlns:c15="http://schemas.microsoft.com/office/drawing/2012/chart" uri="{02D57815-91ED-43cb-92C2-25804820EDAC}">
                        <c15:formulaRef>
                          <c15:sqref>'activities-data'!$Q$3</c15:sqref>
                        </c15:formulaRef>
                      </c:ext>
                    </c:extLst>
                    <c:strCache>
                      <c:ptCount val="1"/>
                      <c:pt idx="0">
                        <c:v>75%</c:v>
                      </c:pt>
                    </c:strCache>
                  </c:strRef>
                </c:tx>
                <c:spPr>
                  <a:solidFill>
                    <a:schemeClr val="accent2">
                      <a:lumMod val="5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en-US"/>
                    </a:p>
                  </c:txPr>
                  <c:dLblPos val="ct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extLst xmlns:c15="http://schemas.microsoft.com/office/drawing/2012/chart">
                      <c:ext xmlns:c15="http://schemas.microsoft.com/office/drawing/2012/chart" uri="{02D57815-91ED-43cb-92C2-25804820EDAC}">
                        <c15:formulaRef>
                          <c15:sqref>'activities-data'!$A$4:$A$18</c15:sqref>
                        </c15:formulaRef>
                      </c:ext>
                    </c:extLst>
                    <c:strCache>
                      <c:ptCount val="1"/>
                      <c:pt idx="0">
                        <c:v>All</c:v>
                      </c:pt>
                    </c:strCache>
                  </c:strRef>
                </c:cat>
                <c:val>
                  <c:numRef>
                    <c:extLst xmlns:c15="http://schemas.microsoft.com/office/drawing/2012/chart">
                      <c:ext xmlns:c15="http://schemas.microsoft.com/office/drawing/2012/chart" uri="{02D57815-91ED-43cb-92C2-25804820EDAC}">
                        <c15:formulaRef>
                          <c15:sqref>'activities-data'!$Q$4:$Q$18</c15:sqref>
                        </c15:formulaRef>
                      </c:ext>
                    </c:extLst>
                    <c:numCache>
                      <c:formatCode>0%</c:formatCode>
                      <c:ptCount val="1"/>
                      <c:pt idx="0">
                        <c:v>5.6179775280898875E-2</c:v>
                      </c:pt>
                    </c:numCache>
                  </c:numRef>
                </c:val>
                <c:extLst xmlns:c15="http://schemas.microsoft.com/office/drawing/2012/chart">
                  <c:ext xmlns:c16="http://schemas.microsoft.com/office/drawing/2014/chart" uri="{C3380CC4-5D6E-409C-BE32-E72D297353CC}">
                    <c16:uniqueId val="{0000000F-6D0D-4D5E-BA42-B768BFBCBE00}"/>
                  </c:ext>
                </c:extLst>
              </c15:ser>
            </c15:filteredBarSeries>
            <c15:filteredBarSeries>
              <c15:ser>
                <c:idx val="16"/>
                <c:order val="16"/>
                <c:tx>
                  <c:strRef>
                    <c:extLst xmlns:c15="http://schemas.microsoft.com/office/drawing/2012/chart">
                      <c:ext xmlns:c15="http://schemas.microsoft.com/office/drawing/2012/chart" uri="{02D57815-91ED-43cb-92C2-25804820EDAC}">
                        <c15:formulaRef>
                          <c15:sqref>'activities-data'!$R$3</c15:sqref>
                        </c15:formulaRef>
                      </c:ext>
                    </c:extLst>
                    <c:strCache>
                      <c:ptCount val="1"/>
                      <c:pt idx="0">
                        <c:v>50%</c:v>
                      </c:pt>
                    </c:strCache>
                  </c:strRef>
                </c:tx>
                <c:spPr>
                  <a:solidFill>
                    <a:schemeClr val="accent4">
                      <a:lumMod val="5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en-US"/>
                    </a:p>
                  </c:txPr>
                  <c:dLblPos val="ct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extLst xmlns:c15="http://schemas.microsoft.com/office/drawing/2012/chart">
                      <c:ext xmlns:c15="http://schemas.microsoft.com/office/drawing/2012/chart" uri="{02D57815-91ED-43cb-92C2-25804820EDAC}">
                        <c15:formulaRef>
                          <c15:sqref>'activities-data'!$A$4:$A$18</c15:sqref>
                        </c15:formulaRef>
                      </c:ext>
                    </c:extLst>
                    <c:strCache>
                      <c:ptCount val="1"/>
                      <c:pt idx="0">
                        <c:v>All</c:v>
                      </c:pt>
                    </c:strCache>
                  </c:strRef>
                </c:cat>
                <c:val>
                  <c:numRef>
                    <c:extLst xmlns:c15="http://schemas.microsoft.com/office/drawing/2012/chart">
                      <c:ext xmlns:c15="http://schemas.microsoft.com/office/drawing/2012/chart" uri="{02D57815-91ED-43cb-92C2-25804820EDAC}">
                        <c15:formulaRef>
                          <c15:sqref>'activities-data'!$R$4:$R$18</c15:sqref>
                        </c15:formulaRef>
                      </c:ext>
                    </c:extLst>
                    <c:numCache>
                      <c:formatCode>0%</c:formatCode>
                      <c:ptCount val="1"/>
                      <c:pt idx="0">
                        <c:v>8.186195826645265E-2</c:v>
                      </c:pt>
                    </c:numCache>
                  </c:numRef>
                </c:val>
                <c:extLst xmlns:c15="http://schemas.microsoft.com/office/drawing/2012/chart">
                  <c:ext xmlns:c16="http://schemas.microsoft.com/office/drawing/2014/chart" uri="{C3380CC4-5D6E-409C-BE32-E72D297353CC}">
                    <c16:uniqueId val="{00000010-6D0D-4D5E-BA42-B768BFBCBE00}"/>
                  </c:ext>
                </c:extLst>
              </c15:ser>
            </c15:filteredBarSeries>
            <c15:filteredBarSeries>
              <c15:ser>
                <c:idx val="17"/>
                <c:order val="17"/>
                <c:tx>
                  <c:strRef>
                    <c:extLst xmlns:c15="http://schemas.microsoft.com/office/drawing/2012/chart">
                      <c:ext xmlns:c15="http://schemas.microsoft.com/office/drawing/2012/chart" uri="{02D57815-91ED-43cb-92C2-25804820EDAC}">
                        <c15:formulaRef>
                          <c15:sqref>'activities-data'!$S$3</c15:sqref>
                        </c15:formulaRef>
                      </c:ext>
                    </c:extLst>
                    <c:strCache>
                      <c:ptCount val="1"/>
                      <c:pt idx="0">
                        <c:v>25%</c:v>
                      </c:pt>
                    </c:strCache>
                  </c:strRef>
                </c:tx>
                <c:spPr>
                  <a:solidFill>
                    <a:schemeClr val="accent6">
                      <a:lumMod val="5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en-US"/>
                    </a:p>
                  </c:txPr>
                  <c:dLblPos val="ct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extLst xmlns:c15="http://schemas.microsoft.com/office/drawing/2012/chart">
                      <c:ext xmlns:c15="http://schemas.microsoft.com/office/drawing/2012/chart" uri="{02D57815-91ED-43cb-92C2-25804820EDAC}">
                        <c15:formulaRef>
                          <c15:sqref>'activities-data'!$A$4:$A$18</c15:sqref>
                        </c15:formulaRef>
                      </c:ext>
                    </c:extLst>
                    <c:strCache>
                      <c:ptCount val="1"/>
                      <c:pt idx="0">
                        <c:v>All</c:v>
                      </c:pt>
                    </c:strCache>
                  </c:strRef>
                </c:cat>
                <c:val>
                  <c:numRef>
                    <c:extLst xmlns:c15="http://schemas.microsoft.com/office/drawing/2012/chart">
                      <c:ext xmlns:c15="http://schemas.microsoft.com/office/drawing/2012/chart" uri="{02D57815-91ED-43cb-92C2-25804820EDAC}">
                        <c15:formulaRef>
                          <c15:sqref>'activities-data'!$S$4:$S$18</c15:sqref>
                        </c15:formulaRef>
                      </c:ext>
                    </c:extLst>
                    <c:numCache>
                      <c:formatCode>0%</c:formatCode>
                      <c:ptCount val="1"/>
                      <c:pt idx="0">
                        <c:v>0.1492776886035313</c:v>
                      </c:pt>
                    </c:numCache>
                  </c:numRef>
                </c:val>
                <c:extLst xmlns:c15="http://schemas.microsoft.com/office/drawing/2012/chart">
                  <c:ext xmlns:c16="http://schemas.microsoft.com/office/drawing/2014/chart" uri="{C3380CC4-5D6E-409C-BE32-E72D297353CC}">
                    <c16:uniqueId val="{00000011-6D0D-4D5E-BA42-B768BFBCBE00}"/>
                  </c:ext>
                </c:extLst>
              </c15:ser>
            </c15:filteredBarSeries>
            <c15:filteredBarSeries>
              <c15:ser>
                <c:idx val="18"/>
                <c:order val="18"/>
                <c:tx>
                  <c:strRef>
                    <c:extLst xmlns:c15="http://schemas.microsoft.com/office/drawing/2012/chart">
                      <c:ext xmlns:c15="http://schemas.microsoft.com/office/drawing/2012/chart" uri="{02D57815-91ED-43cb-92C2-25804820EDAC}">
                        <c15:formulaRef>
                          <c15:sqref>'activities-data'!$T$3</c15:sqref>
                        </c15:formulaRef>
                      </c:ext>
                    </c:extLst>
                    <c:strCache>
                      <c:ptCount val="1"/>
                      <c:pt idx="0">
                        <c:v>10%</c:v>
                      </c:pt>
                    </c:strCache>
                  </c:strRef>
                </c:tx>
                <c:spPr>
                  <a:solidFill>
                    <a:schemeClr val="accent2">
                      <a:lumMod val="70000"/>
                      <a:lumOff val="3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en-US"/>
                    </a:p>
                  </c:txPr>
                  <c:dLblPos val="ct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extLst xmlns:c15="http://schemas.microsoft.com/office/drawing/2012/chart">
                      <c:ext xmlns:c15="http://schemas.microsoft.com/office/drawing/2012/chart" uri="{02D57815-91ED-43cb-92C2-25804820EDAC}">
                        <c15:formulaRef>
                          <c15:sqref>'activities-data'!$A$4:$A$18</c15:sqref>
                        </c15:formulaRef>
                      </c:ext>
                    </c:extLst>
                    <c:strCache>
                      <c:ptCount val="1"/>
                      <c:pt idx="0">
                        <c:v>All</c:v>
                      </c:pt>
                    </c:strCache>
                  </c:strRef>
                </c:cat>
                <c:val>
                  <c:numRef>
                    <c:extLst xmlns:c15="http://schemas.microsoft.com/office/drawing/2012/chart">
                      <c:ext xmlns:c15="http://schemas.microsoft.com/office/drawing/2012/chart" uri="{02D57815-91ED-43cb-92C2-25804820EDAC}">
                        <c15:formulaRef>
                          <c15:sqref>'activities-data'!$T$4:$T$18</c15:sqref>
                        </c15:formulaRef>
                      </c:ext>
                    </c:extLst>
                    <c:numCache>
                      <c:formatCode>0%</c:formatCode>
                      <c:ptCount val="1"/>
                      <c:pt idx="0">
                        <c:v>0</c:v>
                      </c:pt>
                    </c:numCache>
                  </c:numRef>
                </c:val>
                <c:extLst xmlns:c15="http://schemas.microsoft.com/office/drawing/2012/chart">
                  <c:ext xmlns:c16="http://schemas.microsoft.com/office/drawing/2014/chart" uri="{C3380CC4-5D6E-409C-BE32-E72D297353CC}">
                    <c16:uniqueId val="{00000012-6D0D-4D5E-BA42-B768BFBCBE00}"/>
                  </c:ext>
                </c:extLst>
              </c15:ser>
            </c15:filteredBarSeries>
            <c15:filteredBarSeries>
              <c15:ser>
                <c:idx val="19"/>
                <c:order val="19"/>
                <c:tx>
                  <c:strRef>
                    <c:extLst xmlns:c15="http://schemas.microsoft.com/office/drawing/2012/chart">
                      <c:ext xmlns:c15="http://schemas.microsoft.com/office/drawing/2012/chart" uri="{02D57815-91ED-43cb-92C2-25804820EDAC}">
                        <c15:formulaRef>
                          <c15:sqref>'activities-data'!$U$3</c15:sqref>
                        </c15:formulaRef>
                      </c:ext>
                    </c:extLst>
                    <c:strCache>
                      <c:ptCount val="1"/>
                      <c:pt idx="0">
                        <c:v>Not started</c:v>
                      </c:pt>
                    </c:strCache>
                  </c:strRef>
                </c:tx>
                <c:spPr>
                  <a:solidFill>
                    <a:schemeClr val="accent4">
                      <a:lumMod val="70000"/>
                      <a:lumOff val="3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en-US"/>
                    </a:p>
                  </c:txPr>
                  <c:dLblPos val="ct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extLst xmlns:c15="http://schemas.microsoft.com/office/drawing/2012/chart">
                      <c:ext xmlns:c15="http://schemas.microsoft.com/office/drawing/2012/chart" uri="{02D57815-91ED-43cb-92C2-25804820EDAC}">
                        <c15:formulaRef>
                          <c15:sqref>'activities-data'!$A$4:$A$18</c15:sqref>
                        </c15:formulaRef>
                      </c:ext>
                    </c:extLst>
                    <c:strCache>
                      <c:ptCount val="1"/>
                      <c:pt idx="0">
                        <c:v>All</c:v>
                      </c:pt>
                    </c:strCache>
                  </c:strRef>
                </c:cat>
                <c:val>
                  <c:numRef>
                    <c:extLst xmlns:c15="http://schemas.microsoft.com/office/drawing/2012/chart">
                      <c:ext xmlns:c15="http://schemas.microsoft.com/office/drawing/2012/chart" uri="{02D57815-91ED-43cb-92C2-25804820EDAC}">
                        <c15:formulaRef>
                          <c15:sqref>'activities-data'!$U$4:$U$18</c15:sqref>
                        </c15:formulaRef>
                      </c:ext>
                    </c:extLst>
                    <c:numCache>
                      <c:formatCode>0%</c:formatCode>
                      <c:ptCount val="1"/>
                      <c:pt idx="0">
                        <c:v>0.18298555377207062</c:v>
                      </c:pt>
                    </c:numCache>
                  </c:numRef>
                </c:val>
                <c:extLst xmlns:c15="http://schemas.microsoft.com/office/drawing/2012/chart">
                  <c:ext xmlns:c16="http://schemas.microsoft.com/office/drawing/2014/chart" uri="{C3380CC4-5D6E-409C-BE32-E72D297353CC}">
                    <c16:uniqueId val="{00000013-6D0D-4D5E-BA42-B768BFBCBE00}"/>
                  </c:ext>
                </c:extLst>
              </c15:ser>
            </c15:filteredBarSeries>
            <c15:filteredBarSeries>
              <c15:ser>
                <c:idx val="20"/>
                <c:order val="20"/>
                <c:tx>
                  <c:strRef>
                    <c:extLst xmlns:c15="http://schemas.microsoft.com/office/drawing/2012/chart">
                      <c:ext xmlns:c15="http://schemas.microsoft.com/office/drawing/2012/chart" uri="{02D57815-91ED-43cb-92C2-25804820EDAC}">
                        <c15:formulaRef>
                          <c15:sqref>'activities-data'!$V$3</c15:sqref>
                        </c15:formulaRef>
                      </c:ext>
                    </c:extLst>
                    <c:strCache>
                      <c:ptCount val="1"/>
                      <c:pt idx="0">
                        <c:v>Completed</c:v>
                      </c:pt>
                    </c:strCache>
                  </c:strRef>
                </c:tx>
                <c:spPr>
                  <a:solidFill>
                    <a:schemeClr val="accent6">
                      <a:lumMod val="70000"/>
                      <a:lumOff val="3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en-US"/>
                    </a:p>
                  </c:txPr>
                  <c:dLblPos val="ct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extLst xmlns:c15="http://schemas.microsoft.com/office/drawing/2012/chart">
                      <c:ext xmlns:c15="http://schemas.microsoft.com/office/drawing/2012/chart" uri="{02D57815-91ED-43cb-92C2-25804820EDAC}">
                        <c15:formulaRef>
                          <c15:sqref>'activities-data'!$A$4:$A$18</c15:sqref>
                        </c15:formulaRef>
                      </c:ext>
                    </c:extLst>
                    <c:strCache>
                      <c:ptCount val="1"/>
                      <c:pt idx="0">
                        <c:v>All</c:v>
                      </c:pt>
                    </c:strCache>
                  </c:strRef>
                </c:cat>
                <c:val>
                  <c:numRef>
                    <c:extLst xmlns:c15="http://schemas.microsoft.com/office/drawing/2012/chart">
                      <c:ext xmlns:c15="http://schemas.microsoft.com/office/drawing/2012/chart" uri="{02D57815-91ED-43cb-92C2-25804820EDAC}">
                        <c15:formulaRef>
                          <c15:sqref>'activities-data'!$V$4:$V$18</c15:sqref>
                        </c15:formulaRef>
                      </c:ext>
                    </c:extLst>
                    <c:numCache>
                      <c:formatCode>0%</c:formatCode>
                      <c:ptCount val="1"/>
                      <c:pt idx="0">
                        <c:v>0.39017341040462428</c:v>
                      </c:pt>
                    </c:numCache>
                  </c:numRef>
                </c:val>
                <c:extLst xmlns:c15="http://schemas.microsoft.com/office/drawing/2012/chart">
                  <c:ext xmlns:c16="http://schemas.microsoft.com/office/drawing/2014/chart" uri="{C3380CC4-5D6E-409C-BE32-E72D297353CC}">
                    <c16:uniqueId val="{00000014-6D0D-4D5E-BA42-B768BFBCBE00}"/>
                  </c:ext>
                </c:extLst>
              </c15:ser>
            </c15:filteredBarSeries>
            <c15:filteredBarSeries>
              <c15:ser>
                <c:idx val="21"/>
                <c:order val="21"/>
                <c:tx>
                  <c:strRef>
                    <c:extLst xmlns:c15="http://schemas.microsoft.com/office/drawing/2012/chart">
                      <c:ext xmlns:c15="http://schemas.microsoft.com/office/drawing/2012/chart" uri="{02D57815-91ED-43cb-92C2-25804820EDAC}">
                        <c15:formulaRef>
                          <c15:sqref>'activities-data'!$W$3</c15:sqref>
                        </c15:formulaRef>
                      </c:ext>
                    </c:extLst>
                    <c:strCache>
                      <c:ptCount val="1"/>
                      <c:pt idx="0">
                        <c:v>In progress</c:v>
                      </c:pt>
                    </c:strCache>
                  </c:strRef>
                </c:tx>
                <c:spPr>
                  <a:solidFill>
                    <a:schemeClr val="accent2">
                      <a:lumMod val="7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en-US"/>
                    </a:p>
                  </c:txPr>
                  <c:dLblPos val="ct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extLst xmlns:c15="http://schemas.microsoft.com/office/drawing/2012/chart">
                      <c:ext xmlns:c15="http://schemas.microsoft.com/office/drawing/2012/chart" uri="{02D57815-91ED-43cb-92C2-25804820EDAC}">
                        <c15:formulaRef>
                          <c15:sqref>'activities-data'!$A$4:$A$18</c15:sqref>
                        </c15:formulaRef>
                      </c:ext>
                    </c:extLst>
                    <c:strCache>
                      <c:ptCount val="1"/>
                      <c:pt idx="0">
                        <c:v>All</c:v>
                      </c:pt>
                    </c:strCache>
                  </c:strRef>
                </c:cat>
                <c:val>
                  <c:numRef>
                    <c:extLst xmlns:c15="http://schemas.microsoft.com/office/drawing/2012/chart">
                      <c:ext xmlns:c15="http://schemas.microsoft.com/office/drawing/2012/chart" uri="{02D57815-91ED-43cb-92C2-25804820EDAC}">
                        <c15:formulaRef>
                          <c15:sqref>'activities-data'!$W$4:$W$18</c15:sqref>
                        </c15:formulaRef>
                      </c:ext>
                    </c:extLst>
                    <c:numCache>
                      <c:formatCode>0%</c:formatCode>
                      <c:ptCount val="1"/>
                      <c:pt idx="0">
                        <c:v>0.33815028901734107</c:v>
                      </c:pt>
                    </c:numCache>
                  </c:numRef>
                </c:val>
                <c:extLst xmlns:c15="http://schemas.microsoft.com/office/drawing/2012/chart">
                  <c:ext xmlns:c16="http://schemas.microsoft.com/office/drawing/2014/chart" uri="{C3380CC4-5D6E-409C-BE32-E72D297353CC}">
                    <c16:uniqueId val="{00000015-6D0D-4D5E-BA42-B768BFBCBE00}"/>
                  </c:ext>
                </c:extLst>
              </c15:ser>
            </c15:filteredBarSeries>
            <c15:filteredBarSeries>
              <c15:ser>
                <c:idx val="22"/>
                <c:order val="22"/>
                <c:tx>
                  <c:strRef>
                    <c:extLst xmlns:c15="http://schemas.microsoft.com/office/drawing/2012/chart">
                      <c:ext xmlns:c15="http://schemas.microsoft.com/office/drawing/2012/chart" uri="{02D57815-91ED-43cb-92C2-25804820EDAC}">
                        <c15:formulaRef>
                          <c15:sqref>'activities-data'!$X$3</c15:sqref>
                        </c15:formulaRef>
                      </c:ext>
                    </c:extLst>
                    <c:strCache>
                      <c:ptCount val="1"/>
                      <c:pt idx="0">
                        <c:v>Not started</c:v>
                      </c:pt>
                    </c:strCache>
                  </c:strRef>
                </c:tx>
                <c:spPr>
                  <a:solidFill>
                    <a:schemeClr val="accent4">
                      <a:lumMod val="7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en-US"/>
                    </a:p>
                  </c:txPr>
                  <c:dLblPos val="ct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extLst xmlns:c15="http://schemas.microsoft.com/office/drawing/2012/chart">
                      <c:ext xmlns:c15="http://schemas.microsoft.com/office/drawing/2012/chart" uri="{02D57815-91ED-43cb-92C2-25804820EDAC}">
                        <c15:formulaRef>
                          <c15:sqref>'activities-data'!$A$4:$A$18</c15:sqref>
                        </c15:formulaRef>
                      </c:ext>
                    </c:extLst>
                    <c:strCache>
                      <c:ptCount val="1"/>
                      <c:pt idx="0">
                        <c:v>All</c:v>
                      </c:pt>
                    </c:strCache>
                  </c:strRef>
                </c:cat>
                <c:val>
                  <c:numRef>
                    <c:extLst xmlns:c15="http://schemas.microsoft.com/office/drawing/2012/chart">
                      <c:ext xmlns:c15="http://schemas.microsoft.com/office/drawing/2012/chart" uri="{02D57815-91ED-43cb-92C2-25804820EDAC}">
                        <c15:formulaRef>
                          <c15:sqref>'activities-data'!$X$4:$X$18</c15:sqref>
                        </c15:formulaRef>
                      </c:ext>
                    </c:extLst>
                    <c:numCache>
                      <c:formatCode>0%</c:formatCode>
                      <c:ptCount val="1"/>
                      <c:pt idx="0">
                        <c:v>0.26589595375722541</c:v>
                      </c:pt>
                    </c:numCache>
                  </c:numRef>
                </c:val>
                <c:extLst xmlns:c15="http://schemas.microsoft.com/office/drawing/2012/chart">
                  <c:ext xmlns:c16="http://schemas.microsoft.com/office/drawing/2014/chart" uri="{C3380CC4-5D6E-409C-BE32-E72D297353CC}">
                    <c16:uniqueId val="{00000016-6D0D-4D5E-BA42-B768BFBCBE00}"/>
                  </c:ext>
                </c:extLst>
              </c15:ser>
            </c15:filteredBarSeries>
            <c15:filteredBarSeries>
              <c15:ser>
                <c:idx val="23"/>
                <c:order val="23"/>
                <c:tx>
                  <c:strRef>
                    <c:extLst xmlns:c15="http://schemas.microsoft.com/office/drawing/2012/chart">
                      <c:ext xmlns:c15="http://schemas.microsoft.com/office/drawing/2012/chart" uri="{02D57815-91ED-43cb-92C2-25804820EDAC}">
                        <c15:formulaRef>
                          <c15:sqref>'activities-data'!$Y$3</c15:sqref>
                        </c15:formulaRef>
                      </c:ext>
                    </c:extLst>
                    <c:strCache>
                      <c:ptCount val="1"/>
                      <c:pt idx="0">
                        <c:v>Completed</c:v>
                      </c:pt>
                    </c:strCache>
                  </c:strRef>
                </c:tx>
                <c:spPr>
                  <a:solidFill>
                    <a:schemeClr val="accent6">
                      <a:lumMod val="7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en-US"/>
                    </a:p>
                  </c:txPr>
                  <c:dLblPos val="ct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extLst xmlns:c15="http://schemas.microsoft.com/office/drawing/2012/chart">
                      <c:ext xmlns:c15="http://schemas.microsoft.com/office/drawing/2012/chart" uri="{02D57815-91ED-43cb-92C2-25804820EDAC}">
                        <c15:formulaRef>
                          <c15:sqref>'activities-data'!$A$4:$A$18</c15:sqref>
                        </c15:formulaRef>
                      </c:ext>
                    </c:extLst>
                    <c:strCache>
                      <c:ptCount val="1"/>
                      <c:pt idx="0">
                        <c:v>All</c:v>
                      </c:pt>
                    </c:strCache>
                  </c:strRef>
                </c:cat>
                <c:val>
                  <c:numRef>
                    <c:extLst xmlns:c15="http://schemas.microsoft.com/office/drawing/2012/chart">
                      <c:ext xmlns:c15="http://schemas.microsoft.com/office/drawing/2012/chart" uri="{02D57815-91ED-43cb-92C2-25804820EDAC}">
                        <c15:formulaRef>
                          <c15:sqref>'activities-data'!$Y$4:$Y$18</c15:sqref>
                        </c15:formulaRef>
                      </c:ext>
                    </c:extLst>
                    <c:numCache>
                      <c:formatCode>0%</c:formatCode>
                      <c:ptCount val="1"/>
                      <c:pt idx="0">
                        <c:v>0.39017341040462428</c:v>
                      </c:pt>
                    </c:numCache>
                  </c:numRef>
                </c:val>
                <c:extLst xmlns:c15="http://schemas.microsoft.com/office/drawing/2012/chart">
                  <c:ext xmlns:c16="http://schemas.microsoft.com/office/drawing/2014/chart" uri="{C3380CC4-5D6E-409C-BE32-E72D297353CC}">
                    <c16:uniqueId val="{00000017-6D0D-4D5E-BA42-B768BFBCBE00}"/>
                  </c:ext>
                </c:extLst>
              </c15:ser>
            </c15:filteredBarSeries>
            <c15:filteredBarSeries>
              <c15:ser>
                <c:idx val="24"/>
                <c:order val="24"/>
                <c:tx>
                  <c:strRef>
                    <c:extLst xmlns:c15="http://schemas.microsoft.com/office/drawing/2012/chart">
                      <c:ext xmlns:c15="http://schemas.microsoft.com/office/drawing/2012/chart" uri="{02D57815-91ED-43cb-92C2-25804820EDAC}">
                        <c15:formulaRef>
                          <c15:sqref>'activities-data'!$Z$3</c15:sqref>
                        </c15:formulaRef>
                      </c:ext>
                    </c:extLst>
                    <c:strCache>
                      <c:ptCount val="1"/>
                      <c:pt idx="0">
                        <c:v>90%</c:v>
                      </c:pt>
                    </c:strCache>
                  </c:strRef>
                </c:tx>
                <c:spPr>
                  <a:solidFill>
                    <a:schemeClr val="accent2">
                      <a:lumMod val="50000"/>
                      <a:lumOff val="5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en-US"/>
                    </a:p>
                  </c:txPr>
                  <c:dLblPos val="ct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extLst xmlns:c15="http://schemas.microsoft.com/office/drawing/2012/chart">
                      <c:ext xmlns:c15="http://schemas.microsoft.com/office/drawing/2012/chart" uri="{02D57815-91ED-43cb-92C2-25804820EDAC}">
                        <c15:formulaRef>
                          <c15:sqref>'activities-data'!$A$4:$A$18</c15:sqref>
                        </c15:formulaRef>
                      </c:ext>
                    </c:extLst>
                    <c:strCache>
                      <c:ptCount val="1"/>
                      <c:pt idx="0">
                        <c:v>All</c:v>
                      </c:pt>
                    </c:strCache>
                  </c:strRef>
                </c:cat>
                <c:val>
                  <c:numRef>
                    <c:extLst xmlns:c15="http://schemas.microsoft.com/office/drawing/2012/chart">
                      <c:ext xmlns:c15="http://schemas.microsoft.com/office/drawing/2012/chart" uri="{02D57815-91ED-43cb-92C2-25804820EDAC}">
                        <c15:formulaRef>
                          <c15:sqref>'activities-data'!$Z$4:$Z$18</c15:sqref>
                        </c15:formulaRef>
                      </c:ext>
                    </c:extLst>
                    <c:numCache>
                      <c:formatCode>0%</c:formatCode>
                      <c:ptCount val="1"/>
                      <c:pt idx="0">
                        <c:v>2.6011560693641619E-2</c:v>
                      </c:pt>
                    </c:numCache>
                  </c:numRef>
                </c:val>
                <c:extLst xmlns:c15="http://schemas.microsoft.com/office/drawing/2012/chart">
                  <c:ext xmlns:c16="http://schemas.microsoft.com/office/drawing/2014/chart" uri="{C3380CC4-5D6E-409C-BE32-E72D297353CC}">
                    <c16:uniqueId val="{00000018-6D0D-4D5E-BA42-B768BFBCBE00}"/>
                  </c:ext>
                </c:extLst>
              </c15:ser>
            </c15:filteredBarSeries>
            <c15:filteredBarSeries>
              <c15:ser>
                <c:idx val="25"/>
                <c:order val="25"/>
                <c:tx>
                  <c:strRef>
                    <c:extLst xmlns:c15="http://schemas.microsoft.com/office/drawing/2012/chart">
                      <c:ext xmlns:c15="http://schemas.microsoft.com/office/drawing/2012/chart" uri="{02D57815-91ED-43cb-92C2-25804820EDAC}">
                        <c15:formulaRef>
                          <c15:sqref>'activities-data'!$AA$3</c15:sqref>
                        </c15:formulaRef>
                      </c:ext>
                    </c:extLst>
                    <c:strCache>
                      <c:ptCount val="1"/>
                      <c:pt idx="0">
                        <c:v>75%</c:v>
                      </c:pt>
                    </c:strCache>
                  </c:strRef>
                </c:tx>
                <c:spPr>
                  <a:solidFill>
                    <a:schemeClr val="accent4">
                      <a:lumMod val="50000"/>
                      <a:lumOff val="5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en-US"/>
                    </a:p>
                  </c:txPr>
                  <c:dLblPos val="ct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extLst xmlns:c15="http://schemas.microsoft.com/office/drawing/2012/chart">
                      <c:ext xmlns:c15="http://schemas.microsoft.com/office/drawing/2012/chart" uri="{02D57815-91ED-43cb-92C2-25804820EDAC}">
                        <c15:formulaRef>
                          <c15:sqref>'activities-data'!$A$4:$A$18</c15:sqref>
                        </c15:formulaRef>
                      </c:ext>
                    </c:extLst>
                    <c:strCache>
                      <c:ptCount val="1"/>
                      <c:pt idx="0">
                        <c:v>All</c:v>
                      </c:pt>
                    </c:strCache>
                  </c:strRef>
                </c:cat>
                <c:val>
                  <c:numRef>
                    <c:extLst xmlns:c15="http://schemas.microsoft.com/office/drawing/2012/chart">
                      <c:ext xmlns:c15="http://schemas.microsoft.com/office/drawing/2012/chart" uri="{02D57815-91ED-43cb-92C2-25804820EDAC}">
                        <c15:formulaRef>
                          <c15:sqref>'activities-data'!$AA$4:$AA$18</c15:sqref>
                        </c15:formulaRef>
                      </c:ext>
                    </c:extLst>
                    <c:numCache>
                      <c:formatCode>0%</c:formatCode>
                      <c:ptCount val="1"/>
                      <c:pt idx="0">
                        <c:v>8.6705202312138727E-2</c:v>
                      </c:pt>
                    </c:numCache>
                  </c:numRef>
                </c:val>
                <c:extLst xmlns:c15="http://schemas.microsoft.com/office/drawing/2012/chart">
                  <c:ext xmlns:c16="http://schemas.microsoft.com/office/drawing/2014/chart" uri="{C3380CC4-5D6E-409C-BE32-E72D297353CC}">
                    <c16:uniqueId val="{00000019-6D0D-4D5E-BA42-B768BFBCBE00}"/>
                  </c:ext>
                </c:extLst>
              </c15:ser>
            </c15:filteredBarSeries>
            <c15:filteredBarSeries>
              <c15:ser>
                <c:idx val="26"/>
                <c:order val="26"/>
                <c:tx>
                  <c:strRef>
                    <c:extLst xmlns:c15="http://schemas.microsoft.com/office/drawing/2012/chart">
                      <c:ext xmlns:c15="http://schemas.microsoft.com/office/drawing/2012/chart" uri="{02D57815-91ED-43cb-92C2-25804820EDAC}">
                        <c15:formulaRef>
                          <c15:sqref>'activities-data'!$AB$3</c15:sqref>
                        </c15:formulaRef>
                      </c:ext>
                    </c:extLst>
                    <c:strCache>
                      <c:ptCount val="1"/>
                      <c:pt idx="0">
                        <c:v>50%</c:v>
                      </c:pt>
                    </c:strCache>
                  </c:strRef>
                </c:tx>
                <c:spPr>
                  <a:solidFill>
                    <a:schemeClr val="accent6">
                      <a:lumMod val="50000"/>
                      <a:lumOff val="5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en-US"/>
                    </a:p>
                  </c:txPr>
                  <c:dLblPos val="ct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extLst xmlns:c15="http://schemas.microsoft.com/office/drawing/2012/chart">
                      <c:ext xmlns:c15="http://schemas.microsoft.com/office/drawing/2012/chart" uri="{02D57815-91ED-43cb-92C2-25804820EDAC}">
                        <c15:formulaRef>
                          <c15:sqref>'activities-data'!$A$4:$A$18</c15:sqref>
                        </c15:formulaRef>
                      </c:ext>
                    </c:extLst>
                    <c:strCache>
                      <c:ptCount val="1"/>
                      <c:pt idx="0">
                        <c:v>All</c:v>
                      </c:pt>
                    </c:strCache>
                  </c:strRef>
                </c:cat>
                <c:val>
                  <c:numRef>
                    <c:extLst xmlns:c15="http://schemas.microsoft.com/office/drawing/2012/chart">
                      <c:ext xmlns:c15="http://schemas.microsoft.com/office/drawing/2012/chart" uri="{02D57815-91ED-43cb-92C2-25804820EDAC}">
                        <c15:formulaRef>
                          <c15:sqref>'activities-data'!$AB$4:$AB$18</c15:sqref>
                        </c15:formulaRef>
                      </c:ext>
                    </c:extLst>
                    <c:numCache>
                      <c:formatCode>0%</c:formatCode>
                      <c:ptCount val="1"/>
                      <c:pt idx="0">
                        <c:v>9.8265895953757232E-2</c:v>
                      </c:pt>
                    </c:numCache>
                  </c:numRef>
                </c:val>
                <c:extLst xmlns:c15="http://schemas.microsoft.com/office/drawing/2012/chart">
                  <c:ext xmlns:c16="http://schemas.microsoft.com/office/drawing/2014/chart" uri="{C3380CC4-5D6E-409C-BE32-E72D297353CC}">
                    <c16:uniqueId val="{0000001A-6D0D-4D5E-BA42-B768BFBCBE00}"/>
                  </c:ext>
                </c:extLst>
              </c15:ser>
            </c15:filteredBarSeries>
            <c15:filteredBarSeries>
              <c15:ser>
                <c:idx val="27"/>
                <c:order val="27"/>
                <c:tx>
                  <c:strRef>
                    <c:extLst xmlns:c15="http://schemas.microsoft.com/office/drawing/2012/chart">
                      <c:ext xmlns:c15="http://schemas.microsoft.com/office/drawing/2012/chart" uri="{02D57815-91ED-43cb-92C2-25804820EDAC}">
                        <c15:formulaRef>
                          <c15:sqref>'activities-data'!$AC$3</c15:sqref>
                        </c15:formulaRef>
                      </c:ext>
                    </c:extLst>
                    <c:strCache>
                      <c:ptCount val="1"/>
                      <c:pt idx="0">
                        <c:v>25%</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en-US"/>
                    </a:p>
                  </c:txPr>
                  <c:dLblPos val="ct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extLst xmlns:c15="http://schemas.microsoft.com/office/drawing/2012/chart">
                      <c:ext xmlns:c15="http://schemas.microsoft.com/office/drawing/2012/chart" uri="{02D57815-91ED-43cb-92C2-25804820EDAC}">
                        <c15:formulaRef>
                          <c15:sqref>'activities-data'!$A$4:$A$18</c15:sqref>
                        </c15:formulaRef>
                      </c:ext>
                    </c:extLst>
                    <c:strCache>
                      <c:ptCount val="1"/>
                      <c:pt idx="0">
                        <c:v>All</c:v>
                      </c:pt>
                    </c:strCache>
                  </c:strRef>
                </c:cat>
                <c:val>
                  <c:numRef>
                    <c:extLst xmlns:c15="http://schemas.microsoft.com/office/drawing/2012/chart">
                      <c:ext xmlns:c15="http://schemas.microsoft.com/office/drawing/2012/chart" uri="{02D57815-91ED-43cb-92C2-25804820EDAC}">
                        <c15:formulaRef>
                          <c15:sqref>'activities-data'!$AC$4:$AC$18</c15:sqref>
                        </c15:formulaRef>
                      </c:ext>
                    </c:extLst>
                    <c:numCache>
                      <c:formatCode>0%</c:formatCode>
                      <c:ptCount val="1"/>
                      <c:pt idx="0">
                        <c:v>0.12716763005780346</c:v>
                      </c:pt>
                    </c:numCache>
                  </c:numRef>
                </c:val>
                <c:extLst xmlns:c15="http://schemas.microsoft.com/office/drawing/2012/chart">
                  <c:ext xmlns:c16="http://schemas.microsoft.com/office/drawing/2014/chart" uri="{C3380CC4-5D6E-409C-BE32-E72D297353CC}">
                    <c16:uniqueId val="{0000001B-6D0D-4D5E-BA42-B768BFBCBE00}"/>
                  </c:ext>
                </c:extLst>
              </c15:ser>
            </c15:filteredBarSeries>
            <c15:filteredBarSeries>
              <c15:ser>
                <c:idx val="28"/>
                <c:order val="28"/>
                <c:tx>
                  <c:strRef>
                    <c:extLst xmlns:c15="http://schemas.microsoft.com/office/drawing/2012/chart">
                      <c:ext xmlns:c15="http://schemas.microsoft.com/office/drawing/2012/chart" uri="{02D57815-91ED-43cb-92C2-25804820EDAC}">
                        <c15:formulaRef>
                          <c15:sqref>'activities-data'!$AD$3</c15:sqref>
                        </c15:formulaRef>
                      </c:ext>
                    </c:extLst>
                    <c:strCache>
                      <c:ptCount val="1"/>
                      <c:pt idx="0">
                        <c:v>10%</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en-US"/>
                    </a:p>
                  </c:txPr>
                  <c:dLblPos val="ct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extLst xmlns:c15="http://schemas.microsoft.com/office/drawing/2012/chart">
                      <c:ext xmlns:c15="http://schemas.microsoft.com/office/drawing/2012/chart" uri="{02D57815-91ED-43cb-92C2-25804820EDAC}">
                        <c15:formulaRef>
                          <c15:sqref>'activities-data'!$A$4:$A$18</c15:sqref>
                        </c15:formulaRef>
                      </c:ext>
                    </c:extLst>
                    <c:strCache>
                      <c:ptCount val="1"/>
                      <c:pt idx="0">
                        <c:v>All</c:v>
                      </c:pt>
                    </c:strCache>
                  </c:strRef>
                </c:cat>
                <c:val>
                  <c:numRef>
                    <c:extLst xmlns:c15="http://schemas.microsoft.com/office/drawing/2012/chart">
                      <c:ext xmlns:c15="http://schemas.microsoft.com/office/drawing/2012/chart" uri="{02D57815-91ED-43cb-92C2-25804820EDAC}">
                        <c15:formulaRef>
                          <c15:sqref>'activities-data'!$AD$4:$AD$18</c15:sqref>
                        </c15:formulaRef>
                      </c:ext>
                    </c:extLst>
                    <c:numCache>
                      <c:formatCode>0%</c:formatCode>
                      <c:ptCount val="1"/>
                      <c:pt idx="0">
                        <c:v>0</c:v>
                      </c:pt>
                    </c:numCache>
                  </c:numRef>
                </c:val>
                <c:extLst xmlns:c15="http://schemas.microsoft.com/office/drawing/2012/chart">
                  <c:ext xmlns:c16="http://schemas.microsoft.com/office/drawing/2014/chart" uri="{C3380CC4-5D6E-409C-BE32-E72D297353CC}">
                    <c16:uniqueId val="{0000001C-6D0D-4D5E-BA42-B768BFBCBE00}"/>
                  </c:ext>
                </c:extLst>
              </c15:ser>
            </c15:filteredBarSeries>
            <c15:filteredBarSeries>
              <c15:ser>
                <c:idx val="29"/>
                <c:order val="29"/>
                <c:tx>
                  <c:strRef>
                    <c:extLst xmlns:c15="http://schemas.microsoft.com/office/drawing/2012/chart">
                      <c:ext xmlns:c15="http://schemas.microsoft.com/office/drawing/2012/chart" uri="{02D57815-91ED-43cb-92C2-25804820EDAC}">
                        <c15:formulaRef>
                          <c15:sqref>'activities-data'!$AE$3</c15:sqref>
                        </c15:formulaRef>
                      </c:ext>
                    </c:extLst>
                    <c:strCache>
                      <c:ptCount val="1"/>
                      <c:pt idx="0">
                        <c:v>Not started</c:v>
                      </c:pt>
                    </c:strCache>
                  </c:strRef>
                </c:tx>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en-US"/>
                    </a:p>
                  </c:txPr>
                  <c:dLblPos val="ct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extLst xmlns:c15="http://schemas.microsoft.com/office/drawing/2012/chart">
                      <c:ext xmlns:c15="http://schemas.microsoft.com/office/drawing/2012/chart" uri="{02D57815-91ED-43cb-92C2-25804820EDAC}">
                        <c15:formulaRef>
                          <c15:sqref>'activities-data'!$A$4:$A$18</c15:sqref>
                        </c15:formulaRef>
                      </c:ext>
                    </c:extLst>
                    <c:strCache>
                      <c:ptCount val="1"/>
                      <c:pt idx="0">
                        <c:v>All</c:v>
                      </c:pt>
                    </c:strCache>
                  </c:strRef>
                </c:cat>
                <c:val>
                  <c:numRef>
                    <c:extLst xmlns:c15="http://schemas.microsoft.com/office/drawing/2012/chart">
                      <c:ext xmlns:c15="http://schemas.microsoft.com/office/drawing/2012/chart" uri="{02D57815-91ED-43cb-92C2-25804820EDAC}">
                        <c15:formulaRef>
                          <c15:sqref>'activities-data'!$AE$4:$AE$18</c15:sqref>
                        </c15:formulaRef>
                      </c:ext>
                    </c:extLst>
                    <c:numCache>
                      <c:formatCode>0%</c:formatCode>
                      <c:ptCount val="1"/>
                      <c:pt idx="0">
                        <c:v>0.26589595375722541</c:v>
                      </c:pt>
                    </c:numCache>
                  </c:numRef>
                </c:val>
                <c:extLst xmlns:c15="http://schemas.microsoft.com/office/drawing/2012/chart">
                  <c:ext xmlns:c16="http://schemas.microsoft.com/office/drawing/2014/chart" uri="{C3380CC4-5D6E-409C-BE32-E72D297353CC}">
                    <c16:uniqueId val="{0000001D-6D0D-4D5E-BA42-B768BFBCBE00}"/>
                  </c:ext>
                </c:extLst>
              </c15:ser>
            </c15:filteredBarSeries>
          </c:ext>
        </c:extLst>
      </c:barChart>
      <c:catAx>
        <c:axId val="610520992"/>
        <c:scaling>
          <c:orientation val="maxMin"/>
        </c:scaling>
        <c:delete val="0"/>
        <c:axPos val="l"/>
        <c:majorGridlines>
          <c:spPr>
            <a:ln w="9525" cap="flat" cmpd="sng" algn="ctr">
              <a:solidFill>
                <a:schemeClr val="tx1">
                  <a:lumMod val="15000"/>
                  <a:lumOff val="85000"/>
                </a:schemeClr>
              </a:solidFill>
              <a:round/>
            </a:ln>
            <a:effectLst/>
          </c:spPr>
        </c:majorGridlines>
        <c:minorGridlines>
          <c:spPr>
            <a:ln>
              <a:solidFill>
                <a:schemeClr val="tx1">
                  <a:lumMod val="5000"/>
                  <a:lumOff val="95000"/>
                </a:schemeClr>
              </a:solidFill>
            </a:ln>
            <a:effectLst/>
          </c:spPr>
        </c:minorGridlines>
        <c:numFmt formatCode="General" sourceLinked="1"/>
        <c:majorTickMark val="none"/>
        <c:minorTickMark val="none"/>
        <c:tickLblPos val="nextTo"/>
        <c:spPr>
          <a:noFill/>
          <a:ln w="9525" cap="rnd"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cap="all" spc="120" normalizeH="0" baseline="0">
                <a:solidFill>
                  <a:schemeClr val="tx1"/>
                </a:solidFill>
                <a:latin typeface="+mn-lt"/>
                <a:ea typeface="+mn-ea"/>
                <a:cs typeface="+mn-cs"/>
              </a:defRPr>
            </a:pPr>
            <a:endParaRPr lang="en-US"/>
          </a:p>
        </c:txPr>
        <c:crossAx val="610522632"/>
        <c:crosses val="autoZero"/>
        <c:auto val="1"/>
        <c:lblAlgn val="ctr"/>
        <c:lblOffset val="100"/>
        <c:noMultiLvlLbl val="0"/>
      </c:catAx>
      <c:valAx>
        <c:axId val="610522632"/>
        <c:scaling>
          <c:orientation val="minMax"/>
        </c:scaling>
        <c:delete val="1"/>
        <c:axPos val="t"/>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crossAx val="610520992"/>
        <c:crosses val="autoZero"/>
        <c:crossBetween val="between"/>
      </c:valAx>
      <c:spPr>
        <a:noFill/>
        <a:ln>
          <a:noFill/>
        </a:ln>
        <a:effectLst/>
      </c:spPr>
    </c:plotArea>
    <c:legend>
      <c:legendPos val="t"/>
      <c:layout>
        <c:manualLayout>
          <c:xMode val="edge"/>
          <c:yMode val="edge"/>
          <c:x val="0.16219160104986874"/>
          <c:y val="0.30029769860006156"/>
          <c:w val="0.69091527020660881"/>
          <c:h val="6.4702752976098038E-2"/>
        </c:manualLayout>
      </c:layout>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4"/>
    </mc:Choice>
    <mc:Fallback>
      <c:style val="4"/>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Topic Area - </a:t>
            </a:r>
            <a:r>
              <a:rPr lang="en-US" sz="1400" b="0" i="0" u="none" strike="noStrike" baseline="0">
                <a:effectLst/>
              </a:rPr>
              <a:t>Workforce Integration</a:t>
            </a:r>
            <a:r>
              <a:rPr lang="en-US"/>
              <a:t> </a:t>
            </a:r>
            <a:r>
              <a:rPr lang="en-US" baseline="0"/>
              <a:t> </a:t>
            </a:r>
            <a:r>
              <a:rPr lang="en-US"/>
              <a:t>Activity #4</a:t>
            </a:r>
          </a:p>
        </c:rich>
      </c:tx>
      <c:layout>
        <c:manualLayout>
          <c:xMode val="edge"/>
          <c:yMode val="edge"/>
          <c:x val="0.15852625564661557"/>
          <c:y val="1.4306151645207439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6017916604892113"/>
          <c:y val="0.23265365094271845"/>
          <c:w val="0.78942722632790041"/>
          <c:h val="0.66602748393145406"/>
        </c:manualLayout>
      </c:layout>
      <c:barChart>
        <c:barDir val="col"/>
        <c:grouping val="percentStacked"/>
        <c:varyColors val="0"/>
        <c:ser>
          <c:idx val="3"/>
          <c:order val="3"/>
          <c:tx>
            <c:strRef>
              <c:f>'individual-chart-workforce'!$F$2</c:f>
              <c:strCache>
                <c:ptCount val="1"/>
                <c:pt idx="0">
                  <c:v>Completed</c:v>
                </c:pt>
              </c:strCache>
            </c:strRef>
          </c:tx>
          <c:spPr>
            <a:solidFill>
              <a:srgbClr val="99221F"/>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800" b="0"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'individual-chart-workforce'!$B$3:$B$50</c:f>
              <c:strCache>
                <c:ptCount val="2"/>
                <c:pt idx="0">
                  <c:v>Activity</c:v>
                </c:pt>
                <c:pt idx="1">
                  <c:v>Outputs</c:v>
                </c:pt>
              </c:strCache>
              <c:extLst/>
            </c:strRef>
          </c:cat>
          <c:val>
            <c:numRef>
              <c:f>'individual-chart-workforce'!$F$3:$F$50</c:f>
              <c:numCache>
                <c:formatCode>0%</c:formatCode>
                <c:ptCount val="2"/>
                <c:pt idx="0">
                  <c:v>0.5</c:v>
                </c:pt>
                <c:pt idx="1">
                  <c:v>0.5</c:v>
                </c:pt>
              </c:numCache>
              <c:extLst/>
            </c:numRef>
          </c:val>
          <c:extLst>
            <c:ext xmlns:c16="http://schemas.microsoft.com/office/drawing/2014/chart" uri="{C3380CC4-5D6E-409C-BE32-E72D297353CC}">
              <c16:uniqueId val="{00000000-1B5A-42F1-A7C2-57B8BCB97234}"/>
            </c:ext>
          </c:extLst>
        </c:ser>
        <c:ser>
          <c:idx val="4"/>
          <c:order val="4"/>
          <c:tx>
            <c:strRef>
              <c:f>'individual-chart-workforce'!$G$2</c:f>
              <c:strCache>
                <c:ptCount val="1"/>
                <c:pt idx="0">
                  <c:v>90%</c:v>
                </c:pt>
              </c:strCache>
            </c:strRef>
          </c:tx>
          <c:spPr>
            <a:solidFill>
              <a:srgbClr val="D73D39"/>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'individual-chart-workforce'!$B$3:$B$50</c:f>
              <c:strCache>
                <c:ptCount val="2"/>
                <c:pt idx="0">
                  <c:v>Activity</c:v>
                </c:pt>
                <c:pt idx="1">
                  <c:v>Outputs</c:v>
                </c:pt>
              </c:strCache>
              <c:extLst/>
            </c:strRef>
          </c:cat>
          <c:val>
            <c:numRef>
              <c:f>'individual-chart-workforce'!$G$3:$G$50</c:f>
              <c:numCache>
                <c:formatCode>General</c:formatCode>
                <c:ptCount val="2"/>
              </c:numCache>
              <c:extLst/>
            </c:numRef>
          </c:val>
          <c:extLst>
            <c:ext xmlns:c16="http://schemas.microsoft.com/office/drawing/2014/chart" uri="{C3380CC4-5D6E-409C-BE32-E72D297353CC}">
              <c16:uniqueId val="{00000001-1B5A-42F1-A7C2-57B8BCB97234}"/>
            </c:ext>
          </c:extLst>
        </c:ser>
        <c:ser>
          <c:idx val="5"/>
          <c:order val="5"/>
          <c:tx>
            <c:strRef>
              <c:f>'individual-chart-workforce'!$H$2</c:f>
              <c:strCache>
                <c:ptCount val="1"/>
                <c:pt idx="0">
                  <c:v>75%</c:v>
                </c:pt>
              </c:strCache>
            </c:strRef>
          </c:tx>
          <c:spPr>
            <a:solidFill>
              <a:srgbClr val="DC535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'individual-chart-workforce'!$B$3:$B$50</c:f>
              <c:strCache>
                <c:ptCount val="2"/>
                <c:pt idx="0">
                  <c:v>Activity</c:v>
                </c:pt>
                <c:pt idx="1">
                  <c:v>Outputs</c:v>
                </c:pt>
              </c:strCache>
              <c:extLst/>
            </c:strRef>
          </c:cat>
          <c:val>
            <c:numRef>
              <c:f>'individual-chart-workforce'!$H$3:$H$50</c:f>
              <c:numCache>
                <c:formatCode>General</c:formatCode>
                <c:ptCount val="2"/>
              </c:numCache>
              <c:extLst/>
            </c:numRef>
          </c:val>
          <c:extLst>
            <c:ext xmlns:c16="http://schemas.microsoft.com/office/drawing/2014/chart" uri="{C3380CC4-5D6E-409C-BE32-E72D297353CC}">
              <c16:uniqueId val="{00000002-1B5A-42F1-A7C2-57B8BCB97234}"/>
            </c:ext>
          </c:extLst>
        </c:ser>
        <c:ser>
          <c:idx val="6"/>
          <c:order val="6"/>
          <c:tx>
            <c:strRef>
              <c:f>'individual-chart-workforce'!$I$2</c:f>
              <c:strCache>
                <c:ptCount val="1"/>
                <c:pt idx="0">
                  <c:v>50%</c:v>
                </c:pt>
              </c:strCache>
            </c:strRef>
          </c:tx>
          <c:spPr>
            <a:solidFill>
              <a:srgbClr val="EBA19F"/>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'individual-chart-workforce'!$B$3:$B$50</c:f>
              <c:strCache>
                <c:ptCount val="2"/>
                <c:pt idx="0">
                  <c:v>Activity</c:v>
                </c:pt>
                <c:pt idx="1">
                  <c:v>Outputs</c:v>
                </c:pt>
              </c:strCache>
              <c:extLst/>
            </c:strRef>
          </c:cat>
          <c:val>
            <c:numRef>
              <c:f>'individual-chart-workforce'!$I$3:$I$50</c:f>
              <c:numCache>
                <c:formatCode>General</c:formatCode>
                <c:ptCount val="2"/>
              </c:numCache>
              <c:extLst/>
            </c:numRef>
          </c:val>
          <c:extLst>
            <c:ext xmlns:c16="http://schemas.microsoft.com/office/drawing/2014/chart" uri="{C3380CC4-5D6E-409C-BE32-E72D297353CC}">
              <c16:uniqueId val="{00000003-1B5A-42F1-A7C2-57B8BCB97234}"/>
            </c:ext>
          </c:extLst>
        </c:ser>
        <c:ser>
          <c:idx val="7"/>
          <c:order val="7"/>
          <c:tx>
            <c:strRef>
              <c:f>'individual-chart-workforce'!$J$2</c:f>
              <c:strCache>
                <c:ptCount val="1"/>
                <c:pt idx="0">
                  <c:v>25%</c:v>
                </c:pt>
              </c:strCache>
            </c:strRef>
          </c:tx>
          <c:spPr>
            <a:solidFill>
              <a:srgbClr val="F3C6C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'individual-chart-workforce'!$B$3:$B$50</c:f>
              <c:strCache>
                <c:ptCount val="2"/>
                <c:pt idx="0">
                  <c:v>Activity</c:v>
                </c:pt>
                <c:pt idx="1">
                  <c:v>Outputs</c:v>
                </c:pt>
              </c:strCache>
              <c:extLst/>
            </c:strRef>
          </c:cat>
          <c:val>
            <c:numRef>
              <c:f>'individual-chart-workforce'!$J$3:$J$50</c:f>
              <c:numCache>
                <c:formatCode>0%</c:formatCode>
                <c:ptCount val="2"/>
                <c:pt idx="0">
                  <c:v>0.25</c:v>
                </c:pt>
                <c:pt idx="1">
                  <c:v>0.25</c:v>
                </c:pt>
              </c:numCache>
              <c:extLst/>
            </c:numRef>
          </c:val>
          <c:extLst>
            <c:ext xmlns:c16="http://schemas.microsoft.com/office/drawing/2014/chart" uri="{C3380CC4-5D6E-409C-BE32-E72D297353CC}">
              <c16:uniqueId val="{00000004-1B5A-42F1-A7C2-57B8BCB97234}"/>
            </c:ext>
          </c:extLst>
        </c:ser>
        <c:ser>
          <c:idx val="8"/>
          <c:order val="8"/>
          <c:tx>
            <c:strRef>
              <c:f>'individual-chart-workforce'!$K$2</c:f>
              <c:strCache>
                <c:ptCount val="1"/>
                <c:pt idx="0">
                  <c:v>10%</c:v>
                </c:pt>
              </c:strCache>
            </c:strRef>
          </c:tx>
          <c:spPr>
            <a:solidFill>
              <a:schemeClr val="accent2">
                <a:tint val="56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'individual-chart-workforce'!$B$3:$B$50</c:f>
              <c:strCache>
                <c:ptCount val="2"/>
                <c:pt idx="0">
                  <c:v>Activity</c:v>
                </c:pt>
                <c:pt idx="1">
                  <c:v>Outputs</c:v>
                </c:pt>
              </c:strCache>
              <c:extLst/>
            </c:strRef>
          </c:cat>
          <c:val>
            <c:numRef>
              <c:f>'individual-chart-workforce'!$K$3:$K$50</c:f>
              <c:numCache>
                <c:formatCode>General</c:formatCode>
                <c:ptCount val="2"/>
              </c:numCache>
              <c:extLst/>
            </c:numRef>
          </c:val>
          <c:extLst>
            <c:ext xmlns:c16="http://schemas.microsoft.com/office/drawing/2014/chart" uri="{C3380CC4-5D6E-409C-BE32-E72D297353CC}">
              <c16:uniqueId val="{00000005-1B5A-42F1-A7C2-57B8BCB97234}"/>
            </c:ext>
          </c:extLst>
        </c:ser>
        <c:ser>
          <c:idx val="9"/>
          <c:order val="9"/>
          <c:tx>
            <c:strRef>
              <c:f>'individual-chart-workforce'!$L$2</c:f>
              <c:strCache>
                <c:ptCount val="1"/>
                <c:pt idx="0">
                  <c:v>Not Started</c:v>
                </c:pt>
              </c:strCache>
            </c:strRef>
          </c:tx>
          <c:spPr>
            <a:solidFill>
              <a:srgbClr val="FCF2F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'individual-chart-workforce'!$B$3:$B$50</c:f>
              <c:strCache>
                <c:ptCount val="2"/>
                <c:pt idx="0">
                  <c:v>Activity</c:v>
                </c:pt>
                <c:pt idx="1">
                  <c:v>Outputs</c:v>
                </c:pt>
              </c:strCache>
              <c:extLst/>
            </c:strRef>
          </c:cat>
          <c:val>
            <c:numRef>
              <c:f>'individual-chart-workforce'!$L$3:$L$50</c:f>
              <c:numCache>
                <c:formatCode>0%</c:formatCode>
                <c:ptCount val="2"/>
                <c:pt idx="0">
                  <c:v>0.25</c:v>
                </c:pt>
                <c:pt idx="1">
                  <c:v>0.25</c:v>
                </c:pt>
              </c:numCache>
              <c:extLst/>
            </c:numRef>
          </c:val>
          <c:extLst>
            <c:ext xmlns:c16="http://schemas.microsoft.com/office/drawing/2014/chart" uri="{C3380CC4-5D6E-409C-BE32-E72D297353CC}">
              <c16:uniqueId val="{00000006-1B5A-42F1-A7C2-57B8BCB97234}"/>
            </c:ext>
          </c:extLst>
        </c:ser>
        <c:dLbls>
          <c:dLblPos val="ctr"/>
          <c:showLegendKey val="0"/>
          <c:showVal val="1"/>
          <c:showCatName val="0"/>
          <c:showSerName val="0"/>
          <c:showPercent val="0"/>
          <c:showBubbleSize val="0"/>
        </c:dLbls>
        <c:gapWidth val="150"/>
        <c:overlap val="100"/>
        <c:axId val="790958128"/>
        <c:axId val="790961408"/>
        <c:extLst>
          <c:ext xmlns:c15="http://schemas.microsoft.com/office/drawing/2012/chart" uri="{02D57815-91ED-43cb-92C2-25804820EDAC}">
            <c15:filteredBarSeries>
              <c15:ser>
                <c:idx val="0"/>
                <c:order val="0"/>
                <c:tx>
                  <c:strRef>
                    <c:extLst>
                      <c:ext uri="{02D57815-91ED-43cb-92C2-25804820EDAC}">
                        <c15:formulaRef>
                          <c15:sqref>'individual-chart-workforce'!$C$2</c15:sqref>
                        </c15:formulaRef>
                      </c:ext>
                    </c:extLst>
                    <c:strCache>
                      <c:ptCount val="1"/>
                      <c:pt idx="0">
                        <c:v>Completed</c:v>
                      </c:pt>
                    </c:strCache>
                  </c:strRef>
                </c:tx>
                <c:spPr>
                  <a:solidFill>
                    <a:schemeClr val="accent2">
                      <a:shade val="42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c:ext uri="{02D57815-91ED-43cb-92C2-25804820EDAC}">
                        <c15:formulaRef>
                          <c15:sqref>'individual-chart-workforce'!$B$3:$B$50</c15:sqref>
                        </c15:formulaRef>
                      </c:ext>
                    </c:extLst>
                    <c:strCache>
                      <c:ptCount val="2"/>
                      <c:pt idx="0">
                        <c:v>Activity</c:v>
                      </c:pt>
                      <c:pt idx="1">
                        <c:v>Outputs</c:v>
                      </c:pt>
                    </c:strCache>
                  </c:strRef>
                </c:cat>
                <c:val>
                  <c:numRef>
                    <c:extLst>
                      <c:ext uri="{02D57815-91ED-43cb-92C2-25804820EDAC}">
                        <c15:formulaRef>
                          <c15:sqref>'individual-chart-workforce'!$C$3:$C$50</c15:sqref>
                        </c15:formulaRef>
                      </c:ext>
                    </c:extLst>
                    <c:numCache>
                      <c:formatCode>0%</c:formatCode>
                      <c:ptCount val="2"/>
                      <c:pt idx="0">
                        <c:v>0.5</c:v>
                      </c:pt>
                      <c:pt idx="1">
                        <c:v>0.5</c:v>
                      </c:pt>
                    </c:numCache>
                  </c:numRef>
                </c:val>
                <c:extLst>
                  <c:ext xmlns:c16="http://schemas.microsoft.com/office/drawing/2014/chart" uri="{C3380CC4-5D6E-409C-BE32-E72D297353CC}">
                    <c16:uniqueId val="{00000007-1B5A-42F1-A7C2-57B8BCB97234}"/>
                  </c:ext>
                </c:extLst>
              </c15:ser>
            </c15:filteredBarSeries>
            <c15:filteredBarSeries>
              <c15:ser>
                <c:idx val="1"/>
                <c:order val="1"/>
                <c:tx>
                  <c:strRef>
                    <c:extLst xmlns:c15="http://schemas.microsoft.com/office/drawing/2012/chart">
                      <c:ext xmlns:c15="http://schemas.microsoft.com/office/drawing/2012/chart" uri="{02D57815-91ED-43cb-92C2-25804820EDAC}">
                        <c15:formulaRef>
                          <c15:sqref>'individual-chart-workforce'!$D$2</c15:sqref>
                        </c15:formulaRef>
                      </c:ext>
                    </c:extLst>
                    <c:strCache>
                      <c:ptCount val="1"/>
                      <c:pt idx="0">
                        <c:v>In progress</c:v>
                      </c:pt>
                    </c:strCache>
                  </c:strRef>
                </c:tx>
                <c:spPr>
                  <a:solidFill>
                    <a:schemeClr val="accent2">
                      <a:shade val="5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'individual-chart-workforce'!$B$3:$B$50</c15:sqref>
                        </c15:formulaRef>
                      </c:ext>
                    </c:extLst>
                    <c:strCache>
                      <c:ptCount val="2"/>
                      <c:pt idx="0">
                        <c:v>Activity</c:v>
                      </c:pt>
                      <c:pt idx="1">
                        <c:v>Outputs</c:v>
                      </c:pt>
                    </c:strCache>
                  </c:strRef>
                </c:cat>
                <c:val>
                  <c:numRef>
                    <c:extLst xmlns:c15="http://schemas.microsoft.com/office/drawing/2012/chart">
                      <c:ext xmlns:c15="http://schemas.microsoft.com/office/drawing/2012/chart" uri="{02D57815-91ED-43cb-92C2-25804820EDAC}">
                        <c15:formulaRef>
                          <c15:sqref>'individual-chart-workforce'!$D$3:$D$50</c15:sqref>
                        </c15:formulaRef>
                      </c:ext>
                    </c:extLst>
                    <c:numCache>
                      <c:formatCode>0%</c:formatCode>
                      <c:ptCount val="2"/>
                      <c:pt idx="0">
                        <c:v>0.25</c:v>
                      </c:pt>
                      <c:pt idx="1">
                        <c:v>0.25</c:v>
                      </c:pt>
                    </c:numCache>
                  </c:numRef>
                </c:val>
                <c:extLst xmlns:c15="http://schemas.microsoft.com/office/drawing/2012/chart">
                  <c:ext xmlns:c16="http://schemas.microsoft.com/office/drawing/2014/chart" uri="{C3380CC4-5D6E-409C-BE32-E72D297353CC}">
                    <c16:uniqueId val="{00000008-1B5A-42F1-A7C2-57B8BCB97234}"/>
                  </c:ext>
                </c:extLst>
              </c15:ser>
            </c15:filteredBarSeries>
            <c15:filteredBarSeries>
              <c15:ser>
                <c:idx val="2"/>
                <c:order val="2"/>
                <c:tx>
                  <c:strRef>
                    <c:extLst xmlns:c15="http://schemas.microsoft.com/office/drawing/2012/chart">
                      <c:ext xmlns:c15="http://schemas.microsoft.com/office/drawing/2012/chart" uri="{02D57815-91ED-43cb-92C2-25804820EDAC}">
                        <c15:formulaRef>
                          <c15:sqref>'individual-chart-workforce'!$E$2</c15:sqref>
                        </c15:formulaRef>
                      </c:ext>
                    </c:extLst>
                    <c:strCache>
                      <c:ptCount val="1"/>
                      <c:pt idx="0">
                        <c:v>Not started</c:v>
                      </c:pt>
                    </c:strCache>
                  </c:strRef>
                </c:tx>
                <c:spPr>
                  <a:solidFill>
                    <a:schemeClr val="accent2">
                      <a:shade val="68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'individual-chart-workforce'!$B$3:$B$50</c15:sqref>
                        </c15:formulaRef>
                      </c:ext>
                    </c:extLst>
                    <c:strCache>
                      <c:ptCount val="2"/>
                      <c:pt idx="0">
                        <c:v>Activity</c:v>
                      </c:pt>
                      <c:pt idx="1">
                        <c:v>Outputs</c:v>
                      </c:pt>
                    </c:strCache>
                  </c:strRef>
                </c:cat>
                <c:val>
                  <c:numRef>
                    <c:extLst xmlns:c15="http://schemas.microsoft.com/office/drawing/2012/chart">
                      <c:ext xmlns:c15="http://schemas.microsoft.com/office/drawing/2012/chart" uri="{02D57815-91ED-43cb-92C2-25804820EDAC}">
                        <c15:formulaRef>
                          <c15:sqref>'individual-chart-workforce'!$E$3:$E$50</c15:sqref>
                        </c15:formulaRef>
                      </c:ext>
                    </c:extLst>
                    <c:numCache>
                      <c:formatCode>0%</c:formatCode>
                      <c:ptCount val="2"/>
                      <c:pt idx="0">
                        <c:v>0.25</c:v>
                      </c:pt>
                      <c:pt idx="1">
                        <c:v>0.25</c:v>
                      </c:pt>
                    </c:numCache>
                  </c:numRef>
                </c:val>
                <c:extLst xmlns:c15="http://schemas.microsoft.com/office/drawing/2012/chart">
                  <c:ext xmlns:c16="http://schemas.microsoft.com/office/drawing/2014/chart" uri="{C3380CC4-5D6E-409C-BE32-E72D297353CC}">
                    <c16:uniqueId val="{00000009-1B5A-42F1-A7C2-57B8BCB97234}"/>
                  </c:ext>
                </c:extLst>
              </c15:ser>
            </c15:filteredBarSeries>
          </c:ext>
        </c:extLst>
      </c:barChart>
      <c:catAx>
        <c:axId val="7909581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n-US"/>
          </a:p>
        </c:txPr>
        <c:crossAx val="790961408"/>
        <c:crosses val="autoZero"/>
        <c:auto val="1"/>
        <c:lblAlgn val="ctr"/>
        <c:lblOffset val="100"/>
        <c:noMultiLvlLbl val="0"/>
      </c:catAx>
      <c:valAx>
        <c:axId val="790961408"/>
        <c:scaling>
          <c:orientation val="minMax"/>
          <c:min val="0"/>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90958128"/>
        <c:crossesAt val="1"/>
        <c:crossBetween val="between"/>
      </c:valAx>
      <c:spPr>
        <a:noFill/>
        <a:ln>
          <a:noFill/>
        </a:ln>
        <a:effectLst/>
      </c:spPr>
    </c:plotArea>
    <c:legend>
      <c:legendPos val="t"/>
      <c:layout>
        <c:manualLayout>
          <c:xMode val="edge"/>
          <c:yMode val="edge"/>
          <c:x val="0.16878354491402861"/>
          <c:y val="0.14071530758226036"/>
          <c:w val="0.78488188976377948"/>
          <c:h val="8.3691663005643596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userShapes r:id="rId5"/>
</c:chartSpace>
</file>

<file path=word/charts/chart4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4"/>
    </mc:Choice>
    <mc:Fallback>
      <c:style val="4"/>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Topic Area - </a:t>
            </a:r>
            <a:r>
              <a:rPr lang="en-US" sz="1400" b="0" i="0" u="none" strike="noStrike" baseline="0">
                <a:effectLst/>
              </a:rPr>
              <a:t>Workforce Integration</a:t>
            </a:r>
            <a:r>
              <a:rPr lang="en-US"/>
              <a:t> </a:t>
            </a:r>
            <a:r>
              <a:rPr lang="en-US" baseline="0"/>
              <a:t> </a:t>
            </a:r>
            <a:r>
              <a:rPr lang="en-US"/>
              <a:t>Activity #5</a:t>
            </a:r>
          </a:p>
        </c:rich>
      </c:tx>
      <c:layout>
        <c:manualLayout>
          <c:xMode val="edge"/>
          <c:yMode val="edge"/>
          <c:x val="0.15852625564661557"/>
          <c:y val="1.4306151645207439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6017916604892113"/>
          <c:y val="0.23265365094271845"/>
          <c:w val="0.78942722632790041"/>
          <c:h val="0.66602748393145406"/>
        </c:manualLayout>
      </c:layout>
      <c:barChart>
        <c:barDir val="col"/>
        <c:grouping val="percentStacked"/>
        <c:varyColors val="0"/>
        <c:ser>
          <c:idx val="3"/>
          <c:order val="3"/>
          <c:tx>
            <c:strRef>
              <c:f>'individual-chart-workforce'!$F$2</c:f>
              <c:strCache>
                <c:ptCount val="1"/>
                <c:pt idx="0">
                  <c:v>Completed</c:v>
                </c:pt>
              </c:strCache>
            </c:strRef>
          </c:tx>
          <c:spPr>
            <a:solidFill>
              <a:srgbClr val="99221F"/>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800" b="0"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'individual-chart-workforce'!$B$3:$B$50</c:f>
              <c:strCache>
                <c:ptCount val="2"/>
                <c:pt idx="0">
                  <c:v>Activity</c:v>
                </c:pt>
                <c:pt idx="1">
                  <c:v>Outputs</c:v>
                </c:pt>
              </c:strCache>
              <c:extLst/>
            </c:strRef>
          </c:cat>
          <c:val>
            <c:numRef>
              <c:f>'individual-chart-workforce'!$F$3:$F$50</c:f>
              <c:numCache>
                <c:formatCode>0%</c:formatCode>
                <c:ptCount val="2"/>
                <c:pt idx="0">
                  <c:v>0.58333333333333337</c:v>
                </c:pt>
                <c:pt idx="1">
                  <c:v>0.41666666666666669</c:v>
                </c:pt>
              </c:numCache>
              <c:extLst/>
            </c:numRef>
          </c:val>
          <c:extLst>
            <c:ext xmlns:c16="http://schemas.microsoft.com/office/drawing/2014/chart" uri="{C3380CC4-5D6E-409C-BE32-E72D297353CC}">
              <c16:uniqueId val="{00000000-D1BA-453C-8345-F0B0575F6E88}"/>
            </c:ext>
          </c:extLst>
        </c:ser>
        <c:ser>
          <c:idx val="4"/>
          <c:order val="4"/>
          <c:tx>
            <c:strRef>
              <c:f>'individual-chart-workforce'!$G$2</c:f>
              <c:strCache>
                <c:ptCount val="1"/>
                <c:pt idx="0">
                  <c:v>90%</c:v>
                </c:pt>
              </c:strCache>
            </c:strRef>
          </c:tx>
          <c:spPr>
            <a:solidFill>
              <a:srgbClr val="D73D39"/>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'individual-chart-workforce'!$B$3:$B$50</c:f>
              <c:strCache>
                <c:ptCount val="2"/>
                <c:pt idx="0">
                  <c:v>Activity</c:v>
                </c:pt>
                <c:pt idx="1">
                  <c:v>Outputs</c:v>
                </c:pt>
              </c:strCache>
              <c:extLst/>
            </c:strRef>
          </c:cat>
          <c:val>
            <c:numRef>
              <c:f>'individual-chart-workforce'!$G$3:$G$50</c:f>
              <c:numCache>
                <c:formatCode>General</c:formatCode>
                <c:ptCount val="2"/>
              </c:numCache>
              <c:extLst/>
            </c:numRef>
          </c:val>
          <c:extLst>
            <c:ext xmlns:c16="http://schemas.microsoft.com/office/drawing/2014/chart" uri="{C3380CC4-5D6E-409C-BE32-E72D297353CC}">
              <c16:uniqueId val="{00000001-D1BA-453C-8345-F0B0575F6E88}"/>
            </c:ext>
          </c:extLst>
        </c:ser>
        <c:ser>
          <c:idx val="5"/>
          <c:order val="5"/>
          <c:tx>
            <c:strRef>
              <c:f>'individual-chart-workforce'!$H$2</c:f>
              <c:strCache>
                <c:ptCount val="1"/>
                <c:pt idx="0">
                  <c:v>75%</c:v>
                </c:pt>
              </c:strCache>
            </c:strRef>
          </c:tx>
          <c:spPr>
            <a:solidFill>
              <a:srgbClr val="DC535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'individual-chart-workforce'!$B$3:$B$50</c:f>
              <c:strCache>
                <c:ptCount val="2"/>
                <c:pt idx="0">
                  <c:v>Activity</c:v>
                </c:pt>
                <c:pt idx="1">
                  <c:v>Outputs</c:v>
                </c:pt>
              </c:strCache>
              <c:extLst/>
            </c:strRef>
          </c:cat>
          <c:val>
            <c:numRef>
              <c:f>'individual-chart-workforce'!$H$3:$H$50</c:f>
              <c:numCache>
                <c:formatCode>0%</c:formatCode>
                <c:ptCount val="2"/>
                <c:pt idx="0">
                  <c:v>8.3333333333333329E-2</c:v>
                </c:pt>
                <c:pt idx="1">
                  <c:v>8.3333333333333329E-2</c:v>
                </c:pt>
              </c:numCache>
              <c:extLst/>
            </c:numRef>
          </c:val>
          <c:extLst>
            <c:ext xmlns:c16="http://schemas.microsoft.com/office/drawing/2014/chart" uri="{C3380CC4-5D6E-409C-BE32-E72D297353CC}">
              <c16:uniqueId val="{00000002-D1BA-453C-8345-F0B0575F6E88}"/>
            </c:ext>
          </c:extLst>
        </c:ser>
        <c:ser>
          <c:idx val="6"/>
          <c:order val="6"/>
          <c:tx>
            <c:strRef>
              <c:f>'individual-chart-workforce'!$I$2</c:f>
              <c:strCache>
                <c:ptCount val="1"/>
                <c:pt idx="0">
                  <c:v>50%</c:v>
                </c:pt>
              </c:strCache>
            </c:strRef>
          </c:tx>
          <c:spPr>
            <a:solidFill>
              <a:srgbClr val="EBA19F"/>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'individual-chart-workforce'!$B$3:$B$50</c:f>
              <c:strCache>
                <c:ptCount val="2"/>
                <c:pt idx="0">
                  <c:v>Activity</c:v>
                </c:pt>
                <c:pt idx="1">
                  <c:v>Outputs</c:v>
                </c:pt>
              </c:strCache>
              <c:extLst/>
            </c:strRef>
          </c:cat>
          <c:val>
            <c:numRef>
              <c:f>'individual-chart-workforce'!$I$3:$I$50</c:f>
              <c:numCache>
                <c:formatCode>General</c:formatCode>
                <c:ptCount val="2"/>
              </c:numCache>
              <c:extLst/>
            </c:numRef>
          </c:val>
          <c:extLst>
            <c:ext xmlns:c16="http://schemas.microsoft.com/office/drawing/2014/chart" uri="{C3380CC4-5D6E-409C-BE32-E72D297353CC}">
              <c16:uniqueId val="{00000003-D1BA-453C-8345-F0B0575F6E88}"/>
            </c:ext>
          </c:extLst>
        </c:ser>
        <c:ser>
          <c:idx val="7"/>
          <c:order val="7"/>
          <c:tx>
            <c:strRef>
              <c:f>'individual-chart-workforce'!$J$2</c:f>
              <c:strCache>
                <c:ptCount val="1"/>
                <c:pt idx="0">
                  <c:v>25%</c:v>
                </c:pt>
              </c:strCache>
            </c:strRef>
          </c:tx>
          <c:spPr>
            <a:solidFill>
              <a:srgbClr val="F3C6C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'individual-chart-workforce'!$B$3:$B$50</c:f>
              <c:strCache>
                <c:ptCount val="2"/>
                <c:pt idx="0">
                  <c:v>Activity</c:v>
                </c:pt>
                <c:pt idx="1">
                  <c:v>Outputs</c:v>
                </c:pt>
              </c:strCache>
              <c:extLst/>
            </c:strRef>
          </c:cat>
          <c:val>
            <c:numRef>
              <c:f>'individual-chart-workforce'!$J$3:$J$50</c:f>
              <c:numCache>
                <c:formatCode>0%</c:formatCode>
                <c:ptCount val="2"/>
                <c:pt idx="0">
                  <c:v>0.16666666666666666</c:v>
                </c:pt>
                <c:pt idx="1">
                  <c:v>0.25</c:v>
                </c:pt>
              </c:numCache>
              <c:extLst/>
            </c:numRef>
          </c:val>
          <c:extLst>
            <c:ext xmlns:c16="http://schemas.microsoft.com/office/drawing/2014/chart" uri="{C3380CC4-5D6E-409C-BE32-E72D297353CC}">
              <c16:uniqueId val="{00000004-D1BA-453C-8345-F0B0575F6E88}"/>
            </c:ext>
          </c:extLst>
        </c:ser>
        <c:ser>
          <c:idx val="8"/>
          <c:order val="8"/>
          <c:tx>
            <c:strRef>
              <c:f>'individual-chart-workforce'!$K$2</c:f>
              <c:strCache>
                <c:ptCount val="1"/>
                <c:pt idx="0">
                  <c:v>10%</c:v>
                </c:pt>
              </c:strCache>
            </c:strRef>
          </c:tx>
          <c:spPr>
            <a:solidFill>
              <a:schemeClr val="accent2">
                <a:tint val="56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'individual-chart-workforce'!$B$3:$B$50</c:f>
              <c:strCache>
                <c:ptCount val="2"/>
                <c:pt idx="0">
                  <c:v>Activity</c:v>
                </c:pt>
                <c:pt idx="1">
                  <c:v>Outputs</c:v>
                </c:pt>
              </c:strCache>
              <c:extLst/>
            </c:strRef>
          </c:cat>
          <c:val>
            <c:numRef>
              <c:f>'individual-chart-workforce'!$K$3:$K$50</c:f>
              <c:numCache>
                <c:formatCode>General</c:formatCode>
                <c:ptCount val="2"/>
              </c:numCache>
              <c:extLst/>
            </c:numRef>
          </c:val>
          <c:extLst>
            <c:ext xmlns:c16="http://schemas.microsoft.com/office/drawing/2014/chart" uri="{C3380CC4-5D6E-409C-BE32-E72D297353CC}">
              <c16:uniqueId val="{00000005-D1BA-453C-8345-F0B0575F6E88}"/>
            </c:ext>
          </c:extLst>
        </c:ser>
        <c:ser>
          <c:idx val="9"/>
          <c:order val="9"/>
          <c:tx>
            <c:strRef>
              <c:f>'individual-chart-workforce'!$L$2</c:f>
              <c:strCache>
                <c:ptCount val="1"/>
                <c:pt idx="0">
                  <c:v>Not Started</c:v>
                </c:pt>
              </c:strCache>
            </c:strRef>
          </c:tx>
          <c:spPr>
            <a:solidFill>
              <a:srgbClr val="FCF2F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'individual-chart-workforce'!$B$3:$B$50</c:f>
              <c:strCache>
                <c:ptCount val="2"/>
                <c:pt idx="0">
                  <c:v>Activity</c:v>
                </c:pt>
                <c:pt idx="1">
                  <c:v>Outputs</c:v>
                </c:pt>
              </c:strCache>
              <c:extLst/>
            </c:strRef>
          </c:cat>
          <c:val>
            <c:numRef>
              <c:f>'individual-chart-workforce'!$L$3:$L$50</c:f>
              <c:numCache>
                <c:formatCode>0%</c:formatCode>
                <c:ptCount val="2"/>
                <c:pt idx="0">
                  <c:v>0.16666666666666666</c:v>
                </c:pt>
                <c:pt idx="1">
                  <c:v>0.25</c:v>
                </c:pt>
              </c:numCache>
              <c:extLst/>
            </c:numRef>
          </c:val>
          <c:extLst>
            <c:ext xmlns:c16="http://schemas.microsoft.com/office/drawing/2014/chart" uri="{C3380CC4-5D6E-409C-BE32-E72D297353CC}">
              <c16:uniqueId val="{00000006-D1BA-453C-8345-F0B0575F6E88}"/>
            </c:ext>
          </c:extLst>
        </c:ser>
        <c:dLbls>
          <c:dLblPos val="ctr"/>
          <c:showLegendKey val="0"/>
          <c:showVal val="1"/>
          <c:showCatName val="0"/>
          <c:showSerName val="0"/>
          <c:showPercent val="0"/>
          <c:showBubbleSize val="0"/>
        </c:dLbls>
        <c:gapWidth val="150"/>
        <c:overlap val="100"/>
        <c:axId val="790958128"/>
        <c:axId val="790961408"/>
        <c:extLst>
          <c:ext xmlns:c15="http://schemas.microsoft.com/office/drawing/2012/chart" uri="{02D57815-91ED-43cb-92C2-25804820EDAC}">
            <c15:filteredBarSeries>
              <c15:ser>
                <c:idx val="0"/>
                <c:order val="0"/>
                <c:tx>
                  <c:strRef>
                    <c:extLst>
                      <c:ext uri="{02D57815-91ED-43cb-92C2-25804820EDAC}">
                        <c15:formulaRef>
                          <c15:sqref>'individual-chart-workforce'!$C$2</c15:sqref>
                        </c15:formulaRef>
                      </c:ext>
                    </c:extLst>
                    <c:strCache>
                      <c:ptCount val="1"/>
                      <c:pt idx="0">
                        <c:v>Completed</c:v>
                      </c:pt>
                    </c:strCache>
                  </c:strRef>
                </c:tx>
                <c:spPr>
                  <a:solidFill>
                    <a:schemeClr val="accent2">
                      <a:shade val="42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c:ext uri="{02D57815-91ED-43cb-92C2-25804820EDAC}">
                        <c15:formulaRef>
                          <c15:sqref>'individual-chart-workforce'!$B$3:$B$50</c15:sqref>
                        </c15:formulaRef>
                      </c:ext>
                    </c:extLst>
                    <c:strCache>
                      <c:ptCount val="2"/>
                      <c:pt idx="0">
                        <c:v>Activity</c:v>
                      </c:pt>
                      <c:pt idx="1">
                        <c:v>Outputs</c:v>
                      </c:pt>
                    </c:strCache>
                  </c:strRef>
                </c:cat>
                <c:val>
                  <c:numRef>
                    <c:extLst>
                      <c:ext uri="{02D57815-91ED-43cb-92C2-25804820EDAC}">
                        <c15:formulaRef>
                          <c15:sqref>'individual-chart-workforce'!$C$3:$C$50</c15:sqref>
                        </c15:formulaRef>
                      </c:ext>
                    </c:extLst>
                    <c:numCache>
                      <c:formatCode>0%</c:formatCode>
                      <c:ptCount val="2"/>
                      <c:pt idx="0">
                        <c:v>0.58333333333333337</c:v>
                      </c:pt>
                      <c:pt idx="1">
                        <c:v>0.41666666666666669</c:v>
                      </c:pt>
                    </c:numCache>
                  </c:numRef>
                </c:val>
                <c:extLst>
                  <c:ext xmlns:c16="http://schemas.microsoft.com/office/drawing/2014/chart" uri="{C3380CC4-5D6E-409C-BE32-E72D297353CC}">
                    <c16:uniqueId val="{00000007-D1BA-453C-8345-F0B0575F6E88}"/>
                  </c:ext>
                </c:extLst>
              </c15:ser>
            </c15:filteredBarSeries>
            <c15:filteredBarSeries>
              <c15:ser>
                <c:idx val="1"/>
                <c:order val="1"/>
                <c:tx>
                  <c:strRef>
                    <c:extLst xmlns:c15="http://schemas.microsoft.com/office/drawing/2012/chart">
                      <c:ext xmlns:c15="http://schemas.microsoft.com/office/drawing/2012/chart" uri="{02D57815-91ED-43cb-92C2-25804820EDAC}">
                        <c15:formulaRef>
                          <c15:sqref>'individual-chart-workforce'!$D$2</c15:sqref>
                        </c15:formulaRef>
                      </c:ext>
                    </c:extLst>
                    <c:strCache>
                      <c:ptCount val="1"/>
                      <c:pt idx="0">
                        <c:v>In progress</c:v>
                      </c:pt>
                    </c:strCache>
                  </c:strRef>
                </c:tx>
                <c:spPr>
                  <a:solidFill>
                    <a:schemeClr val="accent2">
                      <a:shade val="5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'individual-chart-workforce'!$B$3:$B$50</c15:sqref>
                        </c15:formulaRef>
                      </c:ext>
                    </c:extLst>
                    <c:strCache>
                      <c:ptCount val="2"/>
                      <c:pt idx="0">
                        <c:v>Activity</c:v>
                      </c:pt>
                      <c:pt idx="1">
                        <c:v>Outputs</c:v>
                      </c:pt>
                    </c:strCache>
                  </c:strRef>
                </c:cat>
                <c:val>
                  <c:numRef>
                    <c:extLst xmlns:c15="http://schemas.microsoft.com/office/drawing/2012/chart">
                      <c:ext xmlns:c15="http://schemas.microsoft.com/office/drawing/2012/chart" uri="{02D57815-91ED-43cb-92C2-25804820EDAC}">
                        <c15:formulaRef>
                          <c15:sqref>'individual-chart-workforce'!$D$3:$D$50</c15:sqref>
                        </c15:formulaRef>
                      </c:ext>
                    </c:extLst>
                    <c:numCache>
                      <c:formatCode>0%</c:formatCode>
                      <c:ptCount val="2"/>
                      <c:pt idx="0">
                        <c:v>0.25</c:v>
                      </c:pt>
                      <c:pt idx="1">
                        <c:v>0.33333333333333331</c:v>
                      </c:pt>
                    </c:numCache>
                  </c:numRef>
                </c:val>
                <c:extLst xmlns:c15="http://schemas.microsoft.com/office/drawing/2012/chart">
                  <c:ext xmlns:c16="http://schemas.microsoft.com/office/drawing/2014/chart" uri="{C3380CC4-5D6E-409C-BE32-E72D297353CC}">
                    <c16:uniqueId val="{00000008-D1BA-453C-8345-F0B0575F6E88}"/>
                  </c:ext>
                </c:extLst>
              </c15:ser>
            </c15:filteredBarSeries>
            <c15:filteredBarSeries>
              <c15:ser>
                <c:idx val="2"/>
                <c:order val="2"/>
                <c:tx>
                  <c:strRef>
                    <c:extLst xmlns:c15="http://schemas.microsoft.com/office/drawing/2012/chart">
                      <c:ext xmlns:c15="http://schemas.microsoft.com/office/drawing/2012/chart" uri="{02D57815-91ED-43cb-92C2-25804820EDAC}">
                        <c15:formulaRef>
                          <c15:sqref>'individual-chart-workforce'!$E$2</c15:sqref>
                        </c15:formulaRef>
                      </c:ext>
                    </c:extLst>
                    <c:strCache>
                      <c:ptCount val="1"/>
                      <c:pt idx="0">
                        <c:v>Not started</c:v>
                      </c:pt>
                    </c:strCache>
                  </c:strRef>
                </c:tx>
                <c:spPr>
                  <a:solidFill>
                    <a:schemeClr val="accent2">
                      <a:shade val="68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'individual-chart-workforce'!$B$3:$B$50</c15:sqref>
                        </c15:formulaRef>
                      </c:ext>
                    </c:extLst>
                    <c:strCache>
                      <c:ptCount val="2"/>
                      <c:pt idx="0">
                        <c:v>Activity</c:v>
                      </c:pt>
                      <c:pt idx="1">
                        <c:v>Outputs</c:v>
                      </c:pt>
                    </c:strCache>
                  </c:strRef>
                </c:cat>
                <c:val>
                  <c:numRef>
                    <c:extLst xmlns:c15="http://schemas.microsoft.com/office/drawing/2012/chart">
                      <c:ext xmlns:c15="http://schemas.microsoft.com/office/drawing/2012/chart" uri="{02D57815-91ED-43cb-92C2-25804820EDAC}">
                        <c15:formulaRef>
                          <c15:sqref>'individual-chart-workforce'!$E$3:$E$50</c15:sqref>
                        </c15:formulaRef>
                      </c:ext>
                    </c:extLst>
                    <c:numCache>
                      <c:formatCode>0%</c:formatCode>
                      <c:ptCount val="2"/>
                      <c:pt idx="0">
                        <c:v>0.16666666666666666</c:v>
                      </c:pt>
                      <c:pt idx="1">
                        <c:v>0.25</c:v>
                      </c:pt>
                    </c:numCache>
                  </c:numRef>
                </c:val>
                <c:extLst xmlns:c15="http://schemas.microsoft.com/office/drawing/2012/chart">
                  <c:ext xmlns:c16="http://schemas.microsoft.com/office/drawing/2014/chart" uri="{C3380CC4-5D6E-409C-BE32-E72D297353CC}">
                    <c16:uniqueId val="{00000009-D1BA-453C-8345-F0B0575F6E88}"/>
                  </c:ext>
                </c:extLst>
              </c15:ser>
            </c15:filteredBarSeries>
          </c:ext>
        </c:extLst>
      </c:barChart>
      <c:catAx>
        <c:axId val="7909581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n-US"/>
          </a:p>
        </c:txPr>
        <c:crossAx val="790961408"/>
        <c:crosses val="autoZero"/>
        <c:auto val="1"/>
        <c:lblAlgn val="ctr"/>
        <c:lblOffset val="100"/>
        <c:noMultiLvlLbl val="0"/>
      </c:catAx>
      <c:valAx>
        <c:axId val="790961408"/>
        <c:scaling>
          <c:orientation val="minMax"/>
          <c:min val="0"/>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90958128"/>
        <c:crossesAt val="1"/>
        <c:crossBetween val="between"/>
      </c:valAx>
      <c:spPr>
        <a:noFill/>
        <a:ln>
          <a:noFill/>
        </a:ln>
        <a:effectLst/>
      </c:spPr>
    </c:plotArea>
    <c:legend>
      <c:legendPos val="t"/>
      <c:layout>
        <c:manualLayout>
          <c:xMode val="edge"/>
          <c:yMode val="edge"/>
          <c:x val="0.16878354491402861"/>
          <c:y val="0.14071530758226036"/>
          <c:w val="0.78488188976377948"/>
          <c:h val="8.3691663005643596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userShapes r:id="rId5"/>
</c:chartSpace>
</file>

<file path=word/charts/chart4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4"/>
    </mc:Choice>
    <mc:Fallback>
      <c:style val="4"/>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Topic Area - </a:t>
            </a:r>
            <a:r>
              <a:rPr lang="en-US" sz="1400" b="0" i="0" u="none" strike="noStrike" baseline="0">
                <a:effectLst/>
              </a:rPr>
              <a:t>Workforce Integration</a:t>
            </a:r>
            <a:r>
              <a:rPr lang="en-US"/>
              <a:t> </a:t>
            </a:r>
            <a:r>
              <a:rPr lang="en-US" baseline="0"/>
              <a:t> </a:t>
            </a:r>
            <a:r>
              <a:rPr lang="en-US"/>
              <a:t>Activity #6</a:t>
            </a:r>
          </a:p>
        </c:rich>
      </c:tx>
      <c:layout>
        <c:manualLayout>
          <c:xMode val="edge"/>
          <c:yMode val="edge"/>
          <c:x val="0.15852625564661557"/>
          <c:y val="1.4306151645207439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6017916604892113"/>
          <c:y val="0.23265365094271845"/>
          <c:w val="0.78942722632790041"/>
          <c:h val="0.66602748393145406"/>
        </c:manualLayout>
      </c:layout>
      <c:barChart>
        <c:barDir val="col"/>
        <c:grouping val="percentStacked"/>
        <c:varyColors val="0"/>
        <c:ser>
          <c:idx val="3"/>
          <c:order val="3"/>
          <c:tx>
            <c:strRef>
              <c:f>'individual-chart-workforce'!$F$2</c:f>
              <c:strCache>
                <c:ptCount val="1"/>
                <c:pt idx="0">
                  <c:v>Completed</c:v>
                </c:pt>
              </c:strCache>
            </c:strRef>
          </c:tx>
          <c:spPr>
            <a:solidFill>
              <a:srgbClr val="99221F"/>
            </a:solidFill>
            <a:ln>
              <a:noFill/>
            </a:ln>
            <a:effectLst/>
          </c:spPr>
          <c:invertIfNegative val="0"/>
          <c:dLbls>
            <c:dLbl>
              <c:idx val="0"/>
              <c:layout>
                <c:manualLayout>
                  <c:x val="-4.5495905368517255E-3"/>
                  <c:y val="-5.4307578375709792E-2"/>
                </c:manualLayout>
              </c:layout>
              <c:tx>
                <c:rich>
                  <a:bodyPr/>
                  <a:lstStyle/>
                  <a:p>
                    <a:fld id="{2AF830DF-C297-4A65-90F6-66D84EBC786F}" type="VALUE">
                      <a:rPr lang="en-US" sz="1400"/>
                      <a:pPr/>
                      <a:t>[VALUE]</a:t>
                    </a:fld>
                    <a:endParaRPr lang="en-US"/>
                  </a:p>
                </c:rich>
              </c:tx>
              <c:dLblPos val="ctr"/>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0-C57D-450F-9517-AAC1A3C03D7F}"/>
                </c:ext>
              </c:extLst>
            </c:dLbl>
            <c:dLbl>
              <c:idx val="1"/>
              <c:layout>
                <c:manualLayout>
                  <c:x val="4.5495905368515997E-3"/>
                  <c:y val="-4.9370525796099816E-2"/>
                </c:manualLayout>
              </c:layout>
              <c:spPr>
                <a:noFill/>
                <a:ln>
                  <a:noFill/>
                </a:ln>
                <a:effectLst/>
              </c:spPr>
              <c:txPr>
                <a:bodyPr rot="0" spcFirstLastPara="1" vertOverflow="ellipsis" vert="horz" wrap="square" lIns="38100" tIns="19050" rIns="38100" bIns="19050" anchor="ctr" anchorCtr="1">
                  <a:spAutoFit/>
                </a:bodyPr>
                <a:lstStyle/>
                <a:p>
                  <a:pPr>
                    <a:defRPr sz="1400" b="0"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C57D-450F-9517-AAC1A3C03D7F}"/>
                </c:ext>
              </c:extLst>
            </c:dLbl>
            <c:spPr>
              <a:noFill/>
              <a:ln>
                <a:noFill/>
              </a:ln>
              <a:effectLst/>
            </c:spPr>
            <c:txPr>
              <a:bodyPr rot="0" spcFirstLastPara="1" vertOverflow="ellipsis" vert="horz" wrap="square" lIns="38100" tIns="19050" rIns="38100" bIns="19050" anchor="ctr" anchorCtr="1">
                <a:spAutoFit/>
              </a:bodyPr>
              <a:lstStyle/>
              <a:p>
                <a:pPr>
                  <a:defRPr sz="1800" b="0"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'individual-chart-workforce'!$B$3:$B$50</c:f>
              <c:strCache>
                <c:ptCount val="2"/>
                <c:pt idx="0">
                  <c:v>Activity</c:v>
                </c:pt>
                <c:pt idx="1">
                  <c:v>Outputs</c:v>
                </c:pt>
              </c:strCache>
              <c:extLst/>
            </c:strRef>
          </c:cat>
          <c:val>
            <c:numRef>
              <c:f>'individual-chart-workforce'!$F$3:$F$50</c:f>
              <c:numCache>
                <c:formatCode>0%</c:formatCode>
                <c:ptCount val="2"/>
                <c:pt idx="0">
                  <c:v>0.18181818181818182</c:v>
                </c:pt>
                <c:pt idx="1">
                  <c:v>0.18181818181818182</c:v>
                </c:pt>
              </c:numCache>
              <c:extLst/>
            </c:numRef>
          </c:val>
          <c:extLst>
            <c:ext xmlns:c16="http://schemas.microsoft.com/office/drawing/2014/chart" uri="{C3380CC4-5D6E-409C-BE32-E72D297353CC}">
              <c16:uniqueId val="{00000002-C57D-450F-9517-AAC1A3C03D7F}"/>
            </c:ext>
          </c:extLst>
        </c:ser>
        <c:ser>
          <c:idx val="4"/>
          <c:order val="4"/>
          <c:tx>
            <c:strRef>
              <c:f>'individual-chart-workforce'!$G$2</c:f>
              <c:strCache>
                <c:ptCount val="1"/>
                <c:pt idx="0">
                  <c:v>90%</c:v>
                </c:pt>
              </c:strCache>
            </c:strRef>
          </c:tx>
          <c:spPr>
            <a:solidFill>
              <a:srgbClr val="D73D39"/>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'individual-chart-workforce'!$B$3:$B$50</c:f>
              <c:strCache>
                <c:ptCount val="2"/>
                <c:pt idx="0">
                  <c:v>Activity</c:v>
                </c:pt>
                <c:pt idx="1">
                  <c:v>Outputs</c:v>
                </c:pt>
              </c:strCache>
              <c:extLst/>
            </c:strRef>
          </c:cat>
          <c:val>
            <c:numRef>
              <c:f>'individual-chart-workforce'!$G$3:$G$50</c:f>
              <c:numCache>
                <c:formatCode>General</c:formatCode>
                <c:ptCount val="2"/>
              </c:numCache>
              <c:extLst/>
            </c:numRef>
          </c:val>
          <c:extLst>
            <c:ext xmlns:c16="http://schemas.microsoft.com/office/drawing/2014/chart" uri="{C3380CC4-5D6E-409C-BE32-E72D297353CC}">
              <c16:uniqueId val="{00000003-C57D-450F-9517-AAC1A3C03D7F}"/>
            </c:ext>
          </c:extLst>
        </c:ser>
        <c:ser>
          <c:idx val="5"/>
          <c:order val="5"/>
          <c:tx>
            <c:strRef>
              <c:f>'individual-chart-workforce'!$H$2</c:f>
              <c:strCache>
                <c:ptCount val="1"/>
                <c:pt idx="0">
                  <c:v>75%</c:v>
                </c:pt>
              </c:strCache>
            </c:strRef>
          </c:tx>
          <c:spPr>
            <a:solidFill>
              <a:srgbClr val="DC535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'individual-chart-workforce'!$B$3:$B$50</c:f>
              <c:strCache>
                <c:ptCount val="2"/>
                <c:pt idx="0">
                  <c:v>Activity</c:v>
                </c:pt>
                <c:pt idx="1">
                  <c:v>Outputs</c:v>
                </c:pt>
              </c:strCache>
              <c:extLst/>
            </c:strRef>
          </c:cat>
          <c:val>
            <c:numRef>
              <c:f>'individual-chart-workforce'!$H$3:$H$50</c:f>
              <c:numCache>
                <c:formatCode>General</c:formatCode>
                <c:ptCount val="2"/>
              </c:numCache>
              <c:extLst/>
            </c:numRef>
          </c:val>
          <c:extLst>
            <c:ext xmlns:c16="http://schemas.microsoft.com/office/drawing/2014/chart" uri="{C3380CC4-5D6E-409C-BE32-E72D297353CC}">
              <c16:uniqueId val="{00000004-C57D-450F-9517-AAC1A3C03D7F}"/>
            </c:ext>
          </c:extLst>
        </c:ser>
        <c:ser>
          <c:idx val="6"/>
          <c:order val="6"/>
          <c:tx>
            <c:strRef>
              <c:f>'individual-chart-workforce'!$I$2</c:f>
              <c:strCache>
                <c:ptCount val="1"/>
                <c:pt idx="0">
                  <c:v>50%</c:v>
                </c:pt>
              </c:strCache>
            </c:strRef>
          </c:tx>
          <c:spPr>
            <a:solidFill>
              <a:srgbClr val="EBA19F"/>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'individual-chart-workforce'!$B$3:$B$50</c:f>
              <c:strCache>
                <c:ptCount val="2"/>
                <c:pt idx="0">
                  <c:v>Activity</c:v>
                </c:pt>
                <c:pt idx="1">
                  <c:v>Outputs</c:v>
                </c:pt>
              </c:strCache>
              <c:extLst/>
            </c:strRef>
          </c:cat>
          <c:val>
            <c:numRef>
              <c:f>'individual-chart-workforce'!$I$3:$I$50</c:f>
              <c:numCache>
                <c:formatCode>General</c:formatCode>
                <c:ptCount val="2"/>
                <c:pt idx="0" formatCode="0%">
                  <c:v>9.0909090909090912E-2</c:v>
                </c:pt>
              </c:numCache>
              <c:extLst/>
            </c:numRef>
          </c:val>
          <c:extLst>
            <c:ext xmlns:c16="http://schemas.microsoft.com/office/drawing/2014/chart" uri="{C3380CC4-5D6E-409C-BE32-E72D297353CC}">
              <c16:uniqueId val="{00000005-C57D-450F-9517-AAC1A3C03D7F}"/>
            </c:ext>
          </c:extLst>
        </c:ser>
        <c:ser>
          <c:idx val="7"/>
          <c:order val="7"/>
          <c:tx>
            <c:strRef>
              <c:f>'individual-chart-workforce'!$J$2</c:f>
              <c:strCache>
                <c:ptCount val="1"/>
                <c:pt idx="0">
                  <c:v>25%</c:v>
                </c:pt>
              </c:strCache>
            </c:strRef>
          </c:tx>
          <c:spPr>
            <a:solidFill>
              <a:srgbClr val="F3C6C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'individual-chart-workforce'!$B$3:$B$50</c:f>
              <c:strCache>
                <c:ptCount val="2"/>
                <c:pt idx="0">
                  <c:v>Activity</c:v>
                </c:pt>
                <c:pt idx="1">
                  <c:v>Outputs</c:v>
                </c:pt>
              </c:strCache>
              <c:extLst/>
            </c:strRef>
          </c:cat>
          <c:val>
            <c:numRef>
              <c:f>'individual-chart-workforce'!$J$3:$J$50</c:f>
              <c:numCache>
                <c:formatCode>0%</c:formatCode>
                <c:ptCount val="2"/>
                <c:pt idx="0">
                  <c:v>0.36363636363636365</c:v>
                </c:pt>
                <c:pt idx="1">
                  <c:v>0.27272727272727271</c:v>
                </c:pt>
              </c:numCache>
              <c:extLst/>
            </c:numRef>
          </c:val>
          <c:extLst>
            <c:ext xmlns:c16="http://schemas.microsoft.com/office/drawing/2014/chart" uri="{C3380CC4-5D6E-409C-BE32-E72D297353CC}">
              <c16:uniqueId val="{00000006-C57D-450F-9517-AAC1A3C03D7F}"/>
            </c:ext>
          </c:extLst>
        </c:ser>
        <c:ser>
          <c:idx val="8"/>
          <c:order val="8"/>
          <c:tx>
            <c:strRef>
              <c:f>'individual-chart-workforce'!$K$2</c:f>
              <c:strCache>
                <c:ptCount val="1"/>
                <c:pt idx="0">
                  <c:v>10%</c:v>
                </c:pt>
              </c:strCache>
            </c:strRef>
          </c:tx>
          <c:spPr>
            <a:solidFill>
              <a:schemeClr val="accent2">
                <a:tint val="56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'individual-chart-workforce'!$B$3:$B$50</c:f>
              <c:strCache>
                <c:ptCount val="2"/>
                <c:pt idx="0">
                  <c:v>Activity</c:v>
                </c:pt>
                <c:pt idx="1">
                  <c:v>Outputs</c:v>
                </c:pt>
              </c:strCache>
              <c:extLst/>
            </c:strRef>
          </c:cat>
          <c:val>
            <c:numRef>
              <c:f>'individual-chart-workforce'!$K$3:$K$50</c:f>
              <c:numCache>
                <c:formatCode>General</c:formatCode>
                <c:ptCount val="2"/>
              </c:numCache>
              <c:extLst/>
            </c:numRef>
          </c:val>
          <c:extLst>
            <c:ext xmlns:c16="http://schemas.microsoft.com/office/drawing/2014/chart" uri="{C3380CC4-5D6E-409C-BE32-E72D297353CC}">
              <c16:uniqueId val="{00000007-C57D-450F-9517-AAC1A3C03D7F}"/>
            </c:ext>
          </c:extLst>
        </c:ser>
        <c:ser>
          <c:idx val="9"/>
          <c:order val="9"/>
          <c:tx>
            <c:strRef>
              <c:f>'individual-chart-workforce'!$L$2</c:f>
              <c:strCache>
                <c:ptCount val="1"/>
                <c:pt idx="0">
                  <c:v>Not Started</c:v>
                </c:pt>
              </c:strCache>
            </c:strRef>
          </c:tx>
          <c:spPr>
            <a:solidFill>
              <a:srgbClr val="FCF2F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'individual-chart-workforce'!$B$3:$B$50</c:f>
              <c:strCache>
                <c:ptCount val="2"/>
                <c:pt idx="0">
                  <c:v>Activity</c:v>
                </c:pt>
                <c:pt idx="1">
                  <c:v>Outputs</c:v>
                </c:pt>
              </c:strCache>
              <c:extLst/>
            </c:strRef>
          </c:cat>
          <c:val>
            <c:numRef>
              <c:f>'individual-chart-workforce'!$L$3:$L$50</c:f>
              <c:numCache>
                <c:formatCode>0%</c:formatCode>
                <c:ptCount val="2"/>
                <c:pt idx="0">
                  <c:v>0.36363636363636365</c:v>
                </c:pt>
                <c:pt idx="1">
                  <c:v>0.54545454545454541</c:v>
                </c:pt>
              </c:numCache>
              <c:extLst/>
            </c:numRef>
          </c:val>
          <c:extLst>
            <c:ext xmlns:c16="http://schemas.microsoft.com/office/drawing/2014/chart" uri="{C3380CC4-5D6E-409C-BE32-E72D297353CC}">
              <c16:uniqueId val="{00000008-C57D-450F-9517-AAC1A3C03D7F}"/>
            </c:ext>
          </c:extLst>
        </c:ser>
        <c:dLbls>
          <c:dLblPos val="ctr"/>
          <c:showLegendKey val="0"/>
          <c:showVal val="1"/>
          <c:showCatName val="0"/>
          <c:showSerName val="0"/>
          <c:showPercent val="0"/>
          <c:showBubbleSize val="0"/>
        </c:dLbls>
        <c:gapWidth val="150"/>
        <c:overlap val="100"/>
        <c:axId val="790958128"/>
        <c:axId val="790961408"/>
        <c:extLst>
          <c:ext xmlns:c15="http://schemas.microsoft.com/office/drawing/2012/chart" uri="{02D57815-91ED-43cb-92C2-25804820EDAC}">
            <c15:filteredBarSeries>
              <c15:ser>
                <c:idx val="0"/>
                <c:order val="0"/>
                <c:tx>
                  <c:strRef>
                    <c:extLst>
                      <c:ext uri="{02D57815-91ED-43cb-92C2-25804820EDAC}">
                        <c15:formulaRef>
                          <c15:sqref>'individual-chart-workforce'!$C$2</c15:sqref>
                        </c15:formulaRef>
                      </c:ext>
                    </c:extLst>
                    <c:strCache>
                      <c:ptCount val="1"/>
                      <c:pt idx="0">
                        <c:v>Completed</c:v>
                      </c:pt>
                    </c:strCache>
                  </c:strRef>
                </c:tx>
                <c:spPr>
                  <a:solidFill>
                    <a:schemeClr val="accent2">
                      <a:shade val="42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c:ext uri="{02D57815-91ED-43cb-92C2-25804820EDAC}">
                        <c15:formulaRef>
                          <c15:sqref>'individual-chart-workforce'!$B$3:$B$50</c15:sqref>
                        </c15:formulaRef>
                      </c:ext>
                    </c:extLst>
                    <c:strCache>
                      <c:ptCount val="2"/>
                      <c:pt idx="0">
                        <c:v>Activity</c:v>
                      </c:pt>
                      <c:pt idx="1">
                        <c:v>Outputs</c:v>
                      </c:pt>
                    </c:strCache>
                  </c:strRef>
                </c:cat>
                <c:val>
                  <c:numRef>
                    <c:extLst>
                      <c:ext uri="{02D57815-91ED-43cb-92C2-25804820EDAC}">
                        <c15:formulaRef>
                          <c15:sqref>'individual-chart-workforce'!$C$3:$C$50</c15:sqref>
                        </c15:formulaRef>
                      </c:ext>
                    </c:extLst>
                    <c:numCache>
                      <c:formatCode>0%</c:formatCode>
                      <c:ptCount val="2"/>
                      <c:pt idx="0">
                        <c:v>0.18181818181818182</c:v>
                      </c:pt>
                      <c:pt idx="1">
                        <c:v>0.18181818181818182</c:v>
                      </c:pt>
                    </c:numCache>
                  </c:numRef>
                </c:val>
                <c:extLst>
                  <c:ext xmlns:c16="http://schemas.microsoft.com/office/drawing/2014/chart" uri="{C3380CC4-5D6E-409C-BE32-E72D297353CC}">
                    <c16:uniqueId val="{00000009-C57D-450F-9517-AAC1A3C03D7F}"/>
                  </c:ext>
                </c:extLst>
              </c15:ser>
            </c15:filteredBarSeries>
            <c15:filteredBarSeries>
              <c15:ser>
                <c:idx val="1"/>
                <c:order val="1"/>
                <c:tx>
                  <c:strRef>
                    <c:extLst xmlns:c15="http://schemas.microsoft.com/office/drawing/2012/chart">
                      <c:ext xmlns:c15="http://schemas.microsoft.com/office/drawing/2012/chart" uri="{02D57815-91ED-43cb-92C2-25804820EDAC}">
                        <c15:formulaRef>
                          <c15:sqref>'individual-chart-workforce'!$D$2</c15:sqref>
                        </c15:formulaRef>
                      </c:ext>
                    </c:extLst>
                    <c:strCache>
                      <c:ptCount val="1"/>
                      <c:pt idx="0">
                        <c:v>In progress</c:v>
                      </c:pt>
                    </c:strCache>
                  </c:strRef>
                </c:tx>
                <c:spPr>
                  <a:solidFill>
                    <a:schemeClr val="accent2">
                      <a:shade val="5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'individual-chart-workforce'!$B$3:$B$50</c15:sqref>
                        </c15:formulaRef>
                      </c:ext>
                    </c:extLst>
                    <c:strCache>
                      <c:ptCount val="2"/>
                      <c:pt idx="0">
                        <c:v>Activity</c:v>
                      </c:pt>
                      <c:pt idx="1">
                        <c:v>Outputs</c:v>
                      </c:pt>
                    </c:strCache>
                  </c:strRef>
                </c:cat>
                <c:val>
                  <c:numRef>
                    <c:extLst xmlns:c15="http://schemas.microsoft.com/office/drawing/2012/chart">
                      <c:ext xmlns:c15="http://schemas.microsoft.com/office/drawing/2012/chart" uri="{02D57815-91ED-43cb-92C2-25804820EDAC}">
                        <c15:formulaRef>
                          <c15:sqref>'individual-chart-workforce'!$D$3:$D$50</c15:sqref>
                        </c15:formulaRef>
                      </c:ext>
                    </c:extLst>
                    <c:numCache>
                      <c:formatCode>0%</c:formatCode>
                      <c:ptCount val="2"/>
                      <c:pt idx="0">
                        <c:v>0.45454545454545453</c:v>
                      </c:pt>
                      <c:pt idx="1">
                        <c:v>0.27272727272727271</c:v>
                      </c:pt>
                    </c:numCache>
                  </c:numRef>
                </c:val>
                <c:extLst xmlns:c15="http://schemas.microsoft.com/office/drawing/2012/chart">
                  <c:ext xmlns:c16="http://schemas.microsoft.com/office/drawing/2014/chart" uri="{C3380CC4-5D6E-409C-BE32-E72D297353CC}">
                    <c16:uniqueId val="{0000000A-C57D-450F-9517-AAC1A3C03D7F}"/>
                  </c:ext>
                </c:extLst>
              </c15:ser>
            </c15:filteredBarSeries>
            <c15:filteredBarSeries>
              <c15:ser>
                <c:idx val="2"/>
                <c:order val="2"/>
                <c:tx>
                  <c:strRef>
                    <c:extLst xmlns:c15="http://schemas.microsoft.com/office/drawing/2012/chart">
                      <c:ext xmlns:c15="http://schemas.microsoft.com/office/drawing/2012/chart" uri="{02D57815-91ED-43cb-92C2-25804820EDAC}">
                        <c15:formulaRef>
                          <c15:sqref>'individual-chart-workforce'!$E$2</c15:sqref>
                        </c15:formulaRef>
                      </c:ext>
                    </c:extLst>
                    <c:strCache>
                      <c:ptCount val="1"/>
                      <c:pt idx="0">
                        <c:v>Not started</c:v>
                      </c:pt>
                    </c:strCache>
                  </c:strRef>
                </c:tx>
                <c:spPr>
                  <a:solidFill>
                    <a:schemeClr val="accent2">
                      <a:shade val="68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'individual-chart-workforce'!$B$3:$B$50</c15:sqref>
                        </c15:formulaRef>
                      </c:ext>
                    </c:extLst>
                    <c:strCache>
                      <c:ptCount val="2"/>
                      <c:pt idx="0">
                        <c:v>Activity</c:v>
                      </c:pt>
                      <c:pt idx="1">
                        <c:v>Outputs</c:v>
                      </c:pt>
                    </c:strCache>
                  </c:strRef>
                </c:cat>
                <c:val>
                  <c:numRef>
                    <c:extLst xmlns:c15="http://schemas.microsoft.com/office/drawing/2012/chart">
                      <c:ext xmlns:c15="http://schemas.microsoft.com/office/drawing/2012/chart" uri="{02D57815-91ED-43cb-92C2-25804820EDAC}">
                        <c15:formulaRef>
                          <c15:sqref>'individual-chart-workforce'!$E$3:$E$50</c15:sqref>
                        </c15:formulaRef>
                      </c:ext>
                    </c:extLst>
                    <c:numCache>
                      <c:formatCode>0%</c:formatCode>
                      <c:ptCount val="2"/>
                      <c:pt idx="0">
                        <c:v>0.36363636363636365</c:v>
                      </c:pt>
                      <c:pt idx="1">
                        <c:v>0.54545454545454541</c:v>
                      </c:pt>
                    </c:numCache>
                  </c:numRef>
                </c:val>
                <c:extLst xmlns:c15="http://schemas.microsoft.com/office/drawing/2012/chart">
                  <c:ext xmlns:c16="http://schemas.microsoft.com/office/drawing/2014/chart" uri="{C3380CC4-5D6E-409C-BE32-E72D297353CC}">
                    <c16:uniqueId val="{0000000B-C57D-450F-9517-AAC1A3C03D7F}"/>
                  </c:ext>
                </c:extLst>
              </c15:ser>
            </c15:filteredBarSeries>
          </c:ext>
        </c:extLst>
      </c:barChart>
      <c:catAx>
        <c:axId val="7909581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n-US"/>
          </a:p>
        </c:txPr>
        <c:crossAx val="790961408"/>
        <c:crosses val="autoZero"/>
        <c:auto val="1"/>
        <c:lblAlgn val="ctr"/>
        <c:lblOffset val="100"/>
        <c:noMultiLvlLbl val="0"/>
      </c:catAx>
      <c:valAx>
        <c:axId val="790961408"/>
        <c:scaling>
          <c:orientation val="minMax"/>
          <c:min val="0"/>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90958128"/>
        <c:crossesAt val="1"/>
        <c:crossBetween val="between"/>
      </c:valAx>
      <c:spPr>
        <a:noFill/>
        <a:ln>
          <a:noFill/>
        </a:ln>
        <a:effectLst/>
      </c:spPr>
    </c:plotArea>
    <c:legend>
      <c:legendPos val="t"/>
      <c:layout>
        <c:manualLayout>
          <c:xMode val="edge"/>
          <c:yMode val="edge"/>
          <c:x val="0.16878354491402861"/>
          <c:y val="0.14071530758226036"/>
          <c:w val="0.78488188976377948"/>
          <c:h val="8.3691663005643596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userShapes r:id="rId5"/>
</c:chartSpace>
</file>

<file path=word/charts/chart4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4"/>
    </mc:Choice>
    <mc:Fallback>
      <c:style val="4"/>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Topic Area - </a:t>
            </a:r>
            <a:r>
              <a:rPr lang="en-US" sz="1400" b="0" i="0" u="none" strike="noStrike" baseline="0">
                <a:effectLst/>
              </a:rPr>
              <a:t>Workforce Integration</a:t>
            </a:r>
            <a:r>
              <a:rPr lang="en-US"/>
              <a:t> </a:t>
            </a:r>
            <a:r>
              <a:rPr lang="en-US" baseline="0"/>
              <a:t> </a:t>
            </a:r>
            <a:r>
              <a:rPr lang="en-US"/>
              <a:t>Activity #9</a:t>
            </a:r>
          </a:p>
        </c:rich>
      </c:tx>
      <c:layout>
        <c:manualLayout>
          <c:xMode val="edge"/>
          <c:yMode val="edge"/>
          <c:x val="0.15852625564661557"/>
          <c:y val="1.4306151645207439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6017916604892113"/>
          <c:y val="0.23265365094271845"/>
          <c:w val="0.78942722632790041"/>
          <c:h val="0.66602748393145406"/>
        </c:manualLayout>
      </c:layout>
      <c:barChart>
        <c:barDir val="col"/>
        <c:grouping val="percentStacked"/>
        <c:varyColors val="0"/>
        <c:ser>
          <c:idx val="3"/>
          <c:order val="3"/>
          <c:tx>
            <c:strRef>
              <c:f>'individual-chart-workforce'!$F$2</c:f>
              <c:strCache>
                <c:ptCount val="1"/>
                <c:pt idx="0">
                  <c:v>Completed</c:v>
                </c:pt>
              </c:strCache>
            </c:strRef>
          </c:tx>
          <c:spPr>
            <a:solidFill>
              <a:srgbClr val="99221F"/>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800" b="0"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'individual-chart-workforce'!$B$3:$B$50</c:f>
              <c:strCache>
                <c:ptCount val="2"/>
                <c:pt idx="0">
                  <c:v>Activity</c:v>
                </c:pt>
                <c:pt idx="1">
                  <c:v>Outputs</c:v>
                </c:pt>
              </c:strCache>
              <c:extLst/>
            </c:strRef>
          </c:cat>
          <c:val>
            <c:numRef>
              <c:f>'individual-chart-workforce'!$F$3:$F$50</c:f>
              <c:numCache>
                <c:formatCode>0%</c:formatCode>
                <c:ptCount val="2"/>
                <c:pt idx="0">
                  <c:v>0.66666666666666663</c:v>
                </c:pt>
                <c:pt idx="1">
                  <c:v>0.66666666666666663</c:v>
                </c:pt>
              </c:numCache>
              <c:extLst/>
            </c:numRef>
          </c:val>
          <c:extLst>
            <c:ext xmlns:c16="http://schemas.microsoft.com/office/drawing/2014/chart" uri="{C3380CC4-5D6E-409C-BE32-E72D297353CC}">
              <c16:uniqueId val="{00000000-B4B0-4F0E-8695-D908A3714736}"/>
            </c:ext>
          </c:extLst>
        </c:ser>
        <c:ser>
          <c:idx val="4"/>
          <c:order val="4"/>
          <c:tx>
            <c:strRef>
              <c:f>'individual-chart-workforce'!$G$2</c:f>
              <c:strCache>
                <c:ptCount val="1"/>
                <c:pt idx="0">
                  <c:v>90%</c:v>
                </c:pt>
              </c:strCache>
            </c:strRef>
          </c:tx>
          <c:spPr>
            <a:solidFill>
              <a:srgbClr val="D73D39"/>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'individual-chart-workforce'!$B$3:$B$50</c:f>
              <c:strCache>
                <c:ptCount val="2"/>
                <c:pt idx="0">
                  <c:v>Activity</c:v>
                </c:pt>
                <c:pt idx="1">
                  <c:v>Outputs</c:v>
                </c:pt>
              </c:strCache>
              <c:extLst/>
            </c:strRef>
          </c:cat>
          <c:val>
            <c:numRef>
              <c:f>'individual-chart-workforce'!$G$3:$G$50</c:f>
              <c:numCache>
                <c:formatCode>General</c:formatCode>
                <c:ptCount val="2"/>
              </c:numCache>
              <c:extLst/>
            </c:numRef>
          </c:val>
          <c:extLst>
            <c:ext xmlns:c16="http://schemas.microsoft.com/office/drawing/2014/chart" uri="{C3380CC4-5D6E-409C-BE32-E72D297353CC}">
              <c16:uniqueId val="{00000001-B4B0-4F0E-8695-D908A3714736}"/>
            </c:ext>
          </c:extLst>
        </c:ser>
        <c:ser>
          <c:idx val="5"/>
          <c:order val="5"/>
          <c:tx>
            <c:strRef>
              <c:f>'individual-chart-workforce'!$H$2</c:f>
              <c:strCache>
                <c:ptCount val="1"/>
                <c:pt idx="0">
                  <c:v>75%</c:v>
                </c:pt>
              </c:strCache>
            </c:strRef>
          </c:tx>
          <c:spPr>
            <a:solidFill>
              <a:srgbClr val="DC535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'individual-chart-workforce'!$B$3:$B$50</c:f>
              <c:strCache>
                <c:ptCount val="2"/>
                <c:pt idx="0">
                  <c:v>Activity</c:v>
                </c:pt>
                <c:pt idx="1">
                  <c:v>Outputs</c:v>
                </c:pt>
              </c:strCache>
              <c:extLst/>
            </c:strRef>
          </c:cat>
          <c:val>
            <c:numRef>
              <c:f>'individual-chart-workforce'!$H$3:$H$50</c:f>
              <c:numCache>
                <c:formatCode>0%</c:formatCode>
                <c:ptCount val="2"/>
                <c:pt idx="0">
                  <c:v>0.33333333333333331</c:v>
                </c:pt>
                <c:pt idx="1">
                  <c:v>0.33333333333333331</c:v>
                </c:pt>
              </c:numCache>
              <c:extLst/>
            </c:numRef>
          </c:val>
          <c:extLst>
            <c:ext xmlns:c16="http://schemas.microsoft.com/office/drawing/2014/chart" uri="{C3380CC4-5D6E-409C-BE32-E72D297353CC}">
              <c16:uniqueId val="{00000002-B4B0-4F0E-8695-D908A3714736}"/>
            </c:ext>
          </c:extLst>
        </c:ser>
        <c:ser>
          <c:idx val="6"/>
          <c:order val="6"/>
          <c:tx>
            <c:strRef>
              <c:f>'individual-chart-workforce'!$I$2</c:f>
              <c:strCache>
                <c:ptCount val="1"/>
                <c:pt idx="0">
                  <c:v>50%</c:v>
                </c:pt>
              </c:strCache>
            </c:strRef>
          </c:tx>
          <c:spPr>
            <a:solidFill>
              <a:srgbClr val="EBA19F"/>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'individual-chart-workforce'!$B$3:$B$50</c:f>
              <c:strCache>
                <c:ptCount val="2"/>
                <c:pt idx="0">
                  <c:v>Activity</c:v>
                </c:pt>
                <c:pt idx="1">
                  <c:v>Outputs</c:v>
                </c:pt>
              </c:strCache>
              <c:extLst/>
            </c:strRef>
          </c:cat>
          <c:val>
            <c:numRef>
              <c:f>'individual-chart-workforce'!$I$3:$I$50</c:f>
              <c:numCache>
                <c:formatCode>General</c:formatCode>
                <c:ptCount val="2"/>
              </c:numCache>
              <c:extLst/>
            </c:numRef>
          </c:val>
          <c:extLst>
            <c:ext xmlns:c16="http://schemas.microsoft.com/office/drawing/2014/chart" uri="{C3380CC4-5D6E-409C-BE32-E72D297353CC}">
              <c16:uniqueId val="{00000003-B4B0-4F0E-8695-D908A3714736}"/>
            </c:ext>
          </c:extLst>
        </c:ser>
        <c:ser>
          <c:idx val="7"/>
          <c:order val="7"/>
          <c:tx>
            <c:strRef>
              <c:f>'individual-chart-workforce'!$J$2</c:f>
              <c:strCache>
                <c:ptCount val="1"/>
                <c:pt idx="0">
                  <c:v>25%</c:v>
                </c:pt>
              </c:strCache>
            </c:strRef>
          </c:tx>
          <c:spPr>
            <a:solidFill>
              <a:srgbClr val="F3C6C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'individual-chart-workforce'!$B$3:$B$50</c:f>
              <c:strCache>
                <c:ptCount val="2"/>
                <c:pt idx="0">
                  <c:v>Activity</c:v>
                </c:pt>
                <c:pt idx="1">
                  <c:v>Outputs</c:v>
                </c:pt>
              </c:strCache>
              <c:extLst/>
            </c:strRef>
          </c:cat>
          <c:val>
            <c:numRef>
              <c:f>'individual-chart-workforce'!$J$3:$J$50</c:f>
              <c:numCache>
                <c:formatCode>General</c:formatCode>
                <c:ptCount val="2"/>
              </c:numCache>
              <c:extLst/>
            </c:numRef>
          </c:val>
          <c:extLst>
            <c:ext xmlns:c16="http://schemas.microsoft.com/office/drawing/2014/chart" uri="{C3380CC4-5D6E-409C-BE32-E72D297353CC}">
              <c16:uniqueId val="{00000004-B4B0-4F0E-8695-D908A3714736}"/>
            </c:ext>
          </c:extLst>
        </c:ser>
        <c:ser>
          <c:idx val="8"/>
          <c:order val="8"/>
          <c:tx>
            <c:strRef>
              <c:f>'individual-chart-workforce'!$K$2</c:f>
              <c:strCache>
                <c:ptCount val="1"/>
                <c:pt idx="0">
                  <c:v>10%</c:v>
                </c:pt>
              </c:strCache>
            </c:strRef>
          </c:tx>
          <c:spPr>
            <a:solidFill>
              <a:schemeClr val="accent2">
                <a:tint val="56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'individual-chart-workforce'!$B$3:$B$50</c:f>
              <c:strCache>
                <c:ptCount val="2"/>
                <c:pt idx="0">
                  <c:v>Activity</c:v>
                </c:pt>
                <c:pt idx="1">
                  <c:v>Outputs</c:v>
                </c:pt>
              </c:strCache>
              <c:extLst/>
            </c:strRef>
          </c:cat>
          <c:val>
            <c:numRef>
              <c:f>'individual-chart-workforce'!$K$3:$K$50</c:f>
              <c:numCache>
                <c:formatCode>General</c:formatCode>
                <c:ptCount val="2"/>
              </c:numCache>
              <c:extLst/>
            </c:numRef>
          </c:val>
          <c:extLst>
            <c:ext xmlns:c16="http://schemas.microsoft.com/office/drawing/2014/chart" uri="{C3380CC4-5D6E-409C-BE32-E72D297353CC}">
              <c16:uniqueId val="{00000005-B4B0-4F0E-8695-D908A3714736}"/>
            </c:ext>
          </c:extLst>
        </c:ser>
        <c:ser>
          <c:idx val="9"/>
          <c:order val="9"/>
          <c:tx>
            <c:strRef>
              <c:f>'individual-chart-workforce'!$L$2</c:f>
              <c:strCache>
                <c:ptCount val="1"/>
                <c:pt idx="0">
                  <c:v>Not Started</c:v>
                </c:pt>
              </c:strCache>
            </c:strRef>
          </c:tx>
          <c:spPr>
            <a:solidFill>
              <a:srgbClr val="FCF2F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'individual-chart-workforce'!$B$3:$B$50</c:f>
              <c:strCache>
                <c:ptCount val="2"/>
                <c:pt idx="0">
                  <c:v>Activity</c:v>
                </c:pt>
                <c:pt idx="1">
                  <c:v>Outputs</c:v>
                </c:pt>
              </c:strCache>
              <c:extLst/>
            </c:strRef>
          </c:cat>
          <c:val>
            <c:numRef>
              <c:f>'individual-chart-workforce'!$L$3:$L$50</c:f>
              <c:numCache>
                <c:formatCode>General</c:formatCode>
                <c:ptCount val="2"/>
              </c:numCache>
              <c:extLst/>
            </c:numRef>
          </c:val>
          <c:extLst>
            <c:ext xmlns:c16="http://schemas.microsoft.com/office/drawing/2014/chart" uri="{C3380CC4-5D6E-409C-BE32-E72D297353CC}">
              <c16:uniqueId val="{00000006-B4B0-4F0E-8695-D908A3714736}"/>
            </c:ext>
          </c:extLst>
        </c:ser>
        <c:dLbls>
          <c:dLblPos val="ctr"/>
          <c:showLegendKey val="0"/>
          <c:showVal val="1"/>
          <c:showCatName val="0"/>
          <c:showSerName val="0"/>
          <c:showPercent val="0"/>
          <c:showBubbleSize val="0"/>
        </c:dLbls>
        <c:gapWidth val="150"/>
        <c:overlap val="100"/>
        <c:axId val="790958128"/>
        <c:axId val="790961408"/>
        <c:extLst>
          <c:ext xmlns:c15="http://schemas.microsoft.com/office/drawing/2012/chart" uri="{02D57815-91ED-43cb-92C2-25804820EDAC}">
            <c15:filteredBarSeries>
              <c15:ser>
                <c:idx val="0"/>
                <c:order val="0"/>
                <c:tx>
                  <c:strRef>
                    <c:extLst>
                      <c:ext uri="{02D57815-91ED-43cb-92C2-25804820EDAC}">
                        <c15:formulaRef>
                          <c15:sqref>'individual-chart-workforce'!$C$2</c15:sqref>
                        </c15:formulaRef>
                      </c:ext>
                    </c:extLst>
                    <c:strCache>
                      <c:ptCount val="1"/>
                      <c:pt idx="0">
                        <c:v>Completed</c:v>
                      </c:pt>
                    </c:strCache>
                  </c:strRef>
                </c:tx>
                <c:spPr>
                  <a:solidFill>
                    <a:schemeClr val="accent2">
                      <a:shade val="42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c:ext uri="{02D57815-91ED-43cb-92C2-25804820EDAC}">
                        <c15:formulaRef>
                          <c15:sqref>'individual-chart-workforce'!$B$3:$B$50</c15:sqref>
                        </c15:formulaRef>
                      </c:ext>
                    </c:extLst>
                    <c:strCache>
                      <c:ptCount val="2"/>
                      <c:pt idx="0">
                        <c:v>Activity</c:v>
                      </c:pt>
                      <c:pt idx="1">
                        <c:v>Outputs</c:v>
                      </c:pt>
                    </c:strCache>
                  </c:strRef>
                </c:cat>
                <c:val>
                  <c:numRef>
                    <c:extLst>
                      <c:ext uri="{02D57815-91ED-43cb-92C2-25804820EDAC}">
                        <c15:formulaRef>
                          <c15:sqref>'individual-chart-workforce'!$C$3:$C$50</c15:sqref>
                        </c15:formulaRef>
                      </c:ext>
                    </c:extLst>
                    <c:numCache>
                      <c:formatCode>0%</c:formatCode>
                      <c:ptCount val="2"/>
                      <c:pt idx="0">
                        <c:v>0.66666666666666663</c:v>
                      </c:pt>
                      <c:pt idx="1">
                        <c:v>0.66666666666666663</c:v>
                      </c:pt>
                    </c:numCache>
                  </c:numRef>
                </c:val>
                <c:extLst>
                  <c:ext xmlns:c16="http://schemas.microsoft.com/office/drawing/2014/chart" uri="{C3380CC4-5D6E-409C-BE32-E72D297353CC}">
                    <c16:uniqueId val="{00000007-B4B0-4F0E-8695-D908A3714736}"/>
                  </c:ext>
                </c:extLst>
              </c15:ser>
            </c15:filteredBarSeries>
            <c15:filteredBarSeries>
              <c15:ser>
                <c:idx val="1"/>
                <c:order val="1"/>
                <c:tx>
                  <c:strRef>
                    <c:extLst xmlns:c15="http://schemas.microsoft.com/office/drawing/2012/chart">
                      <c:ext xmlns:c15="http://schemas.microsoft.com/office/drawing/2012/chart" uri="{02D57815-91ED-43cb-92C2-25804820EDAC}">
                        <c15:formulaRef>
                          <c15:sqref>'individual-chart-workforce'!$D$2</c15:sqref>
                        </c15:formulaRef>
                      </c:ext>
                    </c:extLst>
                    <c:strCache>
                      <c:ptCount val="1"/>
                      <c:pt idx="0">
                        <c:v>In progress</c:v>
                      </c:pt>
                    </c:strCache>
                  </c:strRef>
                </c:tx>
                <c:spPr>
                  <a:solidFill>
                    <a:schemeClr val="accent2">
                      <a:shade val="5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'individual-chart-workforce'!$B$3:$B$50</c15:sqref>
                        </c15:formulaRef>
                      </c:ext>
                    </c:extLst>
                    <c:strCache>
                      <c:ptCount val="2"/>
                      <c:pt idx="0">
                        <c:v>Activity</c:v>
                      </c:pt>
                      <c:pt idx="1">
                        <c:v>Outputs</c:v>
                      </c:pt>
                    </c:strCache>
                  </c:strRef>
                </c:cat>
                <c:val>
                  <c:numRef>
                    <c:extLst xmlns:c15="http://schemas.microsoft.com/office/drawing/2012/chart">
                      <c:ext xmlns:c15="http://schemas.microsoft.com/office/drawing/2012/chart" uri="{02D57815-91ED-43cb-92C2-25804820EDAC}">
                        <c15:formulaRef>
                          <c15:sqref>'individual-chart-workforce'!$D$3:$D$50</c15:sqref>
                        </c15:formulaRef>
                      </c:ext>
                    </c:extLst>
                    <c:numCache>
                      <c:formatCode>0%</c:formatCode>
                      <c:ptCount val="2"/>
                      <c:pt idx="0">
                        <c:v>0.33333333333333331</c:v>
                      </c:pt>
                      <c:pt idx="1">
                        <c:v>0.33333333333333331</c:v>
                      </c:pt>
                    </c:numCache>
                  </c:numRef>
                </c:val>
                <c:extLst xmlns:c15="http://schemas.microsoft.com/office/drawing/2012/chart">
                  <c:ext xmlns:c16="http://schemas.microsoft.com/office/drawing/2014/chart" uri="{C3380CC4-5D6E-409C-BE32-E72D297353CC}">
                    <c16:uniqueId val="{00000008-B4B0-4F0E-8695-D908A3714736}"/>
                  </c:ext>
                </c:extLst>
              </c15:ser>
            </c15:filteredBarSeries>
            <c15:filteredBarSeries>
              <c15:ser>
                <c:idx val="2"/>
                <c:order val="2"/>
                <c:tx>
                  <c:strRef>
                    <c:extLst xmlns:c15="http://schemas.microsoft.com/office/drawing/2012/chart">
                      <c:ext xmlns:c15="http://schemas.microsoft.com/office/drawing/2012/chart" uri="{02D57815-91ED-43cb-92C2-25804820EDAC}">
                        <c15:formulaRef>
                          <c15:sqref>'individual-chart-workforce'!$E$2</c15:sqref>
                        </c15:formulaRef>
                      </c:ext>
                    </c:extLst>
                    <c:strCache>
                      <c:ptCount val="1"/>
                      <c:pt idx="0">
                        <c:v>Not started</c:v>
                      </c:pt>
                    </c:strCache>
                  </c:strRef>
                </c:tx>
                <c:spPr>
                  <a:solidFill>
                    <a:schemeClr val="accent2">
                      <a:shade val="68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'individual-chart-workforce'!$B$3:$B$50</c15:sqref>
                        </c15:formulaRef>
                      </c:ext>
                    </c:extLst>
                    <c:strCache>
                      <c:ptCount val="2"/>
                      <c:pt idx="0">
                        <c:v>Activity</c:v>
                      </c:pt>
                      <c:pt idx="1">
                        <c:v>Outputs</c:v>
                      </c:pt>
                    </c:strCache>
                  </c:strRef>
                </c:cat>
                <c:val>
                  <c:numRef>
                    <c:extLst xmlns:c15="http://schemas.microsoft.com/office/drawing/2012/chart">
                      <c:ext xmlns:c15="http://schemas.microsoft.com/office/drawing/2012/chart" uri="{02D57815-91ED-43cb-92C2-25804820EDAC}">
                        <c15:formulaRef>
                          <c15:sqref>'individual-chart-workforce'!$E$3:$E$50</c15:sqref>
                        </c15:formulaRef>
                      </c:ext>
                    </c:extLst>
                    <c:numCache>
                      <c:formatCode>General</c:formatCode>
                      <c:ptCount val="2"/>
                    </c:numCache>
                  </c:numRef>
                </c:val>
                <c:extLst xmlns:c15="http://schemas.microsoft.com/office/drawing/2012/chart">
                  <c:ext xmlns:c16="http://schemas.microsoft.com/office/drawing/2014/chart" uri="{C3380CC4-5D6E-409C-BE32-E72D297353CC}">
                    <c16:uniqueId val="{00000009-B4B0-4F0E-8695-D908A3714736}"/>
                  </c:ext>
                </c:extLst>
              </c15:ser>
            </c15:filteredBarSeries>
          </c:ext>
        </c:extLst>
      </c:barChart>
      <c:catAx>
        <c:axId val="7909581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n-US"/>
          </a:p>
        </c:txPr>
        <c:crossAx val="790961408"/>
        <c:crosses val="autoZero"/>
        <c:auto val="1"/>
        <c:lblAlgn val="ctr"/>
        <c:lblOffset val="100"/>
        <c:noMultiLvlLbl val="0"/>
      </c:catAx>
      <c:valAx>
        <c:axId val="790961408"/>
        <c:scaling>
          <c:orientation val="minMax"/>
          <c:min val="0"/>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90958128"/>
        <c:crossesAt val="1"/>
        <c:crossBetween val="between"/>
      </c:valAx>
      <c:spPr>
        <a:noFill/>
        <a:ln>
          <a:noFill/>
        </a:ln>
        <a:effectLst/>
      </c:spPr>
    </c:plotArea>
    <c:legend>
      <c:legendPos val="t"/>
      <c:layout>
        <c:manualLayout>
          <c:xMode val="edge"/>
          <c:yMode val="edge"/>
          <c:x val="0.16878354491402861"/>
          <c:y val="0.14071530758226036"/>
          <c:w val="0.78488188976377948"/>
          <c:h val="8.3691663005643596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userShapes r:id="rId5"/>
</c:chartSpace>
</file>

<file path=word/charts/chart4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4"/>
    </mc:Choice>
    <mc:Fallback>
      <c:style val="4"/>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Topic Area - </a:t>
            </a:r>
            <a:r>
              <a:rPr lang="en-US" sz="1400" b="0" i="0" u="none" strike="noStrike" baseline="0">
                <a:effectLst/>
              </a:rPr>
              <a:t>Workforce Integration</a:t>
            </a:r>
            <a:r>
              <a:rPr lang="en-US"/>
              <a:t> </a:t>
            </a:r>
            <a:r>
              <a:rPr lang="en-US" baseline="0"/>
              <a:t> </a:t>
            </a:r>
            <a:r>
              <a:rPr lang="en-US"/>
              <a:t>Activity #10</a:t>
            </a:r>
          </a:p>
        </c:rich>
      </c:tx>
      <c:layout>
        <c:manualLayout>
          <c:xMode val="edge"/>
          <c:yMode val="edge"/>
          <c:x val="0.15852625564661557"/>
          <c:y val="1.4306151645207439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6017916604892113"/>
          <c:y val="0.23265365094271845"/>
          <c:w val="0.78942722632790041"/>
          <c:h val="0.66602748393145406"/>
        </c:manualLayout>
      </c:layout>
      <c:barChart>
        <c:barDir val="col"/>
        <c:grouping val="percentStacked"/>
        <c:varyColors val="0"/>
        <c:ser>
          <c:idx val="3"/>
          <c:order val="3"/>
          <c:tx>
            <c:strRef>
              <c:f>'individual-chart-workforce'!$F$2</c:f>
              <c:strCache>
                <c:ptCount val="1"/>
                <c:pt idx="0">
                  <c:v>Completed</c:v>
                </c:pt>
              </c:strCache>
            </c:strRef>
          </c:tx>
          <c:spPr>
            <a:solidFill>
              <a:srgbClr val="99221F"/>
            </a:solidFill>
            <a:ln>
              <a:noFill/>
            </a:ln>
            <a:effectLst/>
          </c:spPr>
          <c:invertIfNegative val="0"/>
          <c:dLbls>
            <c:dLbl>
              <c:idx val="0"/>
              <c:layout>
                <c:manualLayout>
                  <c:x val="0"/>
                  <c:y val="-3.7024497584370181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D01F-44B3-BC5A-16615E04A905}"/>
                </c:ext>
              </c:extLst>
            </c:dLbl>
            <c:dLbl>
              <c:idx val="1"/>
              <c:layout>
                <c:manualLayout>
                  <c:x val="8.339678379144294E-17"/>
                  <c:y val="-4.4429397101244307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D01F-44B3-BC5A-16615E04A905}"/>
                </c:ext>
              </c:extLst>
            </c:dLbl>
            <c:spPr>
              <a:noFill/>
              <a:ln>
                <a:noFill/>
              </a:ln>
              <a:effectLst/>
            </c:spPr>
            <c:txPr>
              <a:bodyPr rot="0" spcFirstLastPara="1" vertOverflow="ellipsis" vert="horz" wrap="square" lIns="38100" tIns="19050" rIns="38100" bIns="19050" anchor="ctr" anchorCtr="1">
                <a:spAutoFit/>
              </a:bodyPr>
              <a:lstStyle/>
              <a:p>
                <a:pPr>
                  <a:defRPr sz="1400" b="0"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'individual-chart-workforce'!$B$3:$B$50</c:f>
              <c:strCache>
                <c:ptCount val="2"/>
                <c:pt idx="0">
                  <c:v>Activity</c:v>
                </c:pt>
                <c:pt idx="1">
                  <c:v>Outputs</c:v>
                </c:pt>
              </c:strCache>
              <c:extLst/>
            </c:strRef>
          </c:cat>
          <c:val>
            <c:numRef>
              <c:f>'individual-chart-workforce'!$F$3:$F$50</c:f>
              <c:numCache>
                <c:formatCode>0%</c:formatCode>
                <c:ptCount val="2"/>
                <c:pt idx="0">
                  <c:v>0.2</c:v>
                </c:pt>
                <c:pt idx="1">
                  <c:v>0.2</c:v>
                </c:pt>
              </c:numCache>
              <c:extLst/>
            </c:numRef>
          </c:val>
          <c:extLst>
            <c:ext xmlns:c16="http://schemas.microsoft.com/office/drawing/2014/chart" uri="{C3380CC4-5D6E-409C-BE32-E72D297353CC}">
              <c16:uniqueId val="{00000002-D01F-44B3-BC5A-16615E04A905}"/>
            </c:ext>
          </c:extLst>
        </c:ser>
        <c:ser>
          <c:idx val="4"/>
          <c:order val="4"/>
          <c:tx>
            <c:strRef>
              <c:f>'individual-chart-workforce'!$G$2</c:f>
              <c:strCache>
                <c:ptCount val="1"/>
                <c:pt idx="0">
                  <c:v>90%</c:v>
                </c:pt>
              </c:strCache>
            </c:strRef>
          </c:tx>
          <c:spPr>
            <a:solidFill>
              <a:srgbClr val="D73D39"/>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'individual-chart-workforce'!$B$3:$B$50</c:f>
              <c:strCache>
                <c:ptCount val="2"/>
                <c:pt idx="0">
                  <c:v>Activity</c:v>
                </c:pt>
                <c:pt idx="1">
                  <c:v>Outputs</c:v>
                </c:pt>
              </c:strCache>
              <c:extLst/>
            </c:strRef>
          </c:cat>
          <c:val>
            <c:numRef>
              <c:f>'individual-chart-workforce'!$G$3:$G$50</c:f>
              <c:numCache>
                <c:formatCode>General</c:formatCode>
                <c:ptCount val="2"/>
              </c:numCache>
              <c:extLst/>
            </c:numRef>
          </c:val>
          <c:extLst>
            <c:ext xmlns:c16="http://schemas.microsoft.com/office/drawing/2014/chart" uri="{C3380CC4-5D6E-409C-BE32-E72D297353CC}">
              <c16:uniqueId val="{00000003-D01F-44B3-BC5A-16615E04A905}"/>
            </c:ext>
          </c:extLst>
        </c:ser>
        <c:ser>
          <c:idx val="5"/>
          <c:order val="5"/>
          <c:tx>
            <c:strRef>
              <c:f>'individual-chart-workforce'!$H$2</c:f>
              <c:strCache>
                <c:ptCount val="1"/>
                <c:pt idx="0">
                  <c:v>75%</c:v>
                </c:pt>
              </c:strCache>
            </c:strRef>
          </c:tx>
          <c:spPr>
            <a:solidFill>
              <a:srgbClr val="DC535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'individual-chart-workforce'!$B$3:$B$50</c:f>
              <c:strCache>
                <c:ptCount val="2"/>
                <c:pt idx="0">
                  <c:v>Activity</c:v>
                </c:pt>
                <c:pt idx="1">
                  <c:v>Outputs</c:v>
                </c:pt>
              </c:strCache>
              <c:extLst/>
            </c:strRef>
          </c:cat>
          <c:val>
            <c:numRef>
              <c:f>'individual-chart-workforce'!$H$3:$H$50</c:f>
              <c:numCache>
                <c:formatCode>General</c:formatCode>
                <c:ptCount val="2"/>
              </c:numCache>
              <c:extLst/>
            </c:numRef>
          </c:val>
          <c:extLst>
            <c:ext xmlns:c16="http://schemas.microsoft.com/office/drawing/2014/chart" uri="{C3380CC4-5D6E-409C-BE32-E72D297353CC}">
              <c16:uniqueId val="{00000004-D01F-44B3-BC5A-16615E04A905}"/>
            </c:ext>
          </c:extLst>
        </c:ser>
        <c:ser>
          <c:idx val="6"/>
          <c:order val="6"/>
          <c:tx>
            <c:strRef>
              <c:f>'individual-chart-workforce'!$I$2</c:f>
              <c:strCache>
                <c:ptCount val="1"/>
                <c:pt idx="0">
                  <c:v>50%</c:v>
                </c:pt>
              </c:strCache>
            </c:strRef>
          </c:tx>
          <c:spPr>
            <a:solidFill>
              <a:srgbClr val="EBA19F"/>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'individual-chart-workforce'!$B$3:$B$50</c:f>
              <c:strCache>
                <c:ptCount val="2"/>
                <c:pt idx="0">
                  <c:v>Activity</c:v>
                </c:pt>
                <c:pt idx="1">
                  <c:v>Outputs</c:v>
                </c:pt>
              </c:strCache>
              <c:extLst/>
            </c:strRef>
          </c:cat>
          <c:val>
            <c:numRef>
              <c:f>'individual-chart-workforce'!$I$3:$I$50</c:f>
              <c:numCache>
                <c:formatCode>General</c:formatCode>
                <c:ptCount val="2"/>
              </c:numCache>
              <c:extLst/>
            </c:numRef>
          </c:val>
          <c:extLst>
            <c:ext xmlns:c16="http://schemas.microsoft.com/office/drawing/2014/chart" uri="{C3380CC4-5D6E-409C-BE32-E72D297353CC}">
              <c16:uniqueId val="{00000005-D01F-44B3-BC5A-16615E04A905}"/>
            </c:ext>
          </c:extLst>
        </c:ser>
        <c:ser>
          <c:idx val="7"/>
          <c:order val="7"/>
          <c:tx>
            <c:strRef>
              <c:f>'individual-chart-workforce'!$J$2</c:f>
              <c:strCache>
                <c:ptCount val="1"/>
                <c:pt idx="0">
                  <c:v>25%</c:v>
                </c:pt>
              </c:strCache>
            </c:strRef>
          </c:tx>
          <c:spPr>
            <a:solidFill>
              <a:srgbClr val="F3C6C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'individual-chart-workforce'!$B$3:$B$50</c:f>
              <c:strCache>
                <c:ptCount val="2"/>
                <c:pt idx="0">
                  <c:v>Activity</c:v>
                </c:pt>
                <c:pt idx="1">
                  <c:v>Outputs</c:v>
                </c:pt>
              </c:strCache>
              <c:extLst/>
            </c:strRef>
          </c:cat>
          <c:val>
            <c:numRef>
              <c:f>'individual-chart-workforce'!$J$3:$J$50</c:f>
              <c:numCache>
                <c:formatCode>0%</c:formatCode>
                <c:ptCount val="2"/>
                <c:pt idx="0">
                  <c:v>0.8</c:v>
                </c:pt>
                <c:pt idx="1">
                  <c:v>0.4</c:v>
                </c:pt>
              </c:numCache>
              <c:extLst/>
            </c:numRef>
          </c:val>
          <c:extLst>
            <c:ext xmlns:c16="http://schemas.microsoft.com/office/drawing/2014/chart" uri="{C3380CC4-5D6E-409C-BE32-E72D297353CC}">
              <c16:uniqueId val="{00000006-D01F-44B3-BC5A-16615E04A905}"/>
            </c:ext>
          </c:extLst>
        </c:ser>
        <c:ser>
          <c:idx val="8"/>
          <c:order val="8"/>
          <c:tx>
            <c:strRef>
              <c:f>'individual-chart-workforce'!$K$2</c:f>
              <c:strCache>
                <c:ptCount val="1"/>
                <c:pt idx="0">
                  <c:v>10%</c:v>
                </c:pt>
              </c:strCache>
            </c:strRef>
          </c:tx>
          <c:spPr>
            <a:solidFill>
              <a:schemeClr val="accent2">
                <a:tint val="56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'individual-chart-workforce'!$B$3:$B$50</c:f>
              <c:strCache>
                <c:ptCount val="2"/>
                <c:pt idx="0">
                  <c:v>Activity</c:v>
                </c:pt>
                <c:pt idx="1">
                  <c:v>Outputs</c:v>
                </c:pt>
              </c:strCache>
              <c:extLst/>
            </c:strRef>
          </c:cat>
          <c:val>
            <c:numRef>
              <c:f>'individual-chart-workforce'!$K$3:$K$50</c:f>
              <c:numCache>
                <c:formatCode>General</c:formatCode>
                <c:ptCount val="2"/>
              </c:numCache>
              <c:extLst/>
            </c:numRef>
          </c:val>
          <c:extLst>
            <c:ext xmlns:c16="http://schemas.microsoft.com/office/drawing/2014/chart" uri="{C3380CC4-5D6E-409C-BE32-E72D297353CC}">
              <c16:uniqueId val="{00000007-D01F-44B3-BC5A-16615E04A905}"/>
            </c:ext>
          </c:extLst>
        </c:ser>
        <c:ser>
          <c:idx val="9"/>
          <c:order val="9"/>
          <c:tx>
            <c:strRef>
              <c:f>'individual-chart-workforce'!$L$2</c:f>
              <c:strCache>
                <c:ptCount val="1"/>
                <c:pt idx="0">
                  <c:v>Not Started</c:v>
                </c:pt>
              </c:strCache>
            </c:strRef>
          </c:tx>
          <c:spPr>
            <a:solidFill>
              <a:srgbClr val="FCF2F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'individual-chart-workforce'!$B$3:$B$50</c:f>
              <c:strCache>
                <c:ptCount val="2"/>
                <c:pt idx="0">
                  <c:v>Activity</c:v>
                </c:pt>
                <c:pt idx="1">
                  <c:v>Outputs</c:v>
                </c:pt>
              </c:strCache>
              <c:extLst/>
            </c:strRef>
          </c:cat>
          <c:val>
            <c:numRef>
              <c:f>'individual-chart-workforce'!$L$3:$L$50</c:f>
              <c:numCache>
                <c:formatCode>0%</c:formatCode>
                <c:ptCount val="2"/>
                <c:pt idx="1">
                  <c:v>0.4</c:v>
                </c:pt>
              </c:numCache>
              <c:extLst/>
            </c:numRef>
          </c:val>
          <c:extLst>
            <c:ext xmlns:c16="http://schemas.microsoft.com/office/drawing/2014/chart" uri="{C3380CC4-5D6E-409C-BE32-E72D297353CC}">
              <c16:uniqueId val="{00000008-D01F-44B3-BC5A-16615E04A905}"/>
            </c:ext>
          </c:extLst>
        </c:ser>
        <c:dLbls>
          <c:dLblPos val="ctr"/>
          <c:showLegendKey val="0"/>
          <c:showVal val="1"/>
          <c:showCatName val="0"/>
          <c:showSerName val="0"/>
          <c:showPercent val="0"/>
          <c:showBubbleSize val="0"/>
        </c:dLbls>
        <c:gapWidth val="150"/>
        <c:overlap val="100"/>
        <c:axId val="790958128"/>
        <c:axId val="790961408"/>
        <c:extLst>
          <c:ext xmlns:c15="http://schemas.microsoft.com/office/drawing/2012/chart" uri="{02D57815-91ED-43cb-92C2-25804820EDAC}">
            <c15:filteredBarSeries>
              <c15:ser>
                <c:idx val="0"/>
                <c:order val="0"/>
                <c:tx>
                  <c:strRef>
                    <c:extLst>
                      <c:ext uri="{02D57815-91ED-43cb-92C2-25804820EDAC}">
                        <c15:formulaRef>
                          <c15:sqref>'individual-chart-workforce'!$C$2</c15:sqref>
                        </c15:formulaRef>
                      </c:ext>
                    </c:extLst>
                    <c:strCache>
                      <c:ptCount val="1"/>
                      <c:pt idx="0">
                        <c:v>Completed</c:v>
                      </c:pt>
                    </c:strCache>
                  </c:strRef>
                </c:tx>
                <c:spPr>
                  <a:solidFill>
                    <a:schemeClr val="accent2">
                      <a:shade val="42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c:ext uri="{02D57815-91ED-43cb-92C2-25804820EDAC}">
                        <c15:formulaRef>
                          <c15:sqref>'individual-chart-workforce'!$B$3:$B$50</c15:sqref>
                        </c15:formulaRef>
                      </c:ext>
                    </c:extLst>
                    <c:strCache>
                      <c:ptCount val="2"/>
                      <c:pt idx="0">
                        <c:v>Activity</c:v>
                      </c:pt>
                      <c:pt idx="1">
                        <c:v>Outputs</c:v>
                      </c:pt>
                    </c:strCache>
                  </c:strRef>
                </c:cat>
                <c:val>
                  <c:numRef>
                    <c:extLst>
                      <c:ext uri="{02D57815-91ED-43cb-92C2-25804820EDAC}">
                        <c15:formulaRef>
                          <c15:sqref>'individual-chart-workforce'!$C$3:$C$50</c15:sqref>
                        </c15:formulaRef>
                      </c:ext>
                    </c:extLst>
                    <c:numCache>
                      <c:formatCode>0%</c:formatCode>
                      <c:ptCount val="2"/>
                      <c:pt idx="0">
                        <c:v>0.2</c:v>
                      </c:pt>
                      <c:pt idx="1">
                        <c:v>0.2</c:v>
                      </c:pt>
                    </c:numCache>
                  </c:numRef>
                </c:val>
                <c:extLst>
                  <c:ext xmlns:c16="http://schemas.microsoft.com/office/drawing/2014/chart" uri="{C3380CC4-5D6E-409C-BE32-E72D297353CC}">
                    <c16:uniqueId val="{00000009-D01F-44B3-BC5A-16615E04A905}"/>
                  </c:ext>
                </c:extLst>
              </c15:ser>
            </c15:filteredBarSeries>
            <c15:filteredBarSeries>
              <c15:ser>
                <c:idx val="1"/>
                <c:order val="1"/>
                <c:tx>
                  <c:strRef>
                    <c:extLst xmlns:c15="http://schemas.microsoft.com/office/drawing/2012/chart">
                      <c:ext xmlns:c15="http://schemas.microsoft.com/office/drawing/2012/chart" uri="{02D57815-91ED-43cb-92C2-25804820EDAC}">
                        <c15:formulaRef>
                          <c15:sqref>'individual-chart-workforce'!$D$2</c15:sqref>
                        </c15:formulaRef>
                      </c:ext>
                    </c:extLst>
                    <c:strCache>
                      <c:ptCount val="1"/>
                      <c:pt idx="0">
                        <c:v>In progress</c:v>
                      </c:pt>
                    </c:strCache>
                  </c:strRef>
                </c:tx>
                <c:spPr>
                  <a:solidFill>
                    <a:schemeClr val="accent2">
                      <a:shade val="5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'individual-chart-workforce'!$B$3:$B$50</c15:sqref>
                        </c15:formulaRef>
                      </c:ext>
                    </c:extLst>
                    <c:strCache>
                      <c:ptCount val="2"/>
                      <c:pt idx="0">
                        <c:v>Activity</c:v>
                      </c:pt>
                      <c:pt idx="1">
                        <c:v>Outputs</c:v>
                      </c:pt>
                    </c:strCache>
                  </c:strRef>
                </c:cat>
                <c:val>
                  <c:numRef>
                    <c:extLst xmlns:c15="http://schemas.microsoft.com/office/drawing/2012/chart">
                      <c:ext xmlns:c15="http://schemas.microsoft.com/office/drawing/2012/chart" uri="{02D57815-91ED-43cb-92C2-25804820EDAC}">
                        <c15:formulaRef>
                          <c15:sqref>'individual-chart-workforce'!$D$3:$D$50</c15:sqref>
                        </c15:formulaRef>
                      </c:ext>
                    </c:extLst>
                    <c:numCache>
                      <c:formatCode>0%</c:formatCode>
                      <c:ptCount val="2"/>
                      <c:pt idx="0">
                        <c:v>0.8</c:v>
                      </c:pt>
                      <c:pt idx="1">
                        <c:v>0.4</c:v>
                      </c:pt>
                    </c:numCache>
                  </c:numRef>
                </c:val>
                <c:extLst xmlns:c15="http://schemas.microsoft.com/office/drawing/2012/chart">
                  <c:ext xmlns:c16="http://schemas.microsoft.com/office/drawing/2014/chart" uri="{C3380CC4-5D6E-409C-BE32-E72D297353CC}">
                    <c16:uniqueId val="{0000000A-D01F-44B3-BC5A-16615E04A905}"/>
                  </c:ext>
                </c:extLst>
              </c15:ser>
            </c15:filteredBarSeries>
            <c15:filteredBarSeries>
              <c15:ser>
                <c:idx val="2"/>
                <c:order val="2"/>
                <c:tx>
                  <c:strRef>
                    <c:extLst xmlns:c15="http://schemas.microsoft.com/office/drawing/2012/chart">
                      <c:ext xmlns:c15="http://schemas.microsoft.com/office/drawing/2012/chart" uri="{02D57815-91ED-43cb-92C2-25804820EDAC}">
                        <c15:formulaRef>
                          <c15:sqref>'individual-chart-workforce'!$E$2</c15:sqref>
                        </c15:formulaRef>
                      </c:ext>
                    </c:extLst>
                    <c:strCache>
                      <c:ptCount val="1"/>
                      <c:pt idx="0">
                        <c:v>Not started</c:v>
                      </c:pt>
                    </c:strCache>
                  </c:strRef>
                </c:tx>
                <c:spPr>
                  <a:solidFill>
                    <a:schemeClr val="accent2">
                      <a:shade val="68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'individual-chart-workforce'!$B$3:$B$50</c15:sqref>
                        </c15:formulaRef>
                      </c:ext>
                    </c:extLst>
                    <c:strCache>
                      <c:ptCount val="2"/>
                      <c:pt idx="0">
                        <c:v>Activity</c:v>
                      </c:pt>
                      <c:pt idx="1">
                        <c:v>Outputs</c:v>
                      </c:pt>
                    </c:strCache>
                  </c:strRef>
                </c:cat>
                <c:val>
                  <c:numRef>
                    <c:extLst xmlns:c15="http://schemas.microsoft.com/office/drawing/2012/chart">
                      <c:ext xmlns:c15="http://schemas.microsoft.com/office/drawing/2012/chart" uri="{02D57815-91ED-43cb-92C2-25804820EDAC}">
                        <c15:formulaRef>
                          <c15:sqref>'individual-chart-workforce'!$E$3:$E$50</c15:sqref>
                        </c15:formulaRef>
                      </c:ext>
                    </c:extLst>
                    <c:numCache>
                      <c:formatCode>0%</c:formatCode>
                      <c:ptCount val="2"/>
                      <c:pt idx="1">
                        <c:v>0.4</c:v>
                      </c:pt>
                    </c:numCache>
                  </c:numRef>
                </c:val>
                <c:extLst xmlns:c15="http://schemas.microsoft.com/office/drawing/2012/chart">
                  <c:ext xmlns:c16="http://schemas.microsoft.com/office/drawing/2014/chart" uri="{C3380CC4-5D6E-409C-BE32-E72D297353CC}">
                    <c16:uniqueId val="{0000000B-D01F-44B3-BC5A-16615E04A905}"/>
                  </c:ext>
                </c:extLst>
              </c15:ser>
            </c15:filteredBarSeries>
          </c:ext>
        </c:extLst>
      </c:barChart>
      <c:catAx>
        <c:axId val="7909581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n-US"/>
          </a:p>
        </c:txPr>
        <c:crossAx val="790961408"/>
        <c:crosses val="autoZero"/>
        <c:auto val="1"/>
        <c:lblAlgn val="ctr"/>
        <c:lblOffset val="100"/>
        <c:noMultiLvlLbl val="0"/>
      </c:catAx>
      <c:valAx>
        <c:axId val="790961408"/>
        <c:scaling>
          <c:orientation val="minMax"/>
          <c:min val="0"/>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90958128"/>
        <c:crossesAt val="1"/>
        <c:crossBetween val="between"/>
      </c:valAx>
      <c:spPr>
        <a:noFill/>
        <a:ln>
          <a:noFill/>
        </a:ln>
        <a:effectLst/>
      </c:spPr>
    </c:plotArea>
    <c:legend>
      <c:legendPos val="t"/>
      <c:layout>
        <c:manualLayout>
          <c:xMode val="edge"/>
          <c:yMode val="edge"/>
          <c:x val="0.16878354491402861"/>
          <c:y val="0.14071530758226036"/>
          <c:w val="0.78488188976377948"/>
          <c:h val="8.3691663005643596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userShapes r:id="rId5"/>
</c:chartSpace>
</file>

<file path=word/charts/chart4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4"/>
    </mc:Choice>
    <mc:Fallback>
      <c:style val="4"/>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Topic Area - </a:t>
            </a:r>
            <a:r>
              <a:rPr lang="en-US" sz="1400" b="0" i="0" u="none" strike="noStrike" baseline="0">
                <a:effectLst/>
              </a:rPr>
              <a:t>Workforce Integration</a:t>
            </a:r>
            <a:r>
              <a:rPr lang="en-US"/>
              <a:t> </a:t>
            </a:r>
            <a:r>
              <a:rPr lang="en-US" baseline="0"/>
              <a:t> </a:t>
            </a:r>
            <a:r>
              <a:rPr lang="en-US"/>
              <a:t>Activity #11</a:t>
            </a:r>
          </a:p>
        </c:rich>
      </c:tx>
      <c:layout>
        <c:manualLayout>
          <c:xMode val="edge"/>
          <c:yMode val="edge"/>
          <c:x val="0.15852625564661557"/>
          <c:y val="1.4306151645207439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6017916604892113"/>
          <c:y val="0.23265365094271845"/>
          <c:w val="0.78942722632790041"/>
          <c:h val="0.66602748393145406"/>
        </c:manualLayout>
      </c:layout>
      <c:barChart>
        <c:barDir val="col"/>
        <c:grouping val="percentStacked"/>
        <c:varyColors val="0"/>
        <c:ser>
          <c:idx val="3"/>
          <c:order val="3"/>
          <c:tx>
            <c:strRef>
              <c:f>'individual-chart-workforce'!$F$2</c:f>
              <c:strCache>
                <c:ptCount val="1"/>
                <c:pt idx="0">
                  <c:v>Completed</c:v>
                </c:pt>
              </c:strCache>
            </c:strRef>
          </c:tx>
          <c:spPr>
            <a:solidFill>
              <a:srgbClr val="99221F"/>
            </a:solidFill>
            <a:ln>
              <a:noFill/>
            </a:ln>
            <a:effectLst/>
          </c:spPr>
          <c:invertIfNegative val="0"/>
          <c:dLbls>
            <c:dLbl>
              <c:idx val="0"/>
              <c:layout>
                <c:manualLayout>
                  <c:x val="0"/>
                  <c:y val="-6.911239549082443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104B-4987-8F1E-104AAB948CFB}"/>
                </c:ext>
              </c:extLst>
            </c:dLbl>
            <c:dLbl>
              <c:idx val="1"/>
              <c:layout>
                <c:manualLayout>
                  <c:x val="0"/>
                  <c:y val="-6.911239549082443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104B-4987-8F1E-104AAB948CFB}"/>
                </c:ext>
              </c:extLst>
            </c:dLbl>
            <c:spPr>
              <a:noFill/>
              <a:ln>
                <a:noFill/>
              </a:ln>
              <a:effectLst/>
            </c:spPr>
            <c:txPr>
              <a:bodyPr rot="0" spcFirstLastPara="1" vertOverflow="ellipsis" vert="horz" wrap="square" lIns="38100" tIns="19050" rIns="38100" bIns="19050" anchor="ctr" anchorCtr="1">
                <a:spAutoFit/>
              </a:bodyPr>
              <a:lstStyle/>
              <a:p>
                <a:pPr>
                  <a:defRPr sz="1800" b="0"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'individual-chart-workforce'!$B$3:$B$50</c:f>
              <c:strCache>
                <c:ptCount val="2"/>
                <c:pt idx="0">
                  <c:v>Activity</c:v>
                </c:pt>
                <c:pt idx="1">
                  <c:v>Outputs</c:v>
                </c:pt>
              </c:strCache>
              <c:extLst/>
            </c:strRef>
          </c:cat>
          <c:val>
            <c:numRef>
              <c:f>'individual-chart-workforce'!$F$3:$F$50</c:f>
              <c:numCache>
                <c:formatCode>0%</c:formatCode>
                <c:ptCount val="2"/>
                <c:pt idx="0">
                  <c:v>0.33333333333333331</c:v>
                </c:pt>
                <c:pt idx="1">
                  <c:v>0.33333333333333331</c:v>
                </c:pt>
              </c:numCache>
              <c:extLst/>
            </c:numRef>
          </c:val>
          <c:extLst>
            <c:ext xmlns:c16="http://schemas.microsoft.com/office/drawing/2014/chart" uri="{C3380CC4-5D6E-409C-BE32-E72D297353CC}">
              <c16:uniqueId val="{00000002-104B-4987-8F1E-104AAB948CFB}"/>
            </c:ext>
          </c:extLst>
        </c:ser>
        <c:ser>
          <c:idx val="4"/>
          <c:order val="4"/>
          <c:tx>
            <c:strRef>
              <c:f>'individual-chart-workforce'!$G$2</c:f>
              <c:strCache>
                <c:ptCount val="1"/>
                <c:pt idx="0">
                  <c:v>90%</c:v>
                </c:pt>
              </c:strCache>
            </c:strRef>
          </c:tx>
          <c:spPr>
            <a:solidFill>
              <a:srgbClr val="D73D39"/>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'individual-chart-workforce'!$B$3:$B$50</c:f>
              <c:strCache>
                <c:ptCount val="2"/>
                <c:pt idx="0">
                  <c:v>Activity</c:v>
                </c:pt>
                <c:pt idx="1">
                  <c:v>Outputs</c:v>
                </c:pt>
              </c:strCache>
              <c:extLst/>
            </c:strRef>
          </c:cat>
          <c:val>
            <c:numRef>
              <c:f>'individual-chart-workforce'!$G$3:$G$50</c:f>
              <c:numCache>
                <c:formatCode>General</c:formatCode>
                <c:ptCount val="2"/>
              </c:numCache>
              <c:extLst/>
            </c:numRef>
          </c:val>
          <c:extLst>
            <c:ext xmlns:c16="http://schemas.microsoft.com/office/drawing/2014/chart" uri="{C3380CC4-5D6E-409C-BE32-E72D297353CC}">
              <c16:uniqueId val="{00000003-104B-4987-8F1E-104AAB948CFB}"/>
            </c:ext>
          </c:extLst>
        </c:ser>
        <c:ser>
          <c:idx val="5"/>
          <c:order val="5"/>
          <c:tx>
            <c:strRef>
              <c:f>'individual-chart-workforce'!$H$2</c:f>
              <c:strCache>
                <c:ptCount val="1"/>
                <c:pt idx="0">
                  <c:v>75%</c:v>
                </c:pt>
              </c:strCache>
            </c:strRef>
          </c:tx>
          <c:spPr>
            <a:solidFill>
              <a:srgbClr val="DC535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'individual-chart-workforce'!$B$3:$B$50</c:f>
              <c:strCache>
                <c:ptCount val="2"/>
                <c:pt idx="0">
                  <c:v>Activity</c:v>
                </c:pt>
                <c:pt idx="1">
                  <c:v>Outputs</c:v>
                </c:pt>
              </c:strCache>
              <c:extLst/>
            </c:strRef>
          </c:cat>
          <c:val>
            <c:numRef>
              <c:f>'individual-chart-workforce'!$H$3:$H$50</c:f>
              <c:numCache>
                <c:formatCode>General</c:formatCode>
                <c:ptCount val="2"/>
              </c:numCache>
              <c:extLst/>
            </c:numRef>
          </c:val>
          <c:extLst>
            <c:ext xmlns:c16="http://schemas.microsoft.com/office/drawing/2014/chart" uri="{C3380CC4-5D6E-409C-BE32-E72D297353CC}">
              <c16:uniqueId val="{00000004-104B-4987-8F1E-104AAB948CFB}"/>
            </c:ext>
          </c:extLst>
        </c:ser>
        <c:ser>
          <c:idx val="6"/>
          <c:order val="6"/>
          <c:tx>
            <c:strRef>
              <c:f>'individual-chart-workforce'!$I$2</c:f>
              <c:strCache>
                <c:ptCount val="1"/>
                <c:pt idx="0">
                  <c:v>50%</c:v>
                </c:pt>
              </c:strCache>
            </c:strRef>
          </c:tx>
          <c:spPr>
            <a:solidFill>
              <a:srgbClr val="EBA19F"/>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'individual-chart-workforce'!$B$3:$B$50</c:f>
              <c:strCache>
                <c:ptCount val="2"/>
                <c:pt idx="0">
                  <c:v>Activity</c:v>
                </c:pt>
                <c:pt idx="1">
                  <c:v>Outputs</c:v>
                </c:pt>
              </c:strCache>
              <c:extLst/>
            </c:strRef>
          </c:cat>
          <c:val>
            <c:numRef>
              <c:f>'individual-chart-workforce'!$I$3:$I$50</c:f>
              <c:numCache>
                <c:formatCode>General</c:formatCode>
                <c:ptCount val="2"/>
                <c:pt idx="0" formatCode="0%">
                  <c:v>0.16666666666666666</c:v>
                </c:pt>
              </c:numCache>
              <c:extLst/>
            </c:numRef>
          </c:val>
          <c:extLst>
            <c:ext xmlns:c16="http://schemas.microsoft.com/office/drawing/2014/chart" uri="{C3380CC4-5D6E-409C-BE32-E72D297353CC}">
              <c16:uniqueId val="{00000005-104B-4987-8F1E-104AAB948CFB}"/>
            </c:ext>
          </c:extLst>
        </c:ser>
        <c:ser>
          <c:idx val="7"/>
          <c:order val="7"/>
          <c:tx>
            <c:strRef>
              <c:f>'individual-chart-workforce'!$J$2</c:f>
              <c:strCache>
                <c:ptCount val="1"/>
                <c:pt idx="0">
                  <c:v>25%</c:v>
                </c:pt>
              </c:strCache>
            </c:strRef>
          </c:tx>
          <c:spPr>
            <a:solidFill>
              <a:srgbClr val="F3C6C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'individual-chart-workforce'!$B$3:$B$50</c:f>
              <c:strCache>
                <c:ptCount val="2"/>
                <c:pt idx="0">
                  <c:v>Activity</c:v>
                </c:pt>
                <c:pt idx="1">
                  <c:v>Outputs</c:v>
                </c:pt>
              </c:strCache>
              <c:extLst/>
            </c:strRef>
          </c:cat>
          <c:val>
            <c:numRef>
              <c:f>'individual-chart-workforce'!$J$3:$J$50</c:f>
              <c:numCache>
                <c:formatCode>0%</c:formatCode>
                <c:ptCount val="2"/>
                <c:pt idx="1">
                  <c:v>0.16666666666666666</c:v>
                </c:pt>
              </c:numCache>
              <c:extLst/>
            </c:numRef>
          </c:val>
          <c:extLst>
            <c:ext xmlns:c16="http://schemas.microsoft.com/office/drawing/2014/chart" uri="{C3380CC4-5D6E-409C-BE32-E72D297353CC}">
              <c16:uniqueId val="{00000006-104B-4987-8F1E-104AAB948CFB}"/>
            </c:ext>
          </c:extLst>
        </c:ser>
        <c:ser>
          <c:idx val="8"/>
          <c:order val="8"/>
          <c:tx>
            <c:strRef>
              <c:f>'individual-chart-workforce'!$K$2</c:f>
              <c:strCache>
                <c:ptCount val="1"/>
                <c:pt idx="0">
                  <c:v>10%</c:v>
                </c:pt>
              </c:strCache>
            </c:strRef>
          </c:tx>
          <c:spPr>
            <a:solidFill>
              <a:schemeClr val="accent2">
                <a:tint val="56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'individual-chart-workforce'!$B$3:$B$50</c:f>
              <c:strCache>
                <c:ptCount val="2"/>
                <c:pt idx="0">
                  <c:v>Activity</c:v>
                </c:pt>
                <c:pt idx="1">
                  <c:v>Outputs</c:v>
                </c:pt>
              </c:strCache>
              <c:extLst/>
            </c:strRef>
          </c:cat>
          <c:val>
            <c:numRef>
              <c:f>'individual-chart-workforce'!$K$3:$K$50</c:f>
              <c:numCache>
                <c:formatCode>General</c:formatCode>
                <c:ptCount val="2"/>
              </c:numCache>
              <c:extLst/>
            </c:numRef>
          </c:val>
          <c:extLst>
            <c:ext xmlns:c16="http://schemas.microsoft.com/office/drawing/2014/chart" uri="{C3380CC4-5D6E-409C-BE32-E72D297353CC}">
              <c16:uniqueId val="{00000007-104B-4987-8F1E-104AAB948CFB}"/>
            </c:ext>
          </c:extLst>
        </c:ser>
        <c:ser>
          <c:idx val="9"/>
          <c:order val="9"/>
          <c:tx>
            <c:strRef>
              <c:f>'individual-chart-workforce'!$L$2</c:f>
              <c:strCache>
                <c:ptCount val="1"/>
                <c:pt idx="0">
                  <c:v>Not Started</c:v>
                </c:pt>
              </c:strCache>
            </c:strRef>
          </c:tx>
          <c:spPr>
            <a:solidFill>
              <a:srgbClr val="FCF2F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'individual-chart-workforce'!$B$3:$B$50</c:f>
              <c:strCache>
                <c:ptCount val="2"/>
                <c:pt idx="0">
                  <c:v>Activity</c:v>
                </c:pt>
                <c:pt idx="1">
                  <c:v>Outputs</c:v>
                </c:pt>
              </c:strCache>
              <c:extLst/>
            </c:strRef>
          </c:cat>
          <c:val>
            <c:numRef>
              <c:f>'individual-chart-workforce'!$L$3:$L$50</c:f>
              <c:numCache>
                <c:formatCode>0%</c:formatCode>
                <c:ptCount val="2"/>
                <c:pt idx="0">
                  <c:v>0.5</c:v>
                </c:pt>
                <c:pt idx="1">
                  <c:v>0.5</c:v>
                </c:pt>
              </c:numCache>
              <c:extLst/>
            </c:numRef>
          </c:val>
          <c:extLst>
            <c:ext xmlns:c16="http://schemas.microsoft.com/office/drawing/2014/chart" uri="{C3380CC4-5D6E-409C-BE32-E72D297353CC}">
              <c16:uniqueId val="{00000008-104B-4987-8F1E-104AAB948CFB}"/>
            </c:ext>
          </c:extLst>
        </c:ser>
        <c:dLbls>
          <c:dLblPos val="ctr"/>
          <c:showLegendKey val="0"/>
          <c:showVal val="1"/>
          <c:showCatName val="0"/>
          <c:showSerName val="0"/>
          <c:showPercent val="0"/>
          <c:showBubbleSize val="0"/>
        </c:dLbls>
        <c:gapWidth val="150"/>
        <c:overlap val="100"/>
        <c:axId val="790958128"/>
        <c:axId val="790961408"/>
        <c:extLst>
          <c:ext xmlns:c15="http://schemas.microsoft.com/office/drawing/2012/chart" uri="{02D57815-91ED-43cb-92C2-25804820EDAC}">
            <c15:filteredBarSeries>
              <c15:ser>
                <c:idx val="0"/>
                <c:order val="0"/>
                <c:tx>
                  <c:strRef>
                    <c:extLst>
                      <c:ext uri="{02D57815-91ED-43cb-92C2-25804820EDAC}">
                        <c15:formulaRef>
                          <c15:sqref>'individual-chart-workforce'!$C$2</c15:sqref>
                        </c15:formulaRef>
                      </c:ext>
                    </c:extLst>
                    <c:strCache>
                      <c:ptCount val="1"/>
                      <c:pt idx="0">
                        <c:v>Completed</c:v>
                      </c:pt>
                    </c:strCache>
                  </c:strRef>
                </c:tx>
                <c:spPr>
                  <a:solidFill>
                    <a:schemeClr val="accent2">
                      <a:shade val="42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c:ext uri="{02D57815-91ED-43cb-92C2-25804820EDAC}">
                        <c15:formulaRef>
                          <c15:sqref>'individual-chart-workforce'!$B$3:$B$50</c15:sqref>
                        </c15:formulaRef>
                      </c:ext>
                    </c:extLst>
                    <c:strCache>
                      <c:ptCount val="2"/>
                      <c:pt idx="0">
                        <c:v>Activity</c:v>
                      </c:pt>
                      <c:pt idx="1">
                        <c:v>Outputs</c:v>
                      </c:pt>
                    </c:strCache>
                  </c:strRef>
                </c:cat>
                <c:val>
                  <c:numRef>
                    <c:extLst>
                      <c:ext uri="{02D57815-91ED-43cb-92C2-25804820EDAC}">
                        <c15:formulaRef>
                          <c15:sqref>'individual-chart-workforce'!$C$3:$C$50</c15:sqref>
                        </c15:formulaRef>
                      </c:ext>
                    </c:extLst>
                    <c:numCache>
                      <c:formatCode>0%</c:formatCode>
                      <c:ptCount val="2"/>
                      <c:pt idx="0">
                        <c:v>0.33333333333333331</c:v>
                      </c:pt>
                      <c:pt idx="1">
                        <c:v>0.33333333333333331</c:v>
                      </c:pt>
                    </c:numCache>
                  </c:numRef>
                </c:val>
                <c:extLst>
                  <c:ext xmlns:c16="http://schemas.microsoft.com/office/drawing/2014/chart" uri="{C3380CC4-5D6E-409C-BE32-E72D297353CC}">
                    <c16:uniqueId val="{00000009-104B-4987-8F1E-104AAB948CFB}"/>
                  </c:ext>
                </c:extLst>
              </c15:ser>
            </c15:filteredBarSeries>
            <c15:filteredBarSeries>
              <c15:ser>
                <c:idx val="1"/>
                <c:order val="1"/>
                <c:tx>
                  <c:strRef>
                    <c:extLst xmlns:c15="http://schemas.microsoft.com/office/drawing/2012/chart">
                      <c:ext xmlns:c15="http://schemas.microsoft.com/office/drawing/2012/chart" uri="{02D57815-91ED-43cb-92C2-25804820EDAC}">
                        <c15:formulaRef>
                          <c15:sqref>'individual-chart-workforce'!$D$2</c15:sqref>
                        </c15:formulaRef>
                      </c:ext>
                    </c:extLst>
                    <c:strCache>
                      <c:ptCount val="1"/>
                      <c:pt idx="0">
                        <c:v>In progress</c:v>
                      </c:pt>
                    </c:strCache>
                  </c:strRef>
                </c:tx>
                <c:spPr>
                  <a:solidFill>
                    <a:schemeClr val="accent2">
                      <a:shade val="5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'individual-chart-workforce'!$B$3:$B$50</c15:sqref>
                        </c15:formulaRef>
                      </c:ext>
                    </c:extLst>
                    <c:strCache>
                      <c:ptCount val="2"/>
                      <c:pt idx="0">
                        <c:v>Activity</c:v>
                      </c:pt>
                      <c:pt idx="1">
                        <c:v>Outputs</c:v>
                      </c:pt>
                    </c:strCache>
                  </c:strRef>
                </c:cat>
                <c:val>
                  <c:numRef>
                    <c:extLst xmlns:c15="http://schemas.microsoft.com/office/drawing/2012/chart">
                      <c:ext xmlns:c15="http://schemas.microsoft.com/office/drawing/2012/chart" uri="{02D57815-91ED-43cb-92C2-25804820EDAC}">
                        <c15:formulaRef>
                          <c15:sqref>'individual-chart-workforce'!$D$3:$D$50</c15:sqref>
                        </c15:formulaRef>
                      </c:ext>
                    </c:extLst>
                    <c:numCache>
                      <c:formatCode>0%</c:formatCode>
                      <c:ptCount val="2"/>
                      <c:pt idx="0">
                        <c:v>0.16666666666666666</c:v>
                      </c:pt>
                      <c:pt idx="1">
                        <c:v>0.16666666666666666</c:v>
                      </c:pt>
                    </c:numCache>
                  </c:numRef>
                </c:val>
                <c:extLst xmlns:c15="http://schemas.microsoft.com/office/drawing/2012/chart">
                  <c:ext xmlns:c16="http://schemas.microsoft.com/office/drawing/2014/chart" uri="{C3380CC4-5D6E-409C-BE32-E72D297353CC}">
                    <c16:uniqueId val="{0000000A-104B-4987-8F1E-104AAB948CFB}"/>
                  </c:ext>
                </c:extLst>
              </c15:ser>
            </c15:filteredBarSeries>
            <c15:filteredBarSeries>
              <c15:ser>
                <c:idx val="2"/>
                <c:order val="2"/>
                <c:tx>
                  <c:strRef>
                    <c:extLst xmlns:c15="http://schemas.microsoft.com/office/drawing/2012/chart">
                      <c:ext xmlns:c15="http://schemas.microsoft.com/office/drawing/2012/chart" uri="{02D57815-91ED-43cb-92C2-25804820EDAC}">
                        <c15:formulaRef>
                          <c15:sqref>'individual-chart-workforce'!$E$2</c15:sqref>
                        </c15:formulaRef>
                      </c:ext>
                    </c:extLst>
                    <c:strCache>
                      <c:ptCount val="1"/>
                      <c:pt idx="0">
                        <c:v>Not started</c:v>
                      </c:pt>
                    </c:strCache>
                  </c:strRef>
                </c:tx>
                <c:spPr>
                  <a:solidFill>
                    <a:schemeClr val="accent2">
                      <a:shade val="68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'individual-chart-workforce'!$B$3:$B$50</c15:sqref>
                        </c15:formulaRef>
                      </c:ext>
                    </c:extLst>
                    <c:strCache>
                      <c:ptCount val="2"/>
                      <c:pt idx="0">
                        <c:v>Activity</c:v>
                      </c:pt>
                      <c:pt idx="1">
                        <c:v>Outputs</c:v>
                      </c:pt>
                    </c:strCache>
                  </c:strRef>
                </c:cat>
                <c:val>
                  <c:numRef>
                    <c:extLst xmlns:c15="http://schemas.microsoft.com/office/drawing/2012/chart">
                      <c:ext xmlns:c15="http://schemas.microsoft.com/office/drawing/2012/chart" uri="{02D57815-91ED-43cb-92C2-25804820EDAC}">
                        <c15:formulaRef>
                          <c15:sqref>'individual-chart-workforce'!$E$3:$E$50</c15:sqref>
                        </c15:formulaRef>
                      </c:ext>
                    </c:extLst>
                    <c:numCache>
                      <c:formatCode>0%</c:formatCode>
                      <c:ptCount val="2"/>
                      <c:pt idx="0">
                        <c:v>0.5</c:v>
                      </c:pt>
                      <c:pt idx="1">
                        <c:v>0.5</c:v>
                      </c:pt>
                    </c:numCache>
                  </c:numRef>
                </c:val>
                <c:extLst xmlns:c15="http://schemas.microsoft.com/office/drawing/2012/chart">
                  <c:ext xmlns:c16="http://schemas.microsoft.com/office/drawing/2014/chart" uri="{C3380CC4-5D6E-409C-BE32-E72D297353CC}">
                    <c16:uniqueId val="{0000000B-104B-4987-8F1E-104AAB948CFB}"/>
                  </c:ext>
                </c:extLst>
              </c15:ser>
            </c15:filteredBarSeries>
          </c:ext>
        </c:extLst>
      </c:barChart>
      <c:catAx>
        <c:axId val="7909581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n-US"/>
          </a:p>
        </c:txPr>
        <c:crossAx val="790961408"/>
        <c:crosses val="autoZero"/>
        <c:auto val="1"/>
        <c:lblAlgn val="ctr"/>
        <c:lblOffset val="100"/>
        <c:noMultiLvlLbl val="0"/>
      </c:catAx>
      <c:valAx>
        <c:axId val="790961408"/>
        <c:scaling>
          <c:orientation val="minMax"/>
          <c:min val="0"/>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90958128"/>
        <c:crossesAt val="1"/>
        <c:crossBetween val="between"/>
      </c:valAx>
      <c:spPr>
        <a:noFill/>
        <a:ln>
          <a:noFill/>
        </a:ln>
        <a:effectLst/>
      </c:spPr>
    </c:plotArea>
    <c:legend>
      <c:legendPos val="t"/>
      <c:layout>
        <c:manualLayout>
          <c:xMode val="edge"/>
          <c:yMode val="edge"/>
          <c:x val="0.16878354491402861"/>
          <c:y val="0.14071530758226036"/>
          <c:w val="0.78488188976377948"/>
          <c:h val="8.3691663005643596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userShapes r:id="rId5"/>
</c:chartSpace>
</file>

<file path=word/charts/chart4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4"/>
    </mc:Choice>
    <mc:Fallback>
      <c:style val="4"/>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Topic Area - </a:t>
            </a:r>
            <a:r>
              <a:rPr lang="en-US" sz="1400" b="0" i="0" u="none" strike="noStrike" baseline="0">
                <a:effectLst/>
              </a:rPr>
              <a:t>Workforce Integration</a:t>
            </a:r>
            <a:r>
              <a:rPr lang="en-US"/>
              <a:t> </a:t>
            </a:r>
            <a:r>
              <a:rPr lang="en-US" baseline="0"/>
              <a:t> </a:t>
            </a:r>
            <a:r>
              <a:rPr lang="en-US"/>
              <a:t>Activity #12</a:t>
            </a:r>
          </a:p>
        </c:rich>
      </c:tx>
      <c:layout>
        <c:manualLayout>
          <c:xMode val="edge"/>
          <c:yMode val="edge"/>
          <c:x val="0.15852625564661557"/>
          <c:y val="1.4306151645207439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6017916604892113"/>
          <c:y val="0.23265365094271845"/>
          <c:w val="0.78942722632790041"/>
          <c:h val="0.66602748393145406"/>
        </c:manualLayout>
      </c:layout>
      <c:barChart>
        <c:barDir val="col"/>
        <c:grouping val="percentStacked"/>
        <c:varyColors val="0"/>
        <c:ser>
          <c:idx val="3"/>
          <c:order val="3"/>
          <c:tx>
            <c:strRef>
              <c:f>'individual-chart-workforce'!$F$2</c:f>
              <c:strCache>
                <c:ptCount val="1"/>
                <c:pt idx="0">
                  <c:v>Completed</c:v>
                </c:pt>
              </c:strCache>
            </c:strRef>
          </c:tx>
          <c:spPr>
            <a:solidFill>
              <a:srgbClr val="99221F"/>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800" b="0"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'individual-chart-workforce'!$B$3:$B$50</c:f>
              <c:strCache>
                <c:ptCount val="2"/>
                <c:pt idx="0">
                  <c:v>Activity</c:v>
                </c:pt>
                <c:pt idx="1">
                  <c:v>Outputs</c:v>
                </c:pt>
              </c:strCache>
              <c:extLst/>
            </c:strRef>
          </c:cat>
          <c:val>
            <c:numRef>
              <c:f>'individual-chart-workforce'!$F$3:$F$50</c:f>
              <c:numCache>
                <c:formatCode>General</c:formatCode>
                <c:ptCount val="2"/>
              </c:numCache>
              <c:extLst/>
            </c:numRef>
          </c:val>
          <c:extLst>
            <c:ext xmlns:c16="http://schemas.microsoft.com/office/drawing/2014/chart" uri="{C3380CC4-5D6E-409C-BE32-E72D297353CC}">
              <c16:uniqueId val="{00000000-6D16-4472-9C28-DF2D1BF3893C}"/>
            </c:ext>
          </c:extLst>
        </c:ser>
        <c:ser>
          <c:idx val="4"/>
          <c:order val="4"/>
          <c:tx>
            <c:strRef>
              <c:f>'individual-chart-workforce'!$G$2</c:f>
              <c:strCache>
                <c:ptCount val="1"/>
                <c:pt idx="0">
                  <c:v>90%</c:v>
                </c:pt>
              </c:strCache>
            </c:strRef>
          </c:tx>
          <c:spPr>
            <a:solidFill>
              <a:srgbClr val="D73D39"/>
            </a:solidFill>
            <a:ln>
              <a:noFill/>
            </a:ln>
            <a:effectLst/>
          </c:spPr>
          <c:invertIfNegative val="0"/>
          <c:dLbls>
            <c:dLbl>
              <c:idx val="1"/>
              <c:layout>
                <c:manualLayout>
                  <c:x val="9.0979360579860891E-3"/>
                  <c:y val="-6.6644095651866325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6D16-4472-9C28-DF2D1BF3893C}"/>
                </c:ext>
              </c:extLst>
            </c:dLbl>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'individual-chart-workforce'!$B$3:$B$50</c:f>
              <c:strCache>
                <c:ptCount val="2"/>
                <c:pt idx="0">
                  <c:v>Activity</c:v>
                </c:pt>
                <c:pt idx="1">
                  <c:v>Outputs</c:v>
                </c:pt>
              </c:strCache>
              <c:extLst/>
            </c:strRef>
          </c:cat>
          <c:val>
            <c:numRef>
              <c:f>'individual-chart-workforce'!$G$3:$G$50</c:f>
              <c:numCache>
                <c:formatCode>0%</c:formatCode>
                <c:ptCount val="2"/>
                <c:pt idx="1">
                  <c:v>0.33333333333333331</c:v>
                </c:pt>
              </c:numCache>
              <c:extLst/>
            </c:numRef>
          </c:val>
          <c:extLst>
            <c:ext xmlns:c16="http://schemas.microsoft.com/office/drawing/2014/chart" uri="{C3380CC4-5D6E-409C-BE32-E72D297353CC}">
              <c16:uniqueId val="{00000002-6D16-4472-9C28-DF2D1BF3893C}"/>
            </c:ext>
          </c:extLst>
        </c:ser>
        <c:ser>
          <c:idx val="5"/>
          <c:order val="5"/>
          <c:tx>
            <c:strRef>
              <c:f>'individual-chart-workforce'!$H$2</c:f>
              <c:strCache>
                <c:ptCount val="1"/>
                <c:pt idx="0">
                  <c:v>75%</c:v>
                </c:pt>
              </c:strCache>
            </c:strRef>
          </c:tx>
          <c:spPr>
            <a:solidFill>
              <a:srgbClr val="DC535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'individual-chart-workforce'!$B$3:$B$50</c:f>
              <c:strCache>
                <c:ptCount val="2"/>
                <c:pt idx="0">
                  <c:v>Activity</c:v>
                </c:pt>
                <c:pt idx="1">
                  <c:v>Outputs</c:v>
                </c:pt>
              </c:strCache>
              <c:extLst/>
            </c:strRef>
          </c:cat>
          <c:val>
            <c:numRef>
              <c:f>'individual-chart-workforce'!$H$3:$H$50</c:f>
              <c:numCache>
                <c:formatCode>General</c:formatCode>
                <c:ptCount val="2"/>
              </c:numCache>
              <c:extLst/>
            </c:numRef>
          </c:val>
          <c:extLst>
            <c:ext xmlns:c16="http://schemas.microsoft.com/office/drawing/2014/chart" uri="{C3380CC4-5D6E-409C-BE32-E72D297353CC}">
              <c16:uniqueId val="{00000003-6D16-4472-9C28-DF2D1BF3893C}"/>
            </c:ext>
          </c:extLst>
        </c:ser>
        <c:ser>
          <c:idx val="6"/>
          <c:order val="6"/>
          <c:tx>
            <c:strRef>
              <c:f>'individual-chart-workforce'!$I$2</c:f>
              <c:strCache>
                <c:ptCount val="1"/>
                <c:pt idx="0">
                  <c:v>50%</c:v>
                </c:pt>
              </c:strCache>
            </c:strRef>
          </c:tx>
          <c:spPr>
            <a:solidFill>
              <a:srgbClr val="EBA19F"/>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'individual-chart-workforce'!$B$3:$B$50</c:f>
              <c:strCache>
                <c:ptCount val="2"/>
                <c:pt idx="0">
                  <c:v>Activity</c:v>
                </c:pt>
                <c:pt idx="1">
                  <c:v>Outputs</c:v>
                </c:pt>
              </c:strCache>
              <c:extLst/>
            </c:strRef>
          </c:cat>
          <c:val>
            <c:numRef>
              <c:f>'individual-chart-workforce'!$I$3:$I$50</c:f>
              <c:numCache>
                <c:formatCode>General</c:formatCode>
                <c:ptCount val="2"/>
              </c:numCache>
              <c:extLst/>
            </c:numRef>
          </c:val>
          <c:extLst>
            <c:ext xmlns:c16="http://schemas.microsoft.com/office/drawing/2014/chart" uri="{C3380CC4-5D6E-409C-BE32-E72D297353CC}">
              <c16:uniqueId val="{00000004-6D16-4472-9C28-DF2D1BF3893C}"/>
            </c:ext>
          </c:extLst>
        </c:ser>
        <c:ser>
          <c:idx val="7"/>
          <c:order val="7"/>
          <c:tx>
            <c:strRef>
              <c:f>'individual-chart-workforce'!$J$2</c:f>
              <c:strCache>
                <c:ptCount val="1"/>
                <c:pt idx="0">
                  <c:v>25%</c:v>
                </c:pt>
              </c:strCache>
            </c:strRef>
          </c:tx>
          <c:spPr>
            <a:solidFill>
              <a:srgbClr val="F3C6C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'individual-chart-workforce'!$B$3:$B$50</c:f>
              <c:strCache>
                <c:ptCount val="2"/>
                <c:pt idx="0">
                  <c:v>Activity</c:v>
                </c:pt>
                <c:pt idx="1">
                  <c:v>Outputs</c:v>
                </c:pt>
              </c:strCache>
              <c:extLst/>
            </c:strRef>
          </c:cat>
          <c:val>
            <c:numRef>
              <c:f>'individual-chart-workforce'!$J$3:$J$50</c:f>
              <c:numCache>
                <c:formatCode>0%</c:formatCode>
                <c:ptCount val="2"/>
                <c:pt idx="0">
                  <c:v>0.66666666666666663</c:v>
                </c:pt>
                <c:pt idx="1">
                  <c:v>0.66666666666666663</c:v>
                </c:pt>
              </c:numCache>
              <c:extLst/>
            </c:numRef>
          </c:val>
          <c:extLst>
            <c:ext xmlns:c16="http://schemas.microsoft.com/office/drawing/2014/chart" uri="{C3380CC4-5D6E-409C-BE32-E72D297353CC}">
              <c16:uniqueId val="{00000005-6D16-4472-9C28-DF2D1BF3893C}"/>
            </c:ext>
          </c:extLst>
        </c:ser>
        <c:ser>
          <c:idx val="8"/>
          <c:order val="8"/>
          <c:tx>
            <c:strRef>
              <c:f>'individual-chart-workforce'!$K$2</c:f>
              <c:strCache>
                <c:ptCount val="1"/>
                <c:pt idx="0">
                  <c:v>10%</c:v>
                </c:pt>
              </c:strCache>
            </c:strRef>
          </c:tx>
          <c:spPr>
            <a:solidFill>
              <a:schemeClr val="accent2">
                <a:tint val="56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'individual-chart-workforce'!$B$3:$B$50</c:f>
              <c:strCache>
                <c:ptCount val="2"/>
                <c:pt idx="0">
                  <c:v>Activity</c:v>
                </c:pt>
                <c:pt idx="1">
                  <c:v>Outputs</c:v>
                </c:pt>
              </c:strCache>
              <c:extLst/>
            </c:strRef>
          </c:cat>
          <c:val>
            <c:numRef>
              <c:f>'individual-chart-workforce'!$K$3:$K$50</c:f>
              <c:numCache>
                <c:formatCode>General</c:formatCode>
                <c:ptCount val="2"/>
              </c:numCache>
              <c:extLst/>
            </c:numRef>
          </c:val>
          <c:extLst>
            <c:ext xmlns:c16="http://schemas.microsoft.com/office/drawing/2014/chart" uri="{C3380CC4-5D6E-409C-BE32-E72D297353CC}">
              <c16:uniqueId val="{00000006-6D16-4472-9C28-DF2D1BF3893C}"/>
            </c:ext>
          </c:extLst>
        </c:ser>
        <c:ser>
          <c:idx val="9"/>
          <c:order val="9"/>
          <c:tx>
            <c:strRef>
              <c:f>'individual-chart-workforce'!$L$2</c:f>
              <c:strCache>
                <c:ptCount val="1"/>
                <c:pt idx="0">
                  <c:v>Not Started</c:v>
                </c:pt>
              </c:strCache>
            </c:strRef>
          </c:tx>
          <c:spPr>
            <a:solidFill>
              <a:srgbClr val="FCF2F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'individual-chart-workforce'!$B$3:$B$50</c:f>
              <c:strCache>
                <c:ptCount val="2"/>
                <c:pt idx="0">
                  <c:v>Activity</c:v>
                </c:pt>
                <c:pt idx="1">
                  <c:v>Outputs</c:v>
                </c:pt>
              </c:strCache>
              <c:extLst/>
            </c:strRef>
          </c:cat>
          <c:val>
            <c:numRef>
              <c:f>'individual-chart-workforce'!$L$3:$L$50</c:f>
              <c:numCache>
                <c:formatCode>General</c:formatCode>
                <c:ptCount val="2"/>
                <c:pt idx="0" formatCode="0%">
                  <c:v>0.33333333333333331</c:v>
                </c:pt>
              </c:numCache>
              <c:extLst/>
            </c:numRef>
          </c:val>
          <c:extLst>
            <c:ext xmlns:c16="http://schemas.microsoft.com/office/drawing/2014/chart" uri="{C3380CC4-5D6E-409C-BE32-E72D297353CC}">
              <c16:uniqueId val="{00000007-6D16-4472-9C28-DF2D1BF3893C}"/>
            </c:ext>
          </c:extLst>
        </c:ser>
        <c:dLbls>
          <c:dLblPos val="ctr"/>
          <c:showLegendKey val="0"/>
          <c:showVal val="1"/>
          <c:showCatName val="0"/>
          <c:showSerName val="0"/>
          <c:showPercent val="0"/>
          <c:showBubbleSize val="0"/>
        </c:dLbls>
        <c:gapWidth val="150"/>
        <c:overlap val="100"/>
        <c:axId val="790958128"/>
        <c:axId val="790961408"/>
        <c:extLst>
          <c:ext xmlns:c15="http://schemas.microsoft.com/office/drawing/2012/chart" uri="{02D57815-91ED-43cb-92C2-25804820EDAC}">
            <c15:filteredBarSeries>
              <c15:ser>
                <c:idx val="0"/>
                <c:order val="0"/>
                <c:tx>
                  <c:strRef>
                    <c:extLst>
                      <c:ext uri="{02D57815-91ED-43cb-92C2-25804820EDAC}">
                        <c15:formulaRef>
                          <c15:sqref>'individual-chart-workforce'!$C$2</c15:sqref>
                        </c15:formulaRef>
                      </c:ext>
                    </c:extLst>
                    <c:strCache>
                      <c:ptCount val="1"/>
                      <c:pt idx="0">
                        <c:v>Completed</c:v>
                      </c:pt>
                    </c:strCache>
                  </c:strRef>
                </c:tx>
                <c:spPr>
                  <a:solidFill>
                    <a:schemeClr val="accent2">
                      <a:shade val="42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c:ext uri="{02D57815-91ED-43cb-92C2-25804820EDAC}">
                        <c15:formulaRef>
                          <c15:sqref>'individual-chart-workforce'!$B$3:$B$50</c15:sqref>
                        </c15:formulaRef>
                      </c:ext>
                    </c:extLst>
                    <c:strCache>
                      <c:ptCount val="2"/>
                      <c:pt idx="0">
                        <c:v>Activity</c:v>
                      </c:pt>
                      <c:pt idx="1">
                        <c:v>Outputs</c:v>
                      </c:pt>
                    </c:strCache>
                  </c:strRef>
                </c:cat>
                <c:val>
                  <c:numRef>
                    <c:extLst>
                      <c:ext uri="{02D57815-91ED-43cb-92C2-25804820EDAC}">
                        <c15:formulaRef>
                          <c15:sqref>'individual-chart-workforce'!$C$3:$C$50</c15:sqref>
                        </c15:formulaRef>
                      </c:ext>
                    </c:extLst>
                    <c:numCache>
                      <c:formatCode>General</c:formatCode>
                      <c:ptCount val="2"/>
                    </c:numCache>
                  </c:numRef>
                </c:val>
                <c:extLst>
                  <c:ext xmlns:c16="http://schemas.microsoft.com/office/drawing/2014/chart" uri="{C3380CC4-5D6E-409C-BE32-E72D297353CC}">
                    <c16:uniqueId val="{00000008-6D16-4472-9C28-DF2D1BF3893C}"/>
                  </c:ext>
                </c:extLst>
              </c15:ser>
            </c15:filteredBarSeries>
            <c15:filteredBarSeries>
              <c15:ser>
                <c:idx val="1"/>
                <c:order val="1"/>
                <c:tx>
                  <c:strRef>
                    <c:extLst xmlns:c15="http://schemas.microsoft.com/office/drawing/2012/chart">
                      <c:ext xmlns:c15="http://schemas.microsoft.com/office/drawing/2012/chart" uri="{02D57815-91ED-43cb-92C2-25804820EDAC}">
                        <c15:formulaRef>
                          <c15:sqref>'individual-chart-workforce'!$D$2</c15:sqref>
                        </c15:formulaRef>
                      </c:ext>
                    </c:extLst>
                    <c:strCache>
                      <c:ptCount val="1"/>
                      <c:pt idx="0">
                        <c:v>In progress</c:v>
                      </c:pt>
                    </c:strCache>
                  </c:strRef>
                </c:tx>
                <c:spPr>
                  <a:solidFill>
                    <a:schemeClr val="accent2">
                      <a:shade val="5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'individual-chart-workforce'!$B$3:$B$50</c15:sqref>
                        </c15:formulaRef>
                      </c:ext>
                    </c:extLst>
                    <c:strCache>
                      <c:ptCount val="2"/>
                      <c:pt idx="0">
                        <c:v>Activity</c:v>
                      </c:pt>
                      <c:pt idx="1">
                        <c:v>Outputs</c:v>
                      </c:pt>
                    </c:strCache>
                  </c:strRef>
                </c:cat>
                <c:val>
                  <c:numRef>
                    <c:extLst xmlns:c15="http://schemas.microsoft.com/office/drawing/2012/chart">
                      <c:ext xmlns:c15="http://schemas.microsoft.com/office/drawing/2012/chart" uri="{02D57815-91ED-43cb-92C2-25804820EDAC}">
                        <c15:formulaRef>
                          <c15:sqref>'individual-chart-workforce'!$D$3:$D$50</c15:sqref>
                        </c15:formulaRef>
                      </c:ext>
                    </c:extLst>
                    <c:numCache>
                      <c:formatCode>0%</c:formatCode>
                      <c:ptCount val="2"/>
                      <c:pt idx="0">
                        <c:v>0.66666666666666663</c:v>
                      </c:pt>
                      <c:pt idx="1">
                        <c:v>1</c:v>
                      </c:pt>
                    </c:numCache>
                  </c:numRef>
                </c:val>
                <c:extLst xmlns:c15="http://schemas.microsoft.com/office/drawing/2012/chart">
                  <c:ext xmlns:c16="http://schemas.microsoft.com/office/drawing/2014/chart" uri="{C3380CC4-5D6E-409C-BE32-E72D297353CC}">
                    <c16:uniqueId val="{00000009-6D16-4472-9C28-DF2D1BF3893C}"/>
                  </c:ext>
                </c:extLst>
              </c15:ser>
            </c15:filteredBarSeries>
            <c15:filteredBarSeries>
              <c15:ser>
                <c:idx val="2"/>
                <c:order val="2"/>
                <c:tx>
                  <c:strRef>
                    <c:extLst xmlns:c15="http://schemas.microsoft.com/office/drawing/2012/chart">
                      <c:ext xmlns:c15="http://schemas.microsoft.com/office/drawing/2012/chart" uri="{02D57815-91ED-43cb-92C2-25804820EDAC}">
                        <c15:formulaRef>
                          <c15:sqref>'individual-chart-workforce'!$E$2</c15:sqref>
                        </c15:formulaRef>
                      </c:ext>
                    </c:extLst>
                    <c:strCache>
                      <c:ptCount val="1"/>
                      <c:pt idx="0">
                        <c:v>Not started</c:v>
                      </c:pt>
                    </c:strCache>
                  </c:strRef>
                </c:tx>
                <c:spPr>
                  <a:solidFill>
                    <a:schemeClr val="accent2">
                      <a:shade val="68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'individual-chart-workforce'!$B$3:$B$50</c15:sqref>
                        </c15:formulaRef>
                      </c:ext>
                    </c:extLst>
                    <c:strCache>
                      <c:ptCount val="2"/>
                      <c:pt idx="0">
                        <c:v>Activity</c:v>
                      </c:pt>
                      <c:pt idx="1">
                        <c:v>Outputs</c:v>
                      </c:pt>
                    </c:strCache>
                  </c:strRef>
                </c:cat>
                <c:val>
                  <c:numRef>
                    <c:extLst xmlns:c15="http://schemas.microsoft.com/office/drawing/2012/chart">
                      <c:ext xmlns:c15="http://schemas.microsoft.com/office/drawing/2012/chart" uri="{02D57815-91ED-43cb-92C2-25804820EDAC}">
                        <c15:formulaRef>
                          <c15:sqref>'individual-chart-workforce'!$E$3:$E$50</c15:sqref>
                        </c15:formulaRef>
                      </c:ext>
                    </c:extLst>
                    <c:numCache>
                      <c:formatCode>General</c:formatCode>
                      <c:ptCount val="2"/>
                      <c:pt idx="0" formatCode="0%">
                        <c:v>0.33333333333333331</c:v>
                      </c:pt>
                    </c:numCache>
                  </c:numRef>
                </c:val>
                <c:extLst xmlns:c15="http://schemas.microsoft.com/office/drawing/2012/chart">
                  <c:ext xmlns:c16="http://schemas.microsoft.com/office/drawing/2014/chart" uri="{C3380CC4-5D6E-409C-BE32-E72D297353CC}">
                    <c16:uniqueId val="{0000000A-6D16-4472-9C28-DF2D1BF3893C}"/>
                  </c:ext>
                </c:extLst>
              </c15:ser>
            </c15:filteredBarSeries>
          </c:ext>
        </c:extLst>
      </c:barChart>
      <c:catAx>
        <c:axId val="7909581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n-US"/>
          </a:p>
        </c:txPr>
        <c:crossAx val="790961408"/>
        <c:crosses val="autoZero"/>
        <c:auto val="1"/>
        <c:lblAlgn val="ctr"/>
        <c:lblOffset val="100"/>
        <c:noMultiLvlLbl val="0"/>
      </c:catAx>
      <c:valAx>
        <c:axId val="790961408"/>
        <c:scaling>
          <c:orientation val="minMax"/>
          <c:min val="0"/>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90958128"/>
        <c:crossesAt val="1"/>
        <c:crossBetween val="between"/>
      </c:valAx>
      <c:spPr>
        <a:noFill/>
        <a:ln>
          <a:noFill/>
        </a:ln>
        <a:effectLst/>
      </c:spPr>
    </c:plotArea>
    <c:legend>
      <c:legendPos val="t"/>
      <c:layout>
        <c:manualLayout>
          <c:xMode val="edge"/>
          <c:yMode val="edge"/>
          <c:x val="0.16878354491402861"/>
          <c:y val="0.14071530758226036"/>
          <c:w val="0.78488188976377948"/>
          <c:h val="8.3691663005643596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userShapes r:id="rId5"/>
</c:chartSpace>
</file>

<file path=word/charts/chart4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4"/>
    </mc:Choice>
    <mc:Fallback>
      <c:style val="4"/>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Topic Area - </a:t>
            </a:r>
            <a:r>
              <a:rPr lang="en-US" sz="1400" b="0" i="0" u="none" strike="noStrike" baseline="0">
                <a:effectLst/>
              </a:rPr>
              <a:t>Workforce Integration</a:t>
            </a:r>
            <a:r>
              <a:rPr lang="en-US"/>
              <a:t> </a:t>
            </a:r>
            <a:r>
              <a:rPr lang="en-US" baseline="0"/>
              <a:t> </a:t>
            </a:r>
            <a:r>
              <a:rPr lang="en-US"/>
              <a:t>Activity Unique</a:t>
            </a:r>
          </a:p>
        </c:rich>
      </c:tx>
      <c:layout>
        <c:manualLayout>
          <c:xMode val="edge"/>
          <c:yMode val="edge"/>
          <c:x val="0.15852625564661557"/>
          <c:y val="1.4306151645207439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6017916604892113"/>
          <c:y val="0.23265365094271845"/>
          <c:w val="0.78942722632790041"/>
          <c:h val="0.66602748393145406"/>
        </c:manualLayout>
      </c:layout>
      <c:barChart>
        <c:barDir val="col"/>
        <c:grouping val="percentStacked"/>
        <c:varyColors val="0"/>
        <c:ser>
          <c:idx val="3"/>
          <c:order val="3"/>
          <c:tx>
            <c:strRef>
              <c:f>'individual-chart-workforce'!$F$2</c:f>
              <c:strCache>
                <c:ptCount val="1"/>
                <c:pt idx="0">
                  <c:v>Completed</c:v>
                </c:pt>
              </c:strCache>
            </c:strRef>
          </c:tx>
          <c:spPr>
            <a:solidFill>
              <a:srgbClr val="99221F"/>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800" b="0"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'individual-chart-workforce'!$B$3:$B$50</c:f>
              <c:strCache>
                <c:ptCount val="2"/>
                <c:pt idx="0">
                  <c:v>Activity</c:v>
                </c:pt>
                <c:pt idx="1">
                  <c:v>Outputs</c:v>
                </c:pt>
              </c:strCache>
              <c:extLst/>
            </c:strRef>
          </c:cat>
          <c:val>
            <c:numRef>
              <c:f>'individual-chart-workforce'!$F$3:$F$50</c:f>
              <c:numCache>
                <c:formatCode>0%</c:formatCode>
                <c:ptCount val="2"/>
                <c:pt idx="0">
                  <c:v>0.66666666666666663</c:v>
                </c:pt>
                <c:pt idx="1">
                  <c:v>0.66666666666666663</c:v>
                </c:pt>
              </c:numCache>
              <c:extLst/>
            </c:numRef>
          </c:val>
          <c:extLst>
            <c:ext xmlns:c16="http://schemas.microsoft.com/office/drawing/2014/chart" uri="{C3380CC4-5D6E-409C-BE32-E72D297353CC}">
              <c16:uniqueId val="{00000000-5CDE-4BD3-9FBA-DBE071C40572}"/>
            </c:ext>
          </c:extLst>
        </c:ser>
        <c:ser>
          <c:idx val="4"/>
          <c:order val="4"/>
          <c:tx>
            <c:strRef>
              <c:f>'individual-chart-workforce'!$G$2</c:f>
              <c:strCache>
                <c:ptCount val="1"/>
                <c:pt idx="0">
                  <c:v>90%</c:v>
                </c:pt>
              </c:strCache>
            </c:strRef>
          </c:tx>
          <c:spPr>
            <a:solidFill>
              <a:srgbClr val="D73D39"/>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'individual-chart-workforce'!$B$3:$B$50</c:f>
              <c:strCache>
                <c:ptCount val="2"/>
                <c:pt idx="0">
                  <c:v>Activity</c:v>
                </c:pt>
                <c:pt idx="1">
                  <c:v>Outputs</c:v>
                </c:pt>
              </c:strCache>
              <c:extLst/>
            </c:strRef>
          </c:cat>
          <c:val>
            <c:numRef>
              <c:f>'individual-chart-workforce'!$G$3:$G$50</c:f>
              <c:numCache>
                <c:formatCode>General</c:formatCode>
                <c:ptCount val="2"/>
              </c:numCache>
              <c:extLst/>
            </c:numRef>
          </c:val>
          <c:extLst>
            <c:ext xmlns:c16="http://schemas.microsoft.com/office/drawing/2014/chart" uri="{C3380CC4-5D6E-409C-BE32-E72D297353CC}">
              <c16:uniqueId val="{00000001-5CDE-4BD3-9FBA-DBE071C40572}"/>
            </c:ext>
          </c:extLst>
        </c:ser>
        <c:ser>
          <c:idx val="5"/>
          <c:order val="5"/>
          <c:tx>
            <c:strRef>
              <c:f>'individual-chart-workforce'!$H$2</c:f>
              <c:strCache>
                <c:ptCount val="1"/>
                <c:pt idx="0">
                  <c:v>75%</c:v>
                </c:pt>
              </c:strCache>
            </c:strRef>
          </c:tx>
          <c:spPr>
            <a:solidFill>
              <a:srgbClr val="DC535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'individual-chart-workforce'!$B$3:$B$50</c:f>
              <c:strCache>
                <c:ptCount val="2"/>
                <c:pt idx="0">
                  <c:v>Activity</c:v>
                </c:pt>
                <c:pt idx="1">
                  <c:v>Outputs</c:v>
                </c:pt>
              </c:strCache>
              <c:extLst/>
            </c:strRef>
          </c:cat>
          <c:val>
            <c:numRef>
              <c:f>'individual-chart-workforce'!$H$3:$H$50</c:f>
              <c:numCache>
                <c:formatCode>General</c:formatCode>
                <c:ptCount val="2"/>
              </c:numCache>
              <c:extLst/>
            </c:numRef>
          </c:val>
          <c:extLst>
            <c:ext xmlns:c16="http://schemas.microsoft.com/office/drawing/2014/chart" uri="{C3380CC4-5D6E-409C-BE32-E72D297353CC}">
              <c16:uniqueId val="{00000002-5CDE-4BD3-9FBA-DBE071C40572}"/>
            </c:ext>
          </c:extLst>
        </c:ser>
        <c:ser>
          <c:idx val="6"/>
          <c:order val="6"/>
          <c:tx>
            <c:strRef>
              <c:f>'individual-chart-workforce'!$I$2</c:f>
              <c:strCache>
                <c:ptCount val="1"/>
                <c:pt idx="0">
                  <c:v>50%</c:v>
                </c:pt>
              </c:strCache>
            </c:strRef>
          </c:tx>
          <c:spPr>
            <a:solidFill>
              <a:srgbClr val="EBA19F"/>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'individual-chart-workforce'!$B$3:$B$50</c:f>
              <c:strCache>
                <c:ptCount val="2"/>
                <c:pt idx="0">
                  <c:v>Activity</c:v>
                </c:pt>
                <c:pt idx="1">
                  <c:v>Outputs</c:v>
                </c:pt>
              </c:strCache>
              <c:extLst/>
            </c:strRef>
          </c:cat>
          <c:val>
            <c:numRef>
              <c:f>'individual-chart-workforce'!$I$3:$I$50</c:f>
              <c:numCache>
                <c:formatCode>General</c:formatCode>
                <c:ptCount val="2"/>
                <c:pt idx="0" formatCode="0%">
                  <c:v>0.33333333333333331</c:v>
                </c:pt>
              </c:numCache>
              <c:extLst/>
            </c:numRef>
          </c:val>
          <c:extLst>
            <c:ext xmlns:c16="http://schemas.microsoft.com/office/drawing/2014/chart" uri="{C3380CC4-5D6E-409C-BE32-E72D297353CC}">
              <c16:uniqueId val="{00000003-5CDE-4BD3-9FBA-DBE071C40572}"/>
            </c:ext>
          </c:extLst>
        </c:ser>
        <c:ser>
          <c:idx val="7"/>
          <c:order val="7"/>
          <c:tx>
            <c:strRef>
              <c:f>'individual-chart-workforce'!$J$2</c:f>
              <c:strCache>
                <c:ptCount val="1"/>
                <c:pt idx="0">
                  <c:v>25%</c:v>
                </c:pt>
              </c:strCache>
            </c:strRef>
          </c:tx>
          <c:spPr>
            <a:solidFill>
              <a:srgbClr val="F3C6C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'individual-chart-workforce'!$B$3:$B$50</c:f>
              <c:strCache>
                <c:ptCount val="2"/>
                <c:pt idx="0">
                  <c:v>Activity</c:v>
                </c:pt>
                <c:pt idx="1">
                  <c:v>Outputs</c:v>
                </c:pt>
              </c:strCache>
              <c:extLst/>
            </c:strRef>
          </c:cat>
          <c:val>
            <c:numRef>
              <c:f>'individual-chart-workforce'!$J$3:$J$50</c:f>
              <c:numCache>
                <c:formatCode>0%</c:formatCode>
                <c:ptCount val="2"/>
                <c:pt idx="1">
                  <c:v>0.33333333333333331</c:v>
                </c:pt>
              </c:numCache>
              <c:extLst/>
            </c:numRef>
          </c:val>
          <c:extLst>
            <c:ext xmlns:c16="http://schemas.microsoft.com/office/drawing/2014/chart" uri="{C3380CC4-5D6E-409C-BE32-E72D297353CC}">
              <c16:uniqueId val="{00000004-5CDE-4BD3-9FBA-DBE071C40572}"/>
            </c:ext>
          </c:extLst>
        </c:ser>
        <c:ser>
          <c:idx val="8"/>
          <c:order val="8"/>
          <c:tx>
            <c:strRef>
              <c:f>'individual-chart-workforce'!$K$2</c:f>
              <c:strCache>
                <c:ptCount val="1"/>
                <c:pt idx="0">
                  <c:v>10%</c:v>
                </c:pt>
              </c:strCache>
            </c:strRef>
          </c:tx>
          <c:spPr>
            <a:solidFill>
              <a:schemeClr val="accent2">
                <a:tint val="56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'individual-chart-workforce'!$B$3:$B$50</c:f>
              <c:strCache>
                <c:ptCount val="2"/>
                <c:pt idx="0">
                  <c:v>Activity</c:v>
                </c:pt>
                <c:pt idx="1">
                  <c:v>Outputs</c:v>
                </c:pt>
              </c:strCache>
              <c:extLst/>
            </c:strRef>
          </c:cat>
          <c:val>
            <c:numRef>
              <c:f>'individual-chart-workforce'!$K$3:$K$50</c:f>
              <c:numCache>
                <c:formatCode>General</c:formatCode>
                <c:ptCount val="2"/>
              </c:numCache>
              <c:extLst/>
            </c:numRef>
          </c:val>
          <c:extLst>
            <c:ext xmlns:c16="http://schemas.microsoft.com/office/drawing/2014/chart" uri="{C3380CC4-5D6E-409C-BE32-E72D297353CC}">
              <c16:uniqueId val="{00000005-5CDE-4BD3-9FBA-DBE071C40572}"/>
            </c:ext>
          </c:extLst>
        </c:ser>
        <c:ser>
          <c:idx val="9"/>
          <c:order val="9"/>
          <c:tx>
            <c:strRef>
              <c:f>'individual-chart-workforce'!$L$2</c:f>
              <c:strCache>
                <c:ptCount val="1"/>
                <c:pt idx="0">
                  <c:v>Not Started</c:v>
                </c:pt>
              </c:strCache>
            </c:strRef>
          </c:tx>
          <c:spPr>
            <a:solidFill>
              <a:srgbClr val="FCF2F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'individual-chart-workforce'!$B$3:$B$50</c:f>
              <c:strCache>
                <c:ptCount val="2"/>
                <c:pt idx="0">
                  <c:v>Activity</c:v>
                </c:pt>
                <c:pt idx="1">
                  <c:v>Outputs</c:v>
                </c:pt>
              </c:strCache>
              <c:extLst/>
            </c:strRef>
          </c:cat>
          <c:val>
            <c:numRef>
              <c:f>'individual-chart-workforce'!$L$3:$L$50</c:f>
              <c:numCache>
                <c:formatCode>General</c:formatCode>
                <c:ptCount val="2"/>
              </c:numCache>
              <c:extLst/>
            </c:numRef>
          </c:val>
          <c:extLst>
            <c:ext xmlns:c16="http://schemas.microsoft.com/office/drawing/2014/chart" uri="{C3380CC4-5D6E-409C-BE32-E72D297353CC}">
              <c16:uniqueId val="{00000006-5CDE-4BD3-9FBA-DBE071C40572}"/>
            </c:ext>
          </c:extLst>
        </c:ser>
        <c:dLbls>
          <c:dLblPos val="ctr"/>
          <c:showLegendKey val="0"/>
          <c:showVal val="1"/>
          <c:showCatName val="0"/>
          <c:showSerName val="0"/>
          <c:showPercent val="0"/>
          <c:showBubbleSize val="0"/>
        </c:dLbls>
        <c:gapWidth val="150"/>
        <c:overlap val="100"/>
        <c:axId val="790958128"/>
        <c:axId val="790961408"/>
        <c:extLst>
          <c:ext xmlns:c15="http://schemas.microsoft.com/office/drawing/2012/chart" uri="{02D57815-91ED-43cb-92C2-25804820EDAC}">
            <c15:filteredBarSeries>
              <c15:ser>
                <c:idx val="0"/>
                <c:order val="0"/>
                <c:tx>
                  <c:strRef>
                    <c:extLst>
                      <c:ext uri="{02D57815-91ED-43cb-92C2-25804820EDAC}">
                        <c15:formulaRef>
                          <c15:sqref>'individual-chart-workforce'!$C$2</c15:sqref>
                        </c15:formulaRef>
                      </c:ext>
                    </c:extLst>
                    <c:strCache>
                      <c:ptCount val="1"/>
                      <c:pt idx="0">
                        <c:v>Completed</c:v>
                      </c:pt>
                    </c:strCache>
                  </c:strRef>
                </c:tx>
                <c:spPr>
                  <a:solidFill>
                    <a:schemeClr val="accent2">
                      <a:shade val="42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c:ext uri="{02D57815-91ED-43cb-92C2-25804820EDAC}">
                        <c15:formulaRef>
                          <c15:sqref>'individual-chart-workforce'!$B$3:$B$50</c15:sqref>
                        </c15:formulaRef>
                      </c:ext>
                    </c:extLst>
                    <c:strCache>
                      <c:ptCount val="2"/>
                      <c:pt idx="0">
                        <c:v>Activity</c:v>
                      </c:pt>
                      <c:pt idx="1">
                        <c:v>Outputs</c:v>
                      </c:pt>
                    </c:strCache>
                  </c:strRef>
                </c:cat>
                <c:val>
                  <c:numRef>
                    <c:extLst>
                      <c:ext uri="{02D57815-91ED-43cb-92C2-25804820EDAC}">
                        <c15:formulaRef>
                          <c15:sqref>'individual-chart-workforce'!$C$3:$C$50</c15:sqref>
                        </c15:formulaRef>
                      </c:ext>
                    </c:extLst>
                    <c:numCache>
                      <c:formatCode>0%</c:formatCode>
                      <c:ptCount val="2"/>
                      <c:pt idx="0">
                        <c:v>0.66666666666666663</c:v>
                      </c:pt>
                      <c:pt idx="1">
                        <c:v>0.66666666666666663</c:v>
                      </c:pt>
                    </c:numCache>
                  </c:numRef>
                </c:val>
                <c:extLst>
                  <c:ext xmlns:c16="http://schemas.microsoft.com/office/drawing/2014/chart" uri="{C3380CC4-5D6E-409C-BE32-E72D297353CC}">
                    <c16:uniqueId val="{00000007-5CDE-4BD3-9FBA-DBE071C40572}"/>
                  </c:ext>
                </c:extLst>
              </c15:ser>
            </c15:filteredBarSeries>
            <c15:filteredBarSeries>
              <c15:ser>
                <c:idx val="1"/>
                <c:order val="1"/>
                <c:tx>
                  <c:strRef>
                    <c:extLst xmlns:c15="http://schemas.microsoft.com/office/drawing/2012/chart">
                      <c:ext xmlns:c15="http://schemas.microsoft.com/office/drawing/2012/chart" uri="{02D57815-91ED-43cb-92C2-25804820EDAC}">
                        <c15:formulaRef>
                          <c15:sqref>'individual-chart-workforce'!$D$2</c15:sqref>
                        </c15:formulaRef>
                      </c:ext>
                    </c:extLst>
                    <c:strCache>
                      <c:ptCount val="1"/>
                      <c:pt idx="0">
                        <c:v>In progress</c:v>
                      </c:pt>
                    </c:strCache>
                  </c:strRef>
                </c:tx>
                <c:spPr>
                  <a:solidFill>
                    <a:schemeClr val="accent2">
                      <a:shade val="5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'individual-chart-workforce'!$B$3:$B$50</c15:sqref>
                        </c15:formulaRef>
                      </c:ext>
                    </c:extLst>
                    <c:strCache>
                      <c:ptCount val="2"/>
                      <c:pt idx="0">
                        <c:v>Activity</c:v>
                      </c:pt>
                      <c:pt idx="1">
                        <c:v>Outputs</c:v>
                      </c:pt>
                    </c:strCache>
                  </c:strRef>
                </c:cat>
                <c:val>
                  <c:numRef>
                    <c:extLst xmlns:c15="http://schemas.microsoft.com/office/drawing/2012/chart">
                      <c:ext xmlns:c15="http://schemas.microsoft.com/office/drawing/2012/chart" uri="{02D57815-91ED-43cb-92C2-25804820EDAC}">
                        <c15:formulaRef>
                          <c15:sqref>'individual-chart-workforce'!$D$3:$D$50</c15:sqref>
                        </c15:formulaRef>
                      </c:ext>
                    </c:extLst>
                    <c:numCache>
                      <c:formatCode>0%</c:formatCode>
                      <c:ptCount val="2"/>
                      <c:pt idx="0">
                        <c:v>0.33333333333333331</c:v>
                      </c:pt>
                      <c:pt idx="1">
                        <c:v>0.33333333333333331</c:v>
                      </c:pt>
                    </c:numCache>
                  </c:numRef>
                </c:val>
                <c:extLst xmlns:c15="http://schemas.microsoft.com/office/drawing/2012/chart">
                  <c:ext xmlns:c16="http://schemas.microsoft.com/office/drawing/2014/chart" uri="{C3380CC4-5D6E-409C-BE32-E72D297353CC}">
                    <c16:uniqueId val="{00000008-5CDE-4BD3-9FBA-DBE071C40572}"/>
                  </c:ext>
                </c:extLst>
              </c15:ser>
            </c15:filteredBarSeries>
            <c15:filteredBarSeries>
              <c15:ser>
                <c:idx val="2"/>
                <c:order val="2"/>
                <c:tx>
                  <c:strRef>
                    <c:extLst xmlns:c15="http://schemas.microsoft.com/office/drawing/2012/chart">
                      <c:ext xmlns:c15="http://schemas.microsoft.com/office/drawing/2012/chart" uri="{02D57815-91ED-43cb-92C2-25804820EDAC}">
                        <c15:formulaRef>
                          <c15:sqref>'individual-chart-workforce'!$E$2</c15:sqref>
                        </c15:formulaRef>
                      </c:ext>
                    </c:extLst>
                    <c:strCache>
                      <c:ptCount val="1"/>
                      <c:pt idx="0">
                        <c:v>Not started</c:v>
                      </c:pt>
                    </c:strCache>
                  </c:strRef>
                </c:tx>
                <c:spPr>
                  <a:solidFill>
                    <a:schemeClr val="accent2">
                      <a:shade val="68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'individual-chart-workforce'!$B$3:$B$50</c15:sqref>
                        </c15:formulaRef>
                      </c:ext>
                    </c:extLst>
                    <c:strCache>
                      <c:ptCount val="2"/>
                      <c:pt idx="0">
                        <c:v>Activity</c:v>
                      </c:pt>
                      <c:pt idx="1">
                        <c:v>Outputs</c:v>
                      </c:pt>
                    </c:strCache>
                  </c:strRef>
                </c:cat>
                <c:val>
                  <c:numRef>
                    <c:extLst xmlns:c15="http://schemas.microsoft.com/office/drawing/2012/chart">
                      <c:ext xmlns:c15="http://schemas.microsoft.com/office/drawing/2012/chart" uri="{02D57815-91ED-43cb-92C2-25804820EDAC}">
                        <c15:formulaRef>
                          <c15:sqref>'individual-chart-workforce'!$E$3:$E$50</c15:sqref>
                        </c15:formulaRef>
                      </c:ext>
                    </c:extLst>
                    <c:numCache>
                      <c:formatCode>General</c:formatCode>
                      <c:ptCount val="2"/>
                    </c:numCache>
                  </c:numRef>
                </c:val>
                <c:extLst xmlns:c15="http://schemas.microsoft.com/office/drawing/2012/chart">
                  <c:ext xmlns:c16="http://schemas.microsoft.com/office/drawing/2014/chart" uri="{C3380CC4-5D6E-409C-BE32-E72D297353CC}">
                    <c16:uniqueId val="{00000009-5CDE-4BD3-9FBA-DBE071C40572}"/>
                  </c:ext>
                </c:extLst>
              </c15:ser>
            </c15:filteredBarSeries>
          </c:ext>
        </c:extLst>
      </c:barChart>
      <c:catAx>
        <c:axId val="7909581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n-US"/>
          </a:p>
        </c:txPr>
        <c:crossAx val="790961408"/>
        <c:crosses val="autoZero"/>
        <c:auto val="1"/>
        <c:lblAlgn val="ctr"/>
        <c:lblOffset val="100"/>
        <c:noMultiLvlLbl val="0"/>
      </c:catAx>
      <c:valAx>
        <c:axId val="790961408"/>
        <c:scaling>
          <c:orientation val="minMax"/>
          <c:min val="0"/>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90958128"/>
        <c:crossesAt val="1"/>
        <c:crossBetween val="between"/>
      </c:valAx>
      <c:spPr>
        <a:noFill/>
        <a:ln>
          <a:noFill/>
        </a:ln>
        <a:effectLst/>
      </c:spPr>
    </c:plotArea>
    <c:legend>
      <c:legendPos val="t"/>
      <c:layout>
        <c:manualLayout>
          <c:xMode val="edge"/>
          <c:yMode val="edge"/>
          <c:x val="0.16878354491402861"/>
          <c:y val="0.14071530758226036"/>
          <c:w val="0.78488188976377948"/>
          <c:h val="8.3691663005643596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userShapes r:id="rId5"/>
</c:chartSpace>
</file>

<file path=word/charts/chart4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all" spc="120" normalizeH="0" baseline="0">
                <a:solidFill>
                  <a:schemeClr val="tx1">
                    <a:lumMod val="65000"/>
                    <a:lumOff val="35000"/>
                  </a:schemeClr>
                </a:solidFill>
                <a:latin typeface="+mn-lt"/>
                <a:ea typeface="+mn-ea"/>
                <a:cs typeface="+mn-cs"/>
              </a:defRPr>
            </a:pPr>
            <a:r>
              <a:rPr lang="en-US"/>
              <a:t>OVERALL Progress</a:t>
            </a:r>
          </a:p>
          <a:p>
            <a:pPr>
              <a:defRPr/>
            </a:pPr>
            <a:r>
              <a:rPr lang="en-US" sz="1600" b="1" i="0" u="none" strike="noStrike" cap="all" normalizeH="0" baseline="0">
                <a:effectLst/>
              </a:rPr>
              <a:t>CIE/Supported Employment Activities </a:t>
            </a:r>
            <a:endParaRPr lang="en-US"/>
          </a:p>
        </c:rich>
      </c:tx>
      <c:overlay val="0"/>
      <c:spPr>
        <a:noFill/>
        <a:ln>
          <a:noFill/>
        </a:ln>
        <a:effectLst/>
      </c:spPr>
      <c:txPr>
        <a:bodyPr rot="0" spcFirstLastPara="1" vertOverflow="ellipsis" vert="horz" wrap="square" anchor="ctr" anchorCtr="1"/>
        <a:lstStyle/>
        <a:p>
          <a:pPr>
            <a:defRPr sz="1600" b="1" i="0" u="none" strike="noStrike" kern="1200" cap="all" spc="120" normalizeH="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3.3720388225764973E-2"/>
          <c:y val="0.14584098852712488"/>
          <c:w val="0.94109226599161167"/>
          <c:h val="0.62853727315905772"/>
        </c:manualLayout>
      </c:layout>
      <c:barChart>
        <c:barDir val="bar"/>
        <c:grouping val="stacked"/>
        <c:varyColors val="0"/>
        <c:ser>
          <c:idx val="2"/>
          <c:order val="2"/>
          <c:tx>
            <c:strRef>
              <c:f>'activities-percent-completed'!$D$3</c:f>
              <c:strCache>
                <c:ptCount val="1"/>
                <c:pt idx="0">
                  <c:v>Completed</c:v>
                </c:pt>
              </c:strCache>
            </c:strRef>
          </c:tx>
          <c:spPr>
            <a:solidFill>
              <a:srgbClr val="B22724"/>
            </a:solidFill>
            <a:ln>
              <a:noFill/>
            </a:ln>
            <a:effectLst/>
          </c:spPr>
          <c:invertIfNegative val="0"/>
          <c:dLbls>
            <c:dLbl>
              <c:idx val="0"/>
              <c:layout>
                <c:manualLayout>
                  <c:x val="-1.5711690722667328E-3"/>
                  <c:y val="0.23442885612814154"/>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D6D3-46F1-8652-CEB8BDB44FF3}"/>
                </c:ext>
              </c:extLst>
            </c:dLbl>
            <c:spPr>
              <a:noFill/>
              <a:ln>
                <a:noFill/>
              </a:ln>
              <a:effectLst/>
            </c:spPr>
            <c:txPr>
              <a:bodyPr rot="0" spcFirstLastPara="1" vertOverflow="ellipsis" vert="horz" wrap="square" lIns="38100" tIns="19050" rIns="38100" bIns="19050" anchor="ctr" anchorCtr="1">
                <a:spAutoFit/>
              </a:bodyPr>
              <a:lstStyle/>
              <a:p>
                <a:pPr>
                  <a:defRPr sz="16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'activities-percent-completed'!$A$4:$A$17</c:f>
              <c:strCache>
                <c:ptCount val="1"/>
                <c:pt idx="0">
                  <c:v>Supported Employment</c:v>
                </c:pt>
              </c:strCache>
              <c:extLst/>
            </c:strRef>
          </c:cat>
          <c:val>
            <c:numRef>
              <c:f>'activities-percent-completed'!$D$4:$D$17</c:f>
              <c:numCache>
                <c:formatCode>0%</c:formatCode>
                <c:ptCount val="1"/>
                <c:pt idx="0">
                  <c:v>0.1111111111111111</c:v>
                </c:pt>
              </c:numCache>
              <c:extLst/>
            </c:numRef>
          </c:val>
          <c:extLst>
            <c:ext xmlns:c16="http://schemas.microsoft.com/office/drawing/2014/chart" uri="{C3380CC4-5D6E-409C-BE32-E72D297353CC}">
              <c16:uniqueId val="{00000001-D6D3-46F1-8652-CEB8BDB44FF3}"/>
            </c:ext>
          </c:extLst>
        </c:ser>
        <c:ser>
          <c:idx val="3"/>
          <c:order val="3"/>
          <c:tx>
            <c:strRef>
              <c:f>'activities-percent-completed'!$E$3</c:f>
              <c:strCache>
                <c:ptCount val="1"/>
                <c:pt idx="0">
                  <c:v>90%</c:v>
                </c:pt>
              </c:strCache>
            </c:strRef>
          </c:tx>
          <c:spPr>
            <a:solidFill>
              <a:schemeClr val="accent4"/>
            </a:solidFill>
            <a:ln>
              <a:noFill/>
            </a:ln>
            <a:effectLst/>
          </c:spPr>
          <c:invertIfNegative val="0"/>
          <c:dLbls>
            <c:dLbl>
              <c:idx val="0"/>
              <c:layout>
                <c:manualLayout>
                  <c:x val="-1.5711690722667284E-2"/>
                  <c:y val="0.2429535418055284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D6D3-46F1-8652-CEB8BDB44FF3}"/>
                </c:ext>
              </c:extLst>
            </c:dLbl>
            <c:spPr>
              <a:noFill/>
              <a:ln>
                <a:noFill/>
              </a:ln>
              <a:effectLst/>
            </c:spPr>
            <c:txPr>
              <a:bodyPr rot="0" spcFirstLastPara="1" vertOverflow="ellipsis" vert="horz" wrap="square" lIns="38100" tIns="19050" rIns="38100" bIns="19050" anchor="ctr" anchorCtr="1">
                <a:spAutoFit/>
              </a:bodyPr>
              <a:lstStyle/>
              <a:p>
                <a:pPr>
                  <a:defRPr sz="16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'activities-percent-completed'!$A$4:$A$17</c:f>
              <c:strCache>
                <c:ptCount val="1"/>
                <c:pt idx="0">
                  <c:v>Supported Employment</c:v>
                </c:pt>
              </c:strCache>
              <c:extLst/>
            </c:strRef>
          </c:cat>
          <c:val>
            <c:numRef>
              <c:f>'activities-percent-completed'!$E$4:$E$17</c:f>
              <c:numCache>
                <c:formatCode>0%</c:formatCode>
                <c:ptCount val="1"/>
                <c:pt idx="0">
                  <c:v>0.22222222222222221</c:v>
                </c:pt>
              </c:numCache>
              <c:extLst/>
            </c:numRef>
          </c:val>
          <c:extLst>
            <c:ext xmlns:c16="http://schemas.microsoft.com/office/drawing/2014/chart" uri="{C3380CC4-5D6E-409C-BE32-E72D297353CC}">
              <c16:uniqueId val="{00000003-D6D3-46F1-8652-CEB8BDB44FF3}"/>
            </c:ext>
          </c:extLst>
        </c:ser>
        <c:ser>
          <c:idx val="4"/>
          <c:order val="4"/>
          <c:tx>
            <c:strRef>
              <c:f>'activities-percent-completed'!$F$3</c:f>
              <c:strCache>
                <c:ptCount val="1"/>
                <c:pt idx="0">
                  <c:v>75%</c:v>
                </c:pt>
              </c:strCache>
            </c:strRef>
          </c:tx>
          <c:spPr>
            <a:solidFill>
              <a:srgbClr val="FFFF66"/>
            </a:solidFill>
            <a:ln>
              <a:noFill/>
            </a:ln>
            <a:effectLst/>
          </c:spPr>
          <c:invertIfNegative val="0"/>
          <c:dLbls>
            <c:dLbl>
              <c:idx val="0"/>
              <c:layout>
                <c:manualLayout>
                  <c:x val="-1.5711690722667257E-3"/>
                  <c:y val="0.25147822748291537"/>
                </c:manualLayout>
              </c:layout>
              <c:spPr>
                <a:noFill/>
                <a:ln>
                  <a:noFill/>
                </a:ln>
                <a:effectLst/>
              </c:spPr>
              <c:txPr>
                <a:bodyPr rot="0" spcFirstLastPara="1" vertOverflow="ellipsis" vert="horz" wrap="square" lIns="38100" tIns="19050" rIns="38100" bIns="19050" anchor="ctr" anchorCtr="1">
                  <a:spAutoFit/>
                </a:bodyPr>
                <a:lstStyle/>
                <a:p>
                  <a:pPr>
                    <a:defRPr sz="16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D6D3-46F1-8652-CEB8BDB44FF3}"/>
                </c:ext>
              </c:extLst>
            </c:dLbl>
            <c:spPr>
              <a:solidFill>
                <a:srgbClr val="FFFF66"/>
              </a:solidFill>
              <a:ln>
                <a:noFill/>
              </a:ln>
              <a:effectLst/>
            </c:spPr>
            <c:txPr>
              <a:bodyPr rot="0" spcFirstLastPara="1" vertOverflow="ellipsis" vert="horz" wrap="square" lIns="38100" tIns="19050" rIns="38100" bIns="19050" anchor="ctr" anchorCtr="1">
                <a:spAutoFit/>
              </a:bodyPr>
              <a:lstStyle/>
              <a:p>
                <a:pPr>
                  <a:defRPr sz="16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'activities-percent-completed'!$A$4:$A$17</c:f>
              <c:strCache>
                <c:ptCount val="1"/>
                <c:pt idx="0">
                  <c:v>Supported Employment</c:v>
                </c:pt>
              </c:strCache>
              <c:extLst/>
            </c:strRef>
          </c:cat>
          <c:val>
            <c:numRef>
              <c:f>'activities-percent-completed'!$F$4:$F$17</c:f>
              <c:numCache>
                <c:formatCode>0%</c:formatCode>
                <c:ptCount val="1"/>
                <c:pt idx="0">
                  <c:v>0.1111111111111111</c:v>
                </c:pt>
              </c:numCache>
              <c:extLst/>
            </c:numRef>
          </c:val>
          <c:extLst>
            <c:ext xmlns:c16="http://schemas.microsoft.com/office/drawing/2014/chart" uri="{C3380CC4-5D6E-409C-BE32-E72D297353CC}">
              <c16:uniqueId val="{00000005-D6D3-46F1-8652-CEB8BDB44FF3}"/>
            </c:ext>
          </c:extLst>
        </c:ser>
        <c:ser>
          <c:idx val="5"/>
          <c:order val="5"/>
          <c:tx>
            <c:strRef>
              <c:f>'activities-percent-completed'!$G$3</c:f>
              <c:strCache>
                <c:ptCount val="1"/>
                <c:pt idx="0">
                  <c:v>50%</c:v>
                </c:pt>
              </c:strCache>
            </c:strRef>
          </c:tx>
          <c:spPr>
            <a:solidFill>
              <a:schemeClr val="accent6"/>
            </a:solidFill>
            <a:ln>
              <a:noFill/>
            </a:ln>
            <a:effectLst/>
          </c:spPr>
          <c:invertIfNegative val="0"/>
          <c:dLbls>
            <c:dLbl>
              <c:idx val="0"/>
              <c:layout>
                <c:manualLayout>
                  <c:x val="-3.1423381445334513E-3"/>
                  <c:y val="0.25147822748291521"/>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D6D3-46F1-8652-CEB8BDB44FF3}"/>
                </c:ext>
              </c:extLst>
            </c:dLbl>
            <c:spPr>
              <a:noFill/>
              <a:ln>
                <a:noFill/>
              </a:ln>
              <a:effectLst/>
            </c:spPr>
            <c:txPr>
              <a:bodyPr rot="0" spcFirstLastPara="1" vertOverflow="ellipsis" vert="horz" wrap="square" lIns="38100" tIns="19050" rIns="38100" bIns="19050" anchor="ctr" anchorCtr="1">
                <a:spAutoFit/>
              </a:bodyPr>
              <a:lstStyle/>
              <a:p>
                <a:pPr>
                  <a:defRPr sz="16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'activities-percent-completed'!$A$4:$A$17</c:f>
              <c:strCache>
                <c:ptCount val="1"/>
                <c:pt idx="0">
                  <c:v>Supported Employment</c:v>
                </c:pt>
              </c:strCache>
              <c:extLst/>
            </c:strRef>
          </c:cat>
          <c:val>
            <c:numRef>
              <c:f>'activities-percent-completed'!$G$4:$G$17</c:f>
              <c:numCache>
                <c:formatCode>0%</c:formatCode>
                <c:ptCount val="1"/>
                <c:pt idx="0">
                  <c:v>0.22222222222222221</c:v>
                </c:pt>
              </c:numCache>
              <c:extLst/>
            </c:numRef>
          </c:val>
          <c:extLst>
            <c:ext xmlns:c16="http://schemas.microsoft.com/office/drawing/2014/chart" uri="{C3380CC4-5D6E-409C-BE32-E72D297353CC}">
              <c16:uniqueId val="{00000007-D6D3-46F1-8652-CEB8BDB44FF3}"/>
            </c:ext>
          </c:extLst>
        </c:ser>
        <c:ser>
          <c:idx val="6"/>
          <c:order val="6"/>
          <c:tx>
            <c:strRef>
              <c:f>'activities-percent-completed'!$H$3</c:f>
              <c:strCache>
                <c:ptCount val="1"/>
                <c:pt idx="0">
                  <c:v>25%</c:v>
                </c:pt>
              </c:strCache>
            </c:strRef>
          </c:tx>
          <c:spPr>
            <a:solidFill>
              <a:srgbClr val="15FFFF"/>
            </a:solidFill>
            <a:ln>
              <a:noFill/>
            </a:ln>
            <a:effectLst/>
          </c:spPr>
          <c:invertIfNegative val="0"/>
          <c:dLbls>
            <c:dLbl>
              <c:idx val="0"/>
              <c:layout>
                <c:manualLayout>
                  <c:x val="-7.8558453613336281E-3"/>
                  <c:y val="0.25147822748291521"/>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D6D3-46F1-8652-CEB8BDB44FF3}"/>
                </c:ext>
              </c:extLst>
            </c:dLbl>
            <c:spPr>
              <a:noFill/>
              <a:ln>
                <a:noFill/>
              </a:ln>
              <a:effectLst/>
            </c:spPr>
            <c:txPr>
              <a:bodyPr rot="0" spcFirstLastPara="1" vertOverflow="ellipsis" vert="horz" wrap="square" lIns="38100" tIns="19050" rIns="38100" bIns="19050" anchor="ctr" anchorCtr="1">
                <a:spAutoFit/>
              </a:bodyPr>
              <a:lstStyle/>
              <a:p>
                <a:pPr>
                  <a:defRPr sz="16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'activities-percent-completed'!$A$4:$A$17</c:f>
              <c:strCache>
                <c:ptCount val="1"/>
                <c:pt idx="0">
                  <c:v>Supported Employment</c:v>
                </c:pt>
              </c:strCache>
              <c:extLst/>
            </c:strRef>
          </c:cat>
          <c:val>
            <c:numRef>
              <c:f>'activities-percent-completed'!$H$4:$H$17</c:f>
              <c:numCache>
                <c:formatCode>0%</c:formatCode>
                <c:ptCount val="1"/>
                <c:pt idx="0">
                  <c:v>0.33333333333333331</c:v>
                </c:pt>
              </c:numCache>
              <c:extLst/>
            </c:numRef>
          </c:val>
          <c:extLst>
            <c:ext xmlns:c16="http://schemas.microsoft.com/office/drawing/2014/chart" uri="{C3380CC4-5D6E-409C-BE32-E72D297353CC}">
              <c16:uniqueId val="{00000009-D6D3-46F1-8652-CEB8BDB44FF3}"/>
            </c:ext>
          </c:extLst>
        </c:ser>
        <c:ser>
          <c:idx val="7"/>
          <c:order val="7"/>
          <c:tx>
            <c:strRef>
              <c:f>'activities-percent-completed'!$I$3</c:f>
              <c:strCache>
                <c:ptCount val="1"/>
                <c:pt idx="0">
                  <c:v>10%</c:v>
                </c:pt>
              </c:strCache>
            </c:strRef>
          </c:tx>
          <c:spPr>
            <a:solidFill>
              <a:srgbClr val="3399FF"/>
            </a:solidFill>
            <a:ln>
              <a:noFill/>
            </a:ln>
            <a:effectLst/>
          </c:spPr>
          <c:invertIfNegative val="0"/>
          <c:dLbls>
            <c:delete val="1"/>
          </c:dLbls>
          <c:cat>
            <c:strRef>
              <c:f>'activities-percent-completed'!$A$4:$A$17</c:f>
              <c:strCache>
                <c:ptCount val="1"/>
                <c:pt idx="0">
                  <c:v>Supported Employment</c:v>
                </c:pt>
              </c:strCache>
              <c:extLst/>
            </c:strRef>
          </c:cat>
          <c:val>
            <c:numRef>
              <c:f>'activities-percent-completed'!$I$4:$I$17</c:f>
              <c:numCache>
                <c:formatCode>0%</c:formatCode>
                <c:ptCount val="1"/>
                <c:pt idx="0">
                  <c:v>0</c:v>
                </c:pt>
              </c:numCache>
              <c:extLst/>
            </c:numRef>
          </c:val>
          <c:extLst xmlns:c15="http://schemas.microsoft.com/office/drawing/2012/chart">
            <c:ext xmlns:c16="http://schemas.microsoft.com/office/drawing/2014/chart" uri="{C3380CC4-5D6E-409C-BE32-E72D297353CC}">
              <c16:uniqueId val="{0000000A-D6D3-46F1-8652-CEB8BDB44FF3}"/>
            </c:ext>
          </c:extLst>
        </c:ser>
        <c:ser>
          <c:idx val="8"/>
          <c:order val="8"/>
          <c:tx>
            <c:strRef>
              <c:f>'activities-percent-completed'!$J$3</c:f>
              <c:strCache>
                <c:ptCount val="1"/>
                <c:pt idx="0">
                  <c:v>Not started</c:v>
                </c:pt>
              </c:strCache>
            </c:strRef>
          </c:tx>
          <c:spPr>
            <a:solidFill>
              <a:srgbClr val="7030A0"/>
            </a:solidFill>
            <a:ln>
              <a:noFill/>
            </a:ln>
            <a:effectLst/>
          </c:spPr>
          <c:invertIfNegative val="0"/>
          <c:dLbls>
            <c:delete val="1"/>
          </c:dLbls>
          <c:cat>
            <c:strRef>
              <c:f>'activities-percent-completed'!$A$4:$A$17</c:f>
              <c:strCache>
                <c:ptCount val="1"/>
                <c:pt idx="0">
                  <c:v>Supported Employment</c:v>
                </c:pt>
              </c:strCache>
              <c:extLst/>
            </c:strRef>
          </c:cat>
          <c:val>
            <c:numRef>
              <c:f>'activities-percent-completed'!$J$4:$J$17</c:f>
              <c:numCache>
                <c:formatCode>0%</c:formatCode>
                <c:ptCount val="1"/>
                <c:pt idx="0">
                  <c:v>0</c:v>
                </c:pt>
              </c:numCache>
              <c:extLst/>
            </c:numRef>
          </c:val>
          <c:extLst xmlns:c15="http://schemas.microsoft.com/office/drawing/2012/chart">
            <c:ext xmlns:c16="http://schemas.microsoft.com/office/drawing/2014/chart" uri="{C3380CC4-5D6E-409C-BE32-E72D297353CC}">
              <c16:uniqueId val="{0000000B-D6D3-46F1-8652-CEB8BDB44FF3}"/>
            </c:ext>
          </c:extLst>
        </c:ser>
        <c:dLbls>
          <c:dLblPos val="ctr"/>
          <c:showLegendKey val="0"/>
          <c:showVal val="1"/>
          <c:showCatName val="0"/>
          <c:showSerName val="0"/>
          <c:showPercent val="0"/>
          <c:showBubbleSize val="0"/>
        </c:dLbls>
        <c:gapWidth val="79"/>
        <c:overlap val="100"/>
        <c:axId val="610520992"/>
        <c:axId val="610522632"/>
        <c:extLst>
          <c:ext xmlns:c15="http://schemas.microsoft.com/office/drawing/2012/chart" uri="{02D57815-91ED-43cb-92C2-25804820EDAC}">
            <c15:filteredBarSeries>
              <c15:ser>
                <c:idx val="0"/>
                <c:order val="0"/>
                <c:tx>
                  <c:strRef>
                    <c:extLst>
                      <c:ext uri="{02D57815-91ED-43cb-92C2-25804820EDAC}">
                        <c15:formulaRef>
                          <c15:sqref>'activities-percent-completed'!$B$3</c15:sqref>
                        </c15:formulaRef>
                      </c:ext>
                    </c:extLst>
                    <c:strCache>
                      <c:ptCount val="1"/>
                      <c:pt idx="0">
                        <c:v># of Total Activities</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showLeaderLines val="0"/>
                  <c:extLst>
                    <c:ext uri="{CE6537A1-D6FC-4f65-9D91-7224C49458BB}">
                      <c15:showLeaderLines val="1"/>
                      <c15:leaderLines>
                        <c:spPr>
                          <a:ln w="9525">
                            <a:solidFill>
                              <a:schemeClr val="tx1">
                                <a:lumMod val="35000"/>
                                <a:lumOff val="65000"/>
                              </a:schemeClr>
                            </a:solidFill>
                          </a:ln>
                          <a:effectLst/>
                        </c:spPr>
                      </c15:leaderLines>
                    </c:ext>
                  </c:extLst>
                </c:dLbls>
                <c:cat>
                  <c:strRef>
                    <c:extLst>
                      <c:ext uri="{02D57815-91ED-43cb-92C2-25804820EDAC}">
                        <c15:formulaRef>
                          <c15:sqref>'activities-percent-completed'!$A$4:$A$17</c15:sqref>
                        </c15:formulaRef>
                      </c:ext>
                    </c:extLst>
                    <c:strCache>
                      <c:ptCount val="1"/>
                      <c:pt idx="0">
                        <c:v>Supported Employment</c:v>
                      </c:pt>
                    </c:strCache>
                  </c:strRef>
                </c:cat>
                <c:val>
                  <c:numRef>
                    <c:extLst>
                      <c:ext uri="{02D57815-91ED-43cb-92C2-25804820EDAC}">
                        <c15:formulaRef>
                          <c15:sqref>'activities-percent-completed'!$B$4:$B$17</c15:sqref>
                        </c15:formulaRef>
                      </c:ext>
                    </c:extLst>
                    <c:numCache>
                      <c:formatCode>0</c:formatCode>
                      <c:ptCount val="1"/>
                      <c:pt idx="0">
                        <c:v>9</c:v>
                      </c:pt>
                    </c:numCache>
                  </c:numRef>
                </c:val>
                <c:extLst>
                  <c:ext xmlns:c16="http://schemas.microsoft.com/office/drawing/2014/chart" uri="{C3380CC4-5D6E-409C-BE32-E72D297353CC}">
                    <c16:uniqueId val="{0000000C-D6D3-46F1-8652-CEB8BDB44FF3}"/>
                  </c:ext>
                </c:extLst>
              </c15:ser>
            </c15:filteredBarSeries>
            <c15:filteredBarSeries>
              <c15:ser>
                <c:idx val="1"/>
                <c:order val="1"/>
                <c:tx>
                  <c:strRef>
                    <c:extLst xmlns:c15="http://schemas.microsoft.com/office/drawing/2012/chart">
                      <c:ext xmlns:c15="http://schemas.microsoft.com/office/drawing/2012/chart" uri="{02D57815-91ED-43cb-92C2-25804820EDAC}">
                        <c15:formulaRef>
                          <c15:sqref>'activities-percent-completed'!$C$3</c15:sqref>
                        </c15:formulaRef>
                      </c:ext>
                    </c:extLst>
                    <c:strCache>
                      <c:ptCount val="1"/>
                      <c:pt idx="0">
                        <c:v>Average Progress on Activities (%)</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extLst xmlns:c15="http://schemas.microsoft.com/office/drawing/2012/chart">
                      <c:ext xmlns:c15="http://schemas.microsoft.com/office/drawing/2012/chart" uri="{02D57815-91ED-43cb-92C2-25804820EDAC}">
                        <c15:formulaRef>
                          <c15:sqref>'activities-percent-completed'!$A$4:$A$17</c15:sqref>
                        </c15:formulaRef>
                      </c:ext>
                    </c:extLst>
                    <c:strCache>
                      <c:ptCount val="1"/>
                      <c:pt idx="0">
                        <c:v>Supported Employment</c:v>
                      </c:pt>
                    </c:strCache>
                  </c:strRef>
                </c:cat>
                <c:val>
                  <c:numRef>
                    <c:extLst xmlns:c15="http://schemas.microsoft.com/office/drawing/2012/chart">
                      <c:ext xmlns:c15="http://schemas.microsoft.com/office/drawing/2012/chart" uri="{02D57815-91ED-43cb-92C2-25804820EDAC}">
                        <c15:formulaRef>
                          <c15:sqref>'activities-percent-completed'!$C$4:$C$17</c15:sqref>
                        </c15:formulaRef>
                      </c:ext>
                    </c:extLst>
                    <c:numCache>
                      <c:formatCode>0%</c:formatCode>
                      <c:ptCount val="1"/>
                      <c:pt idx="0">
                        <c:v>0.58888888888888891</c:v>
                      </c:pt>
                    </c:numCache>
                  </c:numRef>
                </c:val>
                <c:extLst xmlns:c15="http://schemas.microsoft.com/office/drawing/2012/chart">
                  <c:ext xmlns:c16="http://schemas.microsoft.com/office/drawing/2014/chart" uri="{C3380CC4-5D6E-409C-BE32-E72D297353CC}">
                    <c16:uniqueId val="{0000000D-D6D3-46F1-8652-CEB8BDB44FF3}"/>
                  </c:ext>
                </c:extLst>
              </c15:ser>
            </c15:filteredBarSeries>
            <c15:filteredBarSeries>
              <c15:ser>
                <c:idx val="9"/>
                <c:order val="9"/>
                <c:tx>
                  <c:strRef>
                    <c:extLst xmlns:c15="http://schemas.microsoft.com/office/drawing/2012/chart">
                      <c:ext xmlns:c15="http://schemas.microsoft.com/office/drawing/2012/chart" uri="{02D57815-91ED-43cb-92C2-25804820EDAC}">
                        <c15:formulaRef>
                          <c15:sqref>'activities-percent-completed'!$K$3</c15:sqref>
                        </c15:formulaRef>
                      </c:ext>
                    </c:extLst>
                    <c:strCache>
                      <c:ptCount val="1"/>
                      <c:pt idx="0">
                        <c:v>In Progress</c:v>
                      </c:pt>
                    </c:strCache>
                  </c:strRef>
                </c:tx>
                <c:spPr>
                  <a:solidFill>
                    <a:schemeClr val="accent4">
                      <a:lumMod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en-US"/>
                    </a:p>
                  </c:txPr>
                  <c:dLblPos val="ct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extLst xmlns:c15="http://schemas.microsoft.com/office/drawing/2012/chart">
                      <c:ext xmlns:c15="http://schemas.microsoft.com/office/drawing/2012/chart" uri="{02D57815-91ED-43cb-92C2-25804820EDAC}">
                        <c15:formulaRef>
                          <c15:sqref>'activities-percent-completed'!$A$4:$A$17</c15:sqref>
                        </c15:formulaRef>
                      </c:ext>
                    </c:extLst>
                    <c:strCache>
                      <c:ptCount val="1"/>
                      <c:pt idx="0">
                        <c:v>Supported Employment</c:v>
                      </c:pt>
                    </c:strCache>
                  </c:strRef>
                </c:cat>
                <c:val>
                  <c:numRef>
                    <c:extLst xmlns:c15="http://schemas.microsoft.com/office/drawing/2012/chart">
                      <c:ext xmlns:c15="http://schemas.microsoft.com/office/drawing/2012/chart" uri="{02D57815-91ED-43cb-92C2-25804820EDAC}">
                        <c15:formulaRef>
                          <c15:sqref>'activities-percent-completed'!$K$4:$K$17</c15:sqref>
                        </c15:formulaRef>
                      </c:ext>
                    </c:extLst>
                    <c:numCache>
                      <c:formatCode>0%</c:formatCode>
                      <c:ptCount val="1"/>
                      <c:pt idx="0">
                        <c:v>0.88888888888888884</c:v>
                      </c:pt>
                    </c:numCache>
                  </c:numRef>
                </c:val>
                <c:extLst xmlns:c15="http://schemas.microsoft.com/office/drawing/2012/chart">
                  <c:ext xmlns:c16="http://schemas.microsoft.com/office/drawing/2014/chart" uri="{C3380CC4-5D6E-409C-BE32-E72D297353CC}">
                    <c16:uniqueId val="{0000000E-D6D3-46F1-8652-CEB8BDB44FF3}"/>
                  </c:ext>
                </c:extLst>
              </c15:ser>
            </c15:filteredBarSeries>
          </c:ext>
        </c:extLst>
      </c:barChart>
      <c:catAx>
        <c:axId val="610520992"/>
        <c:scaling>
          <c:orientation val="minMax"/>
        </c:scaling>
        <c:delete val="1"/>
        <c:axPos val="l"/>
        <c:majorGridlines>
          <c:spPr>
            <a:ln w="9525" cap="flat" cmpd="sng" algn="ctr">
              <a:solidFill>
                <a:schemeClr val="tx1">
                  <a:lumMod val="15000"/>
                  <a:lumOff val="85000"/>
                </a:schemeClr>
              </a:solidFill>
              <a:round/>
            </a:ln>
            <a:effectLst/>
          </c:spPr>
        </c:majorGridlines>
        <c:minorGridlines>
          <c:spPr>
            <a:ln>
              <a:solidFill>
                <a:schemeClr val="tx1">
                  <a:lumMod val="5000"/>
                  <a:lumOff val="95000"/>
                </a:schemeClr>
              </a:solidFill>
            </a:ln>
            <a:effectLst/>
          </c:spPr>
        </c:minorGridlines>
        <c:numFmt formatCode="General" sourceLinked="1"/>
        <c:majorTickMark val="out"/>
        <c:minorTickMark val="none"/>
        <c:tickLblPos val="nextTo"/>
        <c:crossAx val="610522632"/>
        <c:crosses val="autoZero"/>
        <c:auto val="1"/>
        <c:lblAlgn val="ctr"/>
        <c:lblOffset val="100"/>
        <c:noMultiLvlLbl val="0"/>
      </c:catAx>
      <c:valAx>
        <c:axId val="610522632"/>
        <c:scaling>
          <c:orientation val="minMax"/>
          <c:max val="1"/>
        </c:scaling>
        <c:delete val="0"/>
        <c:axPos val="b"/>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10520992"/>
        <c:crosses val="autoZero"/>
        <c:crossBetween val="between"/>
      </c:valAx>
      <c:spPr>
        <a:noFill/>
        <a:ln>
          <a:noFill/>
        </a:ln>
        <a:effectLst/>
      </c:spPr>
    </c:plotArea>
    <c:legend>
      <c:legendPos val="t"/>
      <c:layout>
        <c:manualLayout>
          <c:xMode val="edge"/>
          <c:yMode val="edge"/>
          <c:x val="0.13182108486439195"/>
          <c:y val="0.89069655667570569"/>
          <c:w val="0.75313480045763515"/>
          <c:h val="0.10930366312906539"/>
        </c:manualLayout>
      </c:layout>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4"/>
    </mc:Choice>
    <mc:Fallback>
      <c:style val="4"/>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Topic Area - Supported Employment  Activity #1</a:t>
            </a:r>
          </a:p>
        </c:rich>
      </c:tx>
      <c:layout>
        <c:manualLayout>
          <c:xMode val="edge"/>
          <c:yMode val="edge"/>
          <c:x val="0.20401584330345343"/>
          <c:y val="0"/>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6017916604892113"/>
          <c:y val="0.23265365094271845"/>
          <c:w val="0.78942722632790041"/>
          <c:h val="0.66602748393145406"/>
        </c:manualLayout>
      </c:layout>
      <c:barChart>
        <c:barDir val="col"/>
        <c:grouping val="percentStacked"/>
        <c:varyColors val="0"/>
        <c:ser>
          <c:idx val="3"/>
          <c:order val="3"/>
          <c:tx>
            <c:strRef>
              <c:f>'individual-chart-se'!$F$2</c:f>
              <c:strCache>
                <c:ptCount val="1"/>
                <c:pt idx="0">
                  <c:v>Completed</c:v>
                </c:pt>
              </c:strCache>
            </c:strRef>
          </c:tx>
          <c:spPr>
            <a:solidFill>
              <a:srgbClr val="99221F"/>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600" b="0"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'individual-chart-se'!$B$3:$B$26</c:f>
              <c:strCache>
                <c:ptCount val="2"/>
                <c:pt idx="0">
                  <c:v>Activity</c:v>
                </c:pt>
                <c:pt idx="1">
                  <c:v>Outputs</c:v>
                </c:pt>
              </c:strCache>
              <c:extLst/>
            </c:strRef>
          </c:cat>
          <c:val>
            <c:numRef>
              <c:f>'individual-chart-se'!$F$3:$F$26</c:f>
              <c:numCache>
                <c:formatCode>0%</c:formatCode>
                <c:ptCount val="2"/>
                <c:pt idx="0">
                  <c:v>1</c:v>
                </c:pt>
                <c:pt idx="1">
                  <c:v>1</c:v>
                </c:pt>
              </c:numCache>
              <c:extLst/>
            </c:numRef>
          </c:val>
          <c:extLst>
            <c:ext xmlns:c16="http://schemas.microsoft.com/office/drawing/2014/chart" uri="{C3380CC4-5D6E-409C-BE32-E72D297353CC}">
              <c16:uniqueId val="{00000000-C40F-40A1-8112-00A630BA6264}"/>
            </c:ext>
          </c:extLst>
        </c:ser>
        <c:ser>
          <c:idx val="4"/>
          <c:order val="4"/>
          <c:tx>
            <c:strRef>
              <c:f>'individual-chart-se'!$G$2</c:f>
              <c:strCache>
                <c:ptCount val="1"/>
                <c:pt idx="0">
                  <c:v>90%</c:v>
                </c:pt>
              </c:strCache>
            </c:strRef>
          </c:tx>
          <c:spPr>
            <a:solidFill>
              <a:srgbClr val="D73D39"/>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'individual-chart-se'!$B$3:$B$26</c:f>
              <c:strCache>
                <c:ptCount val="2"/>
                <c:pt idx="0">
                  <c:v>Activity</c:v>
                </c:pt>
                <c:pt idx="1">
                  <c:v>Outputs</c:v>
                </c:pt>
              </c:strCache>
              <c:extLst/>
            </c:strRef>
          </c:cat>
          <c:val>
            <c:numRef>
              <c:f>'individual-chart-se'!$G$3:$G$26</c:f>
              <c:numCache>
                <c:formatCode>General</c:formatCode>
                <c:ptCount val="2"/>
              </c:numCache>
              <c:extLst/>
            </c:numRef>
          </c:val>
          <c:extLst>
            <c:ext xmlns:c16="http://schemas.microsoft.com/office/drawing/2014/chart" uri="{C3380CC4-5D6E-409C-BE32-E72D297353CC}">
              <c16:uniqueId val="{00000001-C40F-40A1-8112-00A630BA6264}"/>
            </c:ext>
          </c:extLst>
        </c:ser>
        <c:ser>
          <c:idx val="5"/>
          <c:order val="5"/>
          <c:tx>
            <c:strRef>
              <c:f>'individual-chart-se'!$H$2</c:f>
              <c:strCache>
                <c:ptCount val="1"/>
                <c:pt idx="0">
                  <c:v>75%</c:v>
                </c:pt>
              </c:strCache>
            </c:strRef>
          </c:tx>
          <c:spPr>
            <a:solidFill>
              <a:srgbClr val="DC5350"/>
            </a:solidFill>
            <a:ln>
              <a:noFill/>
            </a:ln>
            <a:effectLst/>
          </c:spPr>
          <c:invertIfNegative val="0"/>
          <c:dLbls>
            <c:dLbl>
              <c:idx val="0"/>
              <c:layout>
                <c:manualLayout>
                  <c:x val="-0.16034329698284056"/>
                  <c:y val="7.9207920792078723E-3"/>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C40F-40A1-8112-00A630BA6264}"/>
                </c:ext>
              </c:extLst>
            </c:dLbl>
            <c:dLbl>
              <c:idx val="1"/>
              <c:layout>
                <c:manualLayout>
                  <c:x val="-0.15118082286953546"/>
                  <c:y val="-4.840428131366017E-17"/>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C40F-40A1-8112-00A630BA6264}"/>
                </c:ext>
              </c:extLst>
            </c:dLbl>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'individual-chart-se'!$B$3:$B$26</c:f>
              <c:strCache>
                <c:ptCount val="2"/>
                <c:pt idx="0">
                  <c:v>Activity</c:v>
                </c:pt>
                <c:pt idx="1">
                  <c:v>Outputs</c:v>
                </c:pt>
              </c:strCache>
              <c:extLst/>
            </c:strRef>
          </c:cat>
          <c:val>
            <c:numRef>
              <c:f>'individual-chart-se'!$H$3:$H$26</c:f>
              <c:numCache>
                <c:formatCode>General</c:formatCode>
                <c:ptCount val="2"/>
              </c:numCache>
              <c:extLst/>
            </c:numRef>
          </c:val>
          <c:extLst>
            <c:ext xmlns:c16="http://schemas.microsoft.com/office/drawing/2014/chart" uri="{C3380CC4-5D6E-409C-BE32-E72D297353CC}">
              <c16:uniqueId val="{00000004-C40F-40A1-8112-00A630BA6264}"/>
            </c:ext>
          </c:extLst>
        </c:ser>
        <c:ser>
          <c:idx val="6"/>
          <c:order val="6"/>
          <c:tx>
            <c:strRef>
              <c:f>'individual-chart-se'!$I$2</c:f>
              <c:strCache>
                <c:ptCount val="1"/>
                <c:pt idx="0">
                  <c:v>50%</c:v>
                </c:pt>
              </c:strCache>
            </c:strRef>
          </c:tx>
          <c:spPr>
            <a:solidFill>
              <a:srgbClr val="EBA19F"/>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'individual-chart-se'!$B$3:$B$26</c:f>
              <c:strCache>
                <c:ptCount val="2"/>
                <c:pt idx="0">
                  <c:v>Activity</c:v>
                </c:pt>
                <c:pt idx="1">
                  <c:v>Outputs</c:v>
                </c:pt>
              </c:strCache>
              <c:extLst/>
            </c:strRef>
          </c:cat>
          <c:val>
            <c:numRef>
              <c:f>'individual-chart-se'!$I$3:$I$26</c:f>
              <c:numCache>
                <c:formatCode>General</c:formatCode>
                <c:ptCount val="2"/>
              </c:numCache>
              <c:extLst/>
            </c:numRef>
          </c:val>
          <c:extLst>
            <c:ext xmlns:c16="http://schemas.microsoft.com/office/drawing/2014/chart" uri="{C3380CC4-5D6E-409C-BE32-E72D297353CC}">
              <c16:uniqueId val="{00000005-C40F-40A1-8112-00A630BA6264}"/>
            </c:ext>
          </c:extLst>
        </c:ser>
        <c:ser>
          <c:idx val="7"/>
          <c:order val="7"/>
          <c:tx>
            <c:strRef>
              <c:f>'individual-chart-se'!$J$2</c:f>
              <c:strCache>
                <c:ptCount val="1"/>
                <c:pt idx="0">
                  <c:v>25%</c:v>
                </c:pt>
              </c:strCache>
            </c:strRef>
          </c:tx>
          <c:spPr>
            <a:solidFill>
              <a:srgbClr val="F3C6C5"/>
            </a:solidFill>
            <a:ln>
              <a:noFill/>
            </a:ln>
            <a:effectLst/>
          </c:spPr>
          <c:invertIfNegative val="0"/>
          <c:dLbls>
            <c:dLbl>
              <c:idx val="0"/>
              <c:layout>
                <c:manualLayout>
                  <c:x val="-0.17408700815279832"/>
                  <c:y val="0"/>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C40F-40A1-8112-00A630BA6264}"/>
                </c:ext>
              </c:extLst>
            </c:dLbl>
            <c:dLbl>
              <c:idx val="1"/>
              <c:layout>
                <c:manualLayout>
                  <c:x val="-0.16034329698284064"/>
                  <c:y val="0"/>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C40F-40A1-8112-00A630BA6264}"/>
                </c:ext>
              </c:extLst>
            </c:dLbl>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'individual-chart-se'!$B$3:$B$26</c:f>
              <c:strCache>
                <c:ptCount val="2"/>
                <c:pt idx="0">
                  <c:v>Activity</c:v>
                </c:pt>
                <c:pt idx="1">
                  <c:v>Outputs</c:v>
                </c:pt>
              </c:strCache>
              <c:extLst/>
            </c:strRef>
          </c:cat>
          <c:val>
            <c:numRef>
              <c:f>'individual-chart-se'!$J$3:$J$26</c:f>
              <c:numCache>
                <c:formatCode>General</c:formatCode>
                <c:ptCount val="2"/>
              </c:numCache>
              <c:extLst/>
            </c:numRef>
          </c:val>
          <c:extLst>
            <c:ext xmlns:c16="http://schemas.microsoft.com/office/drawing/2014/chart" uri="{C3380CC4-5D6E-409C-BE32-E72D297353CC}">
              <c16:uniqueId val="{00000008-C40F-40A1-8112-00A630BA6264}"/>
            </c:ext>
          </c:extLst>
        </c:ser>
        <c:ser>
          <c:idx val="8"/>
          <c:order val="8"/>
          <c:tx>
            <c:strRef>
              <c:f>'individual-chart-se'!$K$2</c:f>
              <c:strCache>
                <c:ptCount val="1"/>
                <c:pt idx="0">
                  <c:v>10%</c:v>
                </c:pt>
              </c:strCache>
            </c:strRef>
          </c:tx>
          <c:spPr>
            <a:solidFill>
              <a:schemeClr val="accent2">
                <a:tint val="56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'individual-chart-se'!$B$3:$B$26</c:f>
              <c:strCache>
                <c:ptCount val="2"/>
                <c:pt idx="0">
                  <c:v>Activity</c:v>
                </c:pt>
                <c:pt idx="1">
                  <c:v>Outputs</c:v>
                </c:pt>
              </c:strCache>
              <c:extLst/>
            </c:strRef>
          </c:cat>
          <c:val>
            <c:numRef>
              <c:f>'individual-chart-se'!$K$3:$K$26</c:f>
              <c:numCache>
                <c:formatCode>General</c:formatCode>
                <c:ptCount val="2"/>
              </c:numCache>
              <c:extLst/>
            </c:numRef>
          </c:val>
          <c:extLst>
            <c:ext xmlns:c16="http://schemas.microsoft.com/office/drawing/2014/chart" uri="{C3380CC4-5D6E-409C-BE32-E72D297353CC}">
              <c16:uniqueId val="{00000009-C40F-40A1-8112-00A630BA6264}"/>
            </c:ext>
          </c:extLst>
        </c:ser>
        <c:ser>
          <c:idx val="9"/>
          <c:order val="9"/>
          <c:tx>
            <c:strRef>
              <c:f>'individual-chart-se'!$L$2</c:f>
              <c:strCache>
                <c:ptCount val="1"/>
                <c:pt idx="0">
                  <c:v>Not Started</c:v>
                </c:pt>
              </c:strCache>
            </c:strRef>
          </c:tx>
          <c:spPr>
            <a:solidFill>
              <a:srgbClr val="FCF2F2"/>
            </a:solidFill>
            <a:ln>
              <a:noFill/>
            </a:ln>
            <a:effectLst/>
          </c:spPr>
          <c:invertIfNegative val="0"/>
          <c:dLbls>
            <c:dLbl>
              <c:idx val="1"/>
              <c:layout>
                <c:manualLayout>
                  <c:x val="-0.14659958581288288"/>
                  <c:y val="0"/>
                </c:manualLayout>
              </c:layout>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C40F-40A1-8112-00A630BA6264}"/>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'individual-chart-se'!$B$3:$B$26</c:f>
              <c:strCache>
                <c:ptCount val="2"/>
                <c:pt idx="0">
                  <c:v>Activity</c:v>
                </c:pt>
                <c:pt idx="1">
                  <c:v>Outputs</c:v>
                </c:pt>
              </c:strCache>
              <c:extLst/>
            </c:strRef>
          </c:cat>
          <c:val>
            <c:numRef>
              <c:f>'individual-chart-se'!$L$3:$L$26</c:f>
              <c:numCache>
                <c:formatCode>General</c:formatCode>
                <c:ptCount val="2"/>
              </c:numCache>
              <c:extLst/>
            </c:numRef>
          </c:val>
          <c:extLst>
            <c:ext xmlns:c16="http://schemas.microsoft.com/office/drawing/2014/chart" uri="{C3380CC4-5D6E-409C-BE32-E72D297353CC}">
              <c16:uniqueId val="{0000000B-C40F-40A1-8112-00A630BA6264}"/>
            </c:ext>
          </c:extLst>
        </c:ser>
        <c:dLbls>
          <c:dLblPos val="ctr"/>
          <c:showLegendKey val="0"/>
          <c:showVal val="1"/>
          <c:showCatName val="0"/>
          <c:showSerName val="0"/>
          <c:showPercent val="0"/>
          <c:showBubbleSize val="0"/>
        </c:dLbls>
        <c:gapWidth val="150"/>
        <c:overlap val="100"/>
        <c:axId val="790958128"/>
        <c:axId val="790961408"/>
        <c:extLst>
          <c:ext xmlns:c15="http://schemas.microsoft.com/office/drawing/2012/chart" uri="{02D57815-91ED-43cb-92C2-25804820EDAC}">
            <c15:filteredBarSeries>
              <c15:ser>
                <c:idx val="0"/>
                <c:order val="0"/>
                <c:tx>
                  <c:strRef>
                    <c:extLst>
                      <c:ext uri="{02D57815-91ED-43cb-92C2-25804820EDAC}">
                        <c15:formulaRef>
                          <c15:sqref>'individual-chart-se'!$C$2</c15:sqref>
                        </c15:formulaRef>
                      </c:ext>
                    </c:extLst>
                    <c:strCache>
                      <c:ptCount val="1"/>
                      <c:pt idx="0">
                        <c:v>Completed</c:v>
                      </c:pt>
                    </c:strCache>
                  </c:strRef>
                </c:tx>
                <c:spPr>
                  <a:solidFill>
                    <a:schemeClr val="accent2">
                      <a:shade val="42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c:ext uri="{02D57815-91ED-43cb-92C2-25804820EDAC}">
                        <c15:formulaRef>
                          <c15:sqref>'individual-chart-se'!$B$3:$B$26</c15:sqref>
                        </c15:formulaRef>
                      </c:ext>
                    </c:extLst>
                    <c:strCache>
                      <c:ptCount val="2"/>
                      <c:pt idx="0">
                        <c:v>Activity</c:v>
                      </c:pt>
                      <c:pt idx="1">
                        <c:v>Outputs</c:v>
                      </c:pt>
                    </c:strCache>
                  </c:strRef>
                </c:cat>
                <c:val>
                  <c:numRef>
                    <c:extLst>
                      <c:ext uri="{02D57815-91ED-43cb-92C2-25804820EDAC}">
                        <c15:formulaRef>
                          <c15:sqref>'individual-chart-se'!$C$3:$C$26</c15:sqref>
                        </c15:formulaRef>
                      </c:ext>
                    </c:extLst>
                    <c:numCache>
                      <c:formatCode>0%</c:formatCode>
                      <c:ptCount val="2"/>
                      <c:pt idx="0">
                        <c:v>1</c:v>
                      </c:pt>
                      <c:pt idx="1">
                        <c:v>1</c:v>
                      </c:pt>
                    </c:numCache>
                  </c:numRef>
                </c:val>
                <c:extLst>
                  <c:ext xmlns:c16="http://schemas.microsoft.com/office/drawing/2014/chart" uri="{C3380CC4-5D6E-409C-BE32-E72D297353CC}">
                    <c16:uniqueId val="{0000000C-C40F-40A1-8112-00A630BA6264}"/>
                  </c:ext>
                </c:extLst>
              </c15:ser>
            </c15:filteredBarSeries>
            <c15:filteredBarSeries>
              <c15:ser>
                <c:idx val="1"/>
                <c:order val="1"/>
                <c:tx>
                  <c:strRef>
                    <c:extLst xmlns:c15="http://schemas.microsoft.com/office/drawing/2012/chart">
                      <c:ext xmlns:c15="http://schemas.microsoft.com/office/drawing/2012/chart" uri="{02D57815-91ED-43cb-92C2-25804820EDAC}">
                        <c15:formulaRef>
                          <c15:sqref>'individual-chart-se'!$D$2</c15:sqref>
                        </c15:formulaRef>
                      </c:ext>
                    </c:extLst>
                    <c:strCache>
                      <c:ptCount val="1"/>
                      <c:pt idx="0">
                        <c:v>In progress</c:v>
                      </c:pt>
                    </c:strCache>
                  </c:strRef>
                </c:tx>
                <c:spPr>
                  <a:solidFill>
                    <a:schemeClr val="accent2">
                      <a:shade val="5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'individual-chart-se'!$B$3:$B$26</c15:sqref>
                        </c15:formulaRef>
                      </c:ext>
                    </c:extLst>
                    <c:strCache>
                      <c:ptCount val="2"/>
                      <c:pt idx="0">
                        <c:v>Activity</c:v>
                      </c:pt>
                      <c:pt idx="1">
                        <c:v>Outputs</c:v>
                      </c:pt>
                    </c:strCache>
                  </c:strRef>
                </c:cat>
                <c:val>
                  <c:numRef>
                    <c:extLst xmlns:c15="http://schemas.microsoft.com/office/drawing/2012/chart">
                      <c:ext xmlns:c15="http://schemas.microsoft.com/office/drawing/2012/chart" uri="{02D57815-91ED-43cb-92C2-25804820EDAC}">
                        <c15:formulaRef>
                          <c15:sqref>'individual-chart-se'!$D$3:$D$26</c15:sqref>
                        </c15:formulaRef>
                      </c:ext>
                    </c:extLst>
                    <c:numCache>
                      <c:formatCode>General</c:formatCode>
                      <c:ptCount val="2"/>
                    </c:numCache>
                  </c:numRef>
                </c:val>
                <c:extLst xmlns:c15="http://schemas.microsoft.com/office/drawing/2012/chart">
                  <c:ext xmlns:c16="http://schemas.microsoft.com/office/drawing/2014/chart" uri="{C3380CC4-5D6E-409C-BE32-E72D297353CC}">
                    <c16:uniqueId val="{0000000D-C40F-40A1-8112-00A630BA6264}"/>
                  </c:ext>
                </c:extLst>
              </c15:ser>
            </c15:filteredBarSeries>
            <c15:filteredBarSeries>
              <c15:ser>
                <c:idx val="2"/>
                <c:order val="2"/>
                <c:tx>
                  <c:strRef>
                    <c:extLst xmlns:c15="http://schemas.microsoft.com/office/drawing/2012/chart">
                      <c:ext xmlns:c15="http://schemas.microsoft.com/office/drawing/2012/chart" uri="{02D57815-91ED-43cb-92C2-25804820EDAC}">
                        <c15:formulaRef>
                          <c15:sqref>'individual-chart-se'!$E$2</c15:sqref>
                        </c15:formulaRef>
                      </c:ext>
                    </c:extLst>
                    <c:strCache>
                      <c:ptCount val="1"/>
                      <c:pt idx="0">
                        <c:v>Not started</c:v>
                      </c:pt>
                    </c:strCache>
                  </c:strRef>
                </c:tx>
                <c:spPr>
                  <a:solidFill>
                    <a:schemeClr val="accent2">
                      <a:shade val="68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'individual-chart-se'!$B$3:$B$26</c15:sqref>
                        </c15:formulaRef>
                      </c:ext>
                    </c:extLst>
                    <c:strCache>
                      <c:ptCount val="2"/>
                      <c:pt idx="0">
                        <c:v>Activity</c:v>
                      </c:pt>
                      <c:pt idx="1">
                        <c:v>Outputs</c:v>
                      </c:pt>
                    </c:strCache>
                  </c:strRef>
                </c:cat>
                <c:val>
                  <c:numRef>
                    <c:extLst xmlns:c15="http://schemas.microsoft.com/office/drawing/2012/chart">
                      <c:ext xmlns:c15="http://schemas.microsoft.com/office/drawing/2012/chart" uri="{02D57815-91ED-43cb-92C2-25804820EDAC}">
                        <c15:formulaRef>
                          <c15:sqref>'individual-chart-se'!$E$3:$E$26</c15:sqref>
                        </c15:formulaRef>
                      </c:ext>
                    </c:extLst>
                    <c:numCache>
                      <c:formatCode>General</c:formatCode>
                      <c:ptCount val="2"/>
                    </c:numCache>
                  </c:numRef>
                </c:val>
                <c:extLst xmlns:c15="http://schemas.microsoft.com/office/drawing/2012/chart">
                  <c:ext xmlns:c16="http://schemas.microsoft.com/office/drawing/2014/chart" uri="{C3380CC4-5D6E-409C-BE32-E72D297353CC}">
                    <c16:uniqueId val="{0000000E-C40F-40A1-8112-00A630BA6264}"/>
                  </c:ext>
                </c:extLst>
              </c15:ser>
            </c15:filteredBarSeries>
          </c:ext>
        </c:extLst>
      </c:barChart>
      <c:catAx>
        <c:axId val="7909581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n-US"/>
          </a:p>
        </c:txPr>
        <c:crossAx val="790961408"/>
        <c:crosses val="autoZero"/>
        <c:auto val="1"/>
        <c:lblAlgn val="ctr"/>
        <c:lblOffset val="100"/>
        <c:noMultiLvlLbl val="0"/>
      </c:catAx>
      <c:valAx>
        <c:axId val="790961408"/>
        <c:scaling>
          <c:orientation val="minMax"/>
          <c:min val="0"/>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90958128"/>
        <c:crossesAt val="1"/>
        <c:crossBetween val="between"/>
      </c:valAx>
      <c:spPr>
        <a:noFill/>
        <a:ln>
          <a:noFill/>
        </a:ln>
        <a:effectLst/>
      </c:spPr>
    </c:plotArea>
    <c:legend>
      <c:legendPos val="t"/>
      <c:layout>
        <c:manualLayout>
          <c:xMode val="edge"/>
          <c:yMode val="edge"/>
          <c:x val="0.16878354491402861"/>
          <c:y val="0.14071530758226036"/>
          <c:w val="0.78488188976377948"/>
          <c:h val="8.3691663005643596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userShapes r:id="rId5"/>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800" b="1" i="0" cap="all" baseline="0">
                <a:effectLst/>
              </a:rPr>
              <a:t>Intensive TA outcomes Progress  </a:t>
            </a:r>
            <a:br>
              <a:rPr lang="en-US" sz="1800" b="1" i="0" cap="all" baseline="0">
                <a:effectLst/>
              </a:rPr>
            </a:br>
            <a:r>
              <a:rPr lang="en-US" sz="1800" b="1" i="0" cap="all" baseline="0">
                <a:effectLst/>
              </a:rPr>
              <a:t>All Activities</a:t>
            </a:r>
            <a:endParaRPr lang="en-US">
              <a:effectLst/>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6.2370112389797429E-2"/>
          <c:y val="0.55941116056145146"/>
          <c:w val="0.90331903223635512"/>
          <c:h val="0.40104447418381001"/>
        </c:manualLayout>
      </c:layout>
      <c:barChart>
        <c:barDir val="bar"/>
        <c:grouping val="stacked"/>
        <c:varyColors val="0"/>
        <c:ser>
          <c:idx val="23"/>
          <c:order val="23"/>
          <c:tx>
            <c:strRef>
              <c:f>'activities-data'!$Y$3</c:f>
              <c:strCache>
                <c:ptCount val="1"/>
                <c:pt idx="0">
                  <c:v>Completed</c:v>
                </c:pt>
              </c:strCache>
              <c:extLst xmlns:c15="http://schemas.microsoft.com/office/drawing/2012/chart"/>
            </c:strRef>
          </c:tx>
          <c:spPr>
            <a:solidFill>
              <a:schemeClr val="accent6">
                <a:lumMod val="80000"/>
              </a:schemeClr>
            </a:solidFill>
            <a:ln>
              <a:noFill/>
            </a:ln>
            <a:effectLst/>
          </c:spPr>
          <c:invertIfNegative val="0"/>
          <c:dPt>
            <c:idx val="0"/>
            <c:invertIfNegative val="0"/>
            <c:bubble3D val="0"/>
            <c:spPr>
              <a:solidFill>
                <a:srgbClr val="C00000"/>
              </a:solidFill>
              <a:ln>
                <a:noFill/>
              </a:ln>
              <a:effectLst/>
            </c:spPr>
            <c:extLst>
              <c:ext xmlns:c16="http://schemas.microsoft.com/office/drawing/2014/chart" uri="{C3380CC4-5D6E-409C-BE32-E72D297353CC}">
                <c16:uniqueId val="{00000001-A203-4AC4-9346-E329F03EFBC9}"/>
              </c:ext>
            </c:extLst>
          </c:dPt>
          <c:dLbls>
            <c:dLbl>
              <c:idx val="0"/>
              <c:layout>
                <c:manualLayout>
                  <c:x val="-3.9173336640061513E-17"/>
                  <c:y val="-0.13175230566534915"/>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A203-4AC4-9346-E329F03EFBC9}"/>
                </c:ext>
              </c:extLst>
            </c:dLbl>
            <c:spPr>
              <a:noFill/>
              <a:ln>
                <a:noFill/>
              </a:ln>
              <a:effectLst/>
            </c:spPr>
            <c:txPr>
              <a:bodyPr rot="0" spcFirstLastPara="1" vertOverflow="ellipsis" vert="horz" wrap="square" lIns="38100" tIns="19050" rIns="38100" bIns="19050" anchor="ctr" anchorCtr="1">
                <a:spAutoFit/>
              </a:bodyPr>
              <a:lstStyle/>
              <a:p>
                <a:pPr>
                  <a:defRPr sz="16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'activities-data'!$A$4:$A$18</c:f>
              <c:strCache>
                <c:ptCount val="1"/>
                <c:pt idx="0">
                  <c:v>All</c:v>
                </c:pt>
              </c:strCache>
              <c:extLst/>
            </c:strRef>
          </c:cat>
          <c:val>
            <c:numRef>
              <c:f>'activities-data'!$Y$4:$Y$18</c:f>
              <c:numCache>
                <c:formatCode>0%</c:formatCode>
                <c:ptCount val="1"/>
                <c:pt idx="0">
                  <c:v>0.39017341040462428</c:v>
                </c:pt>
              </c:numCache>
              <c:extLst/>
            </c:numRef>
          </c:val>
          <c:extLst>
            <c:ext xmlns:c16="http://schemas.microsoft.com/office/drawing/2014/chart" uri="{C3380CC4-5D6E-409C-BE32-E72D297353CC}">
              <c16:uniqueId val="{00000002-A203-4AC4-9346-E329F03EFBC9}"/>
            </c:ext>
          </c:extLst>
        </c:ser>
        <c:ser>
          <c:idx val="24"/>
          <c:order val="24"/>
          <c:tx>
            <c:strRef>
              <c:f>'activities-data'!$Z$3</c:f>
              <c:strCache>
                <c:ptCount val="1"/>
                <c:pt idx="0">
                  <c:v>90%</c:v>
                </c:pt>
              </c:strCache>
              <c:extLst xmlns:c15="http://schemas.microsoft.com/office/drawing/2012/chart"/>
            </c:strRef>
          </c:tx>
          <c:spPr>
            <a:solidFill>
              <a:srgbClr val="FFC000"/>
            </a:solidFill>
            <a:ln>
              <a:noFill/>
            </a:ln>
            <a:effectLst/>
          </c:spPr>
          <c:invertIfNegative val="0"/>
          <c:dLbls>
            <c:dLbl>
              <c:idx val="0"/>
              <c:layout>
                <c:manualLayout>
                  <c:x val="-7.8346673280123027E-17"/>
                  <c:y val="-0.14756216737729919"/>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A203-4AC4-9346-E329F03EFBC9}"/>
                </c:ext>
              </c:extLst>
            </c:dLbl>
            <c:spPr>
              <a:noFill/>
              <a:ln>
                <a:noFill/>
              </a:ln>
              <a:effectLst/>
            </c:spPr>
            <c:txPr>
              <a:bodyPr rot="0" spcFirstLastPara="1" vertOverflow="ellipsis" vert="horz" wrap="square" lIns="38100" tIns="19050" rIns="38100" bIns="19050" anchor="ctr" anchorCtr="1">
                <a:spAutoFit/>
              </a:bodyPr>
              <a:lstStyle/>
              <a:p>
                <a:pPr>
                  <a:defRPr sz="16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'activities-data'!$A$4:$A$18</c:f>
              <c:strCache>
                <c:ptCount val="1"/>
                <c:pt idx="0">
                  <c:v>All</c:v>
                </c:pt>
              </c:strCache>
              <c:extLst/>
            </c:strRef>
          </c:cat>
          <c:val>
            <c:numRef>
              <c:f>'activities-data'!$Z$4:$Z$18</c:f>
              <c:numCache>
                <c:formatCode>0%</c:formatCode>
                <c:ptCount val="1"/>
                <c:pt idx="0">
                  <c:v>2.6011560693641619E-2</c:v>
                </c:pt>
              </c:numCache>
              <c:extLst/>
            </c:numRef>
          </c:val>
          <c:extLst>
            <c:ext xmlns:c16="http://schemas.microsoft.com/office/drawing/2014/chart" uri="{C3380CC4-5D6E-409C-BE32-E72D297353CC}">
              <c16:uniqueId val="{00000004-A203-4AC4-9346-E329F03EFBC9}"/>
            </c:ext>
          </c:extLst>
        </c:ser>
        <c:ser>
          <c:idx val="25"/>
          <c:order val="25"/>
          <c:tx>
            <c:strRef>
              <c:f>'activities-data'!$AA$3</c:f>
              <c:strCache>
                <c:ptCount val="1"/>
                <c:pt idx="0">
                  <c:v>75%</c:v>
                </c:pt>
              </c:strCache>
              <c:extLst xmlns:c15="http://schemas.microsoft.com/office/drawing/2012/chart"/>
            </c:strRef>
          </c:tx>
          <c:spPr>
            <a:solidFill>
              <a:srgbClr val="FFFF00"/>
            </a:solidFill>
            <a:ln>
              <a:noFill/>
            </a:ln>
            <a:effectLst/>
          </c:spPr>
          <c:invertIfNegative val="0"/>
          <c:dLbls>
            <c:dLbl>
              <c:idx val="0"/>
              <c:layout>
                <c:manualLayout>
                  <c:x val="-7.8346673280123027E-17"/>
                  <c:y val="-0.1370223978919631"/>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A203-4AC4-9346-E329F03EFBC9}"/>
                </c:ext>
              </c:extLst>
            </c:dLbl>
            <c:spPr>
              <a:noFill/>
              <a:ln>
                <a:noFill/>
              </a:ln>
              <a:effectLst/>
            </c:spPr>
            <c:txPr>
              <a:bodyPr rot="0" spcFirstLastPara="1" vertOverflow="ellipsis" vert="horz" wrap="square" lIns="38100" tIns="19050" rIns="38100" bIns="19050" anchor="ctr" anchorCtr="1">
                <a:spAutoFit/>
              </a:bodyPr>
              <a:lstStyle/>
              <a:p>
                <a:pPr>
                  <a:defRPr sz="16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'activities-data'!$A$4:$A$18</c:f>
              <c:strCache>
                <c:ptCount val="1"/>
                <c:pt idx="0">
                  <c:v>All</c:v>
                </c:pt>
              </c:strCache>
              <c:extLst/>
            </c:strRef>
          </c:cat>
          <c:val>
            <c:numRef>
              <c:f>'activities-data'!$AA$4:$AA$18</c:f>
              <c:numCache>
                <c:formatCode>0%</c:formatCode>
                <c:ptCount val="1"/>
                <c:pt idx="0">
                  <c:v>8.6705202312138727E-2</c:v>
                </c:pt>
              </c:numCache>
              <c:extLst/>
            </c:numRef>
          </c:val>
          <c:extLst>
            <c:ext xmlns:c16="http://schemas.microsoft.com/office/drawing/2014/chart" uri="{C3380CC4-5D6E-409C-BE32-E72D297353CC}">
              <c16:uniqueId val="{00000006-A203-4AC4-9346-E329F03EFBC9}"/>
            </c:ext>
          </c:extLst>
        </c:ser>
        <c:ser>
          <c:idx val="26"/>
          <c:order val="26"/>
          <c:tx>
            <c:strRef>
              <c:f>'activities-data'!$AB$3</c:f>
              <c:strCache>
                <c:ptCount val="1"/>
                <c:pt idx="0">
                  <c:v>50%</c:v>
                </c:pt>
              </c:strCache>
              <c:extLst xmlns:c15="http://schemas.microsoft.com/office/drawing/2012/chart"/>
            </c:strRef>
          </c:tx>
          <c:spPr>
            <a:solidFill>
              <a:srgbClr val="92D050"/>
            </a:solidFill>
            <a:ln>
              <a:noFill/>
            </a:ln>
            <a:effectLst/>
          </c:spPr>
          <c:invertIfNegative val="0"/>
          <c:dLbls>
            <c:dLbl>
              <c:idx val="0"/>
              <c:layout>
                <c:manualLayout>
                  <c:x val="0"/>
                  <c:y val="-0.15283267457180491"/>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A203-4AC4-9346-E329F03EFBC9}"/>
                </c:ext>
              </c:extLst>
            </c:dLbl>
            <c:spPr>
              <a:noFill/>
              <a:ln>
                <a:noFill/>
              </a:ln>
              <a:effectLst/>
            </c:spPr>
            <c:txPr>
              <a:bodyPr rot="0" spcFirstLastPara="1" vertOverflow="ellipsis" vert="horz" wrap="square" lIns="38100" tIns="19050" rIns="38100" bIns="19050" anchor="ctr" anchorCtr="1">
                <a:spAutoFit/>
              </a:bodyPr>
              <a:lstStyle/>
              <a:p>
                <a:pPr>
                  <a:defRPr sz="16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'activities-data'!$A$4:$A$18</c:f>
              <c:strCache>
                <c:ptCount val="1"/>
                <c:pt idx="0">
                  <c:v>All</c:v>
                </c:pt>
              </c:strCache>
              <c:extLst/>
            </c:strRef>
          </c:cat>
          <c:val>
            <c:numRef>
              <c:f>'activities-data'!$AB$4:$AB$18</c:f>
              <c:numCache>
                <c:formatCode>0%</c:formatCode>
                <c:ptCount val="1"/>
                <c:pt idx="0">
                  <c:v>9.8265895953757232E-2</c:v>
                </c:pt>
              </c:numCache>
              <c:extLst/>
            </c:numRef>
          </c:val>
          <c:extLst>
            <c:ext xmlns:c16="http://schemas.microsoft.com/office/drawing/2014/chart" uri="{C3380CC4-5D6E-409C-BE32-E72D297353CC}">
              <c16:uniqueId val="{00000008-A203-4AC4-9346-E329F03EFBC9}"/>
            </c:ext>
          </c:extLst>
        </c:ser>
        <c:ser>
          <c:idx val="27"/>
          <c:order val="27"/>
          <c:tx>
            <c:strRef>
              <c:f>'activities-data'!$AC$3</c:f>
              <c:strCache>
                <c:ptCount val="1"/>
                <c:pt idx="0">
                  <c:v>25%</c:v>
                </c:pt>
              </c:strCache>
              <c:extLst xmlns:c15="http://schemas.microsoft.com/office/drawing/2012/chart"/>
            </c:strRef>
          </c:tx>
          <c:spPr>
            <a:solidFill>
              <a:srgbClr val="00B0F0"/>
            </a:solidFill>
            <a:ln>
              <a:noFill/>
            </a:ln>
            <a:effectLst/>
          </c:spPr>
          <c:invertIfNegative val="0"/>
          <c:dLbls>
            <c:dLbl>
              <c:idx val="0"/>
              <c:layout>
                <c:manualLayout>
                  <c:x val="-7.8346673280123027E-17"/>
                  <c:y val="-0.14756258234519096"/>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A203-4AC4-9346-E329F03EFBC9}"/>
                </c:ext>
              </c:extLst>
            </c:dLbl>
            <c:spPr>
              <a:noFill/>
              <a:ln>
                <a:noFill/>
              </a:ln>
              <a:effectLst/>
            </c:spPr>
            <c:txPr>
              <a:bodyPr rot="0" spcFirstLastPara="1" vertOverflow="ellipsis" vert="horz" wrap="square" lIns="38100" tIns="19050" rIns="38100" bIns="19050" anchor="ctr" anchorCtr="1">
                <a:spAutoFit/>
              </a:bodyPr>
              <a:lstStyle/>
              <a:p>
                <a:pPr>
                  <a:defRPr sz="16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'activities-data'!$A$4:$A$18</c:f>
              <c:strCache>
                <c:ptCount val="1"/>
                <c:pt idx="0">
                  <c:v>All</c:v>
                </c:pt>
              </c:strCache>
              <c:extLst/>
            </c:strRef>
          </c:cat>
          <c:val>
            <c:numRef>
              <c:f>'activities-data'!$AC$4:$AC$18</c:f>
              <c:numCache>
                <c:formatCode>0%</c:formatCode>
                <c:ptCount val="1"/>
                <c:pt idx="0">
                  <c:v>0.12716763005780346</c:v>
                </c:pt>
              </c:numCache>
              <c:extLst/>
            </c:numRef>
          </c:val>
          <c:extLst>
            <c:ext xmlns:c16="http://schemas.microsoft.com/office/drawing/2014/chart" uri="{C3380CC4-5D6E-409C-BE32-E72D297353CC}">
              <c16:uniqueId val="{0000000A-A203-4AC4-9346-E329F03EFBC9}"/>
            </c:ext>
          </c:extLst>
        </c:ser>
        <c:ser>
          <c:idx val="28"/>
          <c:order val="28"/>
          <c:tx>
            <c:strRef>
              <c:f>'activities-data'!$AD$3</c:f>
              <c:strCache>
                <c:ptCount val="1"/>
                <c:pt idx="0">
                  <c:v>10%</c:v>
                </c:pt>
              </c:strCache>
              <c:extLst xmlns:c15="http://schemas.microsoft.com/office/drawing/2012/chart"/>
            </c:strRef>
          </c:tx>
          <c:spPr>
            <a:solidFill>
              <a:srgbClr val="0070C0"/>
            </a:solidFill>
            <a:ln>
              <a:noFill/>
            </a:ln>
            <a:effectLst/>
          </c:spPr>
          <c:invertIfNegative val="0"/>
          <c:cat>
            <c:strRef>
              <c:f>'activities-data'!$A$4:$A$18</c:f>
              <c:strCache>
                <c:ptCount val="1"/>
                <c:pt idx="0">
                  <c:v>All</c:v>
                </c:pt>
              </c:strCache>
              <c:extLst/>
            </c:strRef>
          </c:cat>
          <c:val>
            <c:numRef>
              <c:f>'activities-data'!$AD$4:$AD$18</c:f>
              <c:numCache>
                <c:formatCode>0%</c:formatCode>
                <c:ptCount val="1"/>
                <c:pt idx="0">
                  <c:v>0</c:v>
                </c:pt>
              </c:numCache>
              <c:extLst/>
            </c:numRef>
          </c:val>
          <c:extLst>
            <c:ext xmlns:c16="http://schemas.microsoft.com/office/drawing/2014/chart" uri="{C3380CC4-5D6E-409C-BE32-E72D297353CC}">
              <c16:uniqueId val="{0000000B-A203-4AC4-9346-E329F03EFBC9}"/>
            </c:ext>
          </c:extLst>
        </c:ser>
        <c:ser>
          <c:idx val="29"/>
          <c:order val="29"/>
          <c:tx>
            <c:strRef>
              <c:f>'activities-data'!$AE$3</c:f>
              <c:strCache>
                <c:ptCount val="1"/>
                <c:pt idx="0">
                  <c:v>Not started</c:v>
                </c:pt>
              </c:strCache>
              <c:extLst xmlns:c15="http://schemas.microsoft.com/office/drawing/2012/chart"/>
            </c:strRef>
          </c:tx>
          <c:spPr>
            <a:solidFill>
              <a:srgbClr val="7030A0"/>
            </a:solidFill>
            <a:ln>
              <a:noFill/>
            </a:ln>
            <a:effectLst/>
          </c:spPr>
          <c:invertIfNegative val="0"/>
          <c:dLbls>
            <c:dLbl>
              <c:idx val="0"/>
              <c:layout>
                <c:manualLayout>
                  <c:x val="4.2735042735042739E-3"/>
                  <c:y val="-0.15283225960391314"/>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A203-4AC4-9346-E329F03EFBC9}"/>
                </c:ext>
              </c:extLst>
            </c:dLbl>
            <c:spPr>
              <a:noFill/>
              <a:ln>
                <a:noFill/>
              </a:ln>
              <a:effectLst/>
            </c:spPr>
            <c:txPr>
              <a:bodyPr rot="0" spcFirstLastPara="1" vertOverflow="ellipsis" vert="horz" wrap="square" lIns="38100" tIns="19050" rIns="38100" bIns="19050" anchor="ctr" anchorCtr="1">
                <a:spAutoFit/>
              </a:bodyPr>
              <a:lstStyle/>
              <a:p>
                <a:pPr>
                  <a:defRPr sz="16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'activities-data'!$A$4:$A$18</c:f>
              <c:strCache>
                <c:ptCount val="1"/>
                <c:pt idx="0">
                  <c:v>All</c:v>
                </c:pt>
              </c:strCache>
              <c:extLst/>
            </c:strRef>
          </c:cat>
          <c:val>
            <c:numRef>
              <c:f>'activities-data'!$AE$4:$AE$18</c:f>
              <c:numCache>
                <c:formatCode>0%</c:formatCode>
                <c:ptCount val="1"/>
                <c:pt idx="0">
                  <c:v>0.26589595375722541</c:v>
                </c:pt>
              </c:numCache>
              <c:extLst/>
            </c:numRef>
          </c:val>
          <c:extLst>
            <c:ext xmlns:c16="http://schemas.microsoft.com/office/drawing/2014/chart" uri="{C3380CC4-5D6E-409C-BE32-E72D297353CC}">
              <c16:uniqueId val="{0000000D-A203-4AC4-9346-E329F03EFBC9}"/>
            </c:ext>
          </c:extLst>
        </c:ser>
        <c:dLbls>
          <c:showLegendKey val="0"/>
          <c:showVal val="0"/>
          <c:showCatName val="0"/>
          <c:showSerName val="0"/>
          <c:showPercent val="0"/>
          <c:showBubbleSize val="0"/>
        </c:dLbls>
        <c:gapWidth val="150"/>
        <c:overlap val="100"/>
        <c:axId val="851305688"/>
        <c:axId val="851301752"/>
        <c:extLst>
          <c:ext xmlns:c15="http://schemas.microsoft.com/office/drawing/2012/chart" uri="{02D57815-91ED-43cb-92C2-25804820EDAC}">
            <c15:filteredBarSeries>
              <c15:ser>
                <c:idx val="0"/>
                <c:order val="0"/>
                <c:tx>
                  <c:strRef>
                    <c:extLst>
                      <c:ext uri="{02D57815-91ED-43cb-92C2-25804820EDAC}">
                        <c15:formulaRef>
                          <c15:sqref>'activities-data'!$B$3</c15:sqref>
                        </c15:formulaRef>
                      </c:ext>
                    </c:extLst>
                    <c:strCache>
                      <c:ptCount val="1"/>
                      <c:pt idx="0">
                        <c:v>Completed</c:v>
                      </c:pt>
                    </c:strCache>
                  </c:strRef>
                </c:tx>
                <c:spPr>
                  <a:solidFill>
                    <a:schemeClr val="accent1"/>
                  </a:solidFill>
                  <a:ln>
                    <a:noFill/>
                  </a:ln>
                  <a:effectLst/>
                </c:spPr>
                <c:invertIfNegative val="0"/>
                <c:cat>
                  <c:strRef>
                    <c:extLst>
                      <c:ext uri="{02D57815-91ED-43cb-92C2-25804820EDAC}">
                        <c15:formulaRef>
                          <c15:sqref>'activities-data'!$A$4:$A$18</c15:sqref>
                        </c15:formulaRef>
                      </c:ext>
                    </c:extLst>
                    <c:strCache>
                      <c:ptCount val="1"/>
                      <c:pt idx="0">
                        <c:v>All</c:v>
                      </c:pt>
                    </c:strCache>
                  </c:strRef>
                </c:cat>
                <c:val>
                  <c:numRef>
                    <c:extLst>
                      <c:ext uri="{02D57815-91ED-43cb-92C2-25804820EDAC}">
                        <c15:formulaRef>
                          <c15:sqref>'activities-data'!$B$4:$B$18</c15:sqref>
                        </c15:formulaRef>
                      </c:ext>
                    </c:extLst>
                    <c:numCache>
                      <c:formatCode>0%</c:formatCode>
                      <c:ptCount val="1"/>
                      <c:pt idx="0">
                        <c:v>0.51876019575856447</c:v>
                      </c:pt>
                    </c:numCache>
                  </c:numRef>
                </c:val>
                <c:extLst>
                  <c:ext xmlns:c16="http://schemas.microsoft.com/office/drawing/2014/chart" uri="{C3380CC4-5D6E-409C-BE32-E72D297353CC}">
                    <c16:uniqueId val="{0000000E-A203-4AC4-9346-E329F03EFBC9}"/>
                  </c:ext>
                </c:extLst>
              </c15:ser>
            </c15:filteredBarSeries>
            <c15:filteredBarSeries>
              <c15:ser>
                <c:idx val="1"/>
                <c:order val="1"/>
                <c:tx>
                  <c:strRef>
                    <c:extLst xmlns:c15="http://schemas.microsoft.com/office/drawing/2012/chart">
                      <c:ext xmlns:c15="http://schemas.microsoft.com/office/drawing/2012/chart" uri="{02D57815-91ED-43cb-92C2-25804820EDAC}">
                        <c15:formulaRef>
                          <c15:sqref>'activities-data'!$C$3</c15:sqref>
                        </c15:formulaRef>
                      </c:ext>
                    </c:extLst>
                    <c:strCache>
                      <c:ptCount val="1"/>
                      <c:pt idx="0">
                        <c:v>In progress</c:v>
                      </c:pt>
                    </c:strCache>
                  </c:strRef>
                </c:tx>
                <c:spPr>
                  <a:solidFill>
                    <a:schemeClr val="accent2"/>
                  </a:solidFill>
                  <a:ln>
                    <a:noFill/>
                  </a:ln>
                  <a:effectLst/>
                </c:spPr>
                <c:invertIfNegative val="0"/>
                <c:cat>
                  <c:strRef>
                    <c:extLst xmlns:c15="http://schemas.microsoft.com/office/drawing/2012/chart">
                      <c:ext xmlns:c15="http://schemas.microsoft.com/office/drawing/2012/chart" uri="{02D57815-91ED-43cb-92C2-25804820EDAC}">
                        <c15:formulaRef>
                          <c15:sqref>'activities-data'!$A$4:$A$18</c15:sqref>
                        </c15:formulaRef>
                      </c:ext>
                    </c:extLst>
                    <c:strCache>
                      <c:ptCount val="1"/>
                      <c:pt idx="0">
                        <c:v>All</c:v>
                      </c:pt>
                    </c:strCache>
                  </c:strRef>
                </c:cat>
                <c:val>
                  <c:numRef>
                    <c:extLst xmlns:c15="http://schemas.microsoft.com/office/drawing/2012/chart">
                      <c:ext xmlns:c15="http://schemas.microsoft.com/office/drawing/2012/chart" uri="{02D57815-91ED-43cb-92C2-25804820EDAC}">
                        <c15:formulaRef>
                          <c15:sqref>'activities-data'!$C$4:$C$18</c15:sqref>
                        </c15:formulaRef>
                      </c:ext>
                    </c:extLst>
                    <c:numCache>
                      <c:formatCode>0%</c:formatCode>
                      <c:ptCount val="1"/>
                      <c:pt idx="0">
                        <c:v>0.33931484502446985</c:v>
                      </c:pt>
                    </c:numCache>
                  </c:numRef>
                </c:val>
                <c:extLst xmlns:c15="http://schemas.microsoft.com/office/drawing/2012/chart">
                  <c:ext xmlns:c16="http://schemas.microsoft.com/office/drawing/2014/chart" uri="{C3380CC4-5D6E-409C-BE32-E72D297353CC}">
                    <c16:uniqueId val="{0000000F-A203-4AC4-9346-E329F03EFBC9}"/>
                  </c:ext>
                </c:extLst>
              </c15:ser>
            </c15:filteredBarSeries>
            <c15:filteredBarSeries>
              <c15:ser>
                <c:idx val="2"/>
                <c:order val="2"/>
                <c:tx>
                  <c:strRef>
                    <c:extLst xmlns:c15="http://schemas.microsoft.com/office/drawing/2012/chart">
                      <c:ext xmlns:c15="http://schemas.microsoft.com/office/drawing/2012/chart" uri="{02D57815-91ED-43cb-92C2-25804820EDAC}">
                        <c15:formulaRef>
                          <c15:sqref>'activities-data'!$D$3</c15:sqref>
                        </c15:formulaRef>
                      </c:ext>
                    </c:extLst>
                    <c:strCache>
                      <c:ptCount val="1"/>
                      <c:pt idx="0">
                        <c:v>Not started</c:v>
                      </c:pt>
                    </c:strCache>
                  </c:strRef>
                </c:tx>
                <c:spPr>
                  <a:solidFill>
                    <a:srgbClr val="99221F"/>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'activities-data'!$A$4:$A$18</c15:sqref>
                        </c15:formulaRef>
                      </c:ext>
                    </c:extLst>
                    <c:strCache>
                      <c:ptCount val="1"/>
                      <c:pt idx="0">
                        <c:v>All</c:v>
                      </c:pt>
                    </c:strCache>
                  </c:strRef>
                </c:cat>
                <c:val>
                  <c:numRef>
                    <c:extLst xmlns:c15="http://schemas.microsoft.com/office/drawing/2012/chart">
                      <c:ext xmlns:c15="http://schemas.microsoft.com/office/drawing/2012/chart" uri="{02D57815-91ED-43cb-92C2-25804820EDAC}">
                        <c15:formulaRef>
                          <c15:sqref>'activities-data'!$D$4:$D$18</c15:sqref>
                        </c15:formulaRef>
                      </c:ext>
                    </c:extLst>
                    <c:numCache>
                      <c:formatCode>0%</c:formatCode>
                      <c:ptCount val="1"/>
                      <c:pt idx="0">
                        <c:v>0.15660685154975529</c:v>
                      </c:pt>
                    </c:numCache>
                  </c:numRef>
                </c:val>
                <c:extLst xmlns:c15="http://schemas.microsoft.com/office/drawing/2012/chart">
                  <c:ext xmlns:c16="http://schemas.microsoft.com/office/drawing/2014/chart" uri="{C3380CC4-5D6E-409C-BE32-E72D297353CC}">
                    <c16:uniqueId val="{00000010-A203-4AC4-9346-E329F03EFBC9}"/>
                  </c:ext>
                </c:extLst>
              </c15:ser>
            </c15:filteredBarSeries>
            <c15:filteredBarSeries>
              <c15:ser>
                <c:idx val="3"/>
                <c:order val="3"/>
                <c:tx>
                  <c:strRef>
                    <c:extLst xmlns:c15="http://schemas.microsoft.com/office/drawing/2012/chart">
                      <c:ext xmlns:c15="http://schemas.microsoft.com/office/drawing/2012/chart" uri="{02D57815-91ED-43cb-92C2-25804820EDAC}">
                        <c15:formulaRef>
                          <c15:sqref>'activities-data'!$E$3</c15:sqref>
                        </c15:formulaRef>
                      </c:ext>
                    </c:extLst>
                    <c:strCache>
                      <c:ptCount val="1"/>
                      <c:pt idx="0">
                        <c:v>100%</c:v>
                      </c:pt>
                    </c:strCache>
                  </c:strRef>
                </c:tx>
                <c:spPr>
                  <a:solidFill>
                    <a:srgbClr val="FF99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'activities-data'!$A$4:$A$18</c15:sqref>
                        </c15:formulaRef>
                      </c:ext>
                    </c:extLst>
                    <c:strCache>
                      <c:ptCount val="1"/>
                      <c:pt idx="0">
                        <c:v>All</c:v>
                      </c:pt>
                    </c:strCache>
                  </c:strRef>
                </c:cat>
                <c:val>
                  <c:numRef>
                    <c:extLst xmlns:c15="http://schemas.microsoft.com/office/drawing/2012/chart">
                      <c:ext xmlns:c15="http://schemas.microsoft.com/office/drawing/2012/chart" uri="{02D57815-91ED-43cb-92C2-25804820EDAC}">
                        <c15:formulaRef>
                          <c15:sqref>'activities-data'!$E$4:$E$18</c15:sqref>
                        </c15:formulaRef>
                      </c:ext>
                    </c:extLst>
                    <c:numCache>
                      <c:formatCode>0%</c:formatCode>
                      <c:ptCount val="1"/>
                      <c:pt idx="0">
                        <c:v>0.51876019575856447</c:v>
                      </c:pt>
                    </c:numCache>
                  </c:numRef>
                </c:val>
                <c:extLst xmlns:c15="http://schemas.microsoft.com/office/drawing/2012/chart">
                  <c:ext xmlns:c16="http://schemas.microsoft.com/office/drawing/2014/chart" uri="{C3380CC4-5D6E-409C-BE32-E72D297353CC}">
                    <c16:uniqueId val="{00000011-A203-4AC4-9346-E329F03EFBC9}"/>
                  </c:ext>
                </c:extLst>
              </c15:ser>
            </c15:filteredBarSeries>
            <c15:filteredBarSeries>
              <c15:ser>
                <c:idx val="4"/>
                <c:order val="4"/>
                <c:tx>
                  <c:strRef>
                    <c:extLst xmlns:c15="http://schemas.microsoft.com/office/drawing/2012/chart">
                      <c:ext xmlns:c15="http://schemas.microsoft.com/office/drawing/2012/chart" uri="{02D57815-91ED-43cb-92C2-25804820EDAC}">
                        <c15:formulaRef>
                          <c15:sqref>'activities-data'!$F$3</c15:sqref>
                        </c15:formulaRef>
                      </c:ext>
                    </c:extLst>
                    <c:strCache>
                      <c:ptCount val="1"/>
                      <c:pt idx="0">
                        <c:v>90%</c:v>
                      </c:pt>
                    </c:strCache>
                  </c:strRef>
                </c:tx>
                <c:spPr>
                  <a:solidFill>
                    <a:srgbClr val="FFFF6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'activities-data'!$A$4:$A$18</c15:sqref>
                        </c15:formulaRef>
                      </c:ext>
                    </c:extLst>
                    <c:strCache>
                      <c:ptCount val="1"/>
                      <c:pt idx="0">
                        <c:v>All</c:v>
                      </c:pt>
                    </c:strCache>
                  </c:strRef>
                </c:cat>
                <c:val>
                  <c:numRef>
                    <c:extLst xmlns:c15="http://schemas.microsoft.com/office/drawing/2012/chart">
                      <c:ext xmlns:c15="http://schemas.microsoft.com/office/drawing/2012/chart" uri="{02D57815-91ED-43cb-92C2-25804820EDAC}">
                        <c15:formulaRef>
                          <c15:sqref>'activities-data'!$F$4:$F$18</c15:sqref>
                        </c15:formulaRef>
                      </c:ext>
                    </c:extLst>
                    <c:numCache>
                      <c:formatCode>0%</c:formatCode>
                      <c:ptCount val="1"/>
                      <c:pt idx="0">
                        <c:v>2.7732463295269169E-2</c:v>
                      </c:pt>
                    </c:numCache>
                  </c:numRef>
                </c:val>
                <c:extLst xmlns:c15="http://schemas.microsoft.com/office/drawing/2012/chart">
                  <c:ext xmlns:c16="http://schemas.microsoft.com/office/drawing/2014/chart" uri="{C3380CC4-5D6E-409C-BE32-E72D297353CC}">
                    <c16:uniqueId val="{00000012-A203-4AC4-9346-E329F03EFBC9}"/>
                  </c:ext>
                </c:extLst>
              </c15:ser>
            </c15:filteredBarSeries>
            <c15:filteredBarSeries>
              <c15:ser>
                <c:idx val="5"/>
                <c:order val="5"/>
                <c:tx>
                  <c:strRef>
                    <c:extLst xmlns:c15="http://schemas.microsoft.com/office/drawing/2012/chart">
                      <c:ext xmlns:c15="http://schemas.microsoft.com/office/drawing/2012/chart" uri="{02D57815-91ED-43cb-92C2-25804820EDAC}">
                        <c15:formulaRef>
                          <c15:sqref>'activities-data'!$G$3</c15:sqref>
                        </c15:formulaRef>
                      </c:ext>
                    </c:extLst>
                    <c:strCache>
                      <c:ptCount val="1"/>
                      <c:pt idx="0">
                        <c:v>75%</c:v>
                      </c:pt>
                    </c:strCache>
                  </c:strRef>
                </c:tx>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'activities-data'!$A$4:$A$18</c15:sqref>
                        </c15:formulaRef>
                      </c:ext>
                    </c:extLst>
                    <c:strCache>
                      <c:ptCount val="1"/>
                      <c:pt idx="0">
                        <c:v>All</c:v>
                      </c:pt>
                    </c:strCache>
                  </c:strRef>
                </c:cat>
                <c:val>
                  <c:numRef>
                    <c:extLst xmlns:c15="http://schemas.microsoft.com/office/drawing/2012/chart">
                      <c:ext xmlns:c15="http://schemas.microsoft.com/office/drawing/2012/chart" uri="{02D57815-91ED-43cb-92C2-25804820EDAC}">
                        <c15:formulaRef>
                          <c15:sqref>'activities-data'!$G$4:$G$18</c15:sqref>
                        </c15:formulaRef>
                      </c:ext>
                    </c:extLst>
                    <c:numCache>
                      <c:formatCode>0%</c:formatCode>
                      <c:ptCount val="1"/>
                      <c:pt idx="0">
                        <c:v>6.6884176182707991E-2</c:v>
                      </c:pt>
                    </c:numCache>
                  </c:numRef>
                </c:val>
                <c:extLst xmlns:c15="http://schemas.microsoft.com/office/drawing/2012/chart">
                  <c:ext xmlns:c16="http://schemas.microsoft.com/office/drawing/2014/chart" uri="{C3380CC4-5D6E-409C-BE32-E72D297353CC}">
                    <c16:uniqueId val="{00000013-A203-4AC4-9346-E329F03EFBC9}"/>
                  </c:ext>
                </c:extLst>
              </c15:ser>
            </c15:filteredBarSeries>
            <c15:filteredBarSeries>
              <c15:ser>
                <c:idx val="6"/>
                <c:order val="6"/>
                <c:tx>
                  <c:strRef>
                    <c:extLst xmlns:c15="http://schemas.microsoft.com/office/drawing/2012/chart">
                      <c:ext xmlns:c15="http://schemas.microsoft.com/office/drawing/2012/chart" uri="{02D57815-91ED-43cb-92C2-25804820EDAC}">
                        <c15:formulaRef>
                          <c15:sqref>'activities-data'!$H$3</c15:sqref>
                        </c15:formulaRef>
                      </c:ext>
                    </c:extLst>
                    <c:strCache>
                      <c:ptCount val="1"/>
                      <c:pt idx="0">
                        <c:v>50%</c:v>
                      </c:pt>
                    </c:strCache>
                  </c:strRef>
                </c:tx>
                <c:spPr>
                  <a:solidFill>
                    <a:srgbClr val="15FFFF"/>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'activities-data'!$A$4:$A$18</c15:sqref>
                        </c15:formulaRef>
                      </c:ext>
                    </c:extLst>
                    <c:strCache>
                      <c:ptCount val="1"/>
                      <c:pt idx="0">
                        <c:v>All</c:v>
                      </c:pt>
                    </c:strCache>
                  </c:strRef>
                </c:cat>
                <c:val>
                  <c:numRef>
                    <c:extLst xmlns:c15="http://schemas.microsoft.com/office/drawing/2012/chart">
                      <c:ext xmlns:c15="http://schemas.microsoft.com/office/drawing/2012/chart" uri="{02D57815-91ED-43cb-92C2-25804820EDAC}">
                        <c15:formulaRef>
                          <c15:sqref>'activities-data'!$H$4:$H$18</c15:sqref>
                        </c15:formulaRef>
                      </c:ext>
                    </c:extLst>
                    <c:numCache>
                      <c:formatCode>0%</c:formatCode>
                      <c:ptCount val="1"/>
                      <c:pt idx="0">
                        <c:v>9.2985318107667206E-2</c:v>
                      </c:pt>
                    </c:numCache>
                  </c:numRef>
                </c:val>
                <c:extLst xmlns:c15="http://schemas.microsoft.com/office/drawing/2012/chart">
                  <c:ext xmlns:c16="http://schemas.microsoft.com/office/drawing/2014/chart" uri="{C3380CC4-5D6E-409C-BE32-E72D297353CC}">
                    <c16:uniqueId val="{00000014-A203-4AC4-9346-E329F03EFBC9}"/>
                  </c:ext>
                </c:extLst>
              </c15:ser>
            </c15:filteredBarSeries>
            <c15:filteredBarSeries>
              <c15:ser>
                <c:idx val="7"/>
                <c:order val="7"/>
                <c:tx>
                  <c:strRef>
                    <c:extLst xmlns:c15="http://schemas.microsoft.com/office/drawing/2012/chart">
                      <c:ext xmlns:c15="http://schemas.microsoft.com/office/drawing/2012/chart" uri="{02D57815-91ED-43cb-92C2-25804820EDAC}">
                        <c15:formulaRef>
                          <c15:sqref>'activities-data'!$I$3</c15:sqref>
                        </c15:formulaRef>
                      </c:ext>
                    </c:extLst>
                    <c:strCache>
                      <c:ptCount val="1"/>
                      <c:pt idx="0">
                        <c:v>25%</c:v>
                      </c:pt>
                    </c:strCache>
                  </c:strRef>
                </c:tx>
                <c:spPr>
                  <a:solidFill>
                    <a:srgbClr val="3399FF"/>
                  </a:solidFill>
                  <a:ln>
                    <a:noFill/>
                  </a:ln>
                  <a:effectLst/>
                </c:spPr>
                <c:invertIfNegative val="0"/>
                <c:cat>
                  <c:strRef>
                    <c:extLst xmlns:c15="http://schemas.microsoft.com/office/drawing/2012/chart">
                      <c:ext xmlns:c15="http://schemas.microsoft.com/office/drawing/2012/chart" uri="{02D57815-91ED-43cb-92C2-25804820EDAC}">
                        <c15:formulaRef>
                          <c15:sqref>'activities-data'!$A$4:$A$18</c15:sqref>
                        </c15:formulaRef>
                      </c:ext>
                    </c:extLst>
                    <c:strCache>
                      <c:ptCount val="1"/>
                      <c:pt idx="0">
                        <c:v>All</c:v>
                      </c:pt>
                    </c:strCache>
                  </c:strRef>
                </c:cat>
                <c:val>
                  <c:numRef>
                    <c:extLst xmlns:c15="http://schemas.microsoft.com/office/drawing/2012/chart">
                      <c:ext xmlns:c15="http://schemas.microsoft.com/office/drawing/2012/chart" uri="{02D57815-91ED-43cb-92C2-25804820EDAC}">
                        <c15:formulaRef>
                          <c15:sqref>'activities-data'!$I$4:$I$18</c15:sqref>
                        </c15:formulaRef>
                      </c:ext>
                    </c:extLst>
                    <c:numCache>
                      <c:formatCode>0%</c:formatCode>
                      <c:ptCount val="1"/>
                      <c:pt idx="0">
                        <c:v>0.15171288743882544</c:v>
                      </c:pt>
                    </c:numCache>
                  </c:numRef>
                </c:val>
                <c:extLst xmlns:c15="http://schemas.microsoft.com/office/drawing/2012/chart">
                  <c:ext xmlns:c16="http://schemas.microsoft.com/office/drawing/2014/chart" uri="{C3380CC4-5D6E-409C-BE32-E72D297353CC}">
                    <c16:uniqueId val="{00000015-A203-4AC4-9346-E329F03EFBC9}"/>
                  </c:ext>
                </c:extLst>
              </c15:ser>
            </c15:filteredBarSeries>
            <c15:filteredBarSeries>
              <c15:ser>
                <c:idx val="8"/>
                <c:order val="8"/>
                <c:tx>
                  <c:strRef>
                    <c:extLst xmlns:c15="http://schemas.microsoft.com/office/drawing/2012/chart">
                      <c:ext xmlns:c15="http://schemas.microsoft.com/office/drawing/2012/chart" uri="{02D57815-91ED-43cb-92C2-25804820EDAC}">
                        <c15:formulaRef>
                          <c15:sqref>'activities-data'!$J$3</c15:sqref>
                        </c15:formulaRef>
                      </c:ext>
                    </c:extLst>
                    <c:strCache>
                      <c:ptCount val="1"/>
                      <c:pt idx="0">
                        <c:v>10%</c:v>
                      </c:pt>
                    </c:strCache>
                  </c:strRef>
                </c:tx>
                <c:spPr>
                  <a:solidFill>
                    <a:srgbClr val="7030A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'activities-data'!$A$4:$A$18</c15:sqref>
                        </c15:formulaRef>
                      </c:ext>
                    </c:extLst>
                    <c:strCache>
                      <c:ptCount val="1"/>
                      <c:pt idx="0">
                        <c:v>All</c:v>
                      </c:pt>
                    </c:strCache>
                  </c:strRef>
                </c:cat>
                <c:val>
                  <c:numRef>
                    <c:extLst xmlns:c15="http://schemas.microsoft.com/office/drawing/2012/chart">
                      <c:ext xmlns:c15="http://schemas.microsoft.com/office/drawing/2012/chart" uri="{02D57815-91ED-43cb-92C2-25804820EDAC}">
                        <c15:formulaRef>
                          <c15:sqref>'activities-data'!$J$4:$J$18</c15:sqref>
                        </c15:formulaRef>
                      </c:ext>
                    </c:extLst>
                    <c:numCache>
                      <c:formatCode>0%</c:formatCode>
                      <c:ptCount val="1"/>
                      <c:pt idx="0">
                        <c:v>0</c:v>
                      </c:pt>
                    </c:numCache>
                  </c:numRef>
                </c:val>
                <c:extLst xmlns:c15="http://schemas.microsoft.com/office/drawing/2012/chart">
                  <c:ext xmlns:c16="http://schemas.microsoft.com/office/drawing/2014/chart" uri="{C3380CC4-5D6E-409C-BE32-E72D297353CC}">
                    <c16:uniqueId val="{00000016-A203-4AC4-9346-E329F03EFBC9}"/>
                  </c:ext>
                </c:extLst>
              </c15:ser>
            </c15:filteredBarSeries>
            <c15:filteredBarSeries>
              <c15:ser>
                <c:idx val="9"/>
                <c:order val="9"/>
                <c:tx>
                  <c:strRef>
                    <c:extLst xmlns:c15="http://schemas.microsoft.com/office/drawing/2012/chart">
                      <c:ext xmlns:c15="http://schemas.microsoft.com/office/drawing/2012/chart" uri="{02D57815-91ED-43cb-92C2-25804820EDAC}">
                        <c15:formulaRef>
                          <c15:sqref>'activities-data'!$K$3</c15:sqref>
                        </c15:formulaRef>
                      </c:ext>
                    </c:extLst>
                    <c:strCache>
                      <c:ptCount val="1"/>
                      <c:pt idx="0">
                        <c:v>0%</c:v>
                      </c:pt>
                    </c:strCache>
                  </c:strRef>
                </c:tx>
                <c:spPr>
                  <a:solidFill>
                    <a:schemeClr val="accent4">
                      <a:lumMod val="60000"/>
                    </a:schemeClr>
                  </a:solidFill>
                  <a:ln>
                    <a:noFill/>
                  </a:ln>
                  <a:effectLst/>
                </c:spPr>
                <c:invertIfNegative val="0"/>
                <c:cat>
                  <c:strRef>
                    <c:extLst xmlns:c15="http://schemas.microsoft.com/office/drawing/2012/chart">
                      <c:ext xmlns:c15="http://schemas.microsoft.com/office/drawing/2012/chart" uri="{02D57815-91ED-43cb-92C2-25804820EDAC}">
                        <c15:formulaRef>
                          <c15:sqref>'activities-data'!$A$4:$A$18</c15:sqref>
                        </c15:formulaRef>
                      </c:ext>
                    </c:extLst>
                    <c:strCache>
                      <c:ptCount val="1"/>
                      <c:pt idx="0">
                        <c:v>All</c:v>
                      </c:pt>
                    </c:strCache>
                  </c:strRef>
                </c:cat>
                <c:val>
                  <c:numRef>
                    <c:extLst xmlns:c15="http://schemas.microsoft.com/office/drawing/2012/chart">
                      <c:ext xmlns:c15="http://schemas.microsoft.com/office/drawing/2012/chart" uri="{02D57815-91ED-43cb-92C2-25804820EDAC}">
                        <c15:formulaRef>
                          <c15:sqref>'activities-data'!$K$4:$K$18</c15:sqref>
                        </c15:formulaRef>
                      </c:ext>
                    </c:extLst>
                    <c:numCache>
                      <c:formatCode>0%</c:formatCode>
                      <c:ptCount val="1"/>
                      <c:pt idx="0">
                        <c:v>0.15660685154975529</c:v>
                      </c:pt>
                    </c:numCache>
                  </c:numRef>
                </c:val>
                <c:extLst xmlns:c15="http://schemas.microsoft.com/office/drawing/2012/chart">
                  <c:ext xmlns:c16="http://schemas.microsoft.com/office/drawing/2014/chart" uri="{C3380CC4-5D6E-409C-BE32-E72D297353CC}">
                    <c16:uniqueId val="{00000017-A203-4AC4-9346-E329F03EFBC9}"/>
                  </c:ext>
                </c:extLst>
              </c15:ser>
            </c15:filteredBarSeries>
            <c15:filteredBarSeries>
              <c15:ser>
                <c:idx val="10"/>
                <c:order val="10"/>
                <c:tx>
                  <c:strRef>
                    <c:extLst xmlns:c15="http://schemas.microsoft.com/office/drawing/2012/chart">
                      <c:ext xmlns:c15="http://schemas.microsoft.com/office/drawing/2012/chart" uri="{02D57815-91ED-43cb-92C2-25804820EDAC}">
                        <c15:formulaRef>
                          <c15:sqref>'activities-data'!$L$3</c15:sqref>
                        </c15:formulaRef>
                      </c:ext>
                    </c:extLst>
                    <c:strCache>
                      <c:ptCount val="1"/>
                      <c:pt idx="0">
                        <c:v>Completed</c:v>
                      </c:pt>
                    </c:strCache>
                  </c:strRef>
                </c:tx>
                <c:spPr>
                  <a:solidFill>
                    <a:schemeClr val="accent5">
                      <a:lumMod val="60000"/>
                    </a:schemeClr>
                  </a:solidFill>
                  <a:ln>
                    <a:noFill/>
                  </a:ln>
                  <a:effectLst/>
                </c:spPr>
                <c:invertIfNegative val="0"/>
                <c:cat>
                  <c:strRef>
                    <c:extLst xmlns:c15="http://schemas.microsoft.com/office/drawing/2012/chart">
                      <c:ext xmlns:c15="http://schemas.microsoft.com/office/drawing/2012/chart" uri="{02D57815-91ED-43cb-92C2-25804820EDAC}">
                        <c15:formulaRef>
                          <c15:sqref>'activities-data'!$A$4:$A$18</c15:sqref>
                        </c15:formulaRef>
                      </c:ext>
                    </c:extLst>
                    <c:strCache>
                      <c:ptCount val="1"/>
                      <c:pt idx="0">
                        <c:v>All</c:v>
                      </c:pt>
                    </c:strCache>
                  </c:strRef>
                </c:cat>
                <c:val>
                  <c:numRef>
                    <c:extLst xmlns:c15="http://schemas.microsoft.com/office/drawing/2012/chart">
                      <c:ext xmlns:c15="http://schemas.microsoft.com/office/drawing/2012/chart" uri="{02D57815-91ED-43cb-92C2-25804820EDAC}">
                        <c15:formulaRef>
                          <c15:sqref>'activities-data'!$L$4:$L$18</c15:sqref>
                        </c15:formulaRef>
                      </c:ext>
                    </c:extLst>
                    <c:numCache>
                      <c:formatCode>0%</c:formatCode>
                      <c:ptCount val="1"/>
                      <c:pt idx="0">
                        <c:v>0.4301765650080257</c:v>
                      </c:pt>
                    </c:numCache>
                  </c:numRef>
                </c:val>
                <c:extLst xmlns:c15="http://schemas.microsoft.com/office/drawing/2012/chart">
                  <c:ext xmlns:c16="http://schemas.microsoft.com/office/drawing/2014/chart" uri="{C3380CC4-5D6E-409C-BE32-E72D297353CC}">
                    <c16:uniqueId val="{00000018-A203-4AC4-9346-E329F03EFBC9}"/>
                  </c:ext>
                </c:extLst>
              </c15:ser>
            </c15:filteredBarSeries>
            <c15:filteredBarSeries>
              <c15:ser>
                <c:idx val="11"/>
                <c:order val="11"/>
                <c:tx>
                  <c:strRef>
                    <c:extLst xmlns:c15="http://schemas.microsoft.com/office/drawing/2012/chart">
                      <c:ext xmlns:c15="http://schemas.microsoft.com/office/drawing/2012/chart" uri="{02D57815-91ED-43cb-92C2-25804820EDAC}">
                        <c15:formulaRef>
                          <c15:sqref>'activities-data'!$M$3</c15:sqref>
                        </c15:formulaRef>
                      </c:ext>
                    </c:extLst>
                    <c:strCache>
                      <c:ptCount val="1"/>
                      <c:pt idx="0">
                        <c:v>In progress</c:v>
                      </c:pt>
                    </c:strCache>
                  </c:strRef>
                </c:tx>
                <c:spPr>
                  <a:solidFill>
                    <a:schemeClr val="accent6">
                      <a:lumMod val="60000"/>
                    </a:schemeClr>
                  </a:solidFill>
                  <a:ln>
                    <a:noFill/>
                  </a:ln>
                  <a:effectLst/>
                </c:spPr>
                <c:invertIfNegative val="0"/>
                <c:cat>
                  <c:strRef>
                    <c:extLst xmlns:c15="http://schemas.microsoft.com/office/drawing/2012/chart">
                      <c:ext xmlns:c15="http://schemas.microsoft.com/office/drawing/2012/chart" uri="{02D57815-91ED-43cb-92C2-25804820EDAC}">
                        <c15:formulaRef>
                          <c15:sqref>'activities-data'!$A$4:$A$18</c15:sqref>
                        </c15:formulaRef>
                      </c:ext>
                    </c:extLst>
                    <c:strCache>
                      <c:ptCount val="1"/>
                      <c:pt idx="0">
                        <c:v>All</c:v>
                      </c:pt>
                    </c:strCache>
                  </c:strRef>
                </c:cat>
                <c:val>
                  <c:numRef>
                    <c:extLst xmlns:c15="http://schemas.microsoft.com/office/drawing/2012/chart">
                      <c:ext xmlns:c15="http://schemas.microsoft.com/office/drawing/2012/chart" uri="{02D57815-91ED-43cb-92C2-25804820EDAC}">
                        <c15:formulaRef>
                          <c15:sqref>'activities-data'!$M$4:$M$18</c15:sqref>
                        </c15:formulaRef>
                      </c:ext>
                    </c:extLst>
                    <c:numCache>
                      <c:formatCode>0%</c:formatCode>
                      <c:ptCount val="1"/>
                      <c:pt idx="0">
                        <c:v>0.31942215088282505</c:v>
                      </c:pt>
                    </c:numCache>
                  </c:numRef>
                </c:val>
                <c:extLst xmlns:c15="http://schemas.microsoft.com/office/drawing/2012/chart">
                  <c:ext xmlns:c16="http://schemas.microsoft.com/office/drawing/2014/chart" uri="{C3380CC4-5D6E-409C-BE32-E72D297353CC}">
                    <c16:uniqueId val="{00000019-A203-4AC4-9346-E329F03EFBC9}"/>
                  </c:ext>
                </c:extLst>
              </c15:ser>
            </c15:filteredBarSeries>
            <c15:filteredBarSeries>
              <c15:ser>
                <c:idx val="12"/>
                <c:order val="12"/>
                <c:tx>
                  <c:strRef>
                    <c:extLst xmlns:c15="http://schemas.microsoft.com/office/drawing/2012/chart">
                      <c:ext xmlns:c15="http://schemas.microsoft.com/office/drawing/2012/chart" uri="{02D57815-91ED-43cb-92C2-25804820EDAC}">
                        <c15:formulaRef>
                          <c15:sqref>'activities-data'!$N$3</c15:sqref>
                        </c15:formulaRef>
                      </c:ext>
                    </c:extLst>
                    <c:strCache>
                      <c:ptCount val="1"/>
                      <c:pt idx="0">
                        <c:v>Not started</c:v>
                      </c:pt>
                    </c:strCache>
                  </c:strRef>
                </c:tx>
                <c:spPr>
                  <a:solidFill>
                    <a:schemeClr val="accent1">
                      <a:lumMod val="80000"/>
                      <a:lumOff val="20000"/>
                    </a:schemeClr>
                  </a:solidFill>
                  <a:ln>
                    <a:noFill/>
                  </a:ln>
                  <a:effectLst/>
                </c:spPr>
                <c:invertIfNegative val="0"/>
                <c:cat>
                  <c:strRef>
                    <c:extLst xmlns:c15="http://schemas.microsoft.com/office/drawing/2012/chart">
                      <c:ext xmlns:c15="http://schemas.microsoft.com/office/drawing/2012/chart" uri="{02D57815-91ED-43cb-92C2-25804820EDAC}">
                        <c15:formulaRef>
                          <c15:sqref>'activities-data'!$A$4:$A$18</c15:sqref>
                        </c15:formulaRef>
                      </c:ext>
                    </c:extLst>
                    <c:strCache>
                      <c:ptCount val="1"/>
                      <c:pt idx="0">
                        <c:v>All</c:v>
                      </c:pt>
                    </c:strCache>
                  </c:strRef>
                </c:cat>
                <c:val>
                  <c:numRef>
                    <c:extLst xmlns:c15="http://schemas.microsoft.com/office/drawing/2012/chart">
                      <c:ext xmlns:c15="http://schemas.microsoft.com/office/drawing/2012/chart" uri="{02D57815-91ED-43cb-92C2-25804820EDAC}">
                        <c15:formulaRef>
                          <c15:sqref>'activities-data'!$N$4:$N$18</c15:sqref>
                        </c15:formulaRef>
                      </c:ext>
                    </c:extLst>
                    <c:numCache>
                      <c:formatCode>0%</c:formatCode>
                      <c:ptCount val="1"/>
                      <c:pt idx="0">
                        <c:v>0.18298555377207062</c:v>
                      </c:pt>
                    </c:numCache>
                  </c:numRef>
                </c:val>
                <c:extLst xmlns:c15="http://schemas.microsoft.com/office/drawing/2012/chart">
                  <c:ext xmlns:c16="http://schemas.microsoft.com/office/drawing/2014/chart" uri="{C3380CC4-5D6E-409C-BE32-E72D297353CC}">
                    <c16:uniqueId val="{0000001A-A203-4AC4-9346-E329F03EFBC9}"/>
                  </c:ext>
                </c:extLst>
              </c15:ser>
            </c15:filteredBarSeries>
            <c15:filteredBarSeries>
              <c15:ser>
                <c:idx val="13"/>
                <c:order val="13"/>
                <c:tx>
                  <c:strRef>
                    <c:extLst xmlns:c15="http://schemas.microsoft.com/office/drawing/2012/chart">
                      <c:ext xmlns:c15="http://schemas.microsoft.com/office/drawing/2012/chart" uri="{02D57815-91ED-43cb-92C2-25804820EDAC}">
                        <c15:formulaRef>
                          <c15:sqref>'activities-data'!$O$3</c15:sqref>
                        </c15:formulaRef>
                      </c:ext>
                    </c:extLst>
                    <c:strCache>
                      <c:ptCount val="1"/>
                      <c:pt idx="0">
                        <c:v>Completed</c:v>
                      </c:pt>
                    </c:strCache>
                  </c:strRef>
                </c:tx>
                <c:spPr>
                  <a:solidFill>
                    <a:schemeClr val="accent2">
                      <a:lumMod val="80000"/>
                      <a:lumOff val="20000"/>
                    </a:schemeClr>
                  </a:solidFill>
                  <a:ln>
                    <a:noFill/>
                  </a:ln>
                  <a:effectLst/>
                </c:spPr>
                <c:invertIfNegative val="0"/>
                <c:dPt>
                  <c:idx val="0"/>
                  <c:invertIfNegative val="0"/>
                  <c:bubble3D val="0"/>
                  <c:spPr>
                    <a:solidFill>
                      <a:srgbClr val="C00000"/>
                    </a:solidFill>
                    <a:ln>
                      <a:noFill/>
                    </a:ln>
                    <a:effectLst/>
                  </c:spPr>
                  <c:extLst xmlns:c15="http://schemas.microsoft.com/office/drawing/2012/chart">
                    <c:ext xmlns:c16="http://schemas.microsoft.com/office/drawing/2014/chart" uri="{C3380CC4-5D6E-409C-BE32-E72D297353CC}">
                      <c16:uniqueId val="{0000001C-A203-4AC4-9346-E329F03EFBC9}"/>
                    </c:ext>
                  </c:extLst>
                </c:dPt>
                <c:dLbls>
                  <c:spPr>
                    <a:noFill/>
                    <a:ln>
                      <a:noFill/>
                    </a:ln>
                    <a:effectLst/>
                  </c:spPr>
                  <c:txPr>
                    <a:bodyPr rot="0" spcFirstLastPara="1" vertOverflow="ellipsis" vert="horz" wrap="square" lIns="38100" tIns="19050" rIns="38100" bIns="19050" anchor="ctr" anchorCtr="1">
                      <a:spAutoFit/>
                    </a:bodyPr>
                    <a:lstStyle/>
                    <a:p>
                      <a:pPr>
                        <a:defRPr sz="16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'activities-data'!$A$4:$A$18</c15:sqref>
                        </c15:formulaRef>
                      </c:ext>
                    </c:extLst>
                    <c:strCache>
                      <c:ptCount val="1"/>
                      <c:pt idx="0">
                        <c:v>All</c:v>
                      </c:pt>
                    </c:strCache>
                  </c:strRef>
                </c:cat>
                <c:val>
                  <c:numRef>
                    <c:extLst xmlns:c15="http://schemas.microsoft.com/office/drawing/2012/chart">
                      <c:ext xmlns:c15="http://schemas.microsoft.com/office/drawing/2012/chart" uri="{02D57815-91ED-43cb-92C2-25804820EDAC}">
                        <c15:formulaRef>
                          <c15:sqref>'activities-data'!$O$4:$O$18</c15:sqref>
                        </c15:formulaRef>
                      </c:ext>
                    </c:extLst>
                    <c:numCache>
                      <c:formatCode>0%</c:formatCode>
                      <c:ptCount val="1"/>
                      <c:pt idx="0">
                        <c:v>0.4959871589085072</c:v>
                      </c:pt>
                    </c:numCache>
                  </c:numRef>
                </c:val>
                <c:extLst xmlns:c15="http://schemas.microsoft.com/office/drawing/2012/chart">
                  <c:ext xmlns:c16="http://schemas.microsoft.com/office/drawing/2014/chart" uri="{C3380CC4-5D6E-409C-BE32-E72D297353CC}">
                    <c16:uniqueId val="{0000001D-A203-4AC4-9346-E329F03EFBC9}"/>
                  </c:ext>
                </c:extLst>
              </c15:ser>
            </c15:filteredBarSeries>
            <c15:filteredBarSeries>
              <c15:ser>
                <c:idx val="14"/>
                <c:order val="14"/>
                <c:tx>
                  <c:strRef>
                    <c:extLst xmlns:c15="http://schemas.microsoft.com/office/drawing/2012/chart">
                      <c:ext xmlns:c15="http://schemas.microsoft.com/office/drawing/2012/chart" uri="{02D57815-91ED-43cb-92C2-25804820EDAC}">
                        <c15:formulaRef>
                          <c15:sqref>'activities-data'!$P$3</c15:sqref>
                        </c15:formulaRef>
                      </c:ext>
                    </c:extLst>
                    <c:strCache>
                      <c:ptCount val="1"/>
                      <c:pt idx="0">
                        <c:v>90%</c:v>
                      </c:pt>
                    </c:strCache>
                  </c:strRef>
                </c:tx>
                <c:spPr>
                  <a:solidFill>
                    <a:srgbClr val="FFC0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6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'activities-data'!$A$4:$A$18</c15:sqref>
                        </c15:formulaRef>
                      </c:ext>
                    </c:extLst>
                    <c:strCache>
                      <c:ptCount val="1"/>
                      <c:pt idx="0">
                        <c:v>All</c:v>
                      </c:pt>
                    </c:strCache>
                  </c:strRef>
                </c:cat>
                <c:val>
                  <c:numRef>
                    <c:extLst xmlns:c15="http://schemas.microsoft.com/office/drawing/2012/chart">
                      <c:ext xmlns:c15="http://schemas.microsoft.com/office/drawing/2012/chart" uri="{02D57815-91ED-43cb-92C2-25804820EDAC}">
                        <c15:formulaRef>
                          <c15:sqref>'activities-data'!$P$4:$P$18</c15:sqref>
                        </c15:formulaRef>
                      </c:ext>
                    </c:extLst>
                    <c:numCache>
                      <c:formatCode>0%</c:formatCode>
                      <c:ptCount val="1"/>
                      <c:pt idx="0">
                        <c:v>3.2102728731942212E-2</c:v>
                      </c:pt>
                    </c:numCache>
                  </c:numRef>
                </c:val>
                <c:extLst xmlns:c15="http://schemas.microsoft.com/office/drawing/2012/chart">
                  <c:ext xmlns:c16="http://schemas.microsoft.com/office/drawing/2014/chart" uri="{C3380CC4-5D6E-409C-BE32-E72D297353CC}">
                    <c16:uniqueId val="{0000001E-A203-4AC4-9346-E329F03EFBC9}"/>
                  </c:ext>
                </c:extLst>
              </c15:ser>
            </c15:filteredBarSeries>
            <c15:filteredBarSeries>
              <c15:ser>
                <c:idx val="15"/>
                <c:order val="15"/>
                <c:tx>
                  <c:strRef>
                    <c:extLst xmlns:c15="http://schemas.microsoft.com/office/drawing/2012/chart">
                      <c:ext xmlns:c15="http://schemas.microsoft.com/office/drawing/2012/chart" uri="{02D57815-91ED-43cb-92C2-25804820EDAC}">
                        <c15:formulaRef>
                          <c15:sqref>'activities-data'!$Q$3</c15:sqref>
                        </c15:formulaRef>
                      </c:ext>
                    </c:extLst>
                    <c:strCache>
                      <c:ptCount val="1"/>
                      <c:pt idx="0">
                        <c:v>75%</c:v>
                      </c:pt>
                    </c:strCache>
                  </c:strRef>
                </c:tx>
                <c:spPr>
                  <a:solidFill>
                    <a:srgbClr val="FFFF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6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'activities-data'!$A$4:$A$18</c15:sqref>
                        </c15:formulaRef>
                      </c:ext>
                    </c:extLst>
                    <c:strCache>
                      <c:ptCount val="1"/>
                      <c:pt idx="0">
                        <c:v>All</c:v>
                      </c:pt>
                    </c:strCache>
                  </c:strRef>
                </c:cat>
                <c:val>
                  <c:numRef>
                    <c:extLst xmlns:c15="http://schemas.microsoft.com/office/drawing/2012/chart">
                      <c:ext xmlns:c15="http://schemas.microsoft.com/office/drawing/2012/chart" uri="{02D57815-91ED-43cb-92C2-25804820EDAC}">
                        <c15:formulaRef>
                          <c15:sqref>'activities-data'!$Q$4:$Q$18</c15:sqref>
                        </c15:formulaRef>
                      </c:ext>
                    </c:extLst>
                    <c:numCache>
                      <c:formatCode>0%</c:formatCode>
                      <c:ptCount val="1"/>
                      <c:pt idx="0">
                        <c:v>5.6179775280898875E-2</c:v>
                      </c:pt>
                    </c:numCache>
                  </c:numRef>
                </c:val>
                <c:extLst xmlns:c15="http://schemas.microsoft.com/office/drawing/2012/chart">
                  <c:ext xmlns:c16="http://schemas.microsoft.com/office/drawing/2014/chart" uri="{C3380CC4-5D6E-409C-BE32-E72D297353CC}">
                    <c16:uniqueId val="{0000001F-A203-4AC4-9346-E329F03EFBC9}"/>
                  </c:ext>
                </c:extLst>
              </c15:ser>
            </c15:filteredBarSeries>
            <c15:filteredBarSeries>
              <c15:ser>
                <c:idx val="16"/>
                <c:order val="16"/>
                <c:tx>
                  <c:strRef>
                    <c:extLst xmlns:c15="http://schemas.microsoft.com/office/drawing/2012/chart">
                      <c:ext xmlns:c15="http://schemas.microsoft.com/office/drawing/2012/chart" uri="{02D57815-91ED-43cb-92C2-25804820EDAC}">
                        <c15:formulaRef>
                          <c15:sqref>'activities-data'!$R$3</c15:sqref>
                        </c15:formulaRef>
                      </c:ext>
                    </c:extLst>
                    <c:strCache>
                      <c:ptCount val="1"/>
                      <c:pt idx="0">
                        <c:v>50%</c:v>
                      </c:pt>
                    </c:strCache>
                  </c:strRef>
                </c:tx>
                <c:spPr>
                  <a:solidFill>
                    <a:srgbClr val="00B0F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6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'activities-data'!$A$4:$A$18</c15:sqref>
                        </c15:formulaRef>
                      </c:ext>
                    </c:extLst>
                    <c:strCache>
                      <c:ptCount val="1"/>
                      <c:pt idx="0">
                        <c:v>All</c:v>
                      </c:pt>
                    </c:strCache>
                  </c:strRef>
                </c:cat>
                <c:val>
                  <c:numRef>
                    <c:extLst xmlns:c15="http://schemas.microsoft.com/office/drawing/2012/chart">
                      <c:ext xmlns:c15="http://schemas.microsoft.com/office/drawing/2012/chart" uri="{02D57815-91ED-43cb-92C2-25804820EDAC}">
                        <c15:formulaRef>
                          <c15:sqref>'activities-data'!$R$4:$R$18</c15:sqref>
                        </c15:formulaRef>
                      </c:ext>
                    </c:extLst>
                    <c:numCache>
                      <c:formatCode>0%</c:formatCode>
                      <c:ptCount val="1"/>
                      <c:pt idx="0">
                        <c:v>8.186195826645265E-2</c:v>
                      </c:pt>
                    </c:numCache>
                  </c:numRef>
                </c:val>
                <c:extLst xmlns:c15="http://schemas.microsoft.com/office/drawing/2012/chart">
                  <c:ext xmlns:c16="http://schemas.microsoft.com/office/drawing/2014/chart" uri="{C3380CC4-5D6E-409C-BE32-E72D297353CC}">
                    <c16:uniqueId val="{00000020-A203-4AC4-9346-E329F03EFBC9}"/>
                  </c:ext>
                </c:extLst>
              </c15:ser>
            </c15:filteredBarSeries>
            <c15:filteredBarSeries>
              <c15:ser>
                <c:idx val="17"/>
                <c:order val="17"/>
                <c:tx>
                  <c:strRef>
                    <c:extLst xmlns:c15="http://schemas.microsoft.com/office/drawing/2012/chart">
                      <c:ext xmlns:c15="http://schemas.microsoft.com/office/drawing/2012/chart" uri="{02D57815-91ED-43cb-92C2-25804820EDAC}">
                        <c15:formulaRef>
                          <c15:sqref>'activities-data'!$S$3</c15:sqref>
                        </c15:formulaRef>
                      </c:ext>
                    </c:extLst>
                    <c:strCache>
                      <c:ptCount val="1"/>
                      <c:pt idx="0">
                        <c:v>25%</c:v>
                      </c:pt>
                    </c:strCache>
                  </c:strRef>
                </c:tx>
                <c:spPr>
                  <a:solidFill>
                    <a:srgbClr val="0070C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6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'activities-data'!$A$4:$A$18</c15:sqref>
                        </c15:formulaRef>
                      </c:ext>
                    </c:extLst>
                    <c:strCache>
                      <c:ptCount val="1"/>
                      <c:pt idx="0">
                        <c:v>All</c:v>
                      </c:pt>
                    </c:strCache>
                  </c:strRef>
                </c:cat>
                <c:val>
                  <c:numRef>
                    <c:extLst xmlns:c15="http://schemas.microsoft.com/office/drawing/2012/chart">
                      <c:ext xmlns:c15="http://schemas.microsoft.com/office/drawing/2012/chart" uri="{02D57815-91ED-43cb-92C2-25804820EDAC}">
                        <c15:formulaRef>
                          <c15:sqref>'activities-data'!$S$4:$S$18</c15:sqref>
                        </c15:formulaRef>
                      </c:ext>
                    </c:extLst>
                    <c:numCache>
                      <c:formatCode>0%</c:formatCode>
                      <c:ptCount val="1"/>
                      <c:pt idx="0">
                        <c:v>0.1492776886035313</c:v>
                      </c:pt>
                    </c:numCache>
                  </c:numRef>
                </c:val>
                <c:extLst xmlns:c15="http://schemas.microsoft.com/office/drawing/2012/chart">
                  <c:ext xmlns:c16="http://schemas.microsoft.com/office/drawing/2014/chart" uri="{C3380CC4-5D6E-409C-BE32-E72D297353CC}">
                    <c16:uniqueId val="{00000021-A203-4AC4-9346-E329F03EFBC9}"/>
                  </c:ext>
                </c:extLst>
              </c15:ser>
            </c15:filteredBarSeries>
            <c15:filteredBarSeries>
              <c15:ser>
                <c:idx val="18"/>
                <c:order val="18"/>
                <c:tx>
                  <c:strRef>
                    <c:extLst xmlns:c15="http://schemas.microsoft.com/office/drawing/2012/chart">
                      <c:ext xmlns:c15="http://schemas.microsoft.com/office/drawing/2012/chart" uri="{02D57815-91ED-43cb-92C2-25804820EDAC}">
                        <c15:formulaRef>
                          <c15:sqref>'activities-data'!$T$3</c15:sqref>
                        </c15:formulaRef>
                      </c:ext>
                    </c:extLst>
                    <c:strCache>
                      <c:ptCount val="1"/>
                      <c:pt idx="0">
                        <c:v>10%</c:v>
                      </c:pt>
                    </c:strCache>
                  </c:strRef>
                </c:tx>
                <c:spPr>
                  <a:solidFill>
                    <a:schemeClr val="accent1">
                      <a:lumMod val="80000"/>
                    </a:schemeClr>
                  </a:solidFill>
                  <a:ln>
                    <a:noFill/>
                  </a:ln>
                  <a:effectLst/>
                </c:spPr>
                <c:invertIfNegative val="0"/>
                <c:cat>
                  <c:strRef>
                    <c:extLst xmlns:c15="http://schemas.microsoft.com/office/drawing/2012/chart">
                      <c:ext xmlns:c15="http://schemas.microsoft.com/office/drawing/2012/chart" uri="{02D57815-91ED-43cb-92C2-25804820EDAC}">
                        <c15:formulaRef>
                          <c15:sqref>'activities-data'!$A$4:$A$18</c15:sqref>
                        </c15:formulaRef>
                      </c:ext>
                    </c:extLst>
                    <c:strCache>
                      <c:ptCount val="1"/>
                      <c:pt idx="0">
                        <c:v>All</c:v>
                      </c:pt>
                    </c:strCache>
                  </c:strRef>
                </c:cat>
                <c:val>
                  <c:numRef>
                    <c:extLst xmlns:c15="http://schemas.microsoft.com/office/drawing/2012/chart">
                      <c:ext xmlns:c15="http://schemas.microsoft.com/office/drawing/2012/chart" uri="{02D57815-91ED-43cb-92C2-25804820EDAC}">
                        <c15:formulaRef>
                          <c15:sqref>'activities-data'!$T$4:$T$18</c15:sqref>
                        </c15:formulaRef>
                      </c:ext>
                    </c:extLst>
                    <c:numCache>
                      <c:formatCode>0%</c:formatCode>
                      <c:ptCount val="1"/>
                      <c:pt idx="0">
                        <c:v>0</c:v>
                      </c:pt>
                    </c:numCache>
                  </c:numRef>
                </c:val>
                <c:extLst xmlns:c15="http://schemas.microsoft.com/office/drawing/2012/chart">
                  <c:ext xmlns:c16="http://schemas.microsoft.com/office/drawing/2014/chart" uri="{C3380CC4-5D6E-409C-BE32-E72D297353CC}">
                    <c16:uniqueId val="{00000022-A203-4AC4-9346-E329F03EFBC9}"/>
                  </c:ext>
                </c:extLst>
              </c15:ser>
            </c15:filteredBarSeries>
            <c15:filteredBarSeries>
              <c15:ser>
                <c:idx val="19"/>
                <c:order val="19"/>
                <c:tx>
                  <c:strRef>
                    <c:extLst xmlns:c15="http://schemas.microsoft.com/office/drawing/2012/chart">
                      <c:ext xmlns:c15="http://schemas.microsoft.com/office/drawing/2012/chart" uri="{02D57815-91ED-43cb-92C2-25804820EDAC}">
                        <c15:formulaRef>
                          <c15:sqref>'activities-data'!$U$3</c15:sqref>
                        </c15:formulaRef>
                      </c:ext>
                    </c:extLst>
                    <c:strCache>
                      <c:ptCount val="1"/>
                      <c:pt idx="0">
                        <c:v>Not started</c:v>
                      </c:pt>
                    </c:strCache>
                  </c:strRef>
                </c:tx>
                <c:spPr>
                  <a:solidFill>
                    <a:srgbClr val="7030A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6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'activities-data'!$A$4:$A$18</c15:sqref>
                        </c15:formulaRef>
                      </c:ext>
                    </c:extLst>
                    <c:strCache>
                      <c:ptCount val="1"/>
                      <c:pt idx="0">
                        <c:v>All</c:v>
                      </c:pt>
                    </c:strCache>
                  </c:strRef>
                </c:cat>
                <c:val>
                  <c:numRef>
                    <c:extLst xmlns:c15="http://schemas.microsoft.com/office/drawing/2012/chart">
                      <c:ext xmlns:c15="http://schemas.microsoft.com/office/drawing/2012/chart" uri="{02D57815-91ED-43cb-92C2-25804820EDAC}">
                        <c15:formulaRef>
                          <c15:sqref>'activities-data'!$U$4:$U$18</c15:sqref>
                        </c15:formulaRef>
                      </c:ext>
                    </c:extLst>
                    <c:numCache>
                      <c:formatCode>0%</c:formatCode>
                      <c:ptCount val="1"/>
                      <c:pt idx="0">
                        <c:v>0.18298555377207062</c:v>
                      </c:pt>
                    </c:numCache>
                  </c:numRef>
                </c:val>
                <c:extLst xmlns:c15="http://schemas.microsoft.com/office/drawing/2012/chart">
                  <c:ext xmlns:c16="http://schemas.microsoft.com/office/drawing/2014/chart" uri="{C3380CC4-5D6E-409C-BE32-E72D297353CC}">
                    <c16:uniqueId val="{00000023-A203-4AC4-9346-E329F03EFBC9}"/>
                  </c:ext>
                </c:extLst>
              </c15:ser>
            </c15:filteredBarSeries>
            <c15:filteredBarSeries>
              <c15:ser>
                <c:idx val="20"/>
                <c:order val="20"/>
                <c:tx>
                  <c:strRef>
                    <c:extLst xmlns:c15="http://schemas.microsoft.com/office/drawing/2012/chart">
                      <c:ext xmlns:c15="http://schemas.microsoft.com/office/drawing/2012/chart" uri="{02D57815-91ED-43cb-92C2-25804820EDAC}">
                        <c15:formulaRef>
                          <c15:sqref>'activities-data'!$V$3</c15:sqref>
                        </c15:formulaRef>
                      </c:ext>
                    </c:extLst>
                    <c:strCache>
                      <c:ptCount val="1"/>
                      <c:pt idx="0">
                        <c:v>Completed</c:v>
                      </c:pt>
                    </c:strCache>
                  </c:strRef>
                </c:tx>
                <c:spPr>
                  <a:solidFill>
                    <a:schemeClr val="accent3">
                      <a:lumMod val="80000"/>
                    </a:schemeClr>
                  </a:solidFill>
                  <a:ln>
                    <a:noFill/>
                  </a:ln>
                  <a:effectLst/>
                </c:spPr>
                <c:invertIfNegative val="0"/>
                <c:cat>
                  <c:strRef>
                    <c:extLst xmlns:c15="http://schemas.microsoft.com/office/drawing/2012/chart">
                      <c:ext xmlns:c15="http://schemas.microsoft.com/office/drawing/2012/chart" uri="{02D57815-91ED-43cb-92C2-25804820EDAC}">
                        <c15:formulaRef>
                          <c15:sqref>'activities-data'!$A$4:$A$18</c15:sqref>
                        </c15:formulaRef>
                      </c:ext>
                    </c:extLst>
                    <c:strCache>
                      <c:ptCount val="1"/>
                      <c:pt idx="0">
                        <c:v>All</c:v>
                      </c:pt>
                    </c:strCache>
                  </c:strRef>
                </c:cat>
                <c:val>
                  <c:numRef>
                    <c:extLst xmlns:c15="http://schemas.microsoft.com/office/drawing/2012/chart">
                      <c:ext xmlns:c15="http://schemas.microsoft.com/office/drawing/2012/chart" uri="{02D57815-91ED-43cb-92C2-25804820EDAC}">
                        <c15:formulaRef>
                          <c15:sqref>'activities-data'!$V$4:$V$18</c15:sqref>
                        </c15:formulaRef>
                      </c:ext>
                    </c:extLst>
                    <c:numCache>
                      <c:formatCode>0%</c:formatCode>
                      <c:ptCount val="1"/>
                      <c:pt idx="0">
                        <c:v>0.39017341040462428</c:v>
                      </c:pt>
                    </c:numCache>
                  </c:numRef>
                </c:val>
                <c:extLst xmlns:c15="http://schemas.microsoft.com/office/drawing/2012/chart">
                  <c:ext xmlns:c16="http://schemas.microsoft.com/office/drawing/2014/chart" uri="{C3380CC4-5D6E-409C-BE32-E72D297353CC}">
                    <c16:uniqueId val="{00000024-A203-4AC4-9346-E329F03EFBC9}"/>
                  </c:ext>
                </c:extLst>
              </c15:ser>
            </c15:filteredBarSeries>
            <c15:filteredBarSeries>
              <c15:ser>
                <c:idx val="21"/>
                <c:order val="21"/>
                <c:tx>
                  <c:strRef>
                    <c:extLst xmlns:c15="http://schemas.microsoft.com/office/drawing/2012/chart">
                      <c:ext xmlns:c15="http://schemas.microsoft.com/office/drawing/2012/chart" uri="{02D57815-91ED-43cb-92C2-25804820EDAC}">
                        <c15:formulaRef>
                          <c15:sqref>'activities-data'!$W$3</c15:sqref>
                        </c15:formulaRef>
                      </c:ext>
                    </c:extLst>
                    <c:strCache>
                      <c:ptCount val="1"/>
                      <c:pt idx="0">
                        <c:v>In progress</c:v>
                      </c:pt>
                    </c:strCache>
                  </c:strRef>
                </c:tx>
                <c:spPr>
                  <a:solidFill>
                    <a:schemeClr val="accent4">
                      <a:lumMod val="80000"/>
                    </a:schemeClr>
                  </a:solidFill>
                  <a:ln>
                    <a:noFill/>
                  </a:ln>
                  <a:effectLst/>
                </c:spPr>
                <c:invertIfNegative val="0"/>
                <c:cat>
                  <c:strRef>
                    <c:extLst xmlns:c15="http://schemas.microsoft.com/office/drawing/2012/chart">
                      <c:ext xmlns:c15="http://schemas.microsoft.com/office/drawing/2012/chart" uri="{02D57815-91ED-43cb-92C2-25804820EDAC}">
                        <c15:formulaRef>
                          <c15:sqref>'activities-data'!$A$4:$A$18</c15:sqref>
                        </c15:formulaRef>
                      </c:ext>
                    </c:extLst>
                    <c:strCache>
                      <c:ptCount val="1"/>
                      <c:pt idx="0">
                        <c:v>All</c:v>
                      </c:pt>
                    </c:strCache>
                  </c:strRef>
                </c:cat>
                <c:val>
                  <c:numRef>
                    <c:extLst xmlns:c15="http://schemas.microsoft.com/office/drawing/2012/chart">
                      <c:ext xmlns:c15="http://schemas.microsoft.com/office/drawing/2012/chart" uri="{02D57815-91ED-43cb-92C2-25804820EDAC}">
                        <c15:formulaRef>
                          <c15:sqref>'activities-data'!$W$4:$W$18</c15:sqref>
                        </c15:formulaRef>
                      </c:ext>
                    </c:extLst>
                    <c:numCache>
                      <c:formatCode>0%</c:formatCode>
                      <c:ptCount val="1"/>
                      <c:pt idx="0">
                        <c:v>0.33815028901734107</c:v>
                      </c:pt>
                    </c:numCache>
                  </c:numRef>
                </c:val>
                <c:extLst xmlns:c15="http://schemas.microsoft.com/office/drawing/2012/chart">
                  <c:ext xmlns:c16="http://schemas.microsoft.com/office/drawing/2014/chart" uri="{C3380CC4-5D6E-409C-BE32-E72D297353CC}">
                    <c16:uniqueId val="{00000025-A203-4AC4-9346-E329F03EFBC9}"/>
                  </c:ext>
                </c:extLst>
              </c15:ser>
            </c15:filteredBarSeries>
            <c15:filteredBarSeries>
              <c15:ser>
                <c:idx val="22"/>
                <c:order val="22"/>
                <c:tx>
                  <c:strRef>
                    <c:extLst xmlns:c15="http://schemas.microsoft.com/office/drawing/2012/chart">
                      <c:ext xmlns:c15="http://schemas.microsoft.com/office/drawing/2012/chart" uri="{02D57815-91ED-43cb-92C2-25804820EDAC}">
                        <c15:formulaRef>
                          <c15:sqref>'activities-data'!$X$3</c15:sqref>
                        </c15:formulaRef>
                      </c:ext>
                    </c:extLst>
                    <c:strCache>
                      <c:ptCount val="1"/>
                      <c:pt idx="0">
                        <c:v>Not started</c:v>
                      </c:pt>
                    </c:strCache>
                  </c:strRef>
                </c:tx>
                <c:spPr>
                  <a:solidFill>
                    <a:schemeClr val="accent5">
                      <a:lumMod val="80000"/>
                    </a:schemeClr>
                  </a:solidFill>
                  <a:ln>
                    <a:noFill/>
                  </a:ln>
                  <a:effectLst/>
                </c:spPr>
                <c:invertIfNegative val="0"/>
                <c:cat>
                  <c:strRef>
                    <c:extLst xmlns:c15="http://schemas.microsoft.com/office/drawing/2012/chart">
                      <c:ext xmlns:c15="http://schemas.microsoft.com/office/drawing/2012/chart" uri="{02D57815-91ED-43cb-92C2-25804820EDAC}">
                        <c15:formulaRef>
                          <c15:sqref>'activities-data'!$A$4:$A$18</c15:sqref>
                        </c15:formulaRef>
                      </c:ext>
                    </c:extLst>
                    <c:strCache>
                      <c:ptCount val="1"/>
                      <c:pt idx="0">
                        <c:v>All</c:v>
                      </c:pt>
                    </c:strCache>
                  </c:strRef>
                </c:cat>
                <c:val>
                  <c:numRef>
                    <c:extLst xmlns:c15="http://schemas.microsoft.com/office/drawing/2012/chart">
                      <c:ext xmlns:c15="http://schemas.microsoft.com/office/drawing/2012/chart" uri="{02D57815-91ED-43cb-92C2-25804820EDAC}">
                        <c15:formulaRef>
                          <c15:sqref>'activities-data'!$X$4:$X$18</c15:sqref>
                        </c15:formulaRef>
                      </c:ext>
                    </c:extLst>
                    <c:numCache>
                      <c:formatCode>0%</c:formatCode>
                      <c:ptCount val="1"/>
                      <c:pt idx="0">
                        <c:v>0.26589595375722541</c:v>
                      </c:pt>
                    </c:numCache>
                  </c:numRef>
                </c:val>
                <c:extLst xmlns:c15="http://schemas.microsoft.com/office/drawing/2012/chart">
                  <c:ext xmlns:c16="http://schemas.microsoft.com/office/drawing/2014/chart" uri="{C3380CC4-5D6E-409C-BE32-E72D297353CC}">
                    <c16:uniqueId val="{00000026-A203-4AC4-9346-E329F03EFBC9}"/>
                  </c:ext>
                </c:extLst>
              </c15:ser>
            </c15:filteredBarSeries>
          </c:ext>
        </c:extLst>
      </c:barChart>
      <c:catAx>
        <c:axId val="851305688"/>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51301752"/>
        <c:crosses val="autoZero"/>
        <c:auto val="1"/>
        <c:lblAlgn val="ctr"/>
        <c:lblOffset val="100"/>
        <c:noMultiLvlLbl val="0"/>
      </c:catAx>
      <c:valAx>
        <c:axId val="851301752"/>
        <c:scaling>
          <c:orientation val="minMax"/>
          <c:max val="1"/>
        </c:scaling>
        <c:delete val="0"/>
        <c:axPos val="t"/>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51305688"/>
        <c:crosses val="autoZero"/>
        <c:crossBetween val="between"/>
      </c:valAx>
      <c:spPr>
        <a:noFill/>
        <a:ln>
          <a:noFill/>
        </a:ln>
        <a:effectLst/>
      </c:spPr>
    </c:plotArea>
    <c:legend>
      <c:legendPos val="b"/>
      <c:layout>
        <c:manualLayout>
          <c:xMode val="edge"/>
          <c:yMode val="edge"/>
          <c:x val="0.10325678040244969"/>
          <c:y val="0.30608073200336122"/>
          <c:w val="0.82313093074904098"/>
          <c:h val="5.7220208654558562E-2"/>
        </c:manualLayout>
      </c:layout>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5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4"/>
    </mc:Choice>
    <mc:Fallback>
      <c:style val="4"/>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Topic Area - Supported Employment  Activity #2</a:t>
            </a:r>
          </a:p>
        </c:rich>
      </c:tx>
      <c:layout>
        <c:manualLayout>
          <c:xMode val="edge"/>
          <c:yMode val="edge"/>
          <c:x val="0.20401584330345343"/>
          <c:y val="0"/>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6017916604892113"/>
          <c:y val="0.23265365094271845"/>
          <c:w val="0.78942722632790041"/>
          <c:h val="0.66602748393145406"/>
        </c:manualLayout>
      </c:layout>
      <c:barChart>
        <c:barDir val="col"/>
        <c:grouping val="percentStacked"/>
        <c:varyColors val="0"/>
        <c:ser>
          <c:idx val="3"/>
          <c:order val="3"/>
          <c:tx>
            <c:strRef>
              <c:f>'individual-chart-se'!$F$2</c:f>
              <c:strCache>
                <c:ptCount val="1"/>
                <c:pt idx="0">
                  <c:v>Completed</c:v>
                </c:pt>
              </c:strCache>
            </c:strRef>
          </c:tx>
          <c:spPr>
            <a:solidFill>
              <a:srgbClr val="99221F"/>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600" b="0"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'individual-chart-se'!$B$3:$B$26</c:f>
              <c:strCache>
                <c:ptCount val="2"/>
                <c:pt idx="0">
                  <c:v>Activity</c:v>
                </c:pt>
                <c:pt idx="1">
                  <c:v>Outputs</c:v>
                </c:pt>
              </c:strCache>
              <c:extLst/>
            </c:strRef>
          </c:cat>
          <c:val>
            <c:numRef>
              <c:f>'individual-chart-se'!$F$3:$F$26</c:f>
              <c:numCache>
                <c:formatCode>General</c:formatCode>
                <c:ptCount val="2"/>
              </c:numCache>
              <c:extLst/>
            </c:numRef>
          </c:val>
          <c:extLst>
            <c:ext xmlns:c16="http://schemas.microsoft.com/office/drawing/2014/chart" uri="{C3380CC4-5D6E-409C-BE32-E72D297353CC}">
              <c16:uniqueId val="{00000000-ED8F-47A6-BF9F-8F2D72171C1A}"/>
            </c:ext>
          </c:extLst>
        </c:ser>
        <c:ser>
          <c:idx val="4"/>
          <c:order val="4"/>
          <c:tx>
            <c:strRef>
              <c:f>'individual-chart-se'!$G$2</c:f>
              <c:strCache>
                <c:ptCount val="1"/>
                <c:pt idx="0">
                  <c:v>90%</c:v>
                </c:pt>
              </c:strCache>
            </c:strRef>
          </c:tx>
          <c:spPr>
            <a:solidFill>
              <a:srgbClr val="D73D39"/>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6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'individual-chart-se'!$B$3:$B$26</c:f>
              <c:strCache>
                <c:ptCount val="2"/>
                <c:pt idx="0">
                  <c:v>Activity</c:v>
                </c:pt>
                <c:pt idx="1">
                  <c:v>Outputs</c:v>
                </c:pt>
              </c:strCache>
              <c:extLst/>
            </c:strRef>
          </c:cat>
          <c:val>
            <c:numRef>
              <c:f>'individual-chart-se'!$G$3:$G$26</c:f>
              <c:numCache>
                <c:formatCode>0%</c:formatCode>
                <c:ptCount val="2"/>
                <c:pt idx="0">
                  <c:v>0.5</c:v>
                </c:pt>
                <c:pt idx="1">
                  <c:v>0.5</c:v>
                </c:pt>
              </c:numCache>
              <c:extLst/>
            </c:numRef>
          </c:val>
          <c:extLst>
            <c:ext xmlns:c16="http://schemas.microsoft.com/office/drawing/2014/chart" uri="{C3380CC4-5D6E-409C-BE32-E72D297353CC}">
              <c16:uniqueId val="{00000001-ED8F-47A6-BF9F-8F2D72171C1A}"/>
            </c:ext>
          </c:extLst>
        </c:ser>
        <c:ser>
          <c:idx val="5"/>
          <c:order val="5"/>
          <c:tx>
            <c:strRef>
              <c:f>'individual-chart-se'!$H$2</c:f>
              <c:strCache>
                <c:ptCount val="1"/>
                <c:pt idx="0">
                  <c:v>75%</c:v>
                </c:pt>
              </c:strCache>
            </c:strRef>
          </c:tx>
          <c:spPr>
            <a:solidFill>
              <a:srgbClr val="DC535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'individual-chart-se'!$B$3:$B$26</c:f>
              <c:strCache>
                <c:ptCount val="2"/>
                <c:pt idx="0">
                  <c:v>Activity</c:v>
                </c:pt>
                <c:pt idx="1">
                  <c:v>Outputs</c:v>
                </c:pt>
              </c:strCache>
              <c:extLst/>
            </c:strRef>
          </c:cat>
          <c:val>
            <c:numRef>
              <c:f>'individual-chart-se'!$H$3:$H$26</c:f>
              <c:numCache>
                <c:formatCode>General</c:formatCode>
                <c:ptCount val="2"/>
              </c:numCache>
              <c:extLst/>
            </c:numRef>
          </c:val>
          <c:extLst>
            <c:ext xmlns:c16="http://schemas.microsoft.com/office/drawing/2014/chart" uri="{C3380CC4-5D6E-409C-BE32-E72D297353CC}">
              <c16:uniqueId val="{00000002-ED8F-47A6-BF9F-8F2D72171C1A}"/>
            </c:ext>
          </c:extLst>
        </c:ser>
        <c:ser>
          <c:idx val="6"/>
          <c:order val="6"/>
          <c:tx>
            <c:strRef>
              <c:f>'individual-chart-se'!$I$2</c:f>
              <c:strCache>
                <c:ptCount val="1"/>
                <c:pt idx="0">
                  <c:v>50%</c:v>
                </c:pt>
              </c:strCache>
            </c:strRef>
          </c:tx>
          <c:spPr>
            <a:solidFill>
              <a:srgbClr val="EBA19F"/>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'individual-chart-se'!$B$3:$B$26</c:f>
              <c:strCache>
                <c:ptCount val="2"/>
                <c:pt idx="0">
                  <c:v>Activity</c:v>
                </c:pt>
                <c:pt idx="1">
                  <c:v>Outputs</c:v>
                </c:pt>
              </c:strCache>
              <c:extLst/>
            </c:strRef>
          </c:cat>
          <c:val>
            <c:numRef>
              <c:f>'individual-chart-se'!$I$3:$I$26</c:f>
              <c:numCache>
                <c:formatCode>General</c:formatCode>
                <c:ptCount val="2"/>
              </c:numCache>
              <c:extLst/>
            </c:numRef>
          </c:val>
          <c:extLst>
            <c:ext xmlns:c16="http://schemas.microsoft.com/office/drawing/2014/chart" uri="{C3380CC4-5D6E-409C-BE32-E72D297353CC}">
              <c16:uniqueId val="{00000003-ED8F-47A6-BF9F-8F2D72171C1A}"/>
            </c:ext>
          </c:extLst>
        </c:ser>
        <c:ser>
          <c:idx val="7"/>
          <c:order val="7"/>
          <c:tx>
            <c:strRef>
              <c:f>'individual-chart-se'!$J$2</c:f>
              <c:strCache>
                <c:ptCount val="1"/>
                <c:pt idx="0">
                  <c:v>25%</c:v>
                </c:pt>
              </c:strCache>
            </c:strRef>
          </c:tx>
          <c:spPr>
            <a:solidFill>
              <a:srgbClr val="F3C6C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6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'individual-chart-se'!$B$3:$B$26</c:f>
              <c:strCache>
                <c:ptCount val="2"/>
                <c:pt idx="0">
                  <c:v>Activity</c:v>
                </c:pt>
                <c:pt idx="1">
                  <c:v>Outputs</c:v>
                </c:pt>
              </c:strCache>
              <c:extLst/>
            </c:strRef>
          </c:cat>
          <c:val>
            <c:numRef>
              <c:f>'individual-chart-se'!$J$3:$J$26</c:f>
              <c:numCache>
                <c:formatCode>0%</c:formatCode>
                <c:ptCount val="2"/>
                <c:pt idx="0">
                  <c:v>0.5</c:v>
                </c:pt>
                <c:pt idx="1">
                  <c:v>0.5</c:v>
                </c:pt>
              </c:numCache>
              <c:extLst/>
            </c:numRef>
          </c:val>
          <c:extLst>
            <c:ext xmlns:c16="http://schemas.microsoft.com/office/drawing/2014/chart" uri="{C3380CC4-5D6E-409C-BE32-E72D297353CC}">
              <c16:uniqueId val="{00000004-ED8F-47A6-BF9F-8F2D72171C1A}"/>
            </c:ext>
          </c:extLst>
        </c:ser>
        <c:ser>
          <c:idx val="8"/>
          <c:order val="8"/>
          <c:tx>
            <c:strRef>
              <c:f>'individual-chart-se'!$K$2</c:f>
              <c:strCache>
                <c:ptCount val="1"/>
                <c:pt idx="0">
                  <c:v>10%</c:v>
                </c:pt>
              </c:strCache>
            </c:strRef>
          </c:tx>
          <c:spPr>
            <a:solidFill>
              <a:schemeClr val="accent2">
                <a:tint val="56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'individual-chart-se'!$B$3:$B$26</c:f>
              <c:strCache>
                <c:ptCount val="2"/>
                <c:pt idx="0">
                  <c:v>Activity</c:v>
                </c:pt>
                <c:pt idx="1">
                  <c:v>Outputs</c:v>
                </c:pt>
              </c:strCache>
              <c:extLst/>
            </c:strRef>
          </c:cat>
          <c:val>
            <c:numRef>
              <c:f>'individual-chart-se'!$K$3:$K$26</c:f>
              <c:numCache>
                <c:formatCode>General</c:formatCode>
                <c:ptCount val="2"/>
              </c:numCache>
              <c:extLst/>
            </c:numRef>
          </c:val>
          <c:extLst>
            <c:ext xmlns:c16="http://schemas.microsoft.com/office/drawing/2014/chart" uri="{C3380CC4-5D6E-409C-BE32-E72D297353CC}">
              <c16:uniqueId val="{00000005-ED8F-47A6-BF9F-8F2D72171C1A}"/>
            </c:ext>
          </c:extLst>
        </c:ser>
        <c:ser>
          <c:idx val="9"/>
          <c:order val="9"/>
          <c:tx>
            <c:strRef>
              <c:f>'individual-chart-se'!$L$2</c:f>
              <c:strCache>
                <c:ptCount val="1"/>
                <c:pt idx="0">
                  <c:v>Not Started</c:v>
                </c:pt>
              </c:strCache>
            </c:strRef>
          </c:tx>
          <c:spPr>
            <a:solidFill>
              <a:srgbClr val="FCF2F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'individual-chart-se'!$B$3:$B$26</c:f>
              <c:strCache>
                <c:ptCount val="2"/>
                <c:pt idx="0">
                  <c:v>Activity</c:v>
                </c:pt>
                <c:pt idx="1">
                  <c:v>Outputs</c:v>
                </c:pt>
              </c:strCache>
              <c:extLst/>
            </c:strRef>
          </c:cat>
          <c:val>
            <c:numRef>
              <c:f>'individual-chart-se'!$L$3:$L$26</c:f>
              <c:numCache>
                <c:formatCode>General</c:formatCode>
                <c:ptCount val="2"/>
              </c:numCache>
              <c:extLst/>
            </c:numRef>
          </c:val>
          <c:extLst>
            <c:ext xmlns:c16="http://schemas.microsoft.com/office/drawing/2014/chart" uri="{C3380CC4-5D6E-409C-BE32-E72D297353CC}">
              <c16:uniqueId val="{00000006-ED8F-47A6-BF9F-8F2D72171C1A}"/>
            </c:ext>
          </c:extLst>
        </c:ser>
        <c:dLbls>
          <c:dLblPos val="ctr"/>
          <c:showLegendKey val="0"/>
          <c:showVal val="1"/>
          <c:showCatName val="0"/>
          <c:showSerName val="0"/>
          <c:showPercent val="0"/>
          <c:showBubbleSize val="0"/>
        </c:dLbls>
        <c:gapWidth val="150"/>
        <c:overlap val="100"/>
        <c:axId val="790958128"/>
        <c:axId val="790961408"/>
        <c:extLst>
          <c:ext xmlns:c15="http://schemas.microsoft.com/office/drawing/2012/chart" uri="{02D57815-91ED-43cb-92C2-25804820EDAC}">
            <c15:filteredBarSeries>
              <c15:ser>
                <c:idx val="0"/>
                <c:order val="0"/>
                <c:tx>
                  <c:strRef>
                    <c:extLst>
                      <c:ext uri="{02D57815-91ED-43cb-92C2-25804820EDAC}">
                        <c15:formulaRef>
                          <c15:sqref>'individual-chart-se'!$C$2</c15:sqref>
                        </c15:formulaRef>
                      </c:ext>
                    </c:extLst>
                    <c:strCache>
                      <c:ptCount val="1"/>
                      <c:pt idx="0">
                        <c:v>Completed</c:v>
                      </c:pt>
                    </c:strCache>
                  </c:strRef>
                </c:tx>
                <c:spPr>
                  <a:solidFill>
                    <a:schemeClr val="accent2">
                      <a:shade val="42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c:ext uri="{02D57815-91ED-43cb-92C2-25804820EDAC}">
                        <c15:formulaRef>
                          <c15:sqref>'individual-chart-se'!$B$3:$B$26</c15:sqref>
                        </c15:formulaRef>
                      </c:ext>
                    </c:extLst>
                    <c:strCache>
                      <c:ptCount val="2"/>
                      <c:pt idx="0">
                        <c:v>Activity</c:v>
                      </c:pt>
                      <c:pt idx="1">
                        <c:v>Outputs</c:v>
                      </c:pt>
                    </c:strCache>
                  </c:strRef>
                </c:cat>
                <c:val>
                  <c:numRef>
                    <c:extLst>
                      <c:ext uri="{02D57815-91ED-43cb-92C2-25804820EDAC}">
                        <c15:formulaRef>
                          <c15:sqref>'individual-chart-se'!$C$3:$C$26</c15:sqref>
                        </c15:formulaRef>
                      </c:ext>
                    </c:extLst>
                    <c:numCache>
                      <c:formatCode>General</c:formatCode>
                      <c:ptCount val="2"/>
                    </c:numCache>
                  </c:numRef>
                </c:val>
                <c:extLst>
                  <c:ext xmlns:c16="http://schemas.microsoft.com/office/drawing/2014/chart" uri="{C3380CC4-5D6E-409C-BE32-E72D297353CC}">
                    <c16:uniqueId val="{00000007-ED8F-47A6-BF9F-8F2D72171C1A}"/>
                  </c:ext>
                </c:extLst>
              </c15:ser>
            </c15:filteredBarSeries>
            <c15:filteredBarSeries>
              <c15:ser>
                <c:idx val="1"/>
                <c:order val="1"/>
                <c:tx>
                  <c:strRef>
                    <c:extLst xmlns:c15="http://schemas.microsoft.com/office/drawing/2012/chart">
                      <c:ext xmlns:c15="http://schemas.microsoft.com/office/drawing/2012/chart" uri="{02D57815-91ED-43cb-92C2-25804820EDAC}">
                        <c15:formulaRef>
                          <c15:sqref>'individual-chart-se'!$D$2</c15:sqref>
                        </c15:formulaRef>
                      </c:ext>
                    </c:extLst>
                    <c:strCache>
                      <c:ptCount val="1"/>
                      <c:pt idx="0">
                        <c:v>In progress</c:v>
                      </c:pt>
                    </c:strCache>
                  </c:strRef>
                </c:tx>
                <c:spPr>
                  <a:solidFill>
                    <a:schemeClr val="accent2">
                      <a:shade val="5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'individual-chart-se'!$B$3:$B$26</c15:sqref>
                        </c15:formulaRef>
                      </c:ext>
                    </c:extLst>
                    <c:strCache>
                      <c:ptCount val="2"/>
                      <c:pt idx="0">
                        <c:v>Activity</c:v>
                      </c:pt>
                      <c:pt idx="1">
                        <c:v>Outputs</c:v>
                      </c:pt>
                    </c:strCache>
                  </c:strRef>
                </c:cat>
                <c:val>
                  <c:numRef>
                    <c:extLst xmlns:c15="http://schemas.microsoft.com/office/drawing/2012/chart">
                      <c:ext xmlns:c15="http://schemas.microsoft.com/office/drawing/2012/chart" uri="{02D57815-91ED-43cb-92C2-25804820EDAC}">
                        <c15:formulaRef>
                          <c15:sqref>'individual-chart-se'!$D$3:$D$26</c15:sqref>
                        </c15:formulaRef>
                      </c:ext>
                    </c:extLst>
                    <c:numCache>
                      <c:formatCode>0%</c:formatCode>
                      <c:ptCount val="2"/>
                      <c:pt idx="0">
                        <c:v>1</c:v>
                      </c:pt>
                      <c:pt idx="1">
                        <c:v>1</c:v>
                      </c:pt>
                    </c:numCache>
                  </c:numRef>
                </c:val>
                <c:extLst xmlns:c15="http://schemas.microsoft.com/office/drawing/2012/chart">
                  <c:ext xmlns:c16="http://schemas.microsoft.com/office/drawing/2014/chart" uri="{C3380CC4-5D6E-409C-BE32-E72D297353CC}">
                    <c16:uniqueId val="{00000008-ED8F-47A6-BF9F-8F2D72171C1A}"/>
                  </c:ext>
                </c:extLst>
              </c15:ser>
            </c15:filteredBarSeries>
            <c15:filteredBarSeries>
              <c15:ser>
                <c:idx val="2"/>
                <c:order val="2"/>
                <c:tx>
                  <c:strRef>
                    <c:extLst xmlns:c15="http://schemas.microsoft.com/office/drawing/2012/chart">
                      <c:ext xmlns:c15="http://schemas.microsoft.com/office/drawing/2012/chart" uri="{02D57815-91ED-43cb-92C2-25804820EDAC}">
                        <c15:formulaRef>
                          <c15:sqref>'individual-chart-se'!$E$2</c15:sqref>
                        </c15:formulaRef>
                      </c:ext>
                    </c:extLst>
                    <c:strCache>
                      <c:ptCount val="1"/>
                      <c:pt idx="0">
                        <c:v>Not started</c:v>
                      </c:pt>
                    </c:strCache>
                  </c:strRef>
                </c:tx>
                <c:spPr>
                  <a:solidFill>
                    <a:schemeClr val="accent2">
                      <a:shade val="68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'individual-chart-se'!$B$3:$B$26</c15:sqref>
                        </c15:formulaRef>
                      </c:ext>
                    </c:extLst>
                    <c:strCache>
                      <c:ptCount val="2"/>
                      <c:pt idx="0">
                        <c:v>Activity</c:v>
                      </c:pt>
                      <c:pt idx="1">
                        <c:v>Outputs</c:v>
                      </c:pt>
                    </c:strCache>
                  </c:strRef>
                </c:cat>
                <c:val>
                  <c:numRef>
                    <c:extLst xmlns:c15="http://schemas.microsoft.com/office/drawing/2012/chart">
                      <c:ext xmlns:c15="http://schemas.microsoft.com/office/drawing/2012/chart" uri="{02D57815-91ED-43cb-92C2-25804820EDAC}">
                        <c15:formulaRef>
                          <c15:sqref>'individual-chart-se'!$E$3:$E$26</c15:sqref>
                        </c15:formulaRef>
                      </c:ext>
                    </c:extLst>
                    <c:numCache>
                      <c:formatCode>General</c:formatCode>
                      <c:ptCount val="2"/>
                    </c:numCache>
                  </c:numRef>
                </c:val>
                <c:extLst xmlns:c15="http://schemas.microsoft.com/office/drawing/2012/chart">
                  <c:ext xmlns:c16="http://schemas.microsoft.com/office/drawing/2014/chart" uri="{C3380CC4-5D6E-409C-BE32-E72D297353CC}">
                    <c16:uniqueId val="{00000009-ED8F-47A6-BF9F-8F2D72171C1A}"/>
                  </c:ext>
                </c:extLst>
              </c15:ser>
            </c15:filteredBarSeries>
          </c:ext>
        </c:extLst>
      </c:barChart>
      <c:catAx>
        <c:axId val="7909581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n-US"/>
          </a:p>
        </c:txPr>
        <c:crossAx val="790961408"/>
        <c:crosses val="autoZero"/>
        <c:auto val="1"/>
        <c:lblAlgn val="ctr"/>
        <c:lblOffset val="100"/>
        <c:noMultiLvlLbl val="0"/>
      </c:catAx>
      <c:valAx>
        <c:axId val="790961408"/>
        <c:scaling>
          <c:orientation val="minMax"/>
          <c:min val="0"/>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90958128"/>
        <c:crossesAt val="1"/>
        <c:crossBetween val="between"/>
      </c:valAx>
      <c:spPr>
        <a:noFill/>
        <a:ln>
          <a:noFill/>
        </a:ln>
        <a:effectLst/>
      </c:spPr>
    </c:plotArea>
    <c:legend>
      <c:legendPos val="t"/>
      <c:layout>
        <c:manualLayout>
          <c:xMode val="edge"/>
          <c:yMode val="edge"/>
          <c:x val="0.16878354491402861"/>
          <c:y val="0.14071530758226036"/>
          <c:w val="0.78488188976377948"/>
          <c:h val="8.3691663005643596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userShapes r:id="rId5"/>
</c:chartSpace>
</file>

<file path=word/charts/chart5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4"/>
    </mc:Choice>
    <mc:Fallback>
      <c:style val="4"/>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Topic Area - Supported Employment  Activity #3</a:t>
            </a:r>
          </a:p>
        </c:rich>
      </c:tx>
      <c:layout>
        <c:manualLayout>
          <c:xMode val="edge"/>
          <c:yMode val="edge"/>
          <c:x val="0.20401584330345343"/>
          <c:y val="0"/>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6017916604892113"/>
          <c:y val="0.23265365094271845"/>
          <c:w val="0.78942722632790041"/>
          <c:h val="0.66602748393145406"/>
        </c:manualLayout>
      </c:layout>
      <c:barChart>
        <c:barDir val="col"/>
        <c:grouping val="percentStacked"/>
        <c:varyColors val="0"/>
        <c:ser>
          <c:idx val="3"/>
          <c:order val="3"/>
          <c:tx>
            <c:strRef>
              <c:f>'individual-chart-se'!$F$2</c:f>
              <c:strCache>
                <c:ptCount val="1"/>
                <c:pt idx="0">
                  <c:v>Completed</c:v>
                </c:pt>
              </c:strCache>
            </c:strRef>
          </c:tx>
          <c:spPr>
            <a:solidFill>
              <a:srgbClr val="99221F"/>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600" b="0"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'individual-chart-se'!$B$3:$B$26</c:f>
              <c:strCache>
                <c:ptCount val="2"/>
                <c:pt idx="0">
                  <c:v>Activity</c:v>
                </c:pt>
                <c:pt idx="1">
                  <c:v>Outputs</c:v>
                </c:pt>
              </c:strCache>
              <c:extLst/>
            </c:strRef>
          </c:cat>
          <c:val>
            <c:numRef>
              <c:f>'individual-chart-se'!$F$3:$F$26</c:f>
              <c:numCache>
                <c:formatCode>General</c:formatCode>
                <c:ptCount val="2"/>
              </c:numCache>
              <c:extLst/>
            </c:numRef>
          </c:val>
          <c:extLst>
            <c:ext xmlns:c16="http://schemas.microsoft.com/office/drawing/2014/chart" uri="{C3380CC4-5D6E-409C-BE32-E72D297353CC}">
              <c16:uniqueId val="{00000000-4D1B-4205-8F71-8443E4807E71}"/>
            </c:ext>
          </c:extLst>
        </c:ser>
        <c:ser>
          <c:idx val="4"/>
          <c:order val="4"/>
          <c:tx>
            <c:strRef>
              <c:f>'individual-chart-se'!$G$2</c:f>
              <c:strCache>
                <c:ptCount val="1"/>
                <c:pt idx="0">
                  <c:v>90%</c:v>
                </c:pt>
              </c:strCache>
            </c:strRef>
          </c:tx>
          <c:spPr>
            <a:solidFill>
              <a:srgbClr val="D73D39"/>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'individual-chart-se'!$B$3:$B$26</c:f>
              <c:strCache>
                <c:ptCount val="2"/>
                <c:pt idx="0">
                  <c:v>Activity</c:v>
                </c:pt>
                <c:pt idx="1">
                  <c:v>Outputs</c:v>
                </c:pt>
              </c:strCache>
              <c:extLst/>
            </c:strRef>
          </c:cat>
          <c:val>
            <c:numRef>
              <c:f>'individual-chart-se'!$G$3:$G$26</c:f>
              <c:numCache>
                <c:formatCode>General</c:formatCode>
                <c:ptCount val="2"/>
              </c:numCache>
              <c:extLst/>
            </c:numRef>
          </c:val>
          <c:extLst>
            <c:ext xmlns:c16="http://schemas.microsoft.com/office/drawing/2014/chart" uri="{C3380CC4-5D6E-409C-BE32-E72D297353CC}">
              <c16:uniqueId val="{00000001-4D1B-4205-8F71-8443E4807E71}"/>
            </c:ext>
          </c:extLst>
        </c:ser>
        <c:ser>
          <c:idx val="5"/>
          <c:order val="5"/>
          <c:tx>
            <c:strRef>
              <c:f>'individual-chart-se'!$H$2</c:f>
              <c:strCache>
                <c:ptCount val="1"/>
                <c:pt idx="0">
                  <c:v>75%</c:v>
                </c:pt>
              </c:strCache>
            </c:strRef>
          </c:tx>
          <c:spPr>
            <a:solidFill>
              <a:srgbClr val="DC535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'individual-chart-se'!$B$3:$B$26</c:f>
              <c:strCache>
                <c:ptCount val="2"/>
                <c:pt idx="0">
                  <c:v>Activity</c:v>
                </c:pt>
                <c:pt idx="1">
                  <c:v>Outputs</c:v>
                </c:pt>
              </c:strCache>
              <c:extLst/>
            </c:strRef>
          </c:cat>
          <c:val>
            <c:numRef>
              <c:f>'individual-chart-se'!$H$3:$H$26</c:f>
              <c:numCache>
                <c:formatCode>General</c:formatCode>
                <c:ptCount val="2"/>
              </c:numCache>
              <c:extLst/>
            </c:numRef>
          </c:val>
          <c:extLst>
            <c:ext xmlns:c16="http://schemas.microsoft.com/office/drawing/2014/chart" uri="{C3380CC4-5D6E-409C-BE32-E72D297353CC}">
              <c16:uniqueId val="{00000002-4D1B-4205-8F71-8443E4807E71}"/>
            </c:ext>
          </c:extLst>
        </c:ser>
        <c:ser>
          <c:idx val="6"/>
          <c:order val="6"/>
          <c:tx>
            <c:strRef>
              <c:f>'individual-chart-se'!$I$2</c:f>
              <c:strCache>
                <c:ptCount val="1"/>
                <c:pt idx="0">
                  <c:v>50%</c:v>
                </c:pt>
              </c:strCache>
            </c:strRef>
          </c:tx>
          <c:spPr>
            <a:solidFill>
              <a:srgbClr val="EBA19F"/>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'individual-chart-se'!$B$3:$B$26</c:f>
              <c:strCache>
                <c:ptCount val="2"/>
                <c:pt idx="0">
                  <c:v>Activity</c:v>
                </c:pt>
                <c:pt idx="1">
                  <c:v>Outputs</c:v>
                </c:pt>
              </c:strCache>
              <c:extLst/>
            </c:strRef>
          </c:cat>
          <c:val>
            <c:numRef>
              <c:f>'individual-chart-se'!$I$3:$I$26</c:f>
              <c:numCache>
                <c:formatCode>General</c:formatCode>
                <c:ptCount val="2"/>
              </c:numCache>
              <c:extLst/>
            </c:numRef>
          </c:val>
          <c:extLst>
            <c:ext xmlns:c16="http://schemas.microsoft.com/office/drawing/2014/chart" uri="{C3380CC4-5D6E-409C-BE32-E72D297353CC}">
              <c16:uniqueId val="{00000003-4D1B-4205-8F71-8443E4807E71}"/>
            </c:ext>
          </c:extLst>
        </c:ser>
        <c:ser>
          <c:idx val="7"/>
          <c:order val="7"/>
          <c:tx>
            <c:strRef>
              <c:f>'individual-chart-se'!$J$2</c:f>
              <c:strCache>
                <c:ptCount val="1"/>
                <c:pt idx="0">
                  <c:v>25%</c:v>
                </c:pt>
              </c:strCache>
            </c:strRef>
          </c:tx>
          <c:spPr>
            <a:solidFill>
              <a:srgbClr val="F3C6C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6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'individual-chart-se'!$B$3:$B$26</c:f>
              <c:strCache>
                <c:ptCount val="2"/>
                <c:pt idx="0">
                  <c:v>Activity</c:v>
                </c:pt>
                <c:pt idx="1">
                  <c:v>Outputs</c:v>
                </c:pt>
              </c:strCache>
              <c:extLst/>
            </c:strRef>
          </c:cat>
          <c:val>
            <c:numRef>
              <c:f>'individual-chart-se'!$J$3:$J$26</c:f>
              <c:numCache>
                <c:formatCode>0%</c:formatCode>
                <c:ptCount val="2"/>
                <c:pt idx="0">
                  <c:v>1</c:v>
                </c:pt>
                <c:pt idx="1">
                  <c:v>1</c:v>
                </c:pt>
              </c:numCache>
              <c:extLst/>
            </c:numRef>
          </c:val>
          <c:extLst>
            <c:ext xmlns:c16="http://schemas.microsoft.com/office/drawing/2014/chart" uri="{C3380CC4-5D6E-409C-BE32-E72D297353CC}">
              <c16:uniqueId val="{00000004-4D1B-4205-8F71-8443E4807E71}"/>
            </c:ext>
          </c:extLst>
        </c:ser>
        <c:ser>
          <c:idx val="8"/>
          <c:order val="8"/>
          <c:tx>
            <c:strRef>
              <c:f>'individual-chart-se'!$K$2</c:f>
              <c:strCache>
                <c:ptCount val="1"/>
                <c:pt idx="0">
                  <c:v>10%</c:v>
                </c:pt>
              </c:strCache>
            </c:strRef>
          </c:tx>
          <c:spPr>
            <a:solidFill>
              <a:schemeClr val="accent2">
                <a:tint val="56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'individual-chart-se'!$B$3:$B$26</c:f>
              <c:strCache>
                <c:ptCount val="2"/>
                <c:pt idx="0">
                  <c:v>Activity</c:v>
                </c:pt>
                <c:pt idx="1">
                  <c:v>Outputs</c:v>
                </c:pt>
              </c:strCache>
              <c:extLst/>
            </c:strRef>
          </c:cat>
          <c:val>
            <c:numRef>
              <c:f>'individual-chart-se'!$K$3:$K$26</c:f>
              <c:numCache>
                <c:formatCode>General</c:formatCode>
                <c:ptCount val="2"/>
              </c:numCache>
              <c:extLst/>
            </c:numRef>
          </c:val>
          <c:extLst>
            <c:ext xmlns:c16="http://schemas.microsoft.com/office/drawing/2014/chart" uri="{C3380CC4-5D6E-409C-BE32-E72D297353CC}">
              <c16:uniqueId val="{00000005-4D1B-4205-8F71-8443E4807E71}"/>
            </c:ext>
          </c:extLst>
        </c:ser>
        <c:ser>
          <c:idx val="9"/>
          <c:order val="9"/>
          <c:tx>
            <c:strRef>
              <c:f>'individual-chart-se'!$L$2</c:f>
              <c:strCache>
                <c:ptCount val="1"/>
                <c:pt idx="0">
                  <c:v>Not Started</c:v>
                </c:pt>
              </c:strCache>
            </c:strRef>
          </c:tx>
          <c:spPr>
            <a:solidFill>
              <a:srgbClr val="FCF2F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'individual-chart-se'!$B$3:$B$26</c:f>
              <c:strCache>
                <c:ptCount val="2"/>
                <c:pt idx="0">
                  <c:v>Activity</c:v>
                </c:pt>
                <c:pt idx="1">
                  <c:v>Outputs</c:v>
                </c:pt>
              </c:strCache>
              <c:extLst/>
            </c:strRef>
          </c:cat>
          <c:val>
            <c:numRef>
              <c:f>'individual-chart-se'!$L$3:$L$26</c:f>
              <c:numCache>
                <c:formatCode>General</c:formatCode>
                <c:ptCount val="2"/>
              </c:numCache>
              <c:extLst/>
            </c:numRef>
          </c:val>
          <c:extLst>
            <c:ext xmlns:c16="http://schemas.microsoft.com/office/drawing/2014/chart" uri="{C3380CC4-5D6E-409C-BE32-E72D297353CC}">
              <c16:uniqueId val="{00000006-4D1B-4205-8F71-8443E4807E71}"/>
            </c:ext>
          </c:extLst>
        </c:ser>
        <c:dLbls>
          <c:dLblPos val="ctr"/>
          <c:showLegendKey val="0"/>
          <c:showVal val="1"/>
          <c:showCatName val="0"/>
          <c:showSerName val="0"/>
          <c:showPercent val="0"/>
          <c:showBubbleSize val="0"/>
        </c:dLbls>
        <c:gapWidth val="150"/>
        <c:overlap val="100"/>
        <c:axId val="790958128"/>
        <c:axId val="790961408"/>
        <c:extLst>
          <c:ext xmlns:c15="http://schemas.microsoft.com/office/drawing/2012/chart" uri="{02D57815-91ED-43cb-92C2-25804820EDAC}">
            <c15:filteredBarSeries>
              <c15:ser>
                <c:idx val="0"/>
                <c:order val="0"/>
                <c:tx>
                  <c:strRef>
                    <c:extLst>
                      <c:ext uri="{02D57815-91ED-43cb-92C2-25804820EDAC}">
                        <c15:formulaRef>
                          <c15:sqref>'individual-chart-se'!$C$2</c15:sqref>
                        </c15:formulaRef>
                      </c:ext>
                    </c:extLst>
                    <c:strCache>
                      <c:ptCount val="1"/>
                      <c:pt idx="0">
                        <c:v>Completed</c:v>
                      </c:pt>
                    </c:strCache>
                  </c:strRef>
                </c:tx>
                <c:spPr>
                  <a:solidFill>
                    <a:schemeClr val="accent2">
                      <a:shade val="42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c:ext uri="{02D57815-91ED-43cb-92C2-25804820EDAC}">
                        <c15:formulaRef>
                          <c15:sqref>'individual-chart-se'!$B$3:$B$26</c15:sqref>
                        </c15:formulaRef>
                      </c:ext>
                    </c:extLst>
                    <c:strCache>
                      <c:ptCount val="2"/>
                      <c:pt idx="0">
                        <c:v>Activity</c:v>
                      </c:pt>
                      <c:pt idx="1">
                        <c:v>Outputs</c:v>
                      </c:pt>
                    </c:strCache>
                  </c:strRef>
                </c:cat>
                <c:val>
                  <c:numRef>
                    <c:extLst>
                      <c:ext uri="{02D57815-91ED-43cb-92C2-25804820EDAC}">
                        <c15:formulaRef>
                          <c15:sqref>'individual-chart-se'!$C$3:$C$26</c15:sqref>
                        </c15:formulaRef>
                      </c:ext>
                    </c:extLst>
                    <c:numCache>
                      <c:formatCode>General</c:formatCode>
                      <c:ptCount val="2"/>
                    </c:numCache>
                  </c:numRef>
                </c:val>
                <c:extLst>
                  <c:ext xmlns:c16="http://schemas.microsoft.com/office/drawing/2014/chart" uri="{C3380CC4-5D6E-409C-BE32-E72D297353CC}">
                    <c16:uniqueId val="{00000007-4D1B-4205-8F71-8443E4807E71}"/>
                  </c:ext>
                </c:extLst>
              </c15:ser>
            </c15:filteredBarSeries>
            <c15:filteredBarSeries>
              <c15:ser>
                <c:idx val="1"/>
                <c:order val="1"/>
                <c:tx>
                  <c:strRef>
                    <c:extLst xmlns:c15="http://schemas.microsoft.com/office/drawing/2012/chart">
                      <c:ext xmlns:c15="http://schemas.microsoft.com/office/drawing/2012/chart" uri="{02D57815-91ED-43cb-92C2-25804820EDAC}">
                        <c15:formulaRef>
                          <c15:sqref>'individual-chart-se'!$D$2</c15:sqref>
                        </c15:formulaRef>
                      </c:ext>
                    </c:extLst>
                    <c:strCache>
                      <c:ptCount val="1"/>
                      <c:pt idx="0">
                        <c:v>In progress</c:v>
                      </c:pt>
                    </c:strCache>
                  </c:strRef>
                </c:tx>
                <c:spPr>
                  <a:solidFill>
                    <a:schemeClr val="accent2">
                      <a:shade val="5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'individual-chart-se'!$B$3:$B$26</c15:sqref>
                        </c15:formulaRef>
                      </c:ext>
                    </c:extLst>
                    <c:strCache>
                      <c:ptCount val="2"/>
                      <c:pt idx="0">
                        <c:v>Activity</c:v>
                      </c:pt>
                      <c:pt idx="1">
                        <c:v>Outputs</c:v>
                      </c:pt>
                    </c:strCache>
                  </c:strRef>
                </c:cat>
                <c:val>
                  <c:numRef>
                    <c:extLst xmlns:c15="http://schemas.microsoft.com/office/drawing/2012/chart">
                      <c:ext xmlns:c15="http://schemas.microsoft.com/office/drawing/2012/chart" uri="{02D57815-91ED-43cb-92C2-25804820EDAC}">
                        <c15:formulaRef>
                          <c15:sqref>'individual-chart-se'!$D$3:$D$26</c15:sqref>
                        </c15:formulaRef>
                      </c:ext>
                    </c:extLst>
                    <c:numCache>
                      <c:formatCode>0%</c:formatCode>
                      <c:ptCount val="2"/>
                      <c:pt idx="0">
                        <c:v>1</c:v>
                      </c:pt>
                      <c:pt idx="1">
                        <c:v>1</c:v>
                      </c:pt>
                    </c:numCache>
                  </c:numRef>
                </c:val>
                <c:extLst xmlns:c15="http://schemas.microsoft.com/office/drawing/2012/chart">
                  <c:ext xmlns:c16="http://schemas.microsoft.com/office/drawing/2014/chart" uri="{C3380CC4-5D6E-409C-BE32-E72D297353CC}">
                    <c16:uniqueId val="{00000008-4D1B-4205-8F71-8443E4807E71}"/>
                  </c:ext>
                </c:extLst>
              </c15:ser>
            </c15:filteredBarSeries>
            <c15:filteredBarSeries>
              <c15:ser>
                <c:idx val="2"/>
                <c:order val="2"/>
                <c:tx>
                  <c:strRef>
                    <c:extLst xmlns:c15="http://schemas.microsoft.com/office/drawing/2012/chart">
                      <c:ext xmlns:c15="http://schemas.microsoft.com/office/drawing/2012/chart" uri="{02D57815-91ED-43cb-92C2-25804820EDAC}">
                        <c15:formulaRef>
                          <c15:sqref>'individual-chart-se'!$E$2</c15:sqref>
                        </c15:formulaRef>
                      </c:ext>
                    </c:extLst>
                    <c:strCache>
                      <c:ptCount val="1"/>
                      <c:pt idx="0">
                        <c:v>Not started</c:v>
                      </c:pt>
                    </c:strCache>
                  </c:strRef>
                </c:tx>
                <c:spPr>
                  <a:solidFill>
                    <a:schemeClr val="accent2">
                      <a:shade val="68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'individual-chart-se'!$B$3:$B$26</c15:sqref>
                        </c15:formulaRef>
                      </c:ext>
                    </c:extLst>
                    <c:strCache>
                      <c:ptCount val="2"/>
                      <c:pt idx="0">
                        <c:v>Activity</c:v>
                      </c:pt>
                      <c:pt idx="1">
                        <c:v>Outputs</c:v>
                      </c:pt>
                    </c:strCache>
                  </c:strRef>
                </c:cat>
                <c:val>
                  <c:numRef>
                    <c:extLst xmlns:c15="http://schemas.microsoft.com/office/drawing/2012/chart">
                      <c:ext xmlns:c15="http://schemas.microsoft.com/office/drawing/2012/chart" uri="{02D57815-91ED-43cb-92C2-25804820EDAC}">
                        <c15:formulaRef>
                          <c15:sqref>'individual-chart-se'!$E$3:$E$26</c15:sqref>
                        </c15:formulaRef>
                      </c:ext>
                    </c:extLst>
                    <c:numCache>
                      <c:formatCode>General</c:formatCode>
                      <c:ptCount val="2"/>
                    </c:numCache>
                  </c:numRef>
                </c:val>
                <c:extLst xmlns:c15="http://schemas.microsoft.com/office/drawing/2012/chart">
                  <c:ext xmlns:c16="http://schemas.microsoft.com/office/drawing/2014/chart" uri="{C3380CC4-5D6E-409C-BE32-E72D297353CC}">
                    <c16:uniqueId val="{00000009-4D1B-4205-8F71-8443E4807E71}"/>
                  </c:ext>
                </c:extLst>
              </c15:ser>
            </c15:filteredBarSeries>
          </c:ext>
        </c:extLst>
      </c:barChart>
      <c:catAx>
        <c:axId val="7909581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n-US"/>
          </a:p>
        </c:txPr>
        <c:crossAx val="790961408"/>
        <c:crosses val="autoZero"/>
        <c:auto val="1"/>
        <c:lblAlgn val="ctr"/>
        <c:lblOffset val="100"/>
        <c:noMultiLvlLbl val="0"/>
      </c:catAx>
      <c:valAx>
        <c:axId val="790961408"/>
        <c:scaling>
          <c:orientation val="minMax"/>
          <c:min val="0"/>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90958128"/>
        <c:crossesAt val="1"/>
        <c:crossBetween val="between"/>
      </c:valAx>
      <c:spPr>
        <a:noFill/>
        <a:ln>
          <a:noFill/>
        </a:ln>
        <a:effectLst/>
      </c:spPr>
    </c:plotArea>
    <c:legend>
      <c:legendPos val="t"/>
      <c:layout>
        <c:manualLayout>
          <c:xMode val="edge"/>
          <c:yMode val="edge"/>
          <c:x val="0.16878354491402861"/>
          <c:y val="0.14071530758226036"/>
          <c:w val="0.78488188976377948"/>
          <c:h val="8.3691663005643596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userShapes r:id="rId5"/>
</c:chartSpace>
</file>

<file path=word/charts/chart5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4"/>
    </mc:Choice>
    <mc:Fallback>
      <c:style val="4"/>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Topic Area - Supported Employment  Activity #4</a:t>
            </a:r>
          </a:p>
        </c:rich>
      </c:tx>
      <c:layout>
        <c:manualLayout>
          <c:xMode val="edge"/>
          <c:yMode val="edge"/>
          <c:x val="0.20401584330345343"/>
          <c:y val="0"/>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6017916604892113"/>
          <c:y val="0.23265365094271845"/>
          <c:w val="0.78942722632790041"/>
          <c:h val="0.66602748393145406"/>
        </c:manualLayout>
      </c:layout>
      <c:barChart>
        <c:barDir val="col"/>
        <c:grouping val="percentStacked"/>
        <c:varyColors val="0"/>
        <c:ser>
          <c:idx val="3"/>
          <c:order val="3"/>
          <c:tx>
            <c:strRef>
              <c:f>'individual-chart-se'!$F$2</c:f>
              <c:strCache>
                <c:ptCount val="1"/>
                <c:pt idx="0">
                  <c:v>Completed</c:v>
                </c:pt>
              </c:strCache>
            </c:strRef>
          </c:tx>
          <c:spPr>
            <a:solidFill>
              <a:srgbClr val="99221F"/>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600" b="0"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'individual-chart-se'!$B$3:$B$26</c:f>
              <c:strCache>
                <c:ptCount val="2"/>
                <c:pt idx="0">
                  <c:v>Activity</c:v>
                </c:pt>
                <c:pt idx="1">
                  <c:v>Outputs</c:v>
                </c:pt>
              </c:strCache>
              <c:extLst/>
            </c:strRef>
          </c:cat>
          <c:val>
            <c:numRef>
              <c:f>'individual-chart-se'!$F$3:$F$26</c:f>
              <c:numCache>
                <c:formatCode>General</c:formatCode>
                <c:ptCount val="2"/>
              </c:numCache>
              <c:extLst/>
            </c:numRef>
          </c:val>
          <c:extLst>
            <c:ext xmlns:c16="http://schemas.microsoft.com/office/drawing/2014/chart" uri="{C3380CC4-5D6E-409C-BE32-E72D297353CC}">
              <c16:uniqueId val="{00000000-740B-4CB4-BD05-A8FDE4B4BCCB}"/>
            </c:ext>
          </c:extLst>
        </c:ser>
        <c:ser>
          <c:idx val="4"/>
          <c:order val="4"/>
          <c:tx>
            <c:strRef>
              <c:f>'individual-chart-se'!$G$2</c:f>
              <c:strCache>
                <c:ptCount val="1"/>
                <c:pt idx="0">
                  <c:v>90%</c:v>
                </c:pt>
              </c:strCache>
            </c:strRef>
          </c:tx>
          <c:spPr>
            <a:solidFill>
              <a:srgbClr val="D73D39"/>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'individual-chart-se'!$B$3:$B$26</c:f>
              <c:strCache>
                <c:ptCount val="2"/>
                <c:pt idx="0">
                  <c:v>Activity</c:v>
                </c:pt>
                <c:pt idx="1">
                  <c:v>Outputs</c:v>
                </c:pt>
              </c:strCache>
              <c:extLst/>
            </c:strRef>
          </c:cat>
          <c:val>
            <c:numRef>
              <c:f>'individual-chart-se'!$G$3:$G$26</c:f>
              <c:numCache>
                <c:formatCode>General</c:formatCode>
                <c:ptCount val="2"/>
              </c:numCache>
              <c:extLst/>
            </c:numRef>
          </c:val>
          <c:extLst>
            <c:ext xmlns:c16="http://schemas.microsoft.com/office/drawing/2014/chart" uri="{C3380CC4-5D6E-409C-BE32-E72D297353CC}">
              <c16:uniqueId val="{00000001-740B-4CB4-BD05-A8FDE4B4BCCB}"/>
            </c:ext>
          </c:extLst>
        </c:ser>
        <c:ser>
          <c:idx val="5"/>
          <c:order val="5"/>
          <c:tx>
            <c:strRef>
              <c:f>'individual-chart-se'!$H$2</c:f>
              <c:strCache>
                <c:ptCount val="1"/>
                <c:pt idx="0">
                  <c:v>75%</c:v>
                </c:pt>
              </c:strCache>
            </c:strRef>
          </c:tx>
          <c:spPr>
            <a:solidFill>
              <a:srgbClr val="DC535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'individual-chart-se'!$B$3:$B$26</c:f>
              <c:strCache>
                <c:ptCount val="2"/>
                <c:pt idx="0">
                  <c:v>Activity</c:v>
                </c:pt>
                <c:pt idx="1">
                  <c:v>Outputs</c:v>
                </c:pt>
              </c:strCache>
              <c:extLst/>
            </c:strRef>
          </c:cat>
          <c:val>
            <c:numRef>
              <c:f>'individual-chart-se'!$H$3:$H$26</c:f>
              <c:numCache>
                <c:formatCode>General</c:formatCode>
                <c:ptCount val="2"/>
              </c:numCache>
              <c:extLst/>
            </c:numRef>
          </c:val>
          <c:extLst>
            <c:ext xmlns:c16="http://schemas.microsoft.com/office/drawing/2014/chart" uri="{C3380CC4-5D6E-409C-BE32-E72D297353CC}">
              <c16:uniqueId val="{00000002-740B-4CB4-BD05-A8FDE4B4BCCB}"/>
            </c:ext>
          </c:extLst>
        </c:ser>
        <c:ser>
          <c:idx val="6"/>
          <c:order val="6"/>
          <c:tx>
            <c:strRef>
              <c:f>'individual-chart-se'!$I$2</c:f>
              <c:strCache>
                <c:ptCount val="1"/>
                <c:pt idx="0">
                  <c:v>50%</c:v>
                </c:pt>
              </c:strCache>
            </c:strRef>
          </c:tx>
          <c:spPr>
            <a:solidFill>
              <a:srgbClr val="EBA19F"/>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6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'individual-chart-se'!$B$3:$B$26</c:f>
              <c:strCache>
                <c:ptCount val="2"/>
                <c:pt idx="0">
                  <c:v>Activity</c:v>
                </c:pt>
                <c:pt idx="1">
                  <c:v>Outputs</c:v>
                </c:pt>
              </c:strCache>
              <c:extLst/>
            </c:strRef>
          </c:cat>
          <c:val>
            <c:numRef>
              <c:f>'individual-chart-se'!$I$3:$I$26</c:f>
              <c:numCache>
                <c:formatCode>0%</c:formatCode>
                <c:ptCount val="2"/>
                <c:pt idx="0">
                  <c:v>1</c:v>
                </c:pt>
                <c:pt idx="1">
                  <c:v>1</c:v>
                </c:pt>
              </c:numCache>
              <c:extLst/>
            </c:numRef>
          </c:val>
          <c:extLst>
            <c:ext xmlns:c16="http://schemas.microsoft.com/office/drawing/2014/chart" uri="{C3380CC4-5D6E-409C-BE32-E72D297353CC}">
              <c16:uniqueId val="{00000003-740B-4CB4-BD05-A8FDE4B4BCCB}"/>
            </c:ext>
          </c:extLst>
        </c:ser>
        <c:ser>
          <c:idx val="7"/>
          <c:order val="7"/>
          <c:tx>
            <c:strRef>
              <c:f>'individual-chart-se'!$J$2</c:f>
              <c:strCache>
                <c:ptCount val="1"/>
                <c:pt idx="0">
                  <c:v>25%</c:v>
                </c:pt>
              </c:strCache>
            </c:strRef>
          </c:tx>
          <c:spPr>
            <a:solidFill>
              <a:srgbClr val="F3C6C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'individual-chart-se'!$B$3:$B$26</c:f>
              <c:strCache>
                <c:ptCount val="2"/>
                <c:pt idx="0">
                  <c:v>Activity</c:v>
                </c:pt>
                <c:pt idx="1">
                  <c:v>Outputs</c:v>
                </c:pt>
              </c:strCache>
              <c:extLst/>
            </c:strRef>
          </c:cat>
          <c:val>
            <c:numRef>
              <c:f>'individual-chart-se'!$J$3:$J$26</c:f>
              <c:numCache>
                <c:formatCode>General</c:formatCode>
                <c:ptCount val="2"/>
              </c:numCache>
              <c:extLst/>
            </c:numRef>
          </c:val>
          <c:extLst>
            <c:ext xmlns:c16="http://schemas.microsoft.com/office/drawing/2014/chart" uri="{C3380CC4-5D6E-409C-BE32-E72D297353CC}">
              <c16:uniqueId val="{00000004-740B-4CB4-BD05-A8FDE4B4BCCB}"/>
            </c:ext>
          </c:extLst>
        </c:ser>
        <c:ser>
          <c:idx val="8"/>
          <c:order val="8"/>
          <c:tx>
            <c:strRef>
              <c:f>'individual-chart-se'!$K$2</c:f>
              <c:strCache>
                <c:ptCount val="1"/>
                <c:pt idx="0">
                  <c:v>10%</c:v>
                </c:pt>
              </c:strCache>
            </c:strRef>
          </c:tx>
          <c:spPr>
            <a:solidFill>
              <a:schemeClr val="accent2">
                <a:tint val="56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'individual-chart-se'!$B$3:$B$26</c:f>
              <c:strCache>
                <c:ptCount val="2"/>
                <c:pt idx="0">
                  <c:v>Activity</c:v>
                </c:pt>
                <c:pt idx="1">
                  <c:v>Outputs</c:v>
                </c:pt>
              </c:strCache>
              <c:extLst/>
            </c:strRef>
          </c:cat>
          <c:val>
            <c:numRef>
              <c:f>'individual-chart-se'!$K$3:$K$26</c:f>
              <c:numCache>
                <c:formatCode>General</c:formatCode>
                <c:ptCount val="2"/>
              </c:numCache>
              <c:extLst/>
            </c:numRef>
          </c:val>
          <c:extLst>
            <c:ext xmlns:c16="http://schemas.microsoft.com/office/drawing/2014/chart" uri="{C3380CC4-5D6E-409C-BE32-E72D297353CC}">
              <c16:uniqueId val="{00000005-740B-4CB4-BD05-A8FDE4B4BCCB}"/>
            </c:ext>
          </c:extLst>
        </c:ser>
        <c:ser>
          <c:idx val="9"/>
          <c:order val="9"/>
          <c:tx>
            <c:strRef>
              <c:f>'individual-chart-se'!$L$2</c:f>
              <c:strCache>
                <c:ptCount val="1"/>
                <c:pt idx="0">
                  <c:v>Not Started</c:v>
                </c:pt>
              </c:strCache>
            </c:strRef>
          </c:tx>
          <c:spPr>
            <a:solidFill>
              <a:srgbClr val="FCF2F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'individual-chart-se'!$B$3:$B$26</c:f>
              <c:strCache>
                <c:ptCount val="2"/>
                <c:pt idx="0">
                  <c:v>Activity</c:v>
                </c:pt>
                <c:pt idx="1">
                  <c:v>Outputs</c:v>
                </c:pt>
              </c:strCache>
              <c:extLst/>
            </c:strRef>
          </c:cat>
          <c:val>
            <c:numRef>
              <c:f>'individual-chart-se'!$L$3:$L$26</c:f>
              <c:numCache>
                <c:formatCode>General</c:formatCode>
                <c:ptCount val="2"/>
              </c:numCache>
              <c:extLst/>
            </c:numRef>
          </c:val>
          <c:extLst>
            <c:ext xmlns:c16="http://schemas.microsoft.com/office/drawing/2014/chart" uri="{C3380CC4-5D6E-409C-BE32-E72D297353CC}">
              <c16:uniqueId val="{00000006-740B-4CB4-BD05-A8FDE4B4BCCB}"/>
            </c:ext>
          </c:extLst>
        </c:ser>
        <c:dLbls>
          <c:dLblPos val="ctr"/>
          <c:showLegendKey val="0"/>
          <c:showVal val="1"/>
          <c:showCatName val="0"/>
          <c:showSerName val="0"/>
          <c:showPercent val="0"/>
          <c:showBubbleSize val="0"/>
        </c:dLbls>
        <c:gapWidth val="150"/>
        <c:overlap val="100"/>
        <c:axId val="790958128"/>
        <c:axId val="790961408"/>
        <c:extLst>
          <c:ext xmlns:c15="http://schemas.microsoft.com/office/drawing/2012/chart" uri="{02D57815-91ED-43cb-92C2-25804820EDAC}">
            <c15:filteredBarSeries>
              <c15:ser>
                <c:idx val="0"/>
                <c:order val="0"/>
                <c:tx>
                  <c:strRef>
                    <c:extLst>
                      <c:ext uri="{02D57815-91ED-43cb-92C2-25804820EDAC}">
                        <c15:formulaRef>
                          <c15:sqref>'individual-chart-se'!$C$2</c15:sqref>
                        </c15:formulaRef>
                      </c:ext>
                    </c:extLst>
                    <c:strCache>
                      <c:ptCount val="1"/>
                      <c:pt idx="0">
                        <c:v>Completed</c:v>
                      </c:pt>
                    </c:strCache>
                  </c:strRef>
                </c:tx>
                <c:spPr>
                  <a:solidFill>
                    <a:schemeClr val="accent2">
                      <a:shade val="42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c:ext uri="{02D57815-91ED-43cb-92C2-25804820EDAC}">
                        <c15:formulaRef>
                          <c15:sqref>'individual-chart-se'!$B$3:$B$26</c15:sqref>
                        </c15:formulaRef>
                      </c:ext>
                    </c:extLst>
                    <c:strCache>
                      <c:ptCount val="2"/>
                      <c:pt idx="0">
                        <c:v>Activity</c:v>
                      </c:pt>
                      <c:pt idx="1">
                        <c:v>Outputs</c:v>
                      </c:pt>
                    </c:strCache>
                  </c:strRef>
                </c:cat>
                <c:val>
                  <c:numRef>
                    <c:extLst>
                      <c:ext uri="{02D57815-91ED-43cb-92C2-25804820EDAC}">
                        <c15:formulaRef>
                          <c15:sqref>'individual-chart-se'!$C$3:$C$26</c15:sqref>
                        </c15:formulaRef>
                      </c:ext>
                    </c:extLst>
                    <c:numCache>
                      <c:formatCode>General</c:formatCode>
                      <c:ptCount val="2"/>
                    </c:numCache>
                  </c:numRef>
                </c:val>
                <c:extLst>
                  <c:ext xmlns:c16="http://schemas.microsoft.com/office/drawing/2014/chart" uri="{C3380CC4-5D6E-409C-BE32-E72D297353CC}">
                    <c16:uniqueId val="{00000007-740B-4CB4-BD05-A8FDE4B4BCCB}"/>
                  </c:ext>
                </c:extLst>
              </c15:ser>
            </c15:filteredBarSeries>
            <c15:filteredBarSeries>
              <c15:ser>
                <c:idx val="1"/>
                <c:order val="1"/>
                <c:tx>
                  <c:strRef>
                    <c:extLst xmlns:c15="http://schemas.microsoft.com/office/drawing/2012/chart">
                      <c:ext xmlns:c15="http://schemas.microsoft.com/office/drawing/2012/chart" uri="{02D57815-91ED-43cb-92C2-25804820EDAC}">
                        <c15:formulaRef>
                          <c15:sqref>'individual-chart-se'!$D$2</c15:sqref>
                        </c15:formulaRef>
                      </c:ext>
                    </c:extLst>
                    <c:strCache>
                      <c:ptCount val="1"/>
                      <c:pt idx="0">
                        <c:v>In progress</c:v>
                      </c:pt>
                    </c:strCache>
                  </c:strRef>
                </c:tx>
                <c:spPr>
                  <a:solidFill>
                    <a:schemeClr val="accent2">
                      <a:shade val="5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'individual-chart-se'!$B$3:$B$26</c15:sqref>
                        </c15:formulaRef>
                      </c:ext>
                    </c:extLst>
                    <c:strCache>
                      <c:ptCount val="2"/>
                      <c:pt idx="0">
                        <c:v>Activity</c:v>
                      </c:pt>
                      <c:pt idx="1">
                        <c:v>Outputs</c:v>
                      </c:pt>
                    </c:strCache>
                  </c:strRef>
                </c:cat>
                <c:val>
                  <c:numRef>
                    <c:extLst xmlns:c15="http://schemas.microsoft.com/office/drawing/2012/chart">
                      <c:ext xmlns:c15="http://schemas.microsoft.com/office/drawing/2012/chart" uri="{02D57815-91ED-43cb-92C2-25804820EDAC}">
                        <c15:formulaRef>
                          <c15:sqref>'individual-chart-se'!$D$3:$D$26</c15:sqref>
                        </c15:formulaRef>
                      </c:ext>
                    </c:extLst>
                    <c:numCache>
                      <c:formatCode>0%</c:formatCode>
                      <c:ptCount val="2"/>
                      <c:pt idx="0">
                        <c:v>1</c:v>
                      </c:pt>
                      <c:pt idx="1">
                        <c:v>1</c:v>
                      </c:pt>
                    </c:numCache>
                  </c:numRef>
                </c:val>
                <c:extLst xmlns:c15="http://schemas.microsoft.com/office/drawing/2012/chart">
                  <c:ext xmlns:c16="http://schemas.microsoft.com/office/drawing/2014/chart" uri="{C3380CC4-5D6E-409C-BE32-E72D297353CC}">
                    <c16:uniqueId val="{00000008-740B-4CB4-BD05-A8FDE4B4BCCB}"/>
                  </c:ext>
                </c:extLst>
              </c15:ser>
            </c15:filteredBarSeries>
            <c15:filteredBarSeries>
              <c15:ser>
                <c:idx val="2"/>
                <c:order val="2"/>
                <c:tx>
                  <c:strRef>
                    <c:extLst xmlns:c15="http://schemas.microsoft.com/office/drawing/2012/chart">
                      <c:ext xmlns:c15="http://schemas.microsoft.com/office/drawing/2012/chart" uri="{02D57815-91ED-43cb-92C2-25804820EDAC}">
                        <c15:formulaRef>
                          <c15:sqref>'individual-chart-se'!$E$2</c15:sqref>
                        </c15:formulaRef>
                      </c:ext>
                    </c:extLst>
                    <c:strCache>
                      <c:ptCount val="1"/>
                      <c:pt idx="0">
                        <c:v>Not started</c:v>
                      </c:pt>
                    </c:strCache>
                  </c:strRef>
                </c:tx>
                <c:spPr>
                  <a:solidFill>
                    <a:schemeClr val="accent2">
                      <a:shade val="68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'individual-chart-se'!$B$3:$B$26</c15:sqref>
                        </c15:formulaRef>
                      </c:ext>
                    </c:extLst>
                    <c:strCache>
                      <c:ptCount val="2"/>
                      <c:pt idx="0">
                        <c:v>Activity</c:v>
                      </c:pt>
                      <c:pt idx="1">
                        <c:v>Outputs</c:v>
                      </c:pt>
                    </c:strCache>
                  </c:strRef>
                </c:cat>
                <c:val>
                  <c:numRef>
                    <c:extLst xmlns:c15="http://schemas.microsoft.com/office/drawing/2012/chart">
                      <c:ext xmlns:c15="http://schemas.microsoft.com/office/drawing/2012/chart" uri="{02D57815-91ED-43cb-92C2-25804820EDAC}">
                        <c15:formulaRef>
                          <c15:sqref>'individual-chart-se'!$E$3:$E$26</c15:sqref>
                        </c15:formulaRef>
                      </c:ext>
                    </c:extLst>
                    <c:numCache>
                      <c:formatCode>General</c:formatCode>
                      <c:ptCount val="2"/>
                    </c:numCache>
                  </c:numRef>
                </c:val>
                <c:extLst xmlns:c15="http://schemas.microsoft.com/office/drawing/2012/chart">
                  <c:ext xmlns:c16="http://schemas.microsoft.com/office/drawing/2014/chart" uri="{C3380CC4-5D6E-409C-BE32-E72D297353CC}">
                    <c16:uniqueId val="{00000009-740B-4CB4-BD05-A8FDE4B4BCCB}"/>
                  </c:ext>
                </c:extLst>
              </c15:ser>
            </c15:filteredBarSeries>
          </c:ext>
        </c:extLst>
      </c:barChart>
      <c:catAx>
        <c:axId val="7909581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n-US"/>
          </a:p>
        </c:txPr>
        <c:crossAx val="790961408"/>
        <c:crosses val="autoZero"/>
        <c:auto val="1"/>
        <c:lblAlgn val="ctr"/>
        <c:lblOffset val="100"/>
        <c:noMultiLvlLbl val="0"/>
      </c:catAx>
      <c:valAx>
        <c:axId val="790961408"/>
        <c:scaling>
          <c:orientation val="minMax"/>
          <c:min val="0"/>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90958128"/>
        <c:crossesAt val="1"/>
        <c:crossBetween val="between"/>
      </c:valAx>
      <c:spPr>
        <a:noFill/>
        <a:ln>
          <a:noFill/>
        </a:ln>
        <a:effectLst/>
      </c:spPr>
    </c:plotArea>
    <c:legend>
      <c:legendPos val="t"/>
      <c:layout>
        <c:manualLayout>
          <c:xMode val="edge"/>
          <c:yMode val="edge"/>
          <c:x val="0.16878354491402861"/>
          <c:y val="0.14071530758226036"/>
          <c:w val="0.78488188976377948"/>
          <c:h val="8.3691663005643596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userShapes r:id="rId5"/>
</c:chartSpace>
</file>

<file path=word/charts/chart5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4"/>
    </mc:Choice>
    <mc:Fallback>
      <c:style val="4"/>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Topic Area - Supported Employment  Activity #5</a:t>
            </a:r>
          </a:p>
        </c:rich>
      </c:tx>
      <c:layout>
        <c:manualLayout>
          <c:xMode val="edge"/>
          <c:yMode val="edge"/>
          <c:x val="0.20401584330345343"/>
          <c:y val="0"/>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6017916604892113"/>
          <c:y val="0.23265365094271845"/>
          <c:w val="0.78942722632790041"/>
          <c:h val="0.66602748393145406"/>
        </c:manualLayout>
      </c:layout>
      <c:barChart>
        <c:barDir val="col"/>
        <c:grouping val="percentStacked"/>
        <c:varyColors val="0"/>
        <c:ser>
          <c:idx val="3"/>
          <c:order val="3"/>
          <c:tx>
            <c:strRef>
              <c:f>'individual-chart-se'!$F$2</c:f>
              <c:strCache>
                <c:ptCount val="1"/>
                <c:pt idx="0">
                  <c:v>Completed</c:v>
                </c:pt>
              </c:strCache>
            </c:strRef>
          </c:tx>
          <c:spPr>
            <a:solidFill>
              <a:srgbClr val="99221F"/>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600" b="0"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'individual-chart-se'!$B$3:$B$26</c:f>
              <c:strCache>
                <c:ptCount val="2"/>
                <c:pt idx="0">
                  <c:v>Activity</c:v>
                </c:pt>
                <c:pt idx="1">
                  <c:v>Outputs</c:v>
                </c:pt>
              </c:strCache>
              <c:extLst/>
            </c:strRef>
          </c:cat>
          <c:val>
            <c:numRef>
              <c:f>'individual-chart-se'!$F$3:$F$26</c:f>
              <c:numCache>
                <c:formatCode>0%</c:formatCode>
                <c:ptCount val="2"/>
                <c:pt idx="0">
                  <c:v>0</c:v>
                </c:pt>
                <c:pt idx="1">
                  <c:v>0</c:v>
                </c:pt>
              </c:numCache>
              <c:extLst/>
            </c:numRef>
          </c:val>
          <c:extLst>
            <c:ext xmlns:c16="http://schemas.microsoft.com/office/drawing/2014/chart" uri="{C3380CC4-5D6E-409C-BE32-E72D297353CC}">
              <c16:uniqueId val="{00000000-656F-417F-8957-0C862197EFCB}"/>
            </c:ext>
          </c:extLst>
        </c:ser>
        <c:ser>
          <c:idx val="4"/>
          <c:order val="4"/>
          <c:tx>
            <c:strRef>
              <c:f>'individual-chart-se'!$G$2</c:f>
              <c:strCache>
                <c:ptCount val="1"/>
                <c:pt idx="0">
                  <c:v>90%</c:v>
                </c:pt>
              </c:strCache>
            </c:strRef>
          </c:tx>
          <c:spPr>
            <a:solidFill>
              <a:srgbClr val="D73D39"/>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'individual-chart-se'!$B$3:$B$26</c:f>
              <c:strCache>
                <c:ptCount val="2"/>
                <c:pt idx="0">
                  <c:v>Activity</c:v>
                </c:pt>
                <c:pt idx="1">
                  <c:v>Outputs</c:v>
                </c:pt>
              </c:strCache>
              <c:extLst/>
            </c:strRef>
          </c:cat>
          <c:val>
            <c:numRef>
              <c:f>'individual-chart-se'!$G$3:$G$26</c:f>
              <c:numCache>
                <c:formatCode>0%</c:formatCode>
                <c:ptCount val="2"/>
                <c:pt idx="0">
                  <c:v>0</c:v>
                </c:pt>
                <c:pt idx="1">
                  <c:v>0</c:v>
                </c:pt>
              </c:numCache>
              <c:extLst/>
            </c:numRef>
          </c:val>
          <c:extLst>
            <c:ext xmlns:c16="http://schemas.microsoft.com/office/drawing/2014/chart" uri="{C3380CC4-5D6E-409C-BE32-E72D297353CC}">
              <c16:uniqueId val="{00000001-656F-417F-8957-0C862197EFCB}"/>
            </c:ext>
          </c:extLst>
        </c:ser>
        <c:ser>
          <c:idx val="5"/>
          <c:order val="5"/>
          <c:tx>
            <c:strRef>
              <c:f>'individual-chart-se'!$H$2</c:f>
              <c:strCache>
                <c:ptCount val="1"/>
                <c:pt idx="0">
                  <c:v>75%</c:v>
                </c:pt>
              </c:strCache>
            </c:strRef>
          </c:tx>
          <c:spPr>
            <a:solidFill>
              <a:srgbClr val="DC535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'individual-chart-se'!$B$3:$B$26</c:f>
              <c:strCache>
                <c:ptCount val="2"/>
                <c:pt idx="0">
                  <c:v>Activity</c:v>
                </c:pt>
                <c:pt idx="1">
                  <c:v>Outputs</c:v>
                </c:pt>
              </c:strCache>
              <c:extLst/>
            </c:strRef>
          </c:cat>
          <c:val>
            <c:numRef>
              <c:f>'individual-chart-se'!$H$3:$H$26</c:f>
              <c:numCache>
                <c:formatCode>0%</c:formatCode>
                <c:ptCount val="2"/>
                <c:pt idx="0">
                  <c:v>0</c:v>
                </c:pt>
                <c:pt idx="1">
                  <c:v>0</c:v>
                </c:pt>
              </c:numCache>
              <c:extLst/>
            </c:numRef>
          </c:val>
          <c:extLst>
            <c:ext xmlns:c16="http://schemas.microsoft.com/office/drawing/2014/chart" uri="{C3380CC4-5D6E-409C-BE32-E72D297353CC}">
              <c16:uniqueId val="{00000002-656F-417F-8957-0C862197EFCB}"/>
            </c:ext>
          </c:extLst>
        </c:ser>
        <c:ser>
          <c:idx val="6"/>
          <c:order val="6"/>
          <c:tx>
            <c:strRef>
              <c:f>'individual-chart-se'!$I$2</c:f>
              <c:strCache>
                <c:ptCount val="1"/>
                <c:pt idx="0">
                  <c:v>50%</c:v>
                </c:pt>
              </c:strCache>
            </c:strRef>
          </c:tx>
          <c:spPr>
            <a:solidFill>
              <a:srgbClr val="EBA19F"/>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'individual-chart-se'!$B$3:$B$26</c:f>
              <c:strCache>
                <c:ptCount val="2"/>
                <c:pt idx="0">
                  <c:v>Activity</c:v>
                </c:pt>
                <c:pt idx="1">
                  <c:v>Outputs</c:v>
                </c:pt>
              </c:strCache>
              <c:extLst/>
            </c:strRef>
          </c:cat>
          <c:val>
            <c:numRef>
              <c:f>'individual-chart-se'!$I$3:$I$26</c:f>
              <c:numCache>
                <c:formatCode>0%</c:formatCode>
                <c:ptCount val="2"/>
                <c:pt idx="0">
                  <c:v>0</c:v>
                </c:pt>
                <c:pt idx="1">
                  <c:v>0</c:v>
                </c:pt>
              </c:numCache>
              <c:extLst/>
            </c:numRef>
          </c:val>
          <c:extLst>
            <c:ext xmlns:c16="http://schemas.microsoft.com/office/drawing/2014/chart" uri="{C3380CC4-5D6E-409C-BE32-E72D297353CC}">
              <c16:uniqueId val="{00000003-656F-417F-8957-0C862197EFCB}"/>
            </c:ext>
          </c:extLst>
        </c:ser>
        <c:ser>
          <c:idx val="7"/>
          <c:order val="7"/>
          <c:tx>
            <c:strRef>
              <c:f>'individual-chart-se'!$J$2</c:f>
              <c:strCache>
                <c:ptCount val="1"/>
                <c:pt idx="0">
                  <c:v>25%</c:v>
                </c:pt>
              </c:strCache>
            </c:strRef>
          </c:tx>
          <c:spPr>
            <a:solidFill>
              <a:srgbClr val="F3C6C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'individual-chart-se'!$B$3:$B$26</c:f>
              <c:strCache>
                <c:ptCount val="2"/>
                <c:pt idx="0">
                  <c:v>Activity</c:v>
                </c:pt>
                <c:pt idx="1">
                  <c:v>Outputs</c:v>
                </c:pt>
              </c:strCache>
              <c:extLst/>
            </c:strRef>
          </c:cat>
          <c:val>
            <c:numRef>
              <c:f>'individual-chart-se'!$J$3:$J$26</c:f>
              <c:numCache>
                <c:formatCode>0%</c:formatCode>
                <c:ptCount val="2"/>
                <c:pt idx="0">
                  <c:v>0</c:v>
                </c:pt>
                <c:pt idx="1">
                  <c:v>0</c:v>
                </c:pt>
              </c:numCache>
              <c:extLst/>
            </c:numRef>
          </c:val>
          <c:extLst>
            <c:ext xmlns:c16="http://schemas.microsoft.com/office/drawing/2014/chart" uri="{C3380CC4-5D6E-409C-BE32-E72D297353CC}">
              <c16:uniqueId val="{00000004-656F-417F-8957-0C862197EFCB}"/>
            </c:ext>
          </c:extLst>
        </c:ser>
        <c:ser>
          <c:idx val="8"/>
          <c:order val="8"/>
          <c:tx>
            <c:strRef>
              <c:f>'individual-chart-se'!$K$2</c:f>
              <c:strCache>
                <c:ptCount val="1"/>
                <c:pt idx="0">
                  <c:v>10%</c:v>
                </c:pt>
              </c:strCache>
            </c:strRef>
          </c:tx>
          <c:spPr>
            <a:solidFill>
              <a:schemeClr val="accent2">
                <a:tint val="56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'individual-chart-se'!$B$3:$B$26</c:f>
              <c:strCache>
                <c:ptCount val="2"/>
                <c:pt idx="0">
                  <c:v>Activity</c:v>
                </c:pt>
                <c:pt idx="1">
                  <c:v>Outputs</c:v>
                </c:pt>
              </c:strCache>
              <c:extLst/>
            </c:strRef>
          </c:cat>
          <c:val>
            <c:numRef>
              <c:f>'individual-chart-se'!$K$3:$K$26</c:f>
              <c:numCache>
                <c:formatCode>0%</c:formatCode>
                <c:ptCount val="2"/>
                <c:pt idx="0">
                  <c:v>0</c:v>
                </c:pt>
                <c:pt idx="1">
                  <c:v>0</c:v>
                </c:pt>
              </c:numCache>
              <c:extLst/>
            </c:numRef>
          </c:val>
          <c:extLst>
            <c:ext xmlns:c16="http://schemas.microsoft.com/office/drawing/2014/chart" uri="{C3380CC4-5D6E-409C-BE32-E72D297353CC}">
              <c16:uniqueId val="{00000005-656F-417F-8957-0C862197EFCB}"/>
            </c:ext>
          </c:extLst>
        </c:ser>
        <c:ser>
          <c:idx val="9"/>
          <c:order val="9"/>
          <c:tx>
            <c:strRef>
              <c:f>'individual-chart-se'!$L$2</c:f>
              <c:strCache>
                <c:ptCount val="1"/>
                <c:pt idx="0">
                  <c:v>Not Started</c:v>
                </c:pt>
              </c:strCache>
            </c:strRef>
          </c:tx>
          <c:spPr>
            <a:solidFill>
              <a:srgbClr val="FCF2F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'individual-chart-se'!$B$3:$B$26</c:f>
              <c:strCache>
                <c:ptCount val="2"/>
                <c:pt idx="0">
                  <c:v>Activity</c:v>
                </c:pt>
                <c:pt idx="1">
                  <c:v>Outputs</c:v>
                </c:pt>
              </c:strCache>
              <c:extLst/>
            </c:strRef>
          </c:cat>
          <c:val>
            <c:numRef>
              <c:f>'individual-chart-se'!$L$3:$L$26</c:f>
              <c:numCache>
                <c:formatCode>0%</c:formatCode>
                <c:ptCount val="2"/>
                <c:pt idx="0">
                  <c:v>0</c:v>
                </c:pt>
                <c:pt idx="1">
                  <c:v>0</c:v>
                </c:pt>
              </c:numCache>
              <c:extLst/>
            </c:numRef>
          </c:val>
          <c:extLst>
            <c:ext xmlns:c16="http://schemas.microsoft.com/office/drawing/2014/chart" uri="{C3380CC4-5D6E-409C-BE32-E72D297353CC}">
              <c16:uniqueId val="{00000006-656F-417F-8957-0C862197EFCB}"/>
            </c:ext>
          </c:extLst>
        </c:ser>
        <c:dLbls>
          <c:dLblPos val="ctr"/>
          <c:showLegendKey val="0"/>
          <c:showVal val="1"/>
          <c:showCatName val="0"/>
          <c:showSerName val="0"/>
          <c:showPercent val="0"/>
          <c:showBubbleSize val="0"/>
        </c:dLbls>
        <c:gapWidth val="150"/>
        <c:overlap val="100"/>
        <c:axId val="790958128"/>
        <c:axId val="790961408"/>
        <c:extLst>
          <c:ext xmlns:c15="http://schemas.microsoft.com/office/drawing/2012/chart" uri="{02D57815-91ED-43cb-92C2-25804820EDAC}">
            <c15:filteredBarSeries>
              <c15:ser>
                <c:idx val="0"/>
                <c:order val="0"/>
                <c:tx>
                  <c:strRef>
                    <c:extLst>
                      <c:ext uri="{02D57815-91ED-43cb-92C2-25804820EDAC}">
                        <c15:formulaRef>
                          <c15:sqref>'individual-chart-se'!$C$2</c15:sqref>
                        </c15:formulaRef>
                      </c:ext>
                    </c:extLst>
                    <c:strCache>
                      <c:ptCount val="1"/>
                      <c:pt idx="0">
                        <c:v>Completed</c:v>
                      </c:pt>
                    </c:strCache>
                  </c:strRef>
                </c:tx>
                <c:spPr>
                  <a:solidFill>
                    <a:schemeClr val="accent2">
                      <a:shade val="42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c:ext uri="{02D57815-91ED-43cb-92C2-25804820EDAC}">
                        <c15:formulaRef>
                          <c15:sqref>'individual-chart-se'!$B$3:$B$26</c15:sqref>
                        </c15:formulaRef>
                      </c:ext>
                    </c:extLst>
                    <c:strCache>
                      <c:ptCount val="2"/>
                      <c:pt idx="0">
                        <c:v>Activity</c:v>
                      </c:pt>
                      <c:pt idx="1">
                        <c:v>Outputs</c:v>
                      </c:pt>
                    </c:strCache>
                  </c:strRef>
                </c:cat>
                <c:val>
                  <c:numRef>
                    <c:extLst>
                      <c:ext uri="{02D57815-91ED-43cb-92C2-25804820EDAC}">
                        <c15:formulaRef>
                          <c15:sqref>'individual-chart-se'!$C$3:$C$26</c15:sqref>
                        </c15:formulaRef>
                      </c:ext>
                    </c:extLst>
                    <c:numCache>
                      <c:formatCode>0%</c:formatCode>
                      <c:ptCount val="2"/>
                      <c:pt idx="0">
                        <c:v>0</c:v>
                      </c:pt>
                      <c:pt idx="1">
                        <c:v>0</c:v>
                      </c:pt>
                    </c:numCache>
                  </c:numRef>
                </c:val>
                <c:extLst>
                  <c:ext xmlns:c16="http://schemas.microsoft.com/office/drawing/2014/chart" uri="{C3380CC4-5D6E-409C-BE32-E72D297353CC}">
                    <c16:uniqueId val="{00000007-656F-417F-8957-0C862197EFCB}"/>
                  </c:ext>
                </c:extLst>
              </c15:ser>
            </c15:filteredBarSeries>
            <c15:filteredBarSeries>
              <c15:ser>
                <c:idx val="1"/>
                <c:order val="1"/>
                <c:tx>
                  <c:strRef>
                    <c:extLst xmlns:c15="http://schemas.microsoft.com/office/drawing/2012/chart">
                      <c:ext xmlns:c15="http://schemas.microsoft.com/office/drawing/2012/chart" uri="{02D57815-91ED-43cb-92C2-25804820EDAC}">
                        <c15:formulaRef>
                          <c15:sqref>'individual-chart-se'!$D$2</c15:sqref>
                        </c15:formulaRef>
                      </c:ext>
                    </c:extLst>
                    <c:strCache>
                      <c:ptCount val="1"/>
                      <c:pt idx="0">
                        <c:v>In progress</c:v>
                      </c:pt>
                    </c:strCache>
                  </c:strRef>
                </c:tx>
                <c:spPr>
                  <a:solidFill>
                    <a:schemeClr val="accent2">
                      <a:shade val="5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'individual-chart-se'!$B$3:$B$26</c15:sqref>
                        </c15:formulaRef>
                      </c:ext>
                    </c:extLst>
                    <c:strCache>
                      <c:ptCount val="2"/>
                      <c:pt idx="0">
                        <c:v>Activity</c:v>
                      </c:pt>
                      <c:pt idx="1">
                        <c:v>Outputs</c:v>
                      </c:pt>
                    </c:strCache>
                  </c:strRef>
                </c:cat>
                <c:val>
                  <c:numRef>
                    <c:extLst xmlns:c15="http://schemas.microsoft.com/office/drawing/2012/chart">
                      <c:ext xmlns:c15="http://schemas.microsoft.com/office/drawing/2012/chart" uri="{02D57815-91ED-43cb-92C2-25804820EDAC}">
                        <c15:formulaRef>
                          <c15:sqref>'individual-chart-se'!$D$3:$D$26</c15:sqref>
                        </c15:formulaRef>
                      </c:ext>
                    </c:extLst>
                    <c:numCache>
                      <c:formatCode>0%</c:formatCode>
                      <c:ptCount val="2"/>
                      <c:pt idx="0">
                        <c:v>0</c:v>
                      </c:pt>
                      <c:pt idx="1">
                        <c:v>0</c:v>
                      </c:pt>
                    </c:numCache>
                  </c:numRef>
                </c:val>
                <c:extLst xmlns:c15="http://schemas.microsoft.com/office/drawing/2012/chart">
                  <c:ext xmlns:c16="http://schemas.microsoft.com/office/drawing/2014/chart" uri="{C3380CC4-5D6E-409C-BE32-E72D297353CC}">
                    <c16:uniqueId val="{00000008-656F-417F-8957-0C862197EFCB}"/>
                  </c:ext>
                </c:extLst>
              </c15:ser>
            </c15:filteredBarSeries>
            <c15:filteredBarSeries>
              <c15:ser>
                <c:idx val="2"/>
                <c:order val="2"/>
                <c:tx>
                  <c:strRef>
                    <c:extLst xmlns:c15="http://schemas.microsoft.com/office/drawing/2012/chart">
                      <c:ext xmlns:c15="http://schemas.microsoft.com/office/drawing/2012/chart" uri="{02D57815-91ED-43cb-92C2-25804820EDAC}">
                        <c15:formulaRef>
                          <c15:sqref>'individual-chart-se'!$E$2</c15:sqref>
                        </c15:formulaRef>
                      </c:ext>
                    </c:extLst>
                    <c:strCache>
                      <c:ptCount val="1"/>
                      <c:pt idx="0">
                        <c:v>Not started</c:v>
                      </c:pt>
                    </c:strCache>
                  </c:strRef>
                </c:tx>
                <c:spPr>
                  <a:solidFill>
                    <a:schemeClr val="accent2">
                      <a:shade val="68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'individual-chart-se'!$B$3:$B$26</c15:sqref>
                        </c15:formulaRef>
                      </c:ext>
                    </c:extLst>
                    <c:strCache>
                      <c:ptCount val="2"/>
                      <c:pt idx="0">
                        <c:v>Activity</c:v>
                      </c:pt>
                      <c:pt idx="1">
                        <c:v>Outputs</c:v>
                      </c:pt>
                    </c:strCache>
                  </c:strRef>
                </c:cat>
                <c:val>
                  <c:numRef>
                    <c:extLst xmlns:c15="http://schemas.microsoft.com/office/drawing/2012/chart">
                      <c:ext xmlns:c15="http://schemas.microsoft.com/office/drawing/2012/chart" uri="{02D57815-91ED-43cb-92C2-25804820EDAC}">
                        <c15:formulaRef>
                          <c15:sqref>'individual-chart-se'!$E$3:$E$26</c15:sqref>
                        </c15:formulaRef>
                      </c:ext>
                    </c:extLst>
                    <c:numCache>
                      <c:formatCode>0%</c:formatCode>
                      <c:ptCount val="2"/>
                      <c:pt idx="0">
                        <c:v>0</c:v>
                      </c:pt>
                      <c:pt idx="1">
                        <c:v>0</c:v>
                      </c:pt>
                    </c:numCache>
                  </c:numRef>
                </c:val>
                <c:extLst xmlns:c15="http://schemas.microsoft.com/office/drawing/2012/chart">
                  <c:ext xmlns:c16="http://schemas.microsoft.com/office/drawing/2014/chart" uri="{C3380CC4-5D6E-409C-BE32-E72D297353CC}">
                    <c16:uniqueId val="{00000009-656F-417F-8957-0C862197EFCB}"/>
                  </c:ext>
                </c:extLst>
              </c15:ser>
            </c15:filteredBarSeries>
          </c:ext>
        </c:extLst>
      </c:barChart>
      <c:catAx>
        <c:axId val="7909581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n-US"/>
          </a:p>
        </c:txPr>
        <c:crossAx val="790961408"/>
        <c:crosses val="autoZero"/>
        <c:auto val="1"/>
        <c:lblAlgn val="ctr"/>
        <c:lblOffset val="100"/>
        <c:noMultiLvlLbl val="0"/>
      </c:catAx>
      <c:valAx>
        <c:axId val="790961408"/>
        <c:scaling>
          <c:orientation val="minMax"/>
          <c:min val="0"/>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90958128"/>
        <c:crossesAt val="1"/>
        <c:crossBetween val="between"/>
      </c:valAx>
      <c:spPr>
        <a:noFill/>
        <a:ln>
          <a:noFill/>
        </a:ln>
        <a:effectLst/>
      </c:spPr>
    </c:plotArea>
    <c:legend>
      <c:legendPos val="t"/>
      <c:layout>
        <c:manualLayout>
          <c:xMode val="edge"/>
          <c:yMode val="edge"/>
          <c:x val="0.16878354491402861"/>
          <c:y val="0.14071530758226036"/>
          <c:w val="0.78488188976377948"/>
          <c:h val="8.3691663005643596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userShapes r:id="rId5"/>
</c:chartSpace>
</file>

<file path=word/charts/chart5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4"/>
    </mc:Choice>
    <mc:Fallback>
      <c:style val="4"/>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Topic Area - Supported Employment  Activity #6</a:t>
            </a:r>
          </a:p>
        </c:rich>
      </c:tx>
      <c:layout>
        <c:manualLayout>
          <c:xMode val="edge"/>
          <c:yMode val="edge"/>
          <c:x val="0.20401584330345343"/>
          <c:y val="0"/>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6017916604892113"/>
          <c:y val="0.23265365094271845"/>
          <c:w val="0.78942722632790041"/>
          <c:h val="0.66602748393145406"/>
        </c:manualLayout>
      </c:layout>
      <c:barChart>
        <c:barDir val="col"/>
        <c:grouping val="percentStacked"/>
        <c:varyColors val="0"/>
        <c:ser>
          <c:idx val="3"/>
          <c:order val="3"/>
          <c:tx>
            <c:strRef>
              <c:f>'individual-chart-se'!$F$2</c:f>
              <c:strCache>
                <c:ptCount val="1"/>
                <c:pt idx="0">
                  <c:v>Completed</c:v>
                </c:pt>
              </c:strCache>
            </c:strRef>
          </c:tx>
          <c:spPr>
            <a:solidFill>
              <a:srgbClr val="99221F"/>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600" b="0"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'individual-chart-se'!$B$3:$B$26</c:f>
              <c:strCache>
                <c:ptCount val="2"/>
                <c:pt idx="0">
                  <c:v>Activity</c:v>
                </c:pt>
                <c:pt idx="1">
                  <c:v>Outputs</c:v>
                </c:pt>
              </c:strCache>
              <c:extLst/>
            </c:strRef>
          </c:cat>
          <c:val>
            <c:numRef>
              <c:f>'individual-chart-se'!$F$3:$F$26</c:f>
              <c:numCache>
                <c:formatCode>General</c:formatCode>
                <c:ptCount val="2"/>
              </c:numCache>
              <c:extLst/>
            </c:numRef>
          </c:val>
          <c:extLst>
            <c:ext xmlns:c16="http://schemas.microsoft.com/office/drawing/2014/chart" uri="{C3380CC4-5D6E-409C-BE32-E72D297353CC}">
              <c16:uniqueId val="{00000000-18C0-4A6F-BF96-E5A2F0D51C57}"/>
            </c:ext>
          </c:extLst>
        </c:ser>
        <c:ser>
          <c:idx val="4"/>
          <c:order val="4"/>
          <c:tx>
            <c:strRef>
              <c:f>'individual-chart-se'!$G$2</c:f>
              <c:strCache>
                <c:ptCount val="1"/>
                <c:pt idx="0">
                  <c:v>90%</c:v>
                </c:pt>
              </c:strCache>
            </c:strRef>
          </c:tx>
          <c:spPr>
            <a:solidFill>
              <a:srgbClr val="D73D39"/>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'individual-chart-se'!$B$3:$B$26</c:f>
              <c:strCache>
                <c:ptCount val="2"/>
                <c:pt idx="0">
                  <c:v>Activity</c:v>
                </c:pt>
                <c:pt idx="1">
                  <c:v>Outputs</c:v>
                </c:pt>
              </c:strCache>
              <c:extLst/>
            </c:strRef>
          </c:cat>
          <c:val>
            <c:numRef>
              <c:f>'individual-chart-se'!$G$3:$G$26</c:f>
              <c:numCache>
                <c:formatCode>General</c:formatCode>
                <c:ptCount val="2"/>
              </c:numCache>
              <c:extLst/>
            </c:numRef>
          </c:val>
          <c:extLst>
            <c:ext xmlns:c16="http://schemas.microsoft.com/office/drawing/2014/chart" uri="{C3380CC4-5D6E-409C-BE32-E72D297353CC}">
              <c16:uniqueId val="{00000001-18C0-4A6F-BF96-E5A2F0D51C57}"/>
            </c:ext>
          </c:extLst>
        </c:ser>
        <c:ser>
          <c:idx val="5"/>
          <c:order val="5"/>
          <c:tx>
            <c:strRef>
              <c:f>'individual-chart-se'!$H$2</c:f>
              <c:strCache>
                <c:ptCount val="1"/>
                <c:pt idx="0">
                  <c:v>75%</c:v>
                </c:pt>
              </c:strCache>
            </c:strRef>
          </c:tx>
          <c:spPr>
            <a:solidFill>
              <a:srgbClr val="D73D39"/>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6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'individual-chart-se'!$B$3:$B$26</c:f>
              <c:strCache>
                <c:ptCount val="2"/>
                <c:pt idx="0">
                  <c:v>Activity</c:v>
                </c:pt>
                <c:pt idx="1">
                  <c:v>Outputs</c:v>
                </c:pt>
              </c:strCache>
              <c:extLst/>
            </c:strRef>
          </c:cat>
          <c:val>
            <c:numRef>
              <c:f>'individual-chart-se'!$H$3:$H$26</c:f>
              <c:numCache>
                <c:formatCode>0%</c:formatCode>
                <c:ptCount val="2"/>
                <c:pt idx="0">
                  <c:v>0.5</c:v>
                </c:pt>
                <c:pt idx="1">
                  <c:v>0.5</c:v>
                </c:pt>
              </c:numCache>
              <c:extLst/>
            </c:numRef>
          </c:val>
          <c:extLst>
            <c:ext xmlns:c16="http://schemas.microsoft.com/office/drawing/2014/chart" uri="{C3380CC4-5D6E-409C-BE32-E72D297353CC}">
              <c16:uniqueId val="{00000002-18C0-4A6F-BF96-E5A2F0D51C57}"/>
            </c:ext>
          </c:extLst>
        </c:ser>
        <c:ser>
          <c:idx val="6"/>
          <c:order val="6"/>
          <c:tx>
            <c:strRef>
              <c:f>'individual-chart-se'!$I$2</c:f>
              <c:strCache>
                <c:ptCount val="1"/>
                <c:pt idx="0">
                  <c:v>50%</c:v>
                </c:pt>
              </c:strCache>
            </c:strRef>
          </c:tx>
          <c:spPr>
            <a:solidFill>
              <a:srgbClr val="EBA19F"/>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6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'individual-chart-se'!$B$3:$B$26</c:f>
              <c:strCache>
                <c:ptCount val="2"/>
                <c:pt idx="0">
                  <c:v>Activity</c:v>
                </c:pt>
                <c:pt idx="1">
                  <c:v>Outputs</c:v>
                </c:pt>
              </c:strCache>
              <c:extLst/>
            </c:strRef>
          </c:cat>
          <c:val>
            <c:numRef>
              <c:f>'individual-chart-se'!$I$3:$I$26</c:f>
              <c:numCache>
                <c:formatCode>0%</c:formatCode>
                <c:ptCount val="2"/>
                <c:pt idx="0">
                  <c:v>0.5</c:v>
                </c:pt>
                <c:pt idx="1">
                  <c:v>0.5</c:v>
                </c:pt>
              </c:numCache>
              <c:extLst/>
            </c:numRef>
          </c:val>
          <c:extLst>
            <c:ext xmlns:c16="http://schemas.microsoft.com/office/drawing/2014/chart" uri="{C3380CC4-5D6E-409C-BE32-E72D297353CC}">
              <c16:uniqueId val="{00000003-18C0-4A6F-BF96-E5A2F0D51C57}"/>
            </c:ext>
          </c:extLst>
        </c:ser>
        <c:ser>
          <c:idx val="7"/>
          <c:order val="7"/>
          <c:tx>
            <c:strRef>
              <c:f>'individual-chart-se'!$J$2</c:f>
              <c:strCache>
                <c:ptCount val="1"/>
                <c:pt idx="0">
                  <c:v>25%</c:v>
                </c:pt>
              </c:strCache>
            </c:strRef>
          </c:tx>
          <c:spPr>
            <a:solidFill>
              <a:srgbClr val="F3C6C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'individual-chart-se'!$B$3:$B$26</c:f>
              <c:strCache>
                <c:ptCount val="2"/>
                <c:pt idx="0">
                  <c:v>Activity</c:v>
                </c:pt>
                <c:pt idx="1">
                  <c:v>Outputs</c:v>
                </c:pt>
              </c:strCache>
              <c:extLst/>
            </c:strRef>
          </c:cat>
          <c:val>
            <c:numRef>
              <c:f>'individual-chart-se'!$J$3:$J$26</c:f>
              <c:numCache>
                <c:formatCode>General</c:formatCode>
                <c:ptCount val="2"/>
              </c:numCache>
              <c:extLst/>
            </c:numRef>
          </c:val>
          <c:extLst>
            <c:ext xmlns:c16="http://schemas.microsoft.com/office/drawing/2014/chart" uri="{C3380CC4-5D6E-409C-BE32-E72D297353CC}">
              <c16:uniqueId val="{00000004-18C0-4A6F-BF96-E5A2F0D51C57}"/>
            </c:ext>
          </c:extLst>
        </c:ser>
        <c:ser>
          <c:idx val="8"/>
          <c:order val="8"/>
          <c:tx>
            <c:strRef>
              <c:f>'individual-chart-se'!$K$2</c:f>
              <c:strCache>
                <c:ptCount val="1"/>
                <c:pt idx="0">
                  <c:v>10%</c:v>
                </c:pt>
              </c:strCache>
            </c:strRef>
          </c:tx>
          <c:spPr>
            <a:solidFill>
              <a:schemeClr val="accent2">
                <a:tint val="56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'individual-chart-se'!$B$3:$B$26</c:f>
              <c:strCache>
                <c:ptCount val="2"/>
                <c:pt idx="0">
                  <c:v>Activity</c:v>
                </c:pt>
                <c:pt idx="1">
                  <c:v>Outputs</c:v>
                </c:pt>
              </c:strCache>
              <c:extLst/>
            </c:strRef>
          </c:cat>
          <c:val>
            <c:numRef>
              <c:f>'individual-chart-se'!$K$3:$K$26</c:f>
              <c:numCache>
                <c:formatCode>General</c:formatCode>
                <c:ptCount val="2"/>
              </c:numCache>
              <c:extLst/>
            </c:numRef>
          </c:val>
          <c:extLst>
            <c:ext xmlns:c16="http://schemas.microsoft.com/office/drawing/2014/chart" uri="{C3380CC4-5D6E-409C-BE32-E72D297353CC}">
              <c16:uniqueId val="{00000005-18C0-4A6F-BF96-E5A2F0D51C57}"/>
            </c:ext>
          </c:extLst>
        </c:ser>
        <c:ser>
          <c:idx val="9"/>
          <c:order val="9"/>
          <c:tx>
            <c:strRef>
              <c:f>'individual-chart-se'!$L$2</c:f>
              <c:strCache>
                <c:ptCount val="1"/>
                <c:pt idx="0">
                  <c:v>Not Started</c:v>
                </c:pt>
              </c:strCache>
            </c:strRef>
          </c:tx>
          <c:spPr>
            <a:solidFill>
              <a:srgbClr val="FCF2F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'individual-chart-se'!$B$3:$B$26</c:f>
              <c:strCache>
                <c:ptCount val="2"/>
                <c:pt idx="0">
                  <c:v>Activity</c:v>
                </c:pt>
                <c:pt idx="1">
                  <c:v>Outputs</c:v>
                </c:pt>
              </c:strCache>
              <c:extLst/>
            </c:strRef>
          </c:cat>
          <c:val>
            <c:numRef>
              <c:f>'individual-chart-se'!$L$3:$L$26</c:f>
              <c:numCache>
                <c:formatCode>General</c:formatCode>
                <c:ptCount val="2"/>
              </c:numCache>
              <c:extLst/>
            </c:numRef>
          </c:val>
          <c:extLst>
            <c:ext xmlns:c16="http://schemas.microsoft.com/office/drawing/2014/chart" uri="{C3380CC4-5D6E-409C-BE32-E72D297353CC}">
              <c16:uniqueId val="{00000006-18C0-4A6F-BF96-E5A2F0D51C57}"/>
            </c:ext>
          </c:extLst>
        </c:ser>
        <c:dLbls>
          <c:dLblPos val="ctr"/>
          <c:showLegendKey val="0"/>
          <c:showVal val="1"/>
          <c:showCatName val="0"/>
          <c:showSerName val="0"/>
          <c:showPercent val="0"/>
          <c:showBubbleSize val="0"/>
        </c:dLbls>
        <c:gapWidth val="150"/>
        <c:overlap val="100"/>
        <c:axId val="790958128"/>
        <c:axId val="790961408"/>
        <c:extLst>
          <c:ext xmlns:c15="http://schemas.microsoft.com/office/drawing/2012/chart" uri="{02D57815-91ED-43cb-92C2-25804820EDAC}">
            <c15:filteredBarSeries>
              <c15:ser>
                <c:idx val="0"/>
                <c:order val="0"/>
                <c:tx>
                  <c:strRef>
                    <c:extLst>
                      <c:ext uri="{02D57815-91ED-43cb-92C2-25804820EDAC}">
                        <c15:formulaRef>
                          <c15:sqref>'individual-chart-se'!$C$2</c15:sqref>
                        </c15:formulaRef>
                      </c:ext>
                    </c:extLst>
                    <c:strCache>
                      <c:ptCount val="1"/>
                      <c:pt idx="0">
                        <c:v>Completed</c:v>
                      </c:pt>
                    </c:strCache>
                  </c:strRef>
                </c:tx>
                <c:spPr>
                  <a:solidFill>
                    <a:schemeClr val="accent2">
                      <a:shade val="42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c:ext uri="{02D57815-91ED-43cb-92C2-25804820EDAC}">
                        <c15:formulaRef>
                          <c15:sqref>'individual-chart-se'!$B$3:$B$26</c15:sqref>
                        </c15:formulaRef>
                      </c:ext>
                    </c:extLst>
                    <c:strCache>
                      <c:ptCount val="2"/>
                      <c:pt idx="0">
                        <c:v>Activity</c:v>
                      </c:pt>
                      <c:pt idx="1">
                        <c:v>Outputs</c:v>
                      </c:pt>
                    </c:strCache>
                  </c:strRef>
                </c:cat>
                <c:val>
                  <c:numRef>
                    <c:extLst>
                      <c:ext uri="{02D57815-91ED-43cb-92C2-25804820EDAC}">
                        <c15:formulaRef>
                          <c15:sqref>'individual-chart-se'!$C$3:$C$26</c15:sqref>
                        </c15:formulaRef>
                      </c:ext>
                    </c:extLst>
                    <c:numCache>
                      <c:formatCode>General</c:formatCode>
                      <c:ptCount val="2"/>
                    </c:numCache>
                  </c:numRef>
                </c:val>
                <c:extLst>
                  <c:ext xmlns:c16="http://schemas.microsoft.com/office/drawing/2014/chart" uri="{C3380CC4-5D6E-409C-BE32-E72D297353CC}">
                    <c16:uniqueId val="{00000007-18C0-4A6F-BF96-E5A2F0D51C57}"/>
                  </c:ext>
                </c:extLst>
              </c15:ser>
            </c15:filteredBarSeries>
            <c15:filteredBarSeries>
              <c15:ser>
                <c:idx val="1"/>
                <c:order val="1"/>
                <c:tx>
                  <c:strRef>
                    <c:extLst xmlns:c15="http://schemas.microsoft.com/office/drawing/2012/chart">
                      <c:ext xmlns:c15="http://schemas.microsoft.com/office/drawing/2012/chart" uri="{02D57815-91ED-43cb-92C2-25804820EDAC}">
                        <c15:formulaRef>
                          <c15:sqref>'individual-chart-se'!$D$2</c15:sqref>
                        </c15:formulaRef>
                      </c:ext>
                    </c:extLst>
                    <c:strCache>
                      <c:ptCount val="1"/>
                      <c:pt idx="0">
                        <c:v>In progress</c:v>
                      </c:pt>
                    </c:strCache>
                  </c:strRef>
                </c:tx>
                <c:spPr>
                  <a:solidFill>
                    <a:schemeClr val="accent2">
                      <a:shade val="5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'individual-chart-se'!$B$3:$B$26</c15:sqref>
                        </c15:formulaRef>
                      </c:ext>
                    </c:extLst>
                    <c:strCache>
                      <c:ptCount val="2"/>
                      <c:pt idx="0">
                        <c:v>Activity</c:v>
                      </c:pt>
                      <c:pt idx="1">
                        <c:v>Outputs</c:v>
                      </c:pt>
                    </c:strCache>
                  </c:strRef>
                </c:cat>
                <c:val>
                  <c:numRef>
                    <c:extLst xmlns:c15="http://schemas.microsoft.com/office/drawing/2012/chart">
                      <c:ext xmlns:c15="http://schemas.microsoft.com/office/drawing/2012/chart" uri="{02D57815-91ED-43cb-92C2-25804820EDAC}">
                        <c15:formulaRef>
                          <c15:sqref>'individual-chart-se'!$D$3:$D$26</c15:sqref>
                        </c15:formulaRef>
                      </c:ext>
                    </c:extLst>
                    <c:numCache>
                      <c:formatCode>0%</c:formatCode>
                      <c:ptCount val="2"/>
                      <c:pt idx="0">
                        <c:v>1</c:v>
                      </c:pt>
                      <c:pt idx="1">
                        <c:v>1</c:v>
                      </c:pt>
                    </c:numCache>
                  </c:numRef>
                </c:val>
                <c:extLst xmlns:c15="http://schemas.microsoft.com/office/drawing/2012/chart">
                  <c:ext xmlns:c16="http://schemas.microsoft.com/office/drawing/2014/chart" uri="{C3380CC4-5D6E-409C-BE32-E72D297353CC}">
                    <c16:uniqueId val="{00000008-18C0-4A6F-BF96-E5A2F0D51C57}"/>
                  </c:ext>
                </c:extLst>
              </c15:ser>
            </c15:filteredBarSeries>
            <c15:filteredBarSeries>
              <c15:ser>
                <c:idx val="2"/>
                <c:order val="2"/>
                <c:tx>
                  <c:strRef>
                    <c:extLst xmlns:c15="http://schemas.microsoft.com/office/drawing/2012/chart">
                      <c:ext xmlns:c15="http://schemas.microsoft.com/office/drawing/2012/chart" uri="{02D57815-91ED-43cb-92C2-25804820EDAC}">
                        <c15:formulaRef>
                          <c15:sqref>'individual-chart-se'!$E$2</c15:sqref>
                        </c15:formulaRef>
                      </c:ext>
                    </c:extLst>
                    <c:strCache>
                      <c:ptCount val="1"/>
                      <c:pt idx="0">
                        <c:v>Not started</c:v>
                      </c:pt>
                    </c:strCache>
                  </c:strRef>
                </c:tx>
                <c:spPr>
                  <a:solidFill>
                    <a:schemeClr val="accent2">
                      <a:shade val="68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'individual-chart-se'!$B$3:$B$26</c15:sqref>
                        </c15:formulaRef>
                      </c:ext>
                    </c:extLst>
                    <c:strCache>
                      <c:ptCount val="2"/>
                      <c:pt idx="0">
                        <c:v>Activity</c:v>
                      </c:pt>
                      <c:pt idx="1">
                        <c:v>Outputs</c:v>
                      </c:pt>
                    </c:strCache>
                  </c:strRef>
                </c:cat>
                <c:val>
                  <c:numRef>
                    <c:extLst xmlns:c15="http://schemas.microsoft.com/office/drawing/2012/chart">
                      <c:ext xmlns:c15="http://schemas.microsoft.com/office/drawing/2012/chart" uri="{02D57815-91ED-43cb-92C2-25804820EDAC}">
                        <c15:formulaRef>
                          <c15:sqref>'individual-chart-se'!$E$3:$E$26</c15:sqref>
                        </c15:formulaRef>
                      </c:ext>
                    </c:extLst>
                    <c:numCache>
                      <c:formatCode>General</c:formatCode>
                      <c:ptCount val="2"/>
                    </c:numCache>
                  </c:numRef>
                </c:val>
                <c:extLst xmlns:c15="http://schemas.microsoft.com/office/drawing/2012/chart">
                  <c:ext xmlns:c16="http://schemas.microsoft.com/office/drawing/2014/chart" uri="{C3380CC4-5D6E-409C-BE32-E72D297353CC}">
                    <c16:uniqueId val="{00000009-18C0-4A6F-BF96-E5A2F0D51C57}"/>
                  </c:ext>
                </c:extLst>
              </c15:ser>
            </c15:filteredBarSeries>
          </c:ext>
        </c:extLst>
      </c:barChart>
      <c:catAx>
        <c:axId val="7909581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n-US"/>
          </a:p>
        </c:txPr>
        <c:crossAx val="790961408"/>
        <c:crosses val="autoZero"/>
        <c:auto val="1"/>
        <c:lblAlgn val="ctr"/>
        <c:lblOffset val="100"/>
        <c:noMultiLvlLbl val="0"/>
      </c:catAx>
      <c:valAx>
        <c:axId val="790961408"/>
        <c:scaling>
          <c:orientation val="minMax"/>
          <c:min val="0"/>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90958128"/>
        <c:crossesAt val="1"/>
        <c:crossBetween val="between"/>
      </c:valAx>
      <c:spPr>
        <a:noFill/>
        <a:ln>
          <a:noFill/>
        </a:ln>
        <a:effectLst/>
      </c:spPr>
    </c:plotArea>
    <c:legend>
      <c:legendPos val="t"/>
      <c:layout>
        <c:manualLayout>
          <c:xMode val="edge"/>
          <c:yMode val="edge"/>
          <c:x val="0.16878354491402861"/>
          <c:y val="0.14071530758226036"/>
          <c:w val="0.78488188976377948"/>
          <c:h val="8.3691663005643596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userShapes r:id="rId5"/>
</c:chartSpace>
</file>

<file path=word/charts/chart5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all" spc="120" normalizeH="0" baseline="0">
                <a:solidFill>
                  <a:schemeClr val="tx1">
                    <a:lumMod val="65000"/>
                    <a:lumOff val="35000"/>
                  </a:schemeClr>
                </a:solidFill>
                <a:latin typeface="+mn-lt"/>
                <a:ea typeface="+mn-ea"/>
                <a:cs typeface="+mn-cs"/>
              </a:defRPr>
            </a:pPr>
            <a:r>
              <a:rPr lang="en-US"/>
              <a:t>Progress </a:t>
            </a:r>
          </a:p>
          <a:p>
            <a:pPr>
              <a:defRPr/>
            </a:pPr>
            <a:r>
              <a:rPr lang="en-US" sz="1600" b="1" i="0" u="none" strike="noStrike" cap="all" normalizeH="0" baseline="0">
                <a:effectLst/>
              </a:rPr>
              <a:t>Customized Employment Activities </a:t>
            </a:r>
            <a:endParaRPr lang="en-US"/>
          </a:p>
        </c:rich>
      </c:tx>
      <c:overlay val="0"/>
      <c:spPr>
        <a:noFill/>
        <a:ln>
          <a:noFill/>
        </a:ln>
        <a:effectLst/>
      </c:spPr>
      <c:txPr>
        <a:bodyPr rot="0" spcFirstLastPara="1" vertOverflow="ellipsis" vert="horz" wrap="square" anchor="ctr" anchorCtr="1"/>
        <a:lstStyle/>
        <a:p>
          <a:pPr>
            <a:defRPr sz="1600" b="1" i="0" u="none" strike="noStrike" kern="1200" cap="all" spc="120" normalizeH="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3.3720388225764973E-2"/>
          <c:y val="0.14584098852712488"/>
          <c:w val="0.94109226599161167"/>
          <c:h val="0.62853727315905772"/>
        </c:manualLayout>
      </c:layout>
      <c:barChart>
        <c:barDir val="bar"/>
        <c:grouping val="stacked"/>
        <c:varyColors val="0"/>
        <c:ser>
          <c:idx val="2"/>
          <c:order val="2"/>
          <c:tx>
            <c:strRef>
              <c:f>'activities-percent-completed'!$D$3</c:f>
              <c:strCache>
                <c:ptCount val="1"/>
                <c:pt idx="0">
                  <c:v>Completed</c:v>
                </c:pt>
              </c:strCache>
            </c:strRef>
          </c:tx>
          <c:spPr>
            <a:solidFill>
              <a:srgbClr val="B22724"/>
            </a:solidFill>
            <a:ln>
              <a:noFill/>
            </a:ln>
            <a:effectLst/>
          </c:spPr>
          <c:invertIfNegative val="0"/>
          <c:dLbls>
            <c:dLbl>
              <c:idx val="0"/>
              <c:layout>
                <c:manualLayout>
                  <c:x val="-1.2569352578133805E-2"/>
                  <c:y val="0.25147822748291537"/>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D361-499D-8F65-7F30AD680A77}"/>
                </c:ext>
              </c:extLst>
            </c:dLbl>
            <c:spPr>
              <a:noFill/>
              <a:ln>
                <a:noFill/>
              </a:ln>
              <a:effectLst/>
            </c:spPr>
            <c:txPr>
              <a:bodyPr rot="0" spcFirstLastPara="1" vertOverflow="ellipsis" vert="horz" wrap="square" lIns="38100" tIns="19050" rIns="38100" bIns="19050" anchor="ctr" anchorCtr="1">
                <a:spAutoFit/>
              </a:bodyPr>
              <a:lstStyle/>
              <a:p>
                <a:pPr>
                  <a:defRPr sz="16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'activities-percent-completed'!$A$4:$A$17</c:f>
              <c:strCache>
                <c:ptCount val="1"/>
                <c:pt idx="0">
                  <c:v>Customized Employment</c:v>
                </c:pt>
              </c:strCache>
              <c:extLst/>
            </c:strRef>
          </c:cat>
          <c:val>
            <c:numRef>
              <c:f>'activities-percent-completed'!$D$4:$D$17</c:f>
              <c:numCache>
                <c:formatCode>0%</c:formatCode>
                <c:ptCount val="1"/>
                <c:pt idx="0">
                  <c:v>0.54794520547945202</c:v>
                </c:pt>
              </c:numCache>
              <c:extLst/>
            </c:numRef>
          </c:val>
          <c:extLst>
            <c:ext xmlns:c16="http://schemas.microsoft.com/office/drawing/2014/chart" uri="{C3380CC4-5D6E-409C-BE32-E72D297353CC}">
              <c16:uniqueId val="{00000001-D361-499D-8F65-7F30AD680A77}"/>
            </c:ext>
          </c:extLst>
        </c:ser>
        <c:ser>
          <c:idx val="3"/>
          <c:order val="3"/>
          <c:tx>
            <c:strRef>
              <c:f>'activities-percent-completed'!$E$3</c:f>
              <c:strCache>
                <c:ptCount val="1"/>
                <c:pt idx="0">
                  <c:v>90%</c:v>
                </c:pt>
              </c:strCache>
            </c:strRef>
          </c:tx>
          <c:spPr>
            <a:solidFill>
              <a:schemeClr val="accent4"/>
            </a:solidFill>
            <a:ln>
              <a:noFill/>
            </a:ln>
            <a:effectLst/>
          </c:spPr>
          <c:invertIfNegative val="0"/>
          <c:dLbls>
            <c:dLbl>
              <c:idx val="0"/>
              <c:layout>
                <c:manualLayout>
                  <c:x val="-1.2254862372972609E-2"/>
                  <c:y val="0.25147826086956521"/>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D361-499D-8F65-7F30AD680A77}"/>
                </c:ext>
              </c:extLst>
            </c:dLbl>
            <c:spPr>
              <a:noFill/>
              <a:ln>
                <a:noFill/>
              </a:ln>
              <a:effectLst/>
            </c:spPr>
            <c:txPr>
              <a:bodyPr rot="0" spcFirstLastPara="1" vertOverflow="ellipsis" vert="horz" wrap="square" lIns="38100" tIns="19050" rIns="38100" bIns="19050" anchor="ctr" anchorCtr="1">
                <a:spAutoFit/>
              </a:bodyPr>
              <a:lstStyle/>
              <a:p>
                <a:pPr>
                  <a:defRPr sz="16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'activities-percent-completed'!$A$4:$A$17</c:f>
              <c:strCache>
                <c:ptCount val="1"/>
                <c:pt idx="0">
                  <c:v>Customized Employment</c:v>
                </c:pt>
              </c:strCache>
              <c:extLst/>
            </c:strRef>
          </c:cat>
          <c:val>
            <c:numRef>
              <c:f>'activities-percent-completed'!$E$4:$E$17</c:f>
              <c:numCache>
                <c:formatCode>0%</c:formatCode>
                <c:ptCount val="1"/>
                <c:pt idx="0">
                  <c:v>1.3698630136986301E-2</c:v>
                </c:pt>
              </c:numCache>
              <c:extLst/>
            </c:numRef>
          </c:val>
          <c:extLst>
            <c:ext xmlns:c16="http://schemas.microsoft.com/office/drawing/2014/chart" uri="{C3380CC4-5D6E-409C-BE32-E72D297353CC}">
              <c16:uniqueId val="{00000003-D361-499D-8F65-7F30AD680A77}"/>
            </c:ext>
          </c:extLst>
        </c:ser>
        <c:ser>
          <c:idx val="4"/>
          <c:order val="4"/>
          <c:tx>
            <c:strRef>
              <c:f>'activities-percent-completed'!$F$3</c:f>
              <c:strCache>
                <c:ptCount val="1"/>
                <c:pt idx="0">
                  <c:v>75%</c:v>
                </c:pt>
              </c:strCache>
            </c:strRef>
          </c:tx>
          <c:spPr>
            <a:solidFill>
              <a:srgbClr val="FFFF66"/>
            </a:solidFill>
            <a:ln>
              <a:noFill/>
            </a:ln>
            <a:effectLst/>
          </c:spPr>
          <c:invertIfNegative val="0"/>
          <c:dLbls>
            <c:dLbl>
              <c:idx val="0"/>
              <c:layout>
                <c:manualLayout>
                  <c:x val="7.4158759001278687E-3"/>
                  <c:y val="0.25147826086956521"/>
                </c:manualLayout>
              </c:layout>
              <c:spPr>
                <a:solidFill>
                  <a:sysClr val="window" lastClr="FFFFFF"/>
                </a:solidFill>
                <a:ln>
                  <a:noFill/>
                </a:ln>
                <a:effectLst/>
              </c:spPr>
              <c:txPr>
                <a:bodyPr rot="0" spcFirstLastPara="1" vertOverflow="ellipsis" vert="horz" wrap="square" lIns="38100" tIns="19050" rIns="38100" bIns="19050" anchor="ctr" anchorCtr="1">
                  <a:spAutoFit/>
                </a:bodyPr>
                <a:lstStyle/>
                <a:p>
                  <a:pPr>
                    <a:defRPr sz="16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D361-499D-8F65-7F30AD680A77}"/>
                </c:ext>
              </c:extLst>
            </c:dLbl>
            <c:spPr>
              <a:solidFill>
                <a:srgbClr val="FFFF66"/>
              </a:solidFill>
              <a:ln>
                <a:noFill/>
              </a:ln>
              <a:effectLst/>
            </c:spPr>
            <c:txPr>
              <a:bodyPr rot="0" spcFirstLastPara="1" vertOverflow="ellipsis" vert="horz" wrap="square" lIns="38100" tIns="19050" rIns="38100" bIns="19050" anchor="ctr" anchorCtr="1">
                <a:spAutoFit/>
              </a:bodyPr>
              <a:lstStyle/>
              <a:p>
                <a:pPr>
                  <a:defRPr sz="16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'activities-percent-completed'!$A$4:$A$17</c:f>
              <c:strCache>
                <c:ptCount val="1"/>
                <c:pt idx="0">
                  <c:v>Customized Employment</c:v>
                </c:pt>
              </c:strCache>
              <c:extLst/>
            </c:strRef>
          </c:cat>
          <c:val>
            <c:numRef>
              <c:f>'activities-percent-completed'!$F$4:$F$17</c:f>
              <c:numCache>
                <c:formatCode>0%</c:formatCode>
                <c:ptCount val="1"/>
                <c:pt idx="0">
                  <c:v>5.4794520547945202E-2</c:v>
                </c:pt>
              </c:numCache>
              <c:extLst/>
            </c:numRef>
          </c:val>
          <c:extLst>
            <c:ext xmlns:c16="http://schemas.microsoft.com/office/drawing/2014/chart" uri="{C3380CC4-5D6E-409C-BE32-E72D297353CC}">
              <c16:uniqueId val="{00000005-D361-499D-8F65-7F30AD680A77}"/>
            </c:ext>
          </c:extLst>
        </c:ser>
        <c:ser>
          <c:idx val="5"/>
          <c:order val="5"/>
          <c:tx>
            <c:strRef>
              <c:f>'activities-percent-completed'!$G$3</c:f>
              <c:strCache>
                <c:ptCount val="1"/>
                <c:pt idx="0">
                  <c:v>50%</c:v>
                </c:pt>
              </c:strCache>
            </c:strRef>
          </c:tx>
          <c:spPr>
            <a:solidFill>
              <a:schemeClr val="accent6"/>
            </a:solidFill>
            <a:ln>
              <a:noFill/>
            </a:ln>
            <a:effectLst/>
          </c:spPr>
          <c:invertIfNegative val="0"/>
          <c:dLbls>
            <c:dLbl>
              <c:idx val="0"/>
              <c:layout>
                <c:manualLayout>
                  <c:x val="1.1123729726091852E-2"/>
                  <c:y val="0.25608262010726918"/>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D361-499D-8F65-7F30AD680A77}"/>
                </c:ext>
              </c:extLst>
            </c:dLbl>
            <c:spPr>
              <a:noFill/>
              <a:ln>
                <a:noFill/>
              </a:ln>
              <a:effectLst/>
            </c:spPr>
            <c:txPr>
              <a:bodyPr rot="0" spcFirstLastPara="1" vertOverflow="ellipsis" vert="horz" wrap="square" lIns="38100" tIns="19050" rIns="38100" bIns="19050" anchor="ctr" anchorCtr="1">
                <a:spAutoFit/>
              </a:bodyPr>
              <a:lstStyle/>
              <a:p>
                <a:pPr>
                  <a:defRPr sz="14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'activities-percent-completed'!$A$4:$A$17</c:f>
              <c:strCache>
                <c:ptCount val="1"/>
                <c:pt idx="0">
                  <c:v>Customized Employment</c:v>
                </c:pt>
              </c:strCache>
              <c:extLst/>
            </c:strRef>
          </c:cat>
          <c:val>
            <c:numRef>
              <c:f>'activities-percent-completed'!$G$4:$G$17</c:f>
              <c:numCache>
                <c:formatCode>0%</c:formatCode>
                <c:ptCount val="1"/>
                <c:pt idx="0">
                  <c:v>5.4794520547945202E-2</c:v>
                </c:pt>
              </c:numCache>
              <c:extLst/>
            </c:numRef>
          </c:val>
          <c:extLst>
            <c:ext xmlns:c16="http://schemas.microsoft.com/office/drawing/2014/chart" uri="{C3380CC4-5D6E-409C-BE32-E72D297353CC}">
              <c16:uniqueId val="{00000007-D361-499D-8F65-7F30AD680A77}"/>
            </c:ext>
          </c:extLst>
        </c:ser>
        <c:ser>
          <c:idx val="6"/>
          <c:order val="6"/>
          <c:tx>
            <c:strRef>
              <c:f>'activities-percent-completed'!$H$3</c:f>
              <c:strCache>
                <c:ptCount val="1"/>
                <c:pt idx="0">
                  <c:v>25%</c:v>
                </c:pt>
              </c:strCache>
            </c:strRef>
          </c:tx>
          <c:spPr>
            <a:solidFill>
              <a:srgbClr val="15FFFF"/>
            </a:solidFill>
            <a:ln>
              <a:noFill/>
            </a:ln>
            <a:effectLst/>
          </c:spPr>
          <c:invertIfNegative val="0"/>
          <c:dLbls>
            <c:dLbl>
              <c:idx val="0"/>
              <c:layout>
                <c:manualLayout>
                  <c:x val="-4.7135072168001772E-3"/>
                  <c:y val="0.23442885612814154"/>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D361-499D-8F65-7F30AD680A77}"/>
                </c:ext>
              </c:extLst>
            </c:dLbl>
            <c:spPr>
              <a:noFill/>
              <a:ln>
                <a:noFill/>
              </a:ln>
              <a:effectLst/>
            </c:spPr>
            <c:txPr>
              <a:bodyPr rot="0" spcFirstLastPara="1" vertOverflow="ellipsis" vert="horz" wrap="square" lIns="38100" tIns="19050" rIns="38100" bIns="19050" anchor="ctr" anchorCtr="1">
                <a:spAutoFit/>
              </a:bodyPr>
              <a:lstStyle/>
              <a:p>
                <a:pPr>
                  <a:defRPr sz="16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'activities-percent-completed'!$A$4:$A$17</c:f>
              <c:strCache>
                <c:ptCount val="1"/>
                <c:pt idx="0">
                  <c:v>Customized Employment</c:v>
                </c:pt>
              </c:strCache>
              <c:extLst/>
            </c:strRef>
          </c:cat>
          <c:val>
            <c:numRef>
              <c:f>'activities-percent-completed'!$H$4:$H$17</c:f>
              <c:numCache>
                <c:formatCode>0%</c:formatCode>
                <c:ptCount val="1"/>
                <c:pt idx="0">
                  <c:v>0.24657534246575341</c:v>
                </c:pt>
              </c:numCache>
              <c:extLst/>
            </c:numRef>
          </c:val>
          <c:extLst>
            <c:ext xmlns:c16="http://schemas.microsoft.com/office/drawing/2014/chart" uri="{C3380CC4-5D6E-409C-BE32-E72D297353CC}">
              <c16:uniqueId val="{00000009-D361-499D-8F65-7F30AD680A77}"/>
            </c:ext>
          </c:extLst>
        </c:ser>
        <c:ser>
          <c:idx val="7"/>
          <c:order val="7"/>
          <c:tx>
            <c:strRef>
              <c:f>'activities-percent-completed'!$I$3</c:f>
              <c:strCache>
                <c:ptCount val="1"/>
                <c:pt idx="0">
                  <c:v>10%</c:v>
                </c:pt>
              </c:strCache>
            </c:strRef>
          </c:tx>
          <c:spPr>
            <a:solidFill>
              <a:srgbClr val="3399FF"/>
            </a:solidFill>
            <a:ln>
              <a:noFill/>
            </a:ln>
            <a:effectLst/>
          </c:spPr>
          <c:invertIfNegative val="0"/>
          <c:dLbls>
            <c:delete val="1"/>
          </c:dLbls>
          <c:cat>
            <c:strRef>
              <c:f>'activities-percent-completed'!$A$4:$A$17</c:f>
              <c:strCache>
                <c:ptCount val="1"/>
                <c:pt idx="0">
                  <c:v>Customized Employment</c:v>
                </c:pt>
              </c:strCache>
              <c:extLst/>
            </c:strRef>
          </c:cat>
          <c:val>
            <c:numRef>
              <c:f>'activities-percent-completed'!$I$4:$I$17</c:f>
              <c:numCache>
                <c:formatCode>0%</c:formatCode>
                <c:ptCount val="1"/>
                <c:pt idx="0">
                  <c:v>0</c:v>
                </c:pt>
              </c:numCache>
              <c:extLst/>
            </c:numRef>
          </c:val>
          <c:extLst xmlns:c15="http://schemas.microsoft.com/office/drawing/2012/chart">
            <c:ext xmlns:c16="http://schemas.microsoft.com/office/drawing/2014/chart" uri="{C3380CC4-5D6E-409C-BE32-E72D297353CC}">
              <c16:uniqueId val="{0000000A-D361-499D-8F65-7F30AD680A77}"/>
            </c:ext>
          </c:extLst>
        </c:ser>
        <c:ser>
          <c:idx val="8"/>
          <c:order val="8"/>
          <c:tx>
            <c:strRef>
              <c:f>'activities-percent-completed'!$J$3</c:f>
              <c:strCache>
                <c:ptCount val="1"/>
                <c:pt idx="0">
                  <c:v>Not started</c:v>
                </c:pt>
              </c:strCache>
            </c:strRef>
          </c:tx>
          <c:spPr>
            <a:solidFill>
              <a:srgbClr val="7030A0"/>
            </a:solidFill>
            <a:ln>
              <a:noFill/>
            </a:ln>
            <a:effectLst/>
          </c:spPr>
          <c:invertIfNegative val="0"/>
          <c:dLbls>
            <c:dLbl>
              <c:idx val="0"/>
              <c:layout>
                <c:manualLayout>
                  <c:x val="-3.1423381445334513E-3"/>
                  <c:y val="0.23442885612814154"/>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D361-499D-8F65-7F30AD680A77}"/>
                </c:ext>
              </c:extLst>
            </c:dLbl>
            <c:spPr>
              <a:noFill/>
              <a:ln>
                <a:noFill/>
              </a:ln>
              <a:effectLst/>
            </c:spPr>
            <c:txPr>
              <a:bodyPr rot="0" spcFirstLastPara="1" vertOverflow="ellipsis" vert="horz" wrap="square" lIns="38100" tIns="19050" rIns="38100" bIns="19050" anchor="ctr" anchorCtr="1">
                <a:spAutoFit/>
              </a:bodyPr>
              <a:lstStyle/>
              <a:p>
                <a:pPr>
                  <a:defRPr sz="1600" b="0" i="0" u="none" strike="noStrike" kern="1200" baseline="0">
                    <a:solidFill>
                      <a:sysClr val="windowText" lastClr="000000"/>
                    </a:solidFill>
                    <a:latin typeface="+mn-lt"/>
                    <a:ea typeface="+mn-ea"/>
                    <a:cs typeface="+mn-cs"/>
                  </a:defRPr>
                </a:pPr>
                <a:endParaRPr lang="en-US"/>
              </a:p>
            </c:txPr>
            <c:dLblPos val="ct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'activities-percent-completed'!$A$4:$A$17</c:f>
              <c:strCache>
                <c:ptCount val="1"/>
                <c:pt idx="0">
                  <c:v>Customized Employment</c:v>
                </c:pt>
              </c:strCache>
              <c:extLst/>
            </c:strRef>
          </c:cat>
          <c:val>
            <c:numRef>
              <c:f>'activities-percent-completed'!$J$4:$J$17</c:f>
              <c:numCache>
                <c:formatCode>0%</c:formatCode>
                <c:ptCount val="1"/>
                <c:pt idx="0">
                  <c:v>8.2191780821917804E-2</c:v>
                </c:pt>
              </c:numCache>
              <c:extLst/>
            </c:numRef>
          </c:val>
          <c:extLst xmlns:c15="http://schemas.microsoft.com/office/drawing/2012/chart">
            <c:ext xmlns:c16="http://schemas.microsoft.com/office/drawing/2014/chart" uri="{C3380CC4-5D6E-409C-BE32-E72D297353CC}">
              <c16:uniqueId val="{0000000C-D361-499D-8F65-7F30AD680A77}"/>
            </c:ext>
          </c:extLst>
        </c:ser>
        <c:dLbls>
          <c:dLblPos val="ctr"/>
          <c:showLegendKey val="0"/>
          <c:showVal val="1"/>
          <c:showCatName val="0"/>
          <c:showSerName val="0"/>
          <c:showPercent val="0"/>
          <c:showBubbleSize val="0"/>
        </c:dLbls>
        <c:gapWidth val="79"/>
        <c:overlap val="100"/>
        <c:axId val="610520992"/>
        <c:axId val="610522632"/>
        <c:extLst>
          <c:ext xmlns:c15="http://schemas.microsoft.com/office/drawing/2012/chart" uri="{02D57815-91ED-43cb-92C2-25804820EDAC}">
            <c15:filteredBarSeries>
              <c15:ser>
                <c:idx val="0"/>
                <c:order val="0"/>
                <c:tx>
                  <c:strRef>
                    <c:extLst>
                      <c:ext uri="{02D57815-91ED-43cb-92C2-25804820EDAC}">
                        <c15:formulaRef>
                          <c15:sqref>'activities-percent-completed'!$B$3</c15:sqref>
                        </c15:formulaRef>
                      </c:ext>
                    </c:extLst>
                    <c:strCache>
                      <c:ptCount val="1"/>
                      <c:pt idx="0">
                        <c:v># of Total Activities</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showLeaderLines val="0"/>
                  <c:extLst>
                    <c:ext uri="{CE6537A1-D6FC-4f65-9D91-7224C49458BB}">
                      <c15:showLeaderLines val="1"/>
                      <c15:leaderLines>
                        <c:spPr>
                          <a:ln w="9525">
                            <a:solidFill>
                              <a:schemeClr val="tx1">
                                <a:lumMod val="35000"/>
                                <a:lumOff val="65000"/>
                              </a:schemeClr>
                            </a:solidFill>
                          </a:ln>
                          <a:effectLst/>
                        </c:spPr>
                      </c15:leaderLines>
                    </c:ext>
                  </c:extLst>
                </c:dLbls>
                <c:cat>
                  <c:strRef>
                    <c:extLst>
                      <c:ext uri="{02D57815-91ED-43cb-92C2-25804820EDAC}">
                        <c15:formulaRef>
                          <c15:sqref>'activities-percent-completed'!$A$4:$A$17</c15:sqref>
                        </c15:formulaRef>
                      </c:ext>
                    </c:extLst>
                    <c:strCache>
                      <c:ptCount val="1"/>
                      <c:pt idx="0">
                        <c:v>Customized Employment</c:v>
                      </c:pt>
                    </c:strCache>
                  </c:strRef>
                </c:cat>
                <c:val>
                  <c:numRef>
                    <c:extLst>
                      <c:ext uri="{02D57815-91ED-43cb-92C2-25804820EDAC}">
                        <c15:formulaRef>
                          <c15:sqref>'activities-percent-completed'!$B$4:$B$17</c15:sqref>
                        </c15:formulaRef>
                      </c:ext>
                    </c:extLst>
                    <c:numCache>
                      <c:formatCode>0</c:formatCode>
                      <c:ptCount val="1"/>
                      <c:pt idx="0">
                        <c:v>73</c:v>
                      </c:pt>
                    </c:numCache>
                  </c:numRef>
                </c:val>
                <c:extLst>
                  <c:ext xmlns:c16="http://schemas.microsoft.com/office/drawing/2014/chart" uri="{C3380CC4-5D6E-409C-BE32-E72D297353CC}">
                    <c16:uniqueId val="{0000000D-D361-499D-8F65-7F30AD680A77}"/>
                  </c:ext>
                </c:extLst>
              </c15:ser>
            </c15:filteredBarSeries>
            <c15:filteredBarSeries>
              <c15:ser>
                <c:idx val="1"/>
                <c:order val="1"/>
                <c:tx>
                  <c:strRef>
                    <c:extLst xmlns:c15="http://schemas.microsoft.com/office/drawing/2012/chart">
                      <c:ext xmlns:c15="http://schemas.microsoft.com/office/drawing/2012/chart" uri="{02D57815-91ED-43cb-92C2-25804820EDAC}">
                        <c15:formulaRef>
                          <c15:sqref>'activities-percent-completed'!$C$3</c15:sqref>
                        </c15:formulaRef>
                      </c:ext>
                    </c:extLst>
                    <c:strCache>
                      <c:ptCount val="1"/>
                      <c:pt idx="0">
                        <c:v>Average Progress on Activities (%)</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extLst xmlns:c15="http://schemas.microsoft.com/office/drawing/2012/chart">
                      <c:ext xmlns:c15="http://schemas.microsoft.com/office/drawing/2012/chart" uri="{02D57815-91ED-43cb-92C2-25804820EDAC}">
                        <c15:formulaRef>
                          <c15:sqref>'activities-percent-completed'!$A$4:$A$17</c15:sqref>
                        </c15:formulaRef>
                      </c:ext>
                    </c:extLst>
                    <c:strCache>
                      <c:ptCount val="1"/>
                      <c:pt idx="0">
                        <c:v>Customized Employment</c:v>
                      </c:pt>
                    </c:strCache>
                  </c:strRef>
                </c:cat>
                <c:val>
                  <c:numRef>
                    <c:extLst xmlns:c15="http://schemas.microsoft.com/office/drawing/2012/chart">
                      <c:ext xmlns:c15="http://schemas.microsoft.com/office/drawing/2012/chart" uri="{02D57815-91ED-43cb-92C2-25804820EDAC}">
                        <c15:formulaRef>
                          <c15:sqref>'activities-percent-completed'!$C$4:$C$17</c15:sqref>
                        </c15:formulaRef>
                      </c:ext>
                    </c:extLst>
                    <c:numCache>
                      <c:formatCode>0%</c:formatCode>
                      <c:ptCount val="1"/>
                      <c:pt idx="0">
                        <c:v>0.69041095890410953</c:v>
                      </c:pt>
                    </c:numCache>
                  </c:numRef>
                </c:val>
                <c:extLst xmlns:c15="http://schemas.microsoft.com/office/drawing/2012/chart">
                  <c:ext xmlns:c16="http://schemas.microsoft.com/office/drawing/2014/chart" uri="{C3380CC4-5D6E-409C-BE32-E72D297353CC}">
                    <c16:uniqueId val="{0000000E-D361-499D-8F65-7F30AD680A77}"/>
                  </c:ext>
                </c:extLst>
              </c15:ser>
            </c15:filteredBarSeries>
            <c15:filteredBarSeries>
              <c15:ser>
                <c:idx val="9"/>
                <c:order val="9"/>
                <c:tx>
                  <c:strRef>
                    <c:extLst xmlns:c15="http://schemas.microsoft.com/office/drawing/2012/chart">
                      <c:ext xmlns:c15="http://schemas.microsoft.com/office/drawing/2012/chart" uri="{02D57815-91ED-43cb-92C2-25804820EDAC}">
                        <c15:formulaRef>
                          <c15:sqref>'activities-percent-completed'!$K$3</c15:sqref>
                        </c15:formulaRef>
                      </c:ext>
                    </c:extLst>
                    <c:strCache>
                      <c:ptCount val="1"/>
                      <c:pt idx="0">
                        <c:v>In Progress</c:v>
                      </c:pt>
                    </c:strCache>
                  </c:strRef>
                </c:tx>
                <c:spPr>
                  <a:solidFill>
                    <a:schemeClr val="accent4">
                      <a:lumMod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en-US"/>
                    </a:p>
                  </c:txPr>
                  <c:dLblPos val="ct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extLst xmlns:c15="http://schemas.microsoft.com/office/drawing/2012/chart">
                      <c:ext xmlns:c15="http://schemas.microsoft.com/office/drawing/2012/chart" uri="{02D57815-91ED-43cb-92C2-25804820EDAC}">
                        <c15:formulaRef>
                          <c15:sqref>'activities-percent-completed'!$A$4:$A$17</c15:sqref>
                        </c15:formulaRef>
                      </c:ext>
                    </c:extLst>
                    <c:strCache>
                      <c:ptCount val="1"/>
                      <c:pt idx="0">
                        <c:v>Customized Employment</c:v>
                      </c:pt>
                    </c:strCache>
                  </c:strRef>
                </c:cat>
                <c:val>
                  <c:numRef>
                    <c:extLst xmlns:c15="http://schemas.microsoft.com/office/drawing/2012/chart">
                      <c:ext xmlns:c15="http://schemas.microsoft.com/office/drawing/2012/chart" uri="{02D57815-91ED-43cb-92C2-25804820EDAC}">
                        <c15:formulaRef>
                          <c15:sqref>'activities-percent-completed'!$K$4:$K$17</c15:sqref>
                        </c15:formulaRef>
                      </c:ext>
                    </c:extLst>
                    <c:numCache>
                      <c:formatCode>0%</c:formatCode>
                      <c:ptCount val="1"/>
                      <c:pt idx="0">
                        <c:v>0.36986301369863012</c:v>
                      </c:pt>
                    </c:numCache>
                  </c:numRef>
                </c:val>
                <c:extLst xmlns:c15="http://schemas.microsoft.com/office/drawing/2012/chart">
                  <c:ext xmlns:c16="http://schemas.microsoft.com/office/drawing/2014/chart" uri="{C3380CC4-5D6E-409C-BE32-E72D297353CC}">
                    <c16:uniqueId val="{0000000F-D361-499D-8F65-7F30AD680A77}"/>
                  </c:ext>
                </c:extLst>
              </c15:ser>
            </c15:filteredBarSeries>
          </c:ext>
        </c:extLst>
      </c:barChart>
      <c:catAx>
        <c:axId val="610520992"/>
        <c:scaling>
          <c:orientation val="minMax"/>
        </c:scaling>
        <c:delete val="1"/>
        <c:axPos val="l"/>
        <c:majorGridlines>
          <c:spPr>
            <a:ln w="9525" cap="flat" cmpd="sng" algn="ctr">
              <a:solidFill>
                <a:schemeClr val="tx1">
                  <a:lumMod val="15000"/>
                  <a:lumOff val="85000"/>
                </a:schemeClr>
              </a:solidFill>
              <a:round/>
            </a:ln>
            <a:effectLst/>
          </c:spPr>
        </c:majorGridlines>
        <c:minorGridlines>
          <c:spPr>
            <a:ln>
              <a:solidFill>
                <a:schemeClr val="tx1">
                  <a:lumMod val="5000"/>
                  <a:lumOff val="95000"/>
                </a:schemeClr>
              </a:solidFill>
            </a:ln>
            <a:effectLst/>
          </c:spPr>
        </c:minorGridlines>
        <c:numFmt formatCode="General" sourceLinked="1"/>
        <c:majorTickMark val="out"/>
        <c:minorTickMark val="none"/>
        <c:tickLblPos val="nextTo"/>
        <c:crossAx val="610522632"/>
        <c:crosses val="autoZero"/>
        <c:auto val="1"/>
        <c:lblAlgn val="ctr"/>
        <c:lblOffset val="100"/>
        <c:noMultiLvlLbl val="0"/>
      </c:catAx>
      <c:valAx>
        <c:axId val="610522632"/>
        <c:scaling>
          <c:orientation val="minMax"/>
          <c:max val="1"/>
        </c:scaling>
        <c:delete val="0"/>
        <c:axPos val="b"/>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10520992"/>
        <c:crosses val="autoZero"/>
        <c:crossBetween val="between"/>
      </c:valAx>
      <c:spPr>
        <a:noFill/>
        <a:ln>
          <a:noFill/>
        </a:ln>
        <a:effectLst/>
      </c:spPr>
    </c:plotArea>
    <c:legend>
      <c:legendPos val="t"/>
      <c:layout>
        <c:manualLayout>
          <c:xMode val="edge"/>
          <c:yMode val="edge"/>
          <c:x val="0.10418567871323775"/>
          <c:y val="0.87987538514207475"/>
          <c:w val="0.79800659532942997"/>
          <c:h val="8.7393130982802283E-2"/>
        </c:manualLayout>
      </c:layout>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5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4"/>
    </mc:Choice>
    <mc:Fallback>
      <c:style val="4"/>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Topic Area - Customized Employment  Activity #1</a:t>
            </a:r>
          </a:p>
        </c:rich>
      </c:tx>
      <c:layout>
        <c:manualLayout>
          <c:xMode val="edge"/>
          <c:yMode val="edge"/>
          <c:x val="0.20401584330345343"/>
          <c:y val="0"/>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6017916604892113"/>
          <c:y val="0.23265365094271845"/>
          <c:w val="0.78942722632790041"/>
          <c:h val="0.66602748393145406"/>
        </c:manualLayout>
      </c:layout>
      <c:barChart>
        <c:barDir val="col"/>
        <c:grouping val="percentStacked"/>
        <c:varyColors val="0"/>
        <c:ser>
          <c:idx val="3"/>
          <c:order val="3"/>
          <c:tx>
            <c:strRef>
              <c:f>'individual-chart-ce'!$F$2</c:f>
              <c:strCache>
                <c:ptCount val="1"/>
                <c:pt idx="0">
                  <c:v>Completed</c:v>
                </c:pt>
              </c:strCache>
            </c:strRef>
          </c:tx>
          <c:spPr>
            <a:solidFill>
              <a:srgbClr val="99221F"/>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800" b="0"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'individual-chart-ce'!$B$3:$B$46</c:f>
              <c:strCache>
                <c:ptCount val="2"/>
                <c:pt idx="0">
                  <c:v>Activity</c:v>
                </c:pt>
                <c:pt idx="1">
                  <c:v>Outputs</c:v>
                </c:pt>
              </c:strCache>
              <c:extLst/>
            </c:strRef>
          </c:cat>
          <c:val>
            <c:numRef>
              <c:f>'individual-chart-ce'!$F$3:$F$46</c:f>
              <c:numCache>
                <c:formatCode>0%</c:formatCode>
                <c:ptCount val="2"/>
                <c:pt idx="0">
                  <c:v>0.81818181818181823</c:v>
                </c:pt>
                <c:pt idx="1">
                  <c:v>0.81818181818181823</c:v>
                </c:pt>
              </c:numCache>
              <c:extLst/>
            </c:numRef>
          </c:val>
          <c:extLst>
            <c:ext xmlns:c16="http://schemas.microsoft.com/office/drawing/2014/chart" uri="{C3380CC4-5D6E-409C-BE32-E72D297353CC}">
              <c16:uniqueId val="{00000000-3CE0-4F4C-AA16-04B4D4D90C39}"/>
            </c:ext>
          </c:extLst>
        </c:ser>
        <c:ser>
          <c:idx val="4"/>
          <c:order val="4"/>
          <c:tx>
            <c:strRef>
              <c:f>'individual-chart-ce'!$G$2</c:f>
              <c:strCache>
                <c:ptCount val="1"/>
                <c:pt idx="0">
                  <c:v>90%</c:v>
                </c:pt>
              </c:strCache>
            </c:strRef>
          </c:tx>
          <c:spPr>
            <a:solidFill>
              <a:srgbClr val="D73D39"/>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'individual-chart-ce'!$B$3:$B$46</c:f>
              <c:strCache>
                <c:ptCount val="2"/>
                <c:pt idx="0">
                  <c:v>Activity</c:v>
                </c:pt>
                <c:pt idx="1">
                  <c:v>Outputs</c:v>
                </c:pt>
              </c:strCache>
              <c:extLst/>
            </c:strRef>
          </c:cat>
          <c:val>
            <c:numRef>
              <c:f>'individual-chart-ce'!$G$3:$G$46</c:f>
              <c:numCache>
                <c:formatCode>General</c:formatCode>
                <c:ptCount val="2"/>
              </c:numCache>
              <c:extLst/>
            </c:numRef>
          </c:val>
          <c:extLst>
            <c:ext xmlns:c16="http://schemas.microsoft.com/office/drawing/2014/chart" uri="{C3380CC4-5D6E-409C-BE32-E72D297353CC}">
              <c16:uniqueId val="{00000001-3CE0-4F4C-AA16-04B4D4D90C39}"/>
            </c:ext>
          </c:extLst>
        </c:ser>
        <c:ser>
          <c:idx val="5"/>
          <c:order val="5"/>
          <c:tx>
            <c:strRef>
              <c:f>'individual-chart-ce'!$H$2</c:f>
              <c:strCache>
                <c:ptCount val="1"/>
                <c:pt idx="0">
                  <c:v>75%</c:v>
                </c:pt>
              </c:strCache>
            </c:strRef>
          </c:tx>
          <c:spPr>
            <a:solidFill>
              <a:srgbClr val="DC5350"/>
            </a:solidFill>
            <a:ln>
              <a:noFill/>
            </a:ln>
            <a:effectLst/>
          </c:spPr>
          <c:invertIfNegative val="0"/>
          <c:dLbls>
            <c:dLbl>
              <c:idx val="0"/>
              <c:layout>
                <c:manualLayout>
                  <c:x val="7.2154350499066371E-3"/>
                  <c:y val="3.5941632059697642E-4"/>
                </c:manualLayout>
              </c:layout>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3CE0-4F4C-AA16-04B4D4D90C39}"/>
                </c:ext>
              </c:extLst>
            </c:dLbl>
            <c:dLbl>
              <c:idx val="1"/>
              <c:layout>
                <c:manualLayout>
                  <c:x val="-2.2396141604012322E-3"/>
                  <c:y val="2.520478890989288E-3"/>
                </c:manualLayout>
              </c:layout>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3CE0-4F4C-AA16-04B4D4D90C39}"/>
                </c:ext>
              </c:extLst>
            </c:dLbl>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'individual-chart-ce'!$B$3:$B$46</c:f>
              <c:strCache>
                <c:ptCount val="2"/>
                <c:pt idx="0">
                  <c:v>Activity</c:v>
                </c:pt>
                <c:pt idx="1">
                  <c:v>Outputs</c:v>
                </c:pt>
              </c:strCache>
              <c:extLst/>
            </c:strRef>
          </c:cat>
          <c:val>
            <c:numRef>
              <c:f>'individual-chart-ce'!$H$3:$H$46</c:f>
              <c:numCache>
                <c:formatCode>0%</c:formatCode>
                <c:ptCount val="2"/>
                <c:pt idx="0">
                  <c:v>0.18181818181818182</c:v>
                </c:pt>
                <c:pt idx="1">
                  <c:v>0.18181818181818182</c:v>
                </c:pt>
              </c:numCache>
              <c:extLst/>
            </c:numRef>
          </c:val>
          <c:extLst>
            <c:ext xmlns:c16="http://schemas.microsoft.com/office/drawing/2014/chart" uri="{C3380CC4-5D6E-409C-BE32-E72D297353CC}">
              <c16:uniqueId val="{00000004-3CE0-4F4C-AA16-04B4D4D90C39}"/>
            </c:ext>
          </c:extLst>
        </c:ser>
        <c:ser>
          <c:idx val="6"/>
          <c:order val="6"/>
          <c:tx>
            <c:strRef>
              <c:f>'individual-chart-ce'!$I$2</c:f>
              <c:strCache>
                <c:ptCount val="1"/>
                <c:pt idx="0">
                  <c:v>50%</c:v>
                </c:pt>
              </c:strCache>
            </c:strRef>
          </c:tx>
          <c:spPr>
            <a:solidFill>
              <a:srgbClr val="EBA19F"/>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'individual-chart-ce'!$B$3:$B$46</c:f>
              <c:strCache>
                <c:ptCount val="2"/>
                <c:pt idx="0">
                  <c:v>Activity</c:v>
                </c:pt>
                <c:pt idx="1">
                  <c:v>Outputs</c:v>
                </c:pt>
              </c:strCache>
              <c:extLst/>
            </c:strRef>
          </c:cat>
          <c:val>
            <c:numRef>
              <c:f>'individual-chart-ce'!$I$3:$I$46</c:f>
              <c:numCache>
                <c:formatCode>General</c:formatCode>
                <c:ptCount val="2"/>
              </c:numCache>
              <c:extLst/>
            </c:numRef>
          </c:val>
          <c:extLst>
            <c:ext xmlns:c16="http://schemas.microsoft.com/office/drawing/2014/chart" uri="{C3380CC4-5D6E-409C-BE32-E72D297353CC}">
              <c16:uniqueId val="{00000005-3CE0-4F4C-AA16-04B4D4D90C39}"/>
            </c:ext>
          </c:extLst>
        </c:ser>
        <c:ser>
          <c:idx val="7"/>
          <c:order val="7"/>
          <c:tx>
            <c:strRef>
              <c:f>'individual-chart-ce'!$J$2</c:f>
              <c:strCache>
                <c:ptCount val="1"/>
                <c:pt idx="0">
                  <c:v>25%</c:v>
                </c:pt>
              </c:strCache>
            </c:strRef>
          </c:tx>
          <c:spPr>
            <a:solidFill>
              <a:srgbClr val="F3C6C5"/>
            </a:solidFill>
            <a:ln>
              <a:noFill/>
            </a:ln>
            <a:effectLst/>
          </c:spPr>
          <c:invertIfNegative val="0"/>
          <c:dLbls>
            <c:dLbl>
              <c:idx val="0"/>
              <c:layout>
                <c:manualLayout>
                  <c:x val="-0.17408700815279832"/>
                  <c:y val="0"/>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3CE0-4F4C-AA16-04B4D4D90C39}"/>
                </c:ext>
              </c:extLst>
            </c:dLbl>
            <c:dLbl>
              <c:idx val="1"/>
              <c:layout>
                <c:manualLayout>
                  <c:x val="-0.16034329698284064"/>
                  <c:y val="0"/>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3CE0-4F4C-AA16-04B4D4D90C39}"/>
                </c:ext>
              </c:extLst>
            </c:dLbl>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'individual-chart-ce'!$B$3:$B$46</c:f>
              <c:strCache>
                <c:ptCount val="2"/>
                <c:pt idx="0">
                  <c:v>Activity</c:v>
                </c:pt>
                <c:pt idx="1">
                  <c:v>Outputs</c:v>
                </c:pt>
              </c:strCache>
              <c:extLst/>
            </c:strRef>
          </c:cat>
          <c:val>
            <c:numRef>
              <c:f>'individual-chart-ce'!$J$3:$J$46</c:f>
              <c:numCache>
                <c:formatCode>General</c:formatCode>
                <c:ptCount val="2"/>
              </c:numCache>
              <c:extLst/>
            </c:numRef>
          </c:val>
          <c:extLst>
            <c:ext xmlns:c16="http://schemas.microsoft.com/office/drawing/2014/chart" uri="{C3380CC4-5D6E-409C-BE32-E72D297353CC}">
              <c16:uniqueId val="{00000008-3CE0-4F4C-AA16-04B4D4D90C39}"/>
            </c:ext>
          </c:extLst>
        </c:ser>
        <c:ser>
          <c:idx val="8"/>
          <c:order val="8"/>
          <c:tx>
            <c:strRef>
              <c:f>'individual-chart-ce'!$K$2</c:f>
              <c:strCache>
                <c:ptCount val="1"/>
                <c:pt idx="0">
                  <c:v>10%</c:v>
                </c:pt>
              </c:strCache>
            </c:strRef>
          </c:tx>
          <c:spPr>
            <a:solidFill>
              <a:schemeClr val="accent2">
                <a:tint val="56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'individual-chart-ce'!$B$3:$B$46</c:f>
              <c:strCache>
                <c:ptCount val="2"/>
                <c:pt idx="0">
                  <c:v>Activity</c:v>
                </c:pt>
                <c:pt idx="1">
                  <c:v>Outputs</c:v>
                </c:pt>
              </c:strCache>
              <c:extLst/>
            </c:strRef>
          </c:cat>
          <c:val>
            <c:numRef>
              <c:f>'individual-chart-ce'!$K$3:$K$46</c:f>
              <c:numCache>
                <c:formatCode>General</c:formatCode>
                <c:ptCount val="2"/>
              </c:numCache>
              <c:extLst/>
            </c:numRef>
          </c:val>
          <c:extLst>
            <c:ext xmlns:c16="http://schemas.microsoft.com/office/drawing/2014/chart" uri="{C3380CC4-5D6E-409C-BE32-E72D297353CC}">
              <c16:uniqueId val="{00000009-3CE0-4F4C-AA16-04B4D4D90C39}"/>
            </c:ext>
          </c:extLst>
        </c:ser>
        <c:ser>
          <c:idx val="9"/>
          <c:order val="9"/>
          <c:tx>
            <c:strRef>
              <c:f>'individual-chart-ce'!$L$2</c:f>
              <c:strCache>
                <c:ptCount val="1"/>
                <c:pt idx="0">
                  <c:v>Not Started</c:v>
                </c:pt>
              </c:strCache>
            </c:strRef>
          </c:tx>
          <c:spPr>
            <a:solidFill>
              <a:srgbClr val="FCF2F2"/>
            </a:solidFill>
            <a:ln>
              <a:noFill/>
            </a:ln>
            <a:effectLst/>
          </c:spPr>
          <c:invertIfNegative val="0"/>
          <c:dLbls>
            <c:dLbl>
              <c:idx val="1"/>
              <c:layout>
                <c:manualLayout>
                  <c:x val="-0.14659958581288288"/>
                  <c:y val="0"/>
                </c:manualLayout>
              </c:layout>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3CE0-4F4C-AA16-04B4D4D90C39}"/>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'individual-chart-ce'!$B$3:$B$46</c:f>
              <c:strCache>
                <c:ptCount val="2"/>
                <c:pt idx="0">
                  <c:v>Activity</c:v>
                </c:pt>
                <c:pt idx="1">
                  <c:v>Outputs</c:v>
                </c:pt>
              </c:strCache>
              <c:extLst/>
            </c:strRef>
          </c:cat>
          <c:val>
            <c:numRef>
              <c:f>'individual-chart-ce'!$L$3:$L$46</c:f>
              <c:numCache>
                <c:formatCode>General</c:formatCode>
                <c:ptCount val="2"/>
              </c:numCache>
              <c:extLst/>
            </c:numRef>
          </c:val>
          <c:extLst>
            <c:ext xmlns:c16="http://schemas.microsoft.com/office/drawing/2014/chart" uri="{C3380CC4-5D6E-409C-BE32-E72D297353CC}">
              <c16:uniqueId val="{0000000B-3CE0-4F4C-AA16-04B4D4D90C39}"/>
            </c:ext>
          </c:extLst>
        </c:ser>
        <c:dLbls>
          <c:dLblPos val="ctr"/>
          <c:showLegendKey val="0"/>
          <c:showVal val="1"/>
          <c:showCatName val="0"/>
          <c:showSerName val="0"/>
          <c:showPercent val="0"/>
          <c:showBubbleSize val="0"/>
        </c:dLbls>
        <c:gapWidth val="150"/>
        <c:overlap val="100"/>
        <c:axId val="790958128"/>
        <c:axId val="790961408"/>
        <c:extLst>
          <c:ext xmlns:c15="http://schemas.microsoft.com/office/drawing/2012/chart" uri="{02D57815-91ED-43cb-92C2-25804820EDAC}">
            <c15:filteredBarSeries>
              <c15:ser>
                <c:idx val="0"/>
                <c:order val="0"/>
                <c:tx>
                  <c:strRef>
                    <c:extLst>
                      <c:ext uri="{02D57815-91ED-43cb-92C2-25804820EDAC}">
                        <c15:formulaRef>
                          <c15:sqref>'individual-chart-ce'!$C$2</c15:sqref>
                        </c15:formulaRef>
                      </c:ext>
                    </c:extLst>
                    <c:strCache>
                      <c:ptCount val="1"/>
                      <c:pt idx="0">
                        <c:v>Completed</c:v>
                      </c:pt>
                    </c:strCache>
                  </c:strRef>
                </c:tx>
                <c:spPr>
                  <a:solidFill>
                    <a:schemeClr val="accent2">
                      <a:shade val="42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c:ext uri="{02D57815-91ED-43cb-92C2-25804820EDAC}">
                        <c15:formulaRef>
                          <c15:sqref>'individual-chart-ce'!$B$3:$B$46</c15:sqref>
                        </c15:formulaRef>
                      </c:ext>
                    </c:extLst>
                    <c:strCache>
                      <c:ptCount val="2"/>
                      <c:pt idx="0">
                        <c:v>Activity</c:v>
                      </c:pt>
                      <c:pt idx="1">
                        <c:v>Outputs</c:v>
                      </c:pt>
                    </c:strCache>
                  </c:strRef>
                </c:cat>
                <c:val>
                  <c:numRef>
                    <c:extLst>
                      <c:ext uri="{02D57815-91ED-43cb-92C2-25804820EDAC}">
                        <c15:formulaRef>
                          <c15:sqref>'individual-chart-ce'!$C$3:$C$46</c15:sqref>
                        </c15:formulaRef>
                      </c:ext>
                    </c:extLst>
                    <c:numCache>
                      <c:formatCode>0%</c:formatCode>
                      <c:ptCount val="2"/>
                      <c:pt idx="0">
                        <c:v>0.81818181818181823</c:v>
                      </c:pt>
                      <c:pt idx="1">
                        <c:v>0.81818181818181823</c:v>
                      </c:pt>
                    </c:numCache>
                  </c:numRef>
                </c:val>
                <c:extLst>
                  <c:ext xmlns:c16="http://schemas.microsoft.com/office/drawing/2014/chart" uri="{C3380CC4-5D6E-409C-BE32-E72D297353CC}">
                    <c16:uniqueId val="{0000000C-3CE0-4F4C-AA16-04B4D4D90C39}"/>
                  </c:ext>
                </c:extLst>
              </c15:ser>
            </c15:filteredBarSeries>
            <c15:filteredBarSeries>
              <c15:ser>
                <c:idx val="1"/>
                <c:order val="1"/>
                <c:tx>
                  <c:strRef>
                    <c:extLst xmlns:c15="http://schemas.microsoft.com/office/drawing/2012/chart">
                      <c:ext xmlns:c15="http://schemas.microsoft.com/office/drawing/2012/chart" uri="{02D57815-91ED-43cb-92C2-25804820EDAC}">
                        <c15:formulaRef>
                          <c15:sqref>'individual-chart-ce'!$D$2</c15:sqref>
                        </c15:formulaRef>
                      </c:ext>
                    </c:extLst>
                    <c:strCache>
                      <c:ptCount val="1"/>
                      <c:pt idx="0">
                        <c:v>In progress</c:v>
                      </c:pt>
                    </c:strCache>
                  </c:strRef>
                </c:tx>
                <c:spPr>
                  <a:solidFill>
                    <a:schemeClr val="accent2">
                      <a:shade val="5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'individual-chart-ce'!$B$3:$B$46</c15:sqref>
                        </c15:formulaRef>
                      </c:ext>
                    </c:extLst>
                    <c:strCache>
                      <c:ptCount val="2"/>
                      <c:pt idx="0">
                        <c:v>Activity</c:v>
                      </c:pt>
                      <c:pt idx="1">
                        <c:v>Outputs</c:v>
                      </c:pt>
                    </c:strCache>
                  </c:strRef>
                </c:cat>
                <c:val>
                  <c:numRef>
                    <c:extLst xmlns:c15="http://schemas.microsoft.com/office/drawing/2012/chart">
                      <c:ext xmlns:c15="http://schemas.microsoft.com/office/drawing/2012/chart" uri="{02D57815-91ED-43cb-92C2-25804820EDAC}">
                        <c15:formulaRef>
                          <c15:sqref>'individual-chart-ce'!$D$3:$D$46</c15:sqref>
                        </c15:formulaRef>
                      </c:ext>
                    </c:extLst>
                    <c:numCache>
                      <c:formatCode>0%</c:formatCode>
                      <c:ptCount val="2"/>
                      <c:pt idx="0">
                        <c:v>0.18181818181818182</c:v>
                      </c:pt>
                      <c:pt idx="1">
                        <c:v>0.18181818181818182</c:v>
                      </c:pt>
                    </c:numCache>
                  </c:numRef>
                </c:val>
                <c:extLst xmlns:c15="http://schemas.microsoft.com/office/drawing/2012/chart">
                  <c:ext xmlns:c16="http://schemas.microsoft.com/office/drawing/2014/chart" uri="{C3380CC4-5D6E-409C-BE32-E72D297353CC}">
                    <c16:uniqueId val="{0000000D-3CE0-4F4C-AA16-04B4D4D90C39}"/>
                  </c:ext>
                </c:extLst>
              </c15:ser>
            </c15:filteredBarSeries>
            <c15:filteredBarSeries>
              <c15:ser>
                <c:idx val="2"/>
                <c:order val="2"/>
                <c:tx>
                  <c:strRef>
                    <c:extLst xmlns:c15="http://schemas.microsoft.com/office/drawing/2012/chart">
                      <c:ext xmlns:c15="http://schemas.microsoft.com/office/drawing/2012/chart" uri="{02D57815-91ED-43cb-92C2-25804820EDAC}">
                        <c15:formulaRef>
                          <c15:sqref>'individual-chart-ce'!$E$2</c15:sqref>
                        </c15:formulaRef>
                      </c:ext>
                    </c:extLst>
                    <c:strCache>
                      <c:ptCount val="1"/>
                      <c:pt idx="0">
                        <c:v>Not started</c:v>
                      </c:pt>
                    </c:strCache>
                  </c:strRef>
                </c:tx>
                <c:spPr>
                  <a:solidFill>
                    <a:schemeClr val="accent2">
                      <a:shade val="68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'individual-chart-ce'!$B$3:$B$46</c15:sqref>
                        </c15:formulaRef>
                      </c:ext>
                    </c:extLst>
                    <c:strCache>
                      <c:ptCount val="2"/>
                      <c:pt idx="0">
                        <c:v>Activity</c:v>
                      </c:pt>
                      <c:pt idx="1">
                        <c:v>Outputs</c:v>
                      </c:pt>
                    </c:strCache>
                  </c:strRef>
                </c:cat>
                <c:val>
                  <c:numRef>
                    <c:extLst xmlns:c15="http://schemas.microsoft.com/office/drawing/2012/chart">
                      <c:ext xmlns:c15="http://schemas.microsoft.com/office/drawing/2012/chart" uri="{02D57815-91ED-43cb-92C2-25804820EDAC}">
                        <c15:formulaRef>
                          <c15:sqref>'individual-chart-ce'!$E$3:$E$46</c15:sqref>
                        </c15:formulaRef>
                      </c:ext>
                    </c:extLst>
                    <c:numCache>
                      <c:formatCode>General</c:formatCode>
                      <c:ptCount val="2"/>
                    </c:numCache>
                  </c:numRef>
                </c:val>
                <c:extLst xmlns:c15="http://schemas.microsoft.com/office/drawing/2012/chart">
                  <c:ext xmlns:c16="http://schemas.microsoft.com/office/drawing/2014/chart" uri="{C3380CC4-5D6E-409C-BE32-E72D297353CC}">
                    <c16:uniqueId val="{0000000E-3CE0-4F4C-AA16-04B4D4D90C39}"/>
                  </c:ext>
                </c:extLst>
              </c15:ser>
            </c15:filteredBarSeries>
          </c:ext>
        </c:extLst>
      </c:barChart>
      <c:catAx>
        <c:axId val="7909581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n-US"/>
          </a:p>
        </c:txPr>
        <c:crossAx val="790961408"/>
        <c:crosses val="autoZero"/>
        <c:auto val="1"/>
        <c:lblAlgn val="ctr"/>
        <c:lblOffset val="100"/>
        <c:noMultiLvlLbl val="0"/>
      </c:catAx>
      <c:valAx>
        <c:axId val="790961408"/>
        <c:scaling>
          <c:orientation val="minMax"/>
          <c:min val="0"/>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90958128"/>
        <c:crossesAt val="1"/>
        <c:crossBetween val="between"/>
      </c:valAx>
      <c:spPr>
        <a:noFill/>
        <a:ln>
          <a:noFill/>
        </a:ln>
        <a:effectLst/>
      </c:spPr>
    </c:plotArea>
    <c:legend>
      <c:legendPos val="t"/>
      <c:layout>
        <c:manualLayout>
          <c:xMode val="edge"/>
          <c:yMode val="edge"/>
          <c:x val="0.16878354491402861"/>
          <c:y val="0.14071530758226036"/>
          <c:w val="0.78488188976377948"/>
          <c:h val="8.3691663005643596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userShapes r:id="rId5"/>
</c:chartSpace>
</file>

<file path=word/charts/chart5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4"/>
    </mc:Choice>
    <mc:Fallback>
      <c:style val="4"/>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Topic Area - Customized Employment  Activity #2</a:t>
            </a:r>
          </a:p>
        </c:rich>
      </c:tx>
      <c:layout>
        <c:manualLayout>
          <c:xMode val="edge"/>
          <c:yMode val="edge"/>
          <c:x val="0.20401584330345343"/>
          <c:y val="0"/>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6017916604892113"/>
          <c:y val="0.23265365094271845"/>
          <c:w val="0.78942722632790041"/>
          <c:h val="0.66602748393145406"/>
        </c:manualLayout>
      </c:layout>
      <c:barChart>
        <c:barDir val="col"/>
        <c:grouping val="percentStacked"/>
        <c:varyColors val="0"/>
        <c:ser>
          <c:idx val="3"/>
          <c:order val="3"/>
          <c:tx>
            <c:strRef>
              <c:f>'individual-chart-ce'!$F$2</c:f>
              <c:strCache>
                <c:ptCount val="1"/>
                <c:pt idx="0">
                  <c:v>Completed</c:v>
                </c:pt>
              </c:strCache>
            </c:strRef>
          </c:tx>
          <c:spPr>
            <a:solidFill>
              <a:srgbClr val="99221F"/>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600" b="0"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'individual-chart-ce'!$B$3:$B$46</c:f>
              <c:strCache>
                <c:ptCount val="2"/>
                <c:pt idx="0">
                  <c:v>Activity</c:v>
                </c:pt>
                <c:pt idx="1">
                  <c:v>Outputs</c:v>
                </c:pt>
              </c:strCache>
              <c:extLst/>
            </c:strRef>
          </c:cat>
          <c:val>
            <c:numRef>
              <c:f>'individual-chart-ce'!$F$3:$F$46</c:f>
              <c:numCache>
                <c:formatCode>0%</c:formatCode>
                <c:ptCount val="2"/>
                <c:pt idx="0">
                  <c:v>1</c:v>
                </c:pt>
                <c:pt idx="1">
                  <c:v>1</c:v>
                </c:pt>
              </c:numCache>
              <c:extLst/>
            </c:numRef>
          </c:val>
          <c:extLst>
            <c:ext xmlns:c16="http://schemas.microsoft.com/office/drawing/2014/chart" uri="{C3380CC4-5D6E-409C-BE32-E72D297353CC}">
              <c16:uniqueId val="{00000000-FA3E-4488-8DD0-7444D629DCCF}"/>
            </c:ext>
          </c:extLst>
        </c:ser>
        <c:ser>
          <c:idx val="4"/>
          <c:order val="4"/>
          <c:tx>
            <c:strRef>
              <c:f>'individual-chart-ce'!$G$2</c:f>
              <c:strCache>
                <c:ptCount val="1"/>
                <c:pt idx="0">
                  <c:v>90%</c:v>
                </c:pt>
              </c:strCache>
            </c:strRef>
          </c:tx>
          <c:spPr>
            <a:solidFill>
              <a:srgbClr val="D73D39"/>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'individual-chart-ce'!$B$3:$B$46</c:f>
              <c:strCache>
                <c:ptCount val="2"/>
                <c:pt idx="0">
                  <c:v>Activity</c:v>
                </c:pt>
                <c:pt idx="1">
                  <c:v>Outputs</c:v>
                </c:pt>
              </c:strCache>
              <c:extLst/>
            </c:strRef>
          </c:cat>
          <c:val>
            <c:numRef>
              <c:f>'individual-chart-ce'!$G$3:$G$46</c:f>
              <c:numCache>
                <c:formatCode>General</c:formatCode>
                <c:ptCount val="2"/>
              </c:numCache>
              <c:extLst/>
            </c:numRef>
          </c:val>
          <c:extLst>
            <c:ext xmlns:c16="http://schemas.microsoft.com/office/drawing/2014/chart" uri="{C3380CC4-5D6E-409C-BE32-E72D297353CC}">
              <c16:uniqueId val="{00000001-FA3E-4488-8DD0-7444D629DCCF}"/>
            </c:ext>
          </c:extLst>
        </c:ser>
        <c:ser>
          <c:idx val="5"/>
          <c:order val="5"/>
          <c:tx>
            <c:strRef>
              <c:f>'individual-chart-ce'!$H$2</c:f>
              <c:strCache>
                <c:ptCount val="1"/>
                <c:pt idx="0">
                  <c:v>75%</c:v>
                </c:pt>
              </c:strCache>
            </c:strRef>
          </c:tx>
          <c:spPr>
            <a:solidFill>
              <a:srgbClr val="DC535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'individual-chart-ce'!$B$3:$B$46</c:f>
              <c:strCache>
                <c:ptCount val="2"/>
                <c:pt idx="0">
                  <c:v>Activity</c:v>
                </c:pt>
                <c:pt idx="1">
                  <c:v>Outputs</c:v>
                </c:pt>
              </c:strCache>
              <c:extLst/>
            </c:strRef>
          </c:cat>
          <c:val>
            <c:numRef>
              <c:f>'individual-chart-ce'!$H$3:$H$46</c:f>
              <c:numCache>
                <c:formatCode>General</c:formatCode>
                <c:ptCount val="2"/>
              </c:numCache>
              <c:extLst/>
            </c:numRef>
          </c:val>
          <c:extLst>
            <c:ext xmlns:c16="http://schemas.microsoft.com/office/drawing/2014/chart" uri="{C3380CC4-5D6E-409C-BE32-E72D297353CC}">
              <c16:uniqueId val="{00000002-FA3E-4488-8DD0-7444D629DCCF}"/>
            </c:ext>
          </c:extLst>
        </c:ser>
        <c:ser>
          <c:idx val="6"/>
          <c:order val="6"/>
          <c:tx>
            <c:strRef>
              <c:f>'individual-chart-ce'!$I$2</c:f>
              <c:strCache>
                <c:ptCount val="1"/>
                <c:pt idx="0">
                  <c:v>50%</c:v>
                </c:pt>
              </c:strCache>
            </c:strRef>
          </c:tx>
          <c:spPr>
            <a:solidFill>
              <a:srgbClr val="EBA19F"/>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'individual-chart-ce'!$B$3:$B$46</c:f>
              <c:strCache>
                <c:ptCount val="2"/>
                <c:pt idx="0">
                  <c:v>Activity</c:v>
                </c:pt>
                <c:pt idx="1">
                  <c:v>Outputs</c:v>
                </c:pt>
              </c:strCache>
              <c:extLst/>
            </c:strRef>
          </c:cat>
          <c:val>
            <c:numRef>
              <c:f>'individual-chart-ce'!$I$3:$I$46</c:f>
              <c:numCache>
                <c:formatCode>General</c:formatCode>
                <c:ptCount val="2"/>
              </c:numCache>
              <c:extLst/>
            </c:numRef>
          </c:val>
          <c:extLst>
            <c:ext xmlns:c16="http://schemas.microsoft.com/office/drawing/2014/chart" uri="{C3380CC4-5D6E-409C-BE32-E72D297353CC}">
              <c16:uniqueId val="{00000003-FA3E-4488-8DD0-7444D629DCCF}"/>
            </c:ext>
          </c:extLst>
        </c:ser>
        <c:ser>
          <c:idx val="7"/>
          <c:order val="7"/>
          <c:tx>
            <c:strRef>
              <c:f>'individual-chart-ce'!$J$2</c:f>
              <c:strCache>
                <c:ptCount val="1"/>
                <c:pt idx="0">
                  <c:v>25%</c:v>
                </c:pt>
              </c:strCache>
            </c:strRef>
          </c:tx>
          <c:spPr>
            <a:solidFill>
              <a:srgbClr val="F3C6C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'individual-chart-ce'!$B$3:$B$46</c:f>
              <c:strCache>
                <c:ptCount val="2"/>
                <c:pt idx="0">
                  <c:v>Activity</c:v>
                </c:pt>
                <c:pt idx="1">
                  <c:v>Outputs</c:v>
                </c:pt>
              </c:strCache>
              <c:extLst/>
            </c:strRef>
          </c:cat>
          <c:val>
            <c:numRef>
              <c:f>'individual-chart-ce'!$J$3:$J$46</c:f>
              <c:numCache>
                <c:formatCode>General</c:formatCode>
                <c:ptCount val="2"/>
              </c:numCache>
              <c:extLst/>
            </c:numRef>
          </c:val>
          <c:extLst>
            <c:ext xmlns:c16="http://schemas.microsoft.com/office/drawing/2014/chart" uri="{C3380CC4-5D6E-409C-BE32-E72D297353CC}">
              <c16:uniqueId val="{00000004-FA3E-4488-8DD0-7444D629DCCF}"/>
            </c:ext>
          </c:extLst>
        </c:ser>
        <c:ser>
          <c:idx val="8"/>
          <c:order val="8"/>
          <c:tx>
            <c:strRef>
              <c:f>'individual-chart-ce'!$K$2</c:f>
              <c:strCache>
                <c:ptCount val="1"/>
                <c:pt idx="0">
                  <c:v>10%</c:v>
                </c:pt>
              </c:strCache>
            </c:strRef>
          </c:tx>
          <c:spPr>
            <a:solidFill>
              <a:schemeClr val="accent2">
                <a:tint val="56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'individual-chart-ce'!$B$3:$B$46</c:f>
              <c:strCache>
                <c:ptCount val="2"/>
                <c:pt idx="0">
                  <c:v>Activity</c:v>
                </c:pt>
                <c:pt idx="1">
                  <c:v>Outputs</c:v>
                </c:pt>
              </c:strCache>
              <c:extLst/>
            </c:strRef>
          </c:cat>
          <c:val>
            <c:numRef>
              <c:f>'individual-chart-ce'!$K$3:$K$46</c:f>
              <c:numCache>
                <c:formatCode>General</c:formatCode>
                <c:ptCount val="2"/>
              </c:numCache>
              <c:extLst/>
            </c:numRef>
          </c:val>
          <c:extLst>
            <c:ext xmlns:c16="http://schemas.microsoft.com/office/drawing/2014/chart" uri="{C3380CC4-5D6E-409C-BE32-E72D297353CC}">
              <c16:uniqueId val="{00000005-FA3E-4488-8DD0-7444D629DCCF}"/>
            </c:ext>
          </c:extLst>
        </c:ser>
        <c:ser>
          <c:idx val="9"/>
          <c:order val="9"/>
          <c:tx>
            <c:strRef>
              <c:f>'individual-chart-ce'!$L$2</c:f>
              <c:strCache>
                <c:ptCount val="1"/>
                <c:pt idx="0">
                  <c:v>Not Started</c:v>
                </c:pt>
              </c:strCache>
            </c:strRef>
          </c:tx>
          <c:spPr>
            <a:solidFill>
              <a:srgbClr val="FCF2F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'individual-chart-ce'!$B$3:$B$46</c:f>
              <c:strCache>
                <c:ptCount val="2"/>
                <c:pt idx="0">
                  <c:v>Activity</c:v>
                </c:pt>
                <c:pt idx="1">
                  <c:v>Outputs</c:v>
                </c:pt>
              </c:strCache>
              <c:extLst/>
            </c:strRef>
          </c:cat>
          <c:val>
            <c:numRef>
              <c:f>'individual-chart-ce'!$L$3:$L$46</c:f>
              <c:numCache>
                <c:formatCode>General</c:formatCode>
                <c:ptCount val="2"/>
              </c:numCache>
              <c:extLst/>
            </c:numRef>
          </c:val>
          <c:extLst>
            <c:ext xmlns:c16="http://schemas.microsoft.com/office/drawing/2014/chart" uri="{C3380CC4-5D6E-409C-BE32-E72D297353CC}">
              <c16:uniqueId val="{00000006-FA3E-4488-8DD0-7444D629DCCF}"/>
            </c:ext>
          </c:extLst>
        </c:ser>
        <c:dLbls>
          <c:dLblPos val="ctr"/>
          <c:showLegendKey val="0"/>
          <c:showVal val="1"/>
          <c:showCatName val="0"/>
          <c:showSerName val="0"/>
          <c:showPercent val="0"/>
          <c:showBubbleSize val="0"/>
        </c:dLbls>
        <c:gapWidth val="150"/>
        <c:overlap val="100"/>
        <c:axId val="790958128"/>
        <c:axId val="790961408"/>
        <c:extLst>
          <c:ext xmlns:c15="http://schemas.microsoft.com/office/drawing/2012/chart" uri="{02D57815-91ED-43cb-92C2-25804820EDAC}">
            <c15:filteredBarSeries>
              <c15:ser>
                <c:idx val="0"/>
                <c:order val="0"/>
                <c:tx>
                  <c:strRef>
                    <c:extLst>
                      <c:ext uri="{02D57815-91ED-43cb-92C2-25804820EDAC}">
                        <c15:formulaRef>
                          <c15:sqref>'individual-chart-ce'!$C$2</c15:sqref>
                        </c15:formulaRef>
                      </c:ext>
                    </c:extLst>
                    <c:strCache>
                      <c:ptCount val="1"/>
                      <c:pt idx="0">
                        <c:v>Completed</c:v>
                      </c:pt>
                    </c:strCache>
                  </c:strRef>
                </c:tx>
                <c:spPr>
                  <a:solidFill>
                    <a:schemeClr val="accent2">
                      <a:shade val="42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c:ext uri="{02D57815-91ED-43cb-92C2-25804820EDAC}">
                        <c15:formulaRef>
                          <c15:sqref>'individual-chart-ce'!$B$3:$B$46</c15:sqref>
                        </c15:formulaRef>
                      </c:ext>
                    </c:extLst>
                    <c:strCache>
                      <c:ptCount val="2"/>
                      <c:pt idx="0">
                        <c:v>Activity</c:v>
                      </c:pt>
                      <c:pt idx="1">
                        <c:v>Outputs</c:v>
                      </c:pt>
                    </c:strCache>
                  </c:strRef>
                </c:cat>
                <c:val>
                  <c:numRef>
                    <c:extLst>
                      <c:ext uri="{02D57815-91ED-43cb-92C2-25804820EDAC}">
                        <c15:formulaRef>
                          <c15:sqref>'individual-chart-ce'!$C$3:$C$46</c15:sqref>
                        </c15:formulaRef>
                      </c:ext>
                    </c:extLst>
                    <c:numCache>
                      <c:formatCode>0%</c:formatCode>
                      <c:ptCount val="2"/>
                      <c:pt idx="0">
                        <c:v>1</c:v>
                      </c:pt>
                      <c:pt idx="1">
                        <c:v>1</c:v>
                      </c:pt>
                    </c:numCache>
                  </c:numRef>
                </c:val>
                <c:extLst>
                  <c:ext xmlns:c16="http://schemas.microsoft.com/office/drawing/2014/chart" uri="{C3380CC4-5D6E-409C-BE32-E72D297353CC}">
                    <c16:uniqueId val="{00000007-FA3E-4488-8DD0-7444D629DCCF}"/>
                  </c:ext>
                </c:extLst>
              </c15:ser>
            </c15:filteredBarSeries>
            <c15:filteredBarSeries>
              <c15:ser>
                <c:idx val="1"/>
                <c:order val="1"/>
                <c:tx>
                  <c:strRef>
                    <c:extLst xmlns:c15="http://schemas.microsoft.com/office/drawing/2012/chart">
                      <c:ext xmlns:c15="http://schemas.microsoft.com/office/drawing/2012/chart" uri="{02D57815-91ED-43cb-92C2-25804820EDAC}">
                        <c15:formulaRef>
                          <c15:sqref>'individual-chart-ce'!$D$2</c15:sqref>
                        </c15:formulaRef>
                      </c:ext>
                    </c:extLst>
                    <c:strCache>
                      <c:ptCount val="1"/>
                      <c:pt idx="0">
                        <c:v>In progress</c:v>
                      </c:pt>
                    </c:strCache>
                  </c:strRef>
                </c:tx>
                <c:spPr>
                  <a:solidFill>
                    <a:schemeClr val="accent2">
                      <a:shade val="5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'individual-chart-ce'!$B$3:$B$46</c15:sqref>
                        </c15:formulaRef>
                      </c:ext>
                    </c:extLst>
                    <c:strCache>
                      <c:ptCount val="2"/>
                      <c:pt idx="0">
                        <c:v>Activity</c:v>
                      </c:pt>
                      <c:pt idx="1">
                        <c:v>Outputs</c:v>
                      </c:pt>
                    </c:strCache>
                  </c:strRef>
                </c:cat>
                <c:val>
                  <c:numRef>
                    <c:extLst xmlns:c15="http://schemas.microsoft.com/office/drawing/2012/chart">
                      <c:ext xmlns:c15="http://schemas.microsoft.com/office/drawing/2012/chart" uri="{02D57815-91ED-43cb-92C2-25804820EDAC}">
                        <c15:formulaRef>
                          <c15:sqref>'individual-chart-ce'!$D$3:$D$46</c15:sqref>
                        </c15:formulaRef>
                      </c:ext>
                    </c:extLst>
                    <c:numCache>
                      <c:formatCode>General</c:formatCode>
                      <c:ptCount val="2"/>
                    </c:numCache>
                  </c:numRef>
                </c:val>
                <c:extLst xmlns:c15="http://schemas.microsoft.com/office/drawing/2012/chart">
                  <c:ext xmlns:c16="http://schemas.microsoft.com/office/drawing/2014/chart" uri="{C3380CC4-5D6E-409C-BE32-E72D297353CC}">
                    <c16:uniqueId val="{00000008-FA3E-4488-8DD0-7444D629DCCF}"/>
                  </c:ext>
                </c:extLst>
              </c15:ser>
            </c15:filteredBarSeries>
            <c15:filteredBarSeries>
              <c15:ser>
                <c:idx val="2"/>
                <c:order val="2"/>
                <c:tx>
                  <c:strRef>
                    <c:extLst xmlns:c15="http://schemas.microsoft.com/office/drawing/2012/chart">
                      <c:ext xmlns:c15="http://schemas.microsoft.com/office/drawing/2012/chart" uri="{02D57815-91ED-43cb-92C2-25804820EDAC}">
                        <c15:formulaRef>
                          <c15:sqref>'individual-chart-ce'!$E$2</c15:sqref>
                        </c15:formulaRef>
                      </c:ext>
                    </c:extLst>
                    <c:strCache>
                      <c:ptCount val="1"/>
                      <c:pt idx="0">
                        <c:v>Not started</c:v>
                      </c:pt>
                    </c:strCache>
                  </c:strRef>
                </c:tx>
                <c:spPr>
                  <a:solidFill>
                    <a:schemeClr val="accent2">
                      <a:shade val="68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'individual-chart-ce'!$B$3:$B$46</c15:sqref>
                        </c15:formulaRef>
                      </c:ext>
                    </c:extLst>
                    <c:strCache>
                      <c:ptCount val="2"/>
                      <c:pt idx="0">
                        <c:v>Activity</c:v>
                      </c:pt>
                      <c:pt idx="1">
                        <c:v>Outputs</c:v>
                      </c:pt>
                    </c:strCache>
                  </c:strRef>
                </c:cat>
                <c:val>
                  <c:numRef>
                    <c:extLst xmlns:c15="http://schemas.microsoft.com/office/drawing/2012/chart">
                      <c:ext xmlns:c15="http://schemas.microsoft.com/office/drawing/2012/chart" uri="{02D57815-91ED-43cb-92C2-25804820EDAC}">
                        <c15:formulaRef>
                          <c15:sqref>'individual-chart-ce'!$E$3:$E$46</c15:sqref>
                        </c15:formulaRef>
                      </c:ext>
                    </c:extLst>
                    <c:numCache>
                      <c:formatCode>General</c:formatCode>
                      <c:ptCount val="2"/>
                    </c:numCache>
                  </c:numRef>
                </c:val>
                <c:extLst xmlns:c15="http://schemas.microsoft.com/office/drawing/2012/chart">
                  <c:ext xmlns:c16="http://schemas.microsoft.com/office/drawing/2014/chart" uri="{C3380CC4-5D6E-409C-BE32-E72D297353CC}">
                    <c16:uniqueId val="{00000009-FA3E-4488-8DD0-7444D629DCCF}"/>
                  </c:ext>
                </c:extLst>
              </c15:ser>
            </c15:filteredBarSeries>
          </c:ext>
        </c:extLst>
      </c:barChart>
      <c:catAx>
        <c:axId val="7909581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n-US"/>
          </a:p>
        </c:txPr>
        <c:crossAx val="790961408"/>
        <c:crosses val="autoZero"/>
        <c:auto val="1"/>
        <c:lblAlgn val="ctr"/>
        <c:lblOffset val="100"/>
        <c:noMultiLvlLbl val="0"/>
      </c:catAx>
      <c:valAx>
        <c:axId val="790961408"/>
        <c:scaling>
          <c:orientation val="minMax"/>
          <c:min val="0"/>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90958128"/>
        <c:crossesAt val="1"/>
        <c:crossBetween val="between"/>
      </c:valAx>
      <c:spPr>
        <a:noFill/>
        <a:ln>
          <a:noFill/>
        </a:ln>
        <a:effectLst/>
      </c:spPr>
    </c:plotArea>
    <c:legend>
      <c:legendPos val="t"/>
      <c:layout>
        <c:manualLayout>
          <c:xMode val="edge"/>
          <c:yMode val="edge"/>
          <c:x val="0.16878354491402861"/>
          <c:y val="0.14071530758226036"/>
          <c:w val="0.78488188976377948"/>
          <c:h val="8.3691663005643596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userShapes r:id="rId5"/>
</c:chartSpace>
</file>

<file path=word/charts/chart5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4"/>
    </mc:Choice>
    <mc:Fallback>
      <c:style val="4"/>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Topic Area - Customized Employment  Activity #3</a:t>
            </a:r>
          </a:p>
        </c:rich>
      </c:tx>
      <c:layout>
        <c:manualLayout>
          <c:xMode val="edge"/>
          <c:yMode val="edge"/>
          <c:x val="0.20401584330345343"/>
          <c:y val="0"/>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6017916604892113"/>
          <c:y val="0.23265365094271845"/>
          <c:w val="0.78942722632790041"/>
          <c:h val="0.66602748393145406"/>
        </c:manualLayout>
      </c:layout>
      <c:barChart>
        <c:barDir val="col"/>
        <c:grouping val="percentStacked"/>
        <c:varyColors val="0"/>
        <c:ser>
          <c:idx val="3"/>
          <c:order val="3"/>
          <c:tx>
            <c:strRef>
              <c:f>'individual-chart-ce'!$F$2</c:f>
              <c:strCache>
                <c:ptCount val="1"/>
                <c:pt idx="0">
                  <c:v>Completed</c:v>
                </c:pt>
              </c:strCache>
            </c:strRef>
          </c:tx>
          <c:spPr>
            <a:solidFill>
              <a:srgbClr val="99221F"/>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600" b="0"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'individual-chart-ce'!$B$3:$B$46</c:f>
              <c:strCache>
                <c:ptCount val="2"/>
                <c:pt idx="0">
                  <c:v>Activity</c:v>
                </c:pt>
                <c:pt idx="1">
                  <c:v>Outputs</c:v>
                </c:pt>
              </c:strCache>
              <c:extLst/>
            </c:strRef>
          </c:cat>
          <c:val>
            <c:numRef>
              <c:f>'individual-chart-ce'!$F$3:$F$46</c:f>
              <c:numCache>
                <c:formatCode>0%</c:formatCode>
                <c:ptCount val="2"/>
                <c:pt idx="0">
                  <c:v>1</c:v>
                </c:pt>
                <c:pt idx="1">
                  <c:v>1</c:v>
                </c:pt>
              </c:numCache>
              <c:extLst/>
            </c:numRef>
          </c:val>
          <c:extLst>
            <c:ext xmlns:c16="http://schemas.microsoft.com/office/drawing/2014/chart" uri="{C3380CC4-5D6E-409C-BE32-E72D297353CC}">
              <c16:uniqueId val="{00000000-CC41-470A-B165-46BC9C05D167}"/>
            </c:ext>
          </c:extLst>
        </c:ser>
        <c:ser>
          <c:idx val="4"/>
          <c:order val="4"/>
          <c:tx>
            <c:strRef>
              <c:f>'individual-chart-ce'!$G$2</c:f>
              <c:strCache>
                <c:ptCount val="1"/>
                <c:pt idx="0">
                  <c:v>90%</c:v>
                </c:pt>
              </c:strCache>
            </c:strRef>
          </c:tx>
          <c:spPr>
            <a:solidFill>
              <a:srgbClr val="D73D39"/>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'individual-chart-ce'!$B$3:$B$46</c:f>
              <c:strCache>
                <c:ptCount val="2"/>
                <c:pt idx="0">
                  <c:v>Activity</c:v>
                </c:pt>
                <c:pt idx="1">
                  <c:v>Outputs</c:v>
                </c:pt>
              </c:strCache>
              <c:extLst/>
            </c:strRef>
          </c:cat>
          <c:val>
            <c:numRef>
              <c:f>'individual-chart-ce'!$G$3:$G$46</c:f>
              <c:numCache>
                <c:formatCode>General</c:formatCode>
                <c:ptCount val="2"/>
              </c:numCache>
              <c:extLst/>
            </c:numRef>
          </c:val>
          <c:extLst>
            <c:ext xmlns:c16="http://schemas.microsoft.com/office/drawing/2014/chart" uri="{C3380CC4-5D6E-409C-BE32-E72D297353CC}">
              <c16:uniqueId val="{00000001-CC41-470A-B165-46BC9C05D167}"/>
            </c:ext>
          </c:extLst>
        </c:ser>
        <c:ser>
          <c:idx val="5"/>
          <c:order val="5"/>
          <c:tx>
            <c:strRef>
              <c:f>'individual-chart-ce'!$H$2</c:f>
              <c:strCache>
                <c:ptCount val="1"/>
                <c:pt idx="0">
                  <c:v>75%</c:v>
                </c:pt>
              </c:strCache>
            </c:strRef>
          </c:tx>
          <c:spPr>
            <a:solidFill>
              <a:srgbClr val="DC535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'individual-chart-ce'!$B$3:$B$46</c:f>
              <c:strCache>
                <c:ptCount val="2"/>
                <c:pt idx="0">
                  <c:v>Activity</c:v>
                </c:pt>
                <c:pt idx="1">
                  <c:v>Outputs</c:v>
                </c:pt>
              </c:strCache>
              <c:extLst/>
            </c:strRef>
          </c:cat>
          <c:val>
            <c:numRef>
              <c:f>'individual-chart-ce'!$H$3:$H$46</c:f>
              <c:numCache>
                <c:formatCode>General</c:formatCode>
                <c:ptCount val="2"/>
              </c:numCache>
              <c:extLst/>
            </c:numRef>
          </c:val>
          <c:extLst>
            <c:ext xmlns:c16="http://schemas.microsoft.com/office/drawing/2014/chart" uri="{C3380CC4-5D6E-409C-BE32-E72D297353CC}">
              <c16:uniqueId val="{00000002-CC41-470A-B165-46BC9C05D167}"/>
            </c:ext>
          </c:extLst>
        </c:ser>
        <c:ser>
          <c:idx val="6"/>
          <c:order val="6"/>
          <c:tx>
            <c:strRef>
              <c:f>'individual-chart-ce'!$I$2</c:f>
              <c:strCache>
                <c:ptCount val="1"/>
                <c:pt idx="0">
                  <c:v>50%</c:v>
                </c:pt>
              </c:strCache>
            </c:strRef>
          </c:tx>
          <c:spPr>
            <a:solidFill>
              <a:srgbClr val="EBA19F"/>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'individual-chart-ce'!$B$3:$B$46</c:f>
              <c:strCache>
                <c:ptCount val="2"/>
                <c:pt idx="0">
                  <c:v>Activity</c:v>
                </c:pt>
                <c:pt idx="1">
                  <c:v>Outputs</c:v>
                </c:pt>
              </c:strCache>
              <c:extLst/>
            </c:strRef>
          </c:cat>
          <c:val>
            <c:numRef>
              <c:f>'individual-chart-ce'!$I$3:$I$46</c:f>
              <c:numCache>
                <c:formatCode>General</c:formatCode>
                <c:ptCount val="2"/>
              </c:numCache>
              <c:extLst/>
            </c:numRef>
          </c:val>
          <c:extLst>
            <c:ext xmlns:c16="http://schemas.microsoft.com/office/drawing/2014/chart" uri="{C3380CC4-5D6E-409C-BE32-E72D297353CC}">
              <c16:uniqueId val="{00000003-CC41-470A-B165-46BC9C05D167}"/>
            </c:ext>
          </c:extLst>
        </c:ser>
        <c:ser>
          <c:idx val="7"/>
          <c:order val="7"/>
          <c:tx>
            <c:strRef>
              <c:f>'individual-chart-ce'!$J$2</c:f>
              <c:strCache>
                <c:ptCount val="1"/>
                <c:pt idx="0">
                  <c:v>25%</c:v>
                </c:pt>
              </c:strCache>
            </c:strRef>
          </c:tx>
          <c:spPr>
            <a:solidFill>
              <a:srgbClr val="F3C6C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'individual-chart-ce'!$B$3:$B$46</c:f>
              <c:strCache>
                <c:ptCount val="2"/>
                <c:pt idx="0">
                  <c:v>Activity</c:v>
                </c:pt>
                <c:pt idx="1">
                  <c:v>Outputs</c:v>
                </c:pt>
              </c:strCache>
              <c:extLst/>
            </c:strRef>
          </c:cat>
          <c:val>
            <c:numRef>
              <c:f>'individual-chart-ce'!$J$3:$J$46</c:f>
              <c:numCache>
                <c:formatCode>General</c:formatCode>
                <c:ptCount val="2"/>
              </c:numCache>
              <c:extLst/>
            </c:numRef>
          </c:val>
          <c:extLst>
            <c:ext xmlns:c16="http://schemas.microsoft.com/office/drawing/2014/chart" uri="{C3380CC4-5D6E-409C-BE32-E72D297353CC}">
              <c16:uniqueId val="{00000004-CC41-470A-B165-46BC9C05D167}"/>
            </c:ext>
          </c:extLst>
        </c:ser>
        <c:ser>
          <c:idx val="8"/>
          <c:order val="8"/>
          <c:tx>
            <c:strRef>
              <c:f>'individual-chart-ce'!$K$2</c:f>
              <c:strCache>
                <c:ptCount val="1"/>
                <c:pt idx="0">
                  <c:v>10%</c:v>
                </c:pt>
              </c:strCache>
            </c:strRef>
          </c:tx>
          <c:spPr>
            <a:solidFill>
              <a:schemeClr val="accent2">
                <a:tint val="56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'individual-chart-ce'!$B$3:$B$46</c:f>
              <c:strCache>
                <c:ptCount val="2"/>
                <c:pt idx="0">
                  <c:v>Activity</c:v>
                </c:pt>
                <c:pt idx="1">
                  <c:v>Outputs</c:v>
                </c:pt>
              </c:strCache>
              <c:extLst/>
            </c:strRef>
          </c:cat>
          <c:val>
            <c:numRef>
              <c:f>'individual-chart-ce'!$K$3:$K$46</c:f>
              <c:numCache>
                <c:formatCode>General</c:formatCode>
                <c:ptCount val="2"/>
              </c:numCache>
              <c:extLst/>
            </c:numRef>
          </c:val>
          <c:extLst>
            <c:ext xmlns:c16="http://schemas.microsoft.com/office/drawing/2014/chart" uri="{C3380CC4-5D6E-409C-BE32-E72D297353CC}">
              <c16:uniqueId val="{00000005-CC41-470A-B165-46BC9C05D167}"/>
            </c:ext>
          </c:extLst>
        </c:ser>
        <c:ser>
          <c:idx val="9"/>
          <c:order val="9"/>
          <c:tx>
            <c:strRef>
              <c:f>'individual-chart-ce'!$L$2</c:f>
              <c:strCache>
                <c:ptCount val="1"/>
                <c:pt idx="0">
                  <c:v>Not Started</c:v>
                </c:pt>
              </c:strCache>
            </c:strRef>
          </c:tx>
          <c:spPr>
            <a:solidFill>
              <a:srgbClr val="FCF2F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'individual-chart-ce'!$B$3:$B$46</c:f>
              <c:strCache>
                <c:ptCount val="2"/>
                <c:pt idx="0">
                  <c:v>Activity</c:v>
                </c:pt>
                <c:pt idx="1">
                  <c:v>Outputs</c:v>
                </c:pt>
              </c:strCache>
              <c:extLst/>
            </c:strRef>
          </c:cat>
          <c:val>
            <c:numRef>
              <c:f>'individual-chart-ce'!$L$3:$L$46</c:f>
              <c:numCache>
                <c:formatCode>General</c:formatCode>
                <c:ptCount val="2"/>
              </c:numCache>
              <c:extLst/>
            </c:numRef>
          </c:val>
          <c:extLst>
            <c:ext xmlns:c16="http://schemas.microsoft.com/office/drawing/2014/chart" uri="{C3380CC4-5D6E-409C-BE32-E72D297353CC}">
              <c16:uniqueId val="{00000006-CC41-470A-B165-46BC9C05D167}"/>
            </c:ext>
          </c:extLst>
        </c:ser>
        <c:dLbls>
          <c:dLblPos val="ctr"/>
          <c:showLegendKey val="0"/>
          <c:showVal val="1"/>
          <c:showCatName val="0"/>
          <c:showSerName val="0"/>
          <c:showPercent val="0"/>
          <c:showBubbleSize val="0"/>
        </c:dLbls>
        <c:gapWidth val="150"/>
        <c:overlap val="100"/>
        <c:axId val="790958128"/>
        <c:axId val="790961408"/>
        <c:extLst>
          <c:ext xmlns:c15="http://schemas.microsoft.com/office/drawing/2012/chart" uri="{02D57815-91ED-43cb-92C2-25804820EDAC}">
            <c15:filteredBarSeries>
              <c15:ser>
                <c:idx val="0"/>
                <c:order val="0"/>
                <c:tx>
                  <c:strRef>
                    <c:extLst>
                      <c:ext uri="{02D57815-91ED-43cb-92C2-25804820EDAC}">
                        <c15:formulaRef>
                          <c15:sqref>'individual-chart-ce'!$C$2</c15:sqref>
                        </c15:formulaRef>
                      </c:ext>
                    </c:extLst>
                    <c:strCache>
                      <c:ptCount val="1"/>
                      <c:pt idx="0">
                        <c:v>Completed</c:v>
                      </c:pt>
                    </c:strCache>
                  </c:strRef>
                </c:tx>
                <c:spPr>
                  <a:solidFill>
                    <a:schemeClr val="accent2">
                      <a:shade val="42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c:ext uri="{02D57815-91ED-43cb-92C2-25804820EDAC}">
                        <c15:formulaRef>
                          <c15:sqref>'individual-chart-ce'!$B$3:$B$46</c15:sqref>
                        </c15:formulaRef>
                      </c:ext>
                    </c:extLst>
                    <c:strCache>
                      <c:ptCount val="2"/>
                      <c:pt idx="0">
                        <c:v>Activity</c:v>
                      </c:pt>
                      <c:pt idx="1">
                        <c:v>Outputs</c:v>
                      </c:pt>
                    </c:strCache>
                  </c:strRef>
                </c:cat>
                <c:val>
                  <c:numRef>
                    <c:extLst>
                      <c:ext uri="{02D57815-91ED-43cb-92C2-25804820EDAC}">
                        <c15:formulaRef>
                          <c15:sqref>'individual-chart-ce'!$C$3:$C$46</c15:sqref>
                        </c15:formulaRef>
                      </c:ext>
                    </c:extLst>
                    <c:numCache>
                      <c:formatCode>0%</c:formatCode>
                      <c:ptCount val="2"/>
                      <c:pt idx="0">
                        <c:v>1</c:v>
                      </c:pt>
                      <c:pt idx="1">
                        <c:v>1</c:v>
                      </c:pt>
                    </c:numCache>
                  </c:numRef>
                </c:val>
                <c:extLst>
                  <c:ext xmlns:c16="http://schemas.microsoft.com/office/drawing/2014/chart" uri="{C3380CC4-5D6E-409C-BE32-E72D297353CC}">
                    <c16:uniqueId val="{00000007-CC41-470A-B165-46BC9C05D167}"/>
                  </c:ext>
                </c:extLst>
              </c15:ser>
            </c15:filteredBarSeries>
            <c15:filteredBarSeries>
              <c15:ser>
                <c:idx val="1"/>
                <c:order val="1"/>
                <c:tx>
                  <c:strRef>
                    <c:extLst xmlns:c15="http://schemas.microsoft.com/office/drawing/2012/chart">
                      <c:ext xmlns:c15="http://schemas.microsoft.com/office/drawing/2012/chart" uri="{02D57815-91ED-43cb-92C2-25804820EDAC}">
                        <c15:formulaRef>
                          <c15:sqref>'individual-chart-ce'!$D$2</c15:sqref>
                        </c15:formulaRef>
                      </c:ext>
                    </c:extLst>
                    <c:strCache>
                      <c:ptCount val="1"/>
                      <c:pt idx="0">
                        <c:v>In progress</c:v>
                      </c:pt>
                    </c:strCache>
                  </c:strRef>
                </c:tx>
                <c:spPr>
                  <a:solidFill>
                    <a:schemeClr val="accent2">
                      <a:shade val="5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'individual-chart-ce'!$B$3:$B$46</c15:sqref>
                        </c15:formulaRef>
                      </c:ext>
                    </c:extLst>
                    <c:strCache>
                      <c:ptCount val="2"/>
                      <c:pt idx="0">
                        <c:v>Activity</c:v>
                      </c:pt>
                      <c:pt idx="1">
                        <c:v>Outputs</c:v>
                      </c:pt>
                    </c:strCache>
                  </c:strRef>
                </c:cat>
                <c:val>
                  <c:numRef>
                    <c:extLst xmlns:c15="http://schemas.microsoft.com/office/drawing/2012/chart">
                      <c:ext xmlns:c15="http://schemas.microsoft.com/office/drawing/2012/chart" uri="{02D57815-91ED-43cb-92C2-25804820EDAC}">
                        <c15:formulaRef>
                          <c15:sqref>'individual-chart-ce'!$D$3:$D$46</c15:sqref>
                        </c15:formulaRef>
                      </c:ext>
                    </c:extLst>
                    <c:numCache>
                      <c:formatCode>General</c:formatCode>
                      <c:ptCount val="2"/>
                    </c:numCache>
                  </c:numRef>
                </c:val>
                <c:extLst xmlns:c15="http://schemas.microsoft.com/office/drawing/2012/chart">
                  <c:ext xmlns:c16="http://schemas.microsoft.com/office/drawing/2014/chart" uri="{C3380CC4-5D6E-409C-BE32-E72D297353CC}">
                    <c16:uniqueId val="{00000008-CC41-470A-B165-46BC9C05D167}"/>
                  </c:ext>
                </c:extLst>
              </c15:ser>
            </c15:filteredBarSeries>
            <c15:filteredBarSeries>
              <c15:ser>
                <c:idx val="2"/>
                <c:order val="2"/>
                <c:tx>
                  <c:strRef>
                    <c:extLst xmlns:c15="http://schemas.microsoft.com/office/drawing/2012/chart">
                      <c:ext xmlns:c15="http://schemas.microsoft.com/office/drawing/2012/chart" uri="{02D57815-91ED-43cb-92C2-25804820EDAC}">
                        <c15:formulaRef>
                          <c15:sqref>'individual-chart-ce'!$E$2</c15:sqref>
                        </c15:formulaRef>
                      </c:ext>
                    </c:extLst>
                    <c:strCache>
                      <c:ptCount val="1"/>
                      <c:pt idx="0">
                        <c:v>Not started</c:v>
                      </c:pt>
                    </c:strCache>
                  </c:strRef>
                </c:tx>
                <c:spPr>
                  <a:solidFill>
                    <a:schemeClr val="accent2">
                      <a:shade val="68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'individual-chart-ce'!$B$3:$B$46</c15:sqref>
                        </c15:formulaRef>
                      </c:ext>
                    </c:extLst>
                    <c:strCache>
                      <c:ptCount val="2"/>
                      <c:pt idx="0">
                        <c:v>Activity</c:v>
                      </c:pt>
                      <c:pt idx="1">
                        <c:v>Outputs</c:v>
                      </c:pt>
                    </c:strCache>
                  </c:strRef>
                </c:cat>
                <c:val>
                  <c:numRef>
                    <c:extLst xmlns:c15="http://schemas.microsoft.com/office/drawing/2012/chart">
                      <c:ext xmlns:c15="http://schemas.microsoft.com/office/drawing/2012/chart" uri="{02D57815-91ED-43cb-92C2-25804820EDAC}">
                        <c15:formulaRef>
                          <c15:sqref>'individual-chart-ce'!$E$3:$E$46</c15:sqref>
                        </c15:formulaRef>
                      </c:ext>
                    </c:extLst>
                    <c:numCache>
                      <c:formatCode>General</c:formatCode>
                      <c:ptCount val="2"/>
                    </c:numCache>
                  </c:numRef>
                </c:val>
                <c:extLst xmlns:c15="http://schemas.microsoft.com/office/drawing/2012/chart">
                  <c:ext xmlns:c16="http://schemas.microsoft.com/office/drawing/2014/chart" uri="{C3380CC4-5D6E-409C-BE32-E72D297353CC}">
                    <c16:uniqueId val="{00000009-CC41-470A-B165-46BC9C05D167}"/>
                  </c:ext>
                </c:extLst>
              </c15:ser>
            </c15:filteredBarSeries>
          </c:ext>
        </c:extLst>
      </c:barChart>
      <c:catAx>
        <c:axId val="7909581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n-US"/>
          </a:p>
        </c:txPr>
        <c:crossAx val="790961408"/>
        <c:crosses val="autoZero"/>
        <c:auto val="1"/>
        <c:lblAlgn val="ctr"/>
        <c:lblOffset val="100"/>
        <c:noMultiLvlLbl val="0"/>
      </c:catAx>
      <c:valAx>
        <c:axId val="790961408"/>
        <c:scaling>
          <c:orientation val="minMax"/>
          <c:min val="0"/>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90958128"/>
        <c:crossesAt val="1"/>
        <c:crossBetween val="between"/>
      </c:valAx>
      <c:spPr>
        <a:noFill/>
        <a:ln>
          <a:noFill/>
        </a:ln>
        <a:effectLst/>
      </c:spPr>
    </c:plotArea>
    <c:legend>
      <c:legendPos val="t"/>
      <c:layout>
        <c:manualLayout>
          <c:xMode val="edge"/>
          <c:yMode val="edge"/>
          <c:x val="0.16878354491402861"/>
          <c:y val="0.14071530758226036"/>
          <c:w val="0.78488188976377948"/>
          <c:h val="8.3691663005643596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userShapes r:id="rId5"/>
</c:chartSpace>
</file>

<file path=word/charts/chart5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4"/>
    </mc:Choice>
    <mc:Fallback>
      <c:style val="4"/>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Topic Area - Customized Employment  Activity #4</a:t>
            </a:r>
          </a:p>
        </c:rich>
      </c:tx>
      <c:layout>
        <c:manualLayout>
          <c:xMode val="edge"/>
          <c:yMode val="edge"/>
          <c:x val="0.20401584330345343"/>
          <c:y val="0"/>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6017916604892113"/>
          <c:y val="0.23265365094271845"/>
          <c:w val="0.78942722632790041"/>
          <c:h val="0.66602748393145406"/>
        </c:manualLayout>
      </c:layout>
      <c:barChart>
        <c:barDir val="col"/>
        <c:grouping val="percentStacked"/>
        <c:varyColors val="0"/>
        <c:ser>
          <c:idx val="3"/>
          <c:order val="3"/>
          <c:tx>
            <c:strRef>
              <c:f>'individual-chart-ce'!$F$2</c:f>
              <c:strCache>
                <c:ptCount val="1"/>
                <c:pt idx="0">
                  <c:v>Completed</c:v>
                </c:pt>
              </c:strCache>
            </c:strRef>
          </c:tx>
          <c:spPr>
            <a:solidFill>
              <a:srgbClr val="99221F"/>
            </a:solidFill>
            <a:ln>
              <a:noFill/>
            </a:ln>
            <a:effectLst/>
          </c:spPr>
          <c:invertIfNegative val="0"/>
          <c:dLbls>
            <c:dLbl>
              <c:idx val="0"/>
              <c:layout>
                <c:manualLayout>
                  <c:x val="0"/>
                  <c:y val="-4.1961097262286202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E03D-413B-95A6-7CBF6EC4D760}"/>
                </c:ext>
              </c:extLst>
            </c:dLbl>
            <c:dLbl>
              <c:idx val="1"/>
              <c:layout>
                <c:manualLayout>
                  <c:x val="0"/>
                  <c:y val="-3.9492797423328285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E03D-413B-95A6-7CBF6EC4D760}"/>
                </c:ext>
              </c:extLst>
            </c:dLbl>
            <c:spPr>
              <a:noFill/>
              <a:ln>
                <a:noFill/>
              </a:ln>
              <a:effectLst/>
            </c:spPr>
            <c:txPr>
              <a:bodyPr rot="0" spcFirstLastPara="1" vertOverflow="ellipsis" vert="horz" wrap="square" lIns="38100" tIns="19050" rIns="38100" bIns="19050" anchor="ctr" anchorCtr="1">
                <a:spAutoFit/>
              </a:bodyPr>
              <a:lstStyle/>
              <a:p>
                <a:pPr>
                  <a:defRPr sz="1800" b="0"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'individual-chart-ce'!$B$3:$B$46</c:f>
              <c:strCache>
                <c:ptCount val="2"/>
                <c:pt idx="0">
                  <c:v>Activity</c:v>
                </c:pt>
                <c:pt idx="1">
                  <c:v>Outputs</c:v>
                </c:pt>
              </c:strCache>
              <c:extLst/>
            </c:strRef>
          </c:cat>
          <c:val>
            <c:numRef>
              <c:f>'individual-chart-ce'!$F$3:$F$46</c:f>
              <c:numCache>
                <c:formatCode>0%</c:formatCode>
                <c:ptCount val="2"/>
                <c:pt idx="0">
                  <c:v>0.2</c:v>
                </c:pt>
                <c:pt idx="1">
                  <c:v>0.2</c:v>
                </c:pt>
              </c:numCache>
              <c:extLst/>
            </c:numRef>
          </c:val>
          <c:extLst>
            <c:ext xmlns:c16="http://schemas.microsoft.com/office/drawing/2014/chart" uri="{C3380CC4-5D6E-409C-BE32-E72D297353CC}">
              <c16:uniqueId val="{00000002-E03D-413B-95A6-7CBF6EC4D760}"/>
            </c:ext>
          </c:extLst>
        </c:ser>
        <c:ser>
          <c:idx val="4"/>
          <c:order val="4"/>
          <c:tx>
            <c:strRef>
              <c:f>'individual-chart-ce'!$G$2</c:f>
              <c:strCache>
                <c:ptCount val="1"/>
                <c:pt idx="0">
                  <c:v>90%</c:v>
                </c:pt>
              </c:strCache>
            </c:strRef>
          </c:tx>
          <c:spPr>
            <a:solidFill>
              <a:srgbClr val="D73D39"/>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'individual-chart-ce'!$B$3:$B$46</c:f>
              <c:strCache>
                <c:ptCount val="2"/>
                <c:pt idx="0">
                  <c:v>Activity</c:v>
                </c:pt>
                <c:pt idx="1">
                  <c:v>Outputs</c:v>
                </c:pt>
              </c:strCache>
              <c:extLst/>
            </c:strRef>
          </c:cat>
          <c:val>
            <c:numRef>
              <c:f>'individual-chart-ce'!$G$3:$G$46</c:f>
              <c:numCache>
                <c:formatCode>General</c:formatCode>
                <c:ptCount val="2"/>
              </c:numCache>
              <c:extLst/>
            </c:numRef>
          </c:val>
          <c:extLst>
            <c:ext xmlns:c16="http://schemas.microsoft.com/office/drawing/2014/chart" uri="{C3380CC4-5D6E-409C-BE32-E72D297353CC}">
              <c16:uniqueId val="{00000003-E03D-413B-95A6-7CBF6EC4D760}"/>
            </c:ext>
          </c:extLst>
        </c:ser>
        <c:ser>
          <c:idx val="5"/>
          <c:order val="5"/>
          <c:tx>
            <c:strRef>
              <c:f>'individual-chart-ce'!$H$2</c:f>
              <c:strCache>
                <c:ptCount val="1"/>
                <c:pt idx="0">
                  <c:v>75%</c:v>
                </c:pt>
              </c:strCache>
            </c:strRef>
          </c:tx>
          <c:spPr>
            <a:solidFill>
              <a:srgbClr val="DC535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'individual-chart-ce'!$B$3:$B$46</c:f>
              <c:strCache>
                <c:ptCount val="2"/>
                <c:pt idx="0">
                  <c:v>Activity</c:v>
                </c:pt>
                <c:pt idx="1">
                  <c:v>Outputs</c:v>
                </c:pt>
              </c:strCache>
              <c:extLst/>
            </c:strRef>
          </c:cat>
          <c:val>
            <c:numRef>
              <c:f>'individual-chart-ce'!$H$3:$H$46</c:f>
              <c:numCache>
                <c:formatCode>General</c:formatCode>
                <c:ptCount val="2"/>
              </c:numCache>
              <c:extLst/>
            </c:numRef>
          </c:val>
          <c:extLst>
            <c:ext xmlns:c16="http://schemas.microsoft.com/office/drawing/2014/chart" uri="{C3380CC4-5D6E-409C-BE32-E72D297353CC}">
              <c16:uniqueId val="{00000004-E03D-413B-95A6-7CBF6EC4D760}"/>
            </c:ext>
          </c:extLst>
        </c:ser>
        <c:ser>
          <c:idx val="6"/>
          <c:order val="6"/>
          <c:tx>
            <c:strRef>
              <c:f>'individual-chart-ce'!$I$2</c:f>
              <c:strCache>
                <c:ptCount val="1"/>
                <c:pt idx="0">
                  <c:v>50%</c:v>
                </c:pt>
              </c:strCache>
            </c:strRef>
          </c:tx>
          <c:spPr>
            <a:solidFill>
              <a:srgbClr val="EBA19F"/>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'individual-chart-ce'!$B$3:$B$46</c:f>
              <c:strCache>
                <c:ptCount val="2"/>
                <c:pt idx="0">
                  <c:v>Activity</c:v>
                </c:pt>
                <c:pt idx="1">
                  <c:v>Outputs</c:v>
                </c:pt>
              </c:strCache>
              <c:extLst/>
            </c:strRef>
          </c:cat>
          <c:val>
            <c:numRef>
              <c:f>'individual-chart-ce'!$I$3:$I$46</c:f>
              <c:numCache>
                <c:formatCode>General</c:formatCode>
                <c:ptCount val="2"/>
              </c:numCache>
              <c:extLst/>
            </c:numRef>
          </c:val>
          <c:extLst>
            <c:ext xmlns:c16="http://schemas.microsoft.com/office/drawing/2014/chart" uri="{C3380CC4-5D6E-409C-BE32-E72D297353CC}">
              <c16:uniqueId val="{00000005-E03D-413B-95A6-7CBF6EC4D760}"/>
            </c:ext>
          </c:extLst>
        </c:ser>
        <c:ser>
          <c:idx val="7"/>
          <c:order val="7"/>
          <c:tx>
            <c:strRef>
              <c:f>'individual-chart-ce'!$J$2</c:f>
              <c:strCache>
                <c:ptCount val="1"/>
                <c:pt idx="0">
                  <c:v>25%</c:v>
                </c:pt>
              </c:strCache>
            </c:strRef>
          </c:tx>
          <c:spPr>
            <a:solidFill>
              <a:srgbClr val="F3C6C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'individual-chart-ce'!$B$3:$B$46</c:f>
              <c:strCache>
                <c:ptCount val="2"/>
                <c:pt idx="0">
                  <c:v>Activity</c:v>
                </c:pt>
                <c:pt idx="1">
                  <c:v>Outputs</c:v>
                </c:pt>
              </c:strCache>
              <c:extLst/>
            </c:strRef>
          </c:cat>
          <c:val>
            <c:numRef>
              <c:f>'individual-chart-ce'!$J$3:$J$46</c:f>
              <c:numCache>
                <c:formatCode>0%</c:formatCode>
                <c:ptCount val="2"/>
                <c:pt idx="0">
                  <c:v>0.8</c:v>
                </c:pt>
                <c:pt idx="1">
                  <c:v>0.8</c:v>
                </c:pt>
              </c:numCache>
              <c:extLst/>
            </c:numRef>
          </c:val>
          <c:extLst>
            <c:ext xmlns:c16="http://schemas.microsoft.com/office/drawing/2014/chart" uri="{C3380CC4-5D6E-409C-BE32-E72D297353CC}">
              <c16:uniqueId val="{00000006-E03D-413B-95A6-7CBF6EC4D760}"/>
            </c:ext>
          </c:extLst>
        </c:ser>
        <c:ser>
          <c:idx val="8"/>
          <c:order val="8"/>
          <c:tx>
            <c:strRef>
              <c:f>'individual-chart-ce'!$K$2</c:f>
              <c:strCache>
                <c:ptCount val="1"/>
                <c:pt idx="0">
                  <c:v>10%</c:v>
                </c:pt>
              </c:strCache>
            </c:strRef>
          </c:tx>
          <c:spPr>
            <a:solidFill>
              <a:schemeClr val="accent2">
                <a:tint val="56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'individual-chart-ce'!$B$3:$B$46</c:f>
              <c:strCache>
                <c:ptCount val="2"/>
                <c:pt idx="0">
                  <c:v>Activity</c:v>
                </c:pt>
                <c:pt idx="1">
                  <c:v>Outputs</c:v>
                </c:pt>
              </c:strCache>
              <c:extLst/>
            </c:strRef>
          </c:cat>
          <c:val>
            <c:numRef>
              <c:f>'individual-chart-ce'!$K$3:$K$46</c:f>
              <c:numCache>
                <c:formatCode>General</c:formatCode>
                <c:ptCount val="2"/>
              </c:numCache>
              <c:extLst/>
            </c:numRef>
          </c:val>
          <c:extLst>
            <c:ext xmlns:c16="http://schemas.microsoft.com/office/drawing/2014/chart" uri="{C3380CC4-5D6E-409C-BE32-E72D297353CC}">
              <c16:uniqueId val="{00000007-E03D-413B-95A6-7CBF6EC4D760}"/>
            </c:ext>
          </c:extLst>
        </c:ser>
        <c:ser>
          <c:idx val="9"/>
          <c:order val="9"/>
          <c:tx>
            <c:strRef>
              <c:f>'individual-chart-ce'!$L$2</c:f>
              <c:strCache>
                <c:ptCount val="1"/>
                <c:pt idx="0">
                  <c:v>Not Started</c:v>
                </c:pt>
              </c:strCache>
            </c:strRef>
          </c:tx>
          <c:spPr>
            <a:solidFill>
              <a:srgbClr val="FCF2F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'individual-chart-ce'!$B$3:$B$46</c:f>
              <c:strCache>
                <c:ptCount val="2"/>
                <c:pt idx="0">
                  <c:v>Activity</c:v>
                </c:pt>
                <c:pt idx="1">
                  <c:v>Outputs</c:v>
                </c:pt>
              </c:strCache>
              <c:extLst/>
            </c:strRef>
          </c:cat>
          <c:val>
            <c:numRef>
              <c:f>'individual-chart-ce'!$L$3:$L$46</c:f>
              <c:numCache>
                <c:formatCode>General</c:formatCode>
                <c:ptCount val="2"/>
              </c:numCache>
              <c:extLst/>
            </c:numRef>
          </c:val>
          <c:extLst>
            <c:ext xmlns:c16="http://schemas.microsoft.com/office/drawing/2014/chart" uri="{C3380CC4-5D6E-409C-BE32-E72D297353CC}">
              <c16:uniqueId val="{00000008-E03D-413B-95A6-7CBF6EC4D760}"/>
            </c:ext>
          </c:extLst>
        </c:ser>
        <c:dLbls>
          <c:dLblPos val="ctr"/>
          <c:showLegendKey val="0"/>
          <c:showVal val="1"/>
          <c:showCatName val="0"/>
          <c:showSerName val="0"/>
          <c:showPercent val="0"/>
          <c:showBubbleSize val="0"/>
        </c:dLbls>
        <c:gapWidth val="150"/>
        <c:overlap val="100"/>
        <c:axId val="790958128"/>
        <c:axId val="790961408"/>
        <c:extLst>
          <c:ext xmlns:c15="http://schemas.microsoft.com/office/drawing/2012/chart" uri="{02D57815-91ED-43cb-92C2-25804820EDAC}">
            <c15:filteredBarSeries>
              <c15:ser>
                <c:idx val="0"/>
                <c:order val="0"/>
                <c:tx>
                  <c:strRef>
                    <c:extLst>
                      <c:ext uri="{02D57815-91ED-43cb-92C2-25804820EDAC}">
                        <c15:formulaRef>
                          <c15:sqref>'individual-chart-ce'!$C$2</c15:sqref>
                        </c15:formulaRef>
                      </c:ext>
                    </c:extLst>
                    <c:strCache>
                      <c:ptCount val="1"/>
                      <c:pt idx="0">
                        <c:v>Completed</c:v>
                      </c:pt>
                    </c:strCache>
                  </c:strRef>
                </c:tx>
                <c:spPr>
                  <a:solidFill>
                    <a:schemeClr val="accent2">
                      <a:shade val="42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c:ext uri="{02D57815-91ED-43cb-92C2-25804820EDAC}">
                        <c15:formulaRef>
                          <c15:sqref>'individual-chart-ce'!$B$3:$B$46</c15:sqref>
                        </c15:formulaRef>
                      </c:ext>
                    </c:extLst>
                    <c:strCache>
                      <c:ptCount val="2"/>
                      <c:pt idx="0">
                        <c:v>Activity</c:v>
                      </c:pt>
                      <c:pt idx="1">
                        <c:v>Outputs</c:v>
                      </c:pt>
                    </c:strCache>
                  </c:strRef>
                </c:cat>
                <c:val>
                  <c:numRef>
                    <c:extLst>
                      <c:ext uri="{02D57815-91ED-43cb-92C2-25804820EDAC}">
                        <c15:formulaRef>
                          <c15:sqref>'individual-chart-ce'!$C$3:$C$46</c15:sqref>
                        </c15:formulaRef>
                      </c:ext>
                    </c:extLst>
                    <c:numCache>
                      <c:formatCode>0%</c:formatCode>
                      <c:ptCount val="2"/>
                      <c:pt idx="0">
                        <c:v>0.2</c:v>
                      </c:pt>
                      <c:pt idx="1">
                        <c:v>0.2</c:v>
                      </c:pt>
                    </c:numCache>
                  </c:numRef>
                </c:val>
                <c:extLst>
                  <c:ext xmlns:c16="http://schemas.microsoft.com/office/drawing/2014/chart" uri="{C3380CC4-5D6E-409C-BE32-E72D297353CC}">
                    <c16:uniqueId val="{00000009-E03D-413B-95A6-7CBF6EC4D760}"/>
                  </c:ext>
                </c:extLst>
              </c15:ser>
            </c15:filteredBarSeries>
            <c15:filteredBarSeries>
              <c15:ser>
                <c:idx val="1"/>
                <c:order val="1"/>
                <c:tx>
                  <c:strRef>
                    <c:extLst xmlns:c15="http://schemas.microsoft.com/office/drawing/2012/chart">
                      <c:ext xmlns:c15="http://schemas.microsoft.com/office/drawing/2012/chart" uri="{02D57815-91ED-43cb-92C2-25804820EDAC}">
                        <c15:formulaRef>
                          <c15:sqref>'individual-chart-ce'!$D$2</c15:sqref>
                        </c15:formulaRef>
                      </c:ext>
                    </c:extLst>
                    <c:strCache>
                      <c:ptCount val="1"/>
                      <c:pt idx="0">
                        <c:v>In progress</c:v>
                      </c:pt>
                    </c:strCache>
                  </c:strRef>
                </c:tx>
                <c:spPr>
                  <a:solidFill>
                    <a:schemeClr val="accent2">
                      <a:shade val="5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'individual-chart-ce'!$B$3:$B$46</c15:sqref>
                        </c15:formulaRef>
                      </c:ext>
                    </c:extLst>
                    <c:strCache>
                      <c:ptCount val="2"/>
                      <c:pt idx="0">
                        <c:v>Activity</c:v>
                      </c:pt>
                      <c:pt idx="1">
                        <c:v>Outputs</c:v>
                      </c:pt>
                    </c:strCache>
                  </c:strRef>
                </c:cat>
                <c:val>
                  <c:numRef>
                    <c:extLst xmlns:c15="http://schemas.microsoft.com/office/drawing/2012/chart">
                      <c:ext xmlns:c15="http://schemas.microsoft.com/office/drawing/2012/chart" uri="{02D57815-91ED-43cb-92C2-25804820EDAC}">
                        <c15:formulaRef>
                          <c15:sqref>'individual-chart-ce'!$D$3:$D$46</c15:sqref>
                        </c15:formulaRef>
                      </c:ext>
                    </c:extLst>
                    <c:numCache>
                      <c:formatCode>0%</c:formatCode>
                      <c:ptCount val="2"/>
                      <c:pt idx="0">
                        <c:v>0.8</c:v>
                      </c:pt>
                      <c:pt idx="1">
                        <c:v>0.8</c:v>
                      </c:pt>
                    </c:numCache>
                  </c:numRef>
                </c:val>
                <c:extLst xmlns:c15="http://schemas.microsoft.com/office/drawing/2012/chart">
                  <c:ext xmlns:c16="http://schemas.microsoft.com/office/drawing/2014/chart" uri="{C3380CC4-5D6E-409C-BE32-E72D297353CC}">
                    <c16:uniqueId val="{0000000A-E03D-413B-95A6-7CBF6EC4D760}"/>
                  </c:ext>
                </c:extLst>
              </c15:ser>
            </c15:filteredBarSeries>
            <c15:filteredBarSeries>
              <c15:ser>
                <c:idx val="2"/>
                <c:order val="2"/>
                <c:tx>
                  <c:strRef>
                    <c:extLst xmlns:c15="http://schemas.microsoft.com/office/drawing/2012/chart">
                      <c:ext xmlns:c15="http://schemas.microsoft.com/office/drawing/2012/chart" uri="{02D57815-91ED-43cb-92C2-25804820EDAC}">
                        <c15:formulaRef>
                          <c15:sqref>'individual-chart-ce'!$E$2</c15:sqref>
                        </c15:formulaRef>
                      </c:ext>
                    </c:extLst>
                    <c:strCache>
                      <c:ptCount val="1"/>
                      <c:pt idx="0">
                        <c:v>Not started</c:v>
                      </c:pt>
                    </c:strCache>
                  </c:strRef>
                </c:tx>
                <c:spPr>
                  <a:solidFill>
                    <a:schemeClr val="accent2">
                      <a:shade val="68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'individual-chart-ce'!$B$3:$B$46</c15:sqref>
                        </c15:formulaRef>
                      </c:ext>
                    </c:extLst>
                    <c:strCache>
                      <c:ptCount val="2"/>
                      <c:pt idx="0">
                        <c:v>Activity</c:v>
                      </c:pt>
                      <c:pt idx="1">
                        <c:v>Outputs</c:v>
                      </c:pt>
                    </c:strCache>
                  </c:strRef>
                </c:cat>
                <c:val>
                  <c:numRef>
                    <c:extLst xmlns:c15="http://schemas.microsoft.com/office/drawing/2012/chart">
                      <c:ext xmlns:c15="http://schemas.microsoft.com/office/drawing/2012/chart" uri="{02D57815-91ED-43cb-92C2-25804820EDAC}">
                        <c15:formulaRef>
                          <c15:sqref>'individual-chart-ce'!$E$3:$E$46</c15:sqref>
                        </c15:formulaRef>
                      </c:ext>
                    </c:extLst>
                    <c:numCache>
                      <c:formatCode>General</c:formatCode>
                      <c:ptCount val="2"/>
                    </c:numCache>
                  </c:numRef>
                </c:val>
                <c:extLst xmlns:c15="http://schemas.microsoft.com/office/drawing/2012/chart">
                  <c:ext xmlns:c16="http://schemas.microsoft.com/office/drawing/2014/chart" uri="{C3380CC4-5D6E-409C-BE32-E72D297353CC}">
                    <c16:uniqueId val="{0000000B-E03D-413B-95A6-7CBF6EC4D760}"/>
                  </c:ext>
                </c:extLst>
              </c15:ser>
            </c15:filteredBarSeries>
          </c:ext>
        </c:extLst>
      </c:barChart>
      <c:catAx>
        <c:axId val="7909581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n-US"/>
          </a:p>
        </c:txPr>
        <c:crossAx val="790961408"/>
        <c:crosses val="autoZero"/>
        <c:auto val="1"/>
        <c:lblAlgn val="ctr"/>
        <c:lblOffset val="100"/>
        <c:noMultiLvlLbl val="0"/>
      </c:catAx>
      <c:valAx>
        <c:axId val="790961408"/>
        <c:scaling>
          <c:orientation val="minMax"/>
          <c:min val="0"/>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90958128"/>
        <c:crossesAt val="1"/>
        <c:crossBetween val="between"/>
      </c:valAx>
      <c:spPr>
        <a:noFill/>
        <a:ln>
          <a:noFill/>
        </a:ln>
        <a:effectLst/>
      </c:spPr>
    </c:plotArea>
    <c:legend>
      <c:legendPos val="t"/>
      <c:layout>
        <c:manualLayout>
          <c:xMode val="edge"/>
          <c:yMode val="edge"/>
          <c:x val="0.16878354491402861"/>
          <c:y val="0.14071530758226036"/>
          <c:w val="0.78488188976377948"/>
          <c:h val="8.3691663005643596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userShapes r:id="rId5"/>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cap="all" spc="120" normalizeH="0" baseline="0">
                <a:solidFill>
                  <a:schemeClr val="tx1">
                    <a:lumMod val="65000"/>
                    <a:lumOff val="35000"/>
                  </a:schemeClr>
                </a:solidFill>
                <a:latin typeface="+mn-lt"/>
                <a:ea typeface="+mn-ea"/>
                <a:cs typeface="+mn-cs"/>
              </a:defRPr>
            </a:pPr>
            <a:r>
              <a:rPr lang="en-US"/>
              <a:t>Intensive TA outCOMES Progress </a:t>
            </a:r>
            <a:br>
              <a:rPr lang="en-US"/>
            </a:br>
            <a:r>
              <a:rPr lang="en-US"/>
              <a:t>ALL ACTIVITIES </a:t>
            </a:r>
          </a:p>
        </c:rich>
      </c:tx>
      <c:layout>
        <c:manualLayout>
          <c:xMode val="edge"/>
          <c:yMode val="edge"/>
          <c:x val="0.17907042869641296"/>
          <c:y val="4.6644208344130605E-2"/>
        </c:manualLayout>
      </c:layout>
      <c:overlay val="0"/>
      <c:spPr>
        <a:noFill/>
        <a:ln>
          <a:noFill/>
        </a:ln>
        <a:effectLst/>
      </c:spPr>
      <c:txPr>
        <a:bodyPr rot="0" spcFirstLastPara="1" vertOverflow="ellipsis" vert="horz" wrap="square" anchor="ctr" anchorCtr="1"/>
        <a:lstStyle/>
        <a:p>
          <a:pPr>
            <a:defRPr sz="1600" b="1" i="0" u="none" strike="noStrike" kern="1200" cap="all" spc="120" normalizeH="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stacked"/>
        <c:varyColors val="0"/>
        <c:ser>
          <c:idx val="20"/>
          <c:order val="20"/>
          <c:tx>
            <c:strRef>
              <c:f>'activities-data'!$V$3</c:f>
              <c:strCache>
                <c:ptCount val="1"/>
                <c:pt idx="0">
                  <c:v>Completed</c:v>
                </c:pt>
              </c:strCache>
              <c:extLst xmlns:c15="http://schemas.microsoft.com/office/drawing/2012/chart"/>
            </c:strRef>
          </c:tx>
          <c:spPr>
            <a:solidFill>
              <a:srgbClr val="FF99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600" b="0" i="0" u="none" strike="noStrike" kern="1200" baseline="0">
                    <a:solidFill>
                      <a:sysClr val="windowText" lastClr="000000"/>
                    </a:solidFill>
                    <a:latin typeface="+mn-lt"/>
                    <a:ea typeface="+mn-ea"/>
                    <a:cs typeface="+mn-cs"/>
                  </a:defRPr>
                </a:pPr>
                <a:endParaRPr lang="en-US"/>
              </a:p>
            </c:txPr>
            <c:dLblPos val="ct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'activities-data'!$A$4:$A$18</c:f>
              <c:strCache>
                <c:ptCount val="1"/>
                <c:pt idx="0">
                  <c:v>All</c:v>
                </c:pt>
              </c:strCache>
            </c:strRef>
          </c:cat>
          <c:val>
            <c:numRef>
              <c:f>'activities-data'!$V$4:$V$18</c:f>
              <c:numCache>
                <c:formatCode>0%</c:formatCode>
                <c:ptCount val="1"/>
                <c:pt idx="0">
                  <c:v>0.39017341040462428</c:v>
                </c:pt>
              </c:numCache>
            </c:numRef>
          </c:val>
          <c:extLst>
            <c:ext xmlns:c16="http://schemas.microsoft.com/office/drawing/2014/chart" uri="{C3380CC4-5D6E-409C-BE32-E72D297353CC}">
              <c16:uniqueId val="{00000000-4D9F-45AD-9C93-98D348CC0E96}"/>
            </c:ext>
          </c:extLst>
        </c:ser>
        <c:ser>
          <c:idx val="21"/>
          <c:order val="21"/>
          <c:tx>
            <c:strRef>
              <c:f>'activities-data'!$W$3</c:f>
              <c:strCache>
                <c:ptCount val="1"/>
                <c:pt idx="0">
                  <c:v>In progress</c:v>
                </c:pt>
              </c:strCache>
              <c:extLst xmlns:c15="http://schemas.microsoft.com/office/drawing/2012/chart"/>
            </c:strRef>
          </c:tx>
          <c:spPr>
            <a:solidFill>
              <a:srgbClr val="FFCC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600" b="0" i="0" u="none" strike="noStrike" kern="1200" baseline="0">
                    <a:solidFill>
                      <a:sysClr val="windowText" lastClr="000000"/>
                    </a:solidFill>
                    <a:latin typeface="+mn-lt"/>
                    <a:ea typeface="+mn-ea"/>
                    <a:cs typeface="+mn-cs"/>
                  </a:defRPr>
                </a:pPr>
                <a:endParaRPr lang="en-US"/>
              </a:p>
            </c:txPr>
            <c:dLblPos val="ct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'activities-data'!$A$4:$A$18</c:f>
              <c:strCache>
                <c:ptCount val="1"/>
                <c:pt idx="0">
                  <c:v>All</c:v>
                </c:pt>
              </c:strCache>
            </c:strRef>
          </c:cat>
          <c:val>
            <c:numRef>
              <c:f>'activities-data'!$W$4:$W$18</c:f>
              <c:numCache>
                <c:formatCode>0%</c:formatCode>
                <c:ptCount val="1"/>
                <c:pt idx="0">
                  <c:v>0.33815028901734107</c:v>
                </c:pt>
              </c:numCache>
            </c:numRef>
          </c:val>
          <c:extLst>
            <c:ext xmlns:c16="http://schemas.microsoft.com/office/drawing/2014/chart" uri="{C3380CC4-5D6E-409C-BE32-E72D297353CC}">
              <c16:uniqueId val="{00000001-4D9F-45AD-9C93-98D348CC0E96}"/>
            </c:ext>
          </c:extLst>
        </c:ser>
        <c:ser>
          <c:idx val="22"/>
          <c:order val="22"/>
          <c:tx>
            <c:strRef>
              <c:f>'activities-data'!$X$3</c:f>
              <c:strCache>
                <c:ptCount val="1"/>
                <c:pt idx="0">
                  <c:v>Not started</c:v>
                </c:pt>
              </c:strCache>
              <c:extLst xmlns:c15="http://schemas.microsoft.com/office/drawing/2012/chart"/>
            </c:strRef>
          </c:tx>
          <c:spPr>
            <a:solidFill>
              <a:srgbClr val="0099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600" b="0" i="0" u="none" strike="noStrike" kern="1200" baseline="0">
                    <a:solidFill>
                      <a:sysClr val="windowText" lastClr="000000"/>
                    </a:solidFill>
                    <a:latin typeface="+mn-lt"/>
                    <a:ea typeface="+mn-ea"/>
                    <a:cs typeface="+mn-cs"/>
                  </a:defRPr>
                </a:pPr>
                <a:endParaRPr lang="en-US"/>
              </a:p>
            </c:txPr>
            <c:dLblPos val="ct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'activities-data'!$A$4:$A$18</c:f>
              <c:strCache>
                <c:ptCount val="1"/>
                <c:pt idx="0">
                  <c:v>All</c:v>
                </c:pt>
              </c:strCache>
            </c:strRef>
          </c:cat>
          <c:val>
            <c:numRef>
              <c:f>'activities-data'!$X$4:$X$18</c:f>
              <c:numCache>
                <c:formatCode>0%</c:formatCode>
                <c:ptCount val="1"/>
                <c:pt idx="0">
                  <c:v>0.26589595375722541</c:v>
                </c:pt>
              </c:numCache>
            </c:numRef>
          </c:val>
          <c:extLst>
            <c:ext xmlns:c16="http://schemas.microsoft.com/office/drawing/2014/chart" uri="{C3380CC4-5D6E-409C-BE32-E72D297353CC}">
              <c16:uniqueId val="{00000002-4D9F-45AD-9C93-98D348CC0E96}"/>
            </c:ext>
          </c:extLst>
        </c:ser>
        <c:dLbls>
          <c:dLblPos val="ctr"/>
          <c:showLegendKey val="0"/>
          <c:showVal val="1"/>
          <c:showCatName val="0"/>
          <c:showSerName val="0"/>
          <c:showPercent val="0"/>
          <c:showBubbleSize val="0"/>
        </c:dLbls>
        <c:gapWidth val="79"/>
        <c:overlap val="100"/>
        <c:axId val="610520992"/>
        <c:axId val="610522632"/>
        <c:extLst>
          <c:ext xmlns:c15="http://schemas.microsoft.com/office/drawing/2012/chart" uri="{02D57815-91ED-43cb-92C2-25804820EDAC}">
            <c15:filteredBarSeries>
              <c15:ser>
                <c:idx val="0"/>
                <c:order val="0"/>
                <c:tx>
                  <c:strRef>
                    <c:extLst>
                      <c:ext uri="{02D57815-91ED-43cb-92C2-25804820EDAC}">
                        <c15:formulaRef>
                          <c15:sqref>'activities-data'!$B$3</c15:sqref>
                        </c15:formulaRef>
                      </c:ext>
                    </c:extLst>
                    <c:strCache>
                      <c:ptCount val="1"/>
                      <c:pt idx="0">
                        <c:v>Completed</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showLeaderLines val="0"/>
                  <c:extLst>
                    <c:ext uri="{CE6537A1-D6FC-4f65-9D91-7224C49458BB}">
                      <c15:showLeaderLines val="1"/>
                      <c15:leaderLines>
                        <c:spPr>
                          <a:ln w="9525">
                            <a:solidFill>
                              <a:schemeClr val="tx1">
                                <a:lumMod val="35000"/>
                                <a:lumOff val="65000"/>
                              </a:schemeClr>
                            </a:solidFill>
                          </a:ln>
                          <a:effectLst/>
                        </c:spPr>
                      </c15:leaderLines>
                    </c:ext>
                  </c:extLst>
                </c:dLbls>
                <c:cat>
                  <c:strRef>
                    <c:extLst>
                      <c:ext uri="{02D57815-91ED-43cb-92C2-25804820EDAC}">
                        <c15:formulaRef>
                          <c15:sqref>'activities-data'!$A$4:$A$18</c15:sqref>
                        </c15:formulaRef>
                      </c:ext>
                    </c:extLst>
                    <c:strCache>
                      <c:ptCount val="1"/>
                      <c:pt idx="0">
                        <c:v>All</c:v>
                      </c:pt>
                    </c:strCache>
                  </c:strRef>
                </c:cat>
                <c:val>
                  <c:numRef>
                    <c:extLst>
                      <c:ext uri="{02D57815-91ED-43cb-92C2-25804820EDAC}">
                        <c15:formulaRef>
                          <c15:sqref>'activities-data'!$B$4:$B$18</c15:sqref>
                        </c15:formulaRef>
                      </c:ext>
                    </c:extLst>
                    <c:numCache>
                      <c:formatCode>0%</c:formatCode>
                      <c:ptCount val="1"/>
                      <c:pt idx="0">
                        <c:v>0.51876019575856447</c:v>
                      </c:pt>
                    </c:numCache>
                  </c:numRef>
                </c:val>
                <c:extLst>
                  <c:ext xmlns:c16="http://schemas.microsoft.com/office/drawing/2014/chart" uri="{C3380CC4-5D6E-409C-BE32-E72D297353CC}">
                    <c16:uniqueId val="{00000003-4D9F-45AD-9C93-98D348CC0E96}"/>
                  </c:ext>
                </c:extLst>
              </c15:ser>
            </c15:filteredBarSeries>
            <c15:filteredBarSeries>
              <c15:ser>
                <c:idx val="1"/>
                <c:order val="1"/>
                <c:tx>
                  <c:strRef>
                    <c:extLst xmlns:c15="http://schemas.microsoft.com/office/drawing/2012/chart">
                      <c:ext xmlns:c15="http://schemas.microsoft.com/office/drawing/2012/chart" uri="{02D57815-91ED-43cb-92C2-25804820EDAC}">
                        <c15:formulaRef>
                          <c15:sqref>'activities-data'!$C$3</c15:sqref>
                        </c15:formulaRef>
                      </c:ext>
                    </c:extLst>
                    <c:strCache>
                      <c:ptCount val="1"/>
                      <c:pt idx="0">
                        <c:v>In progress</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extLst xmlns:c15="http://schemas.microsoft.com/office/drawing/2012/chart">
                      <c:ext xmlns:c15="http://schemas.microsoft.com/office/drawing/2012/chart" uri="{02D57815-91ED-43cb-92C2-25804820EDAC}">
                        <c15:formulaRef>
                          <c15:sqref>'activities-data'!$A$4:$A$18</c15:sqref>
                        </c15:formulaRef>
                      </c:ext>
                    </c:extLst>
                    <c:strCache>
                      <c:ptCount val="1"/>
                      <c:pt idx="0">
                        <c:v>All</c:v>
                      </c:pt>
                    </c:strCache>
                  </c:strRef>
                </c:cat>
                <c:val>
                  <c:numRef>
                    <c:extLst xmlns:c15="http://schemas.microsoft.com/office/drawing/2012/chart">
                      <c:ext xmlns:c15="http://schemas.microsoft.com/office/drawing/2012/chart" uri="{02D57815-91ED-43cb-92C2-25804820EDAC}">
                        <c15:formulaRef>
                          <c15:sqref>'activities-data'!$C$4:$C$18</c15:sqref>
                        </c15:formulaRef>
                      </c:ext>
                    </c:extLst>
                    <c:numCache>
                      <c:formatCode>0%</c:formatCode>
                      <c:ptCount val="1"/>
                      <c:pt idx="0">
                        <c:v>0.33931484502446985</c:v>
                      </c:pt>
                    </c:numCache>
                  </c:numRef>
                </c:val>
                <c:extLst xmlns:c15="http://schemas.microsoft.com/office/drawing/2012/chart">
                  <c:ext xmlns:c16="http://schemas.microsoft.com/office/drawing/2014/chart" uri="{C3380CC4-5D6E-409C-BE32-E72D297353CC}">
                    <c16:uniqueId val="{00000004-4D9F-45AD-9C93-98D348CC0E96}"/>
                  </c:ext>
                </c:extLst>
              </c15:ser>
            </c15:filteredBarSeries>
            <c15:filteredBarSeries>
              <c15:ser>
                <c:idx val="2"/>
                <c:order val="2"/>
                <c:tx>
                  <c:strRef>
                    <c:extLst xmlns:c15="http://schemas.microsoft.com/office/drawing/2012/chart">
                      <c:ext xmlns:c15="http://schemas.microsoft.com/office/drawing/2012/chart" uri="{02D57815-91ED-43cb-92C2-25804820EDAC}">
                        <c15:formulaRef>
                          <c15:sqref>'activities-data'!$D$3</c15:sqref>
                        </c15:formulaRef>
                      </c:ext>
                    </c:extLst>
                    <c:strCache>
                      <c:ptCount val="1"/>
                      <c:pt idx="0">
                        <c:v>Not started</c:v>
                      </c:pt>
                    </c:strCache>
                  </c:strRef>
                </c:tx>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extLst xmlns:c15="http://schemas.microsoft.com/office/drawing/2012/chart">
                      <c:ext xmlns:c15="http://schemas.microsoft.com/office/drawing/2012/chart" uri="{02D57815-91ED-43cb-92C2-25804820EDAC}">
                        <c15:formulaRef>
                          <c15:sqref>'activities-data'!$A$4:$A$18</c15:sqref>
                        </c15:formulaRef>
                      </c:ext>
                    </c:extLst>
                    <c:strCache>
                      <c:ptCount val="1"/>
                      <c:pt idx="0">
                        <c:v>All</c:v>
                      </c:pt>
                    </c:strCache>
                  </c:strRef>
                </c:cat>
                <c:val>
                  <c:numRef>
                    <c:extLst xmlns:c15="http://schemas.microsoft.com/office/drawing/2012/chart">
                      <c:ext xmlns:c15="http://schemas.microsoft.com/office/drawing/2012/chart" uri="{02D57815-91ED-43cb-92C2-25804820EDAC}">
                        <c15:formulaRef>
                          <c15:sqref>'activities-data'!$D$4:$D$18</c15:sqref>
                        </c15:formulaRef>
                      </c:ext>
                    </c:extLst>
                    <c:numCache>
                      <c:formatCode>0%</c:formatCode>
                      <c:ptCount val="1"/>
                      <c:pt idx="0">
                        <c:v>0.15660685154975529</c:v>
                      </c:pt>
                    </c:numCache>
                  </c:numRef>
                </c:val>
                <c:extLst xmlns:c15="http://schemas.microsoft.com/office/drawing/2012/chart">
                  <c:ext xmlns:c16="http://schemas.microsoft.com/office/drawing/2014/chart" uri="{C3380CC4-5D6E-409C-BE32-E72D297353CC}">
                    <c16:uniqueId val="{00000005-4D9F-45AD-9C93-98D348CC0E96}"/>
                  </c:ext>
                </c:extLst>
              </c15:ser>
            </c15:filteredBarSeries>
            <c15:filteredBarSeries>
              <c15:ser>
                <c:idx val="3"/>
                <c:order val="3"/>
                <c:tx>
                  <c:strRef>
                    <c:extLst xmlns:c15="http://schemas.microsoft.com/office/drawing/2012/chart">
                      <c:ext xmlns:c15="http://schemas.microsoft.com/office/drawing/2012/chart" uri="{02D57815-91ED-43cb-92C2-25804820EDAC}">
                        <c15:formulaRef>
                          <c15:sqref>'activities-data'!$E$3</c15:sqref>
                        </c15:formulaRef>
                      </c:ext>
                    </c:extLst>
                    <c:strCache>
                      <c:ptCount val="1"/>
                      <c:pt idx="0">
                        <c:v>100%</c:v>
                      </c:pt>
                    </c:strCache>
                  </c:strRef>
                </c:tx>
                <c:spPr>
                  <a:solidFill>
                    <a:schemeClr val="accent2">
                      <a:lumMod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en-US"/>
                    </a:p>
                  </c:txPr>
                  <c:dLblPos val="ct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extLst xmlns:c15="http://schemas.microsoft.com/office/drawing/2012/chart">
                      <c:ext xmlns:c15="http://schemas.microsoft.com/office/drawing/2012/chart" uri="{02D57815-91ED-43cb-92C2-25804820EDAC}">
                        <c15:formulaRef>
                          <c15:sqref>'activities-data'!$A$4:$A$18</c15:sqref>
                        </c15:formulaRef>
                      </c:ext>
                    </c:extLst>
                    <c:strCache>
                      <c:ptCount val="1"/>
                      <c:pt idx="0">
                        <c:v>All</c:v>
                      </c:pt>
                    </c:strCache>
                  </c:strRef>
                </c:cat>
                <c:val>
                  <c:numRef>
                    <c:extLst xmlns:c15="http://schemas.microsoft.com/office/drawing/2012/chart">
                      <c:ext xmlns:c15="http://schemas.microsoft.com/office/drawing/2012/chart" uri="{02D57815-91ED-43cb-92C2-25804820EDAC}">
                        <c15:formulaRef>
                          <c15:sqref>'activities-data'!$E$4:$E$18</c15:sqref>
                        </c15:formulaRef>
                      </c:ext>
                    </c:extLst>
                    <c:numCache>
                      <c:formatCode>0%</c:formatCode>
                      <c:ptCount val="1"/>
                      <c:pt idx="0">
                        <c:v>0.51876019575856447</c:v>
                      </c:pt>
                    </c:numCache>
                  </c:numRef>
                </c:val>
                <c:extLst xmlns:c15="http://schemas.microsoft.com/office/drawing/2012/chart">
                  <c:ext xmlns:c16="http://schemas.microsoft.com/office/drawing/2014/chart" uri="{C3380CC4-5D6E-409C-BE32-E72D297353CC}">
                    <c16:uniqueId val="{00000006-4D9F-45AD-9C93-98D348CC0E96}"/>
                  </c:ext>
                </c:extLst>
              </c15:ser>
            </c15:filteredBarSeries>
            <c15:filteredBarSeries>
              <c15:ser>
                <c:idx val="4"/>
                <c:order val="4"/>
                <c:tx>
                  <c:strRef>
                    <c:extLst xmlns:c15="http://schemas.microsoft.com/office/drawing/2012/chart">
                      <c:ext xmlns:c15="http://schemas.microsoft.com/office/drawing/2012/chart" uri="{02D57815-91ED-43cb-92C2-25804820EDAC}">
                        <c15:formulaRef>
                          <c15:sqref>'activities-data'!$F$3</c15:sqref>
                        </c15:formulaRef>
                      </c:ext>
                    </c:extLst>
                    <c:strCache>
                      <c:ptCount val="1"/>
                      <c:pt idx="0">
                        <c:v>90%</c:v>
                      </c:pt>
                    </c:strCache>
                  </c:strRef>
                </c:tx>
                <c:spPr>
                  <a:solidFill>
                    <a:schemeClr val="accent4">
                      <a:lumMod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en-US"/>
                    </a:p>
                  </c:txPr>
                  <c:dLblPos val="ct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extLst xmlns:c15="http://schemas.microsoft.com/office/drawing/2012/chart">
                      <c:ext xmlns:c15="http://schemas.microsoft.com/office/drawing/2012/chart" uri="{02D57815-91ED-43cb-92C2-25804820EDAC}">
                        <c15:formulaRef>
                          <c15:sqref>'activities-data'!$A$4:$A$18</c15:sqref>
                        </c15:formulaRef>
                      </c:ext>
                    </c:extLst>
                    <c:strCache>
                      <c:ptCount val="1"/>
                      <c:pt idx="0">
                        <c:v>All</c:v>
                      </c:pt>
                    </c:strCache>
                  </c:strRef>
                </c:cat>
                <c:val>
                  <c:numRef>
                    <c:extLst xmlns:c15="http://schemas.microsoft.com/office/drawing/2012/chart">
                      <c:ext xmlns:c15="http://schemas.microsoft.com/office/drawing/2012/chart" uri="{02D57815-91ED-43cb-92C2-25804820EDAC}">
                        <c15:formulaRef>
                          <c15:sqref>'activities-data'!$F$4:$F$18</c15:sqref>
                        </c15:formulaRef>
                      </c:ext>
                    </c:extLst>
                    <c:numCache>
                      <c:formatCode>0%</c:formatCode>
                      <c:ptCount val="1"/>
                      <c:pt idx="0">
                        <c:v>2.7732463295269169E-2</c:v>
                      </c:pt>
                    </c:numCache>
                  </c:numRef>
                </c:val>
                <c:extLst xmlns:c15="http://schemas.microsoft.com/office/drawing/2012/chart">
                  <c:ext xmlns:c16="http://schemas.microsoft.com/office/drawing/2014/chart" uri="{C3380CC4-5D6E-409C-BE32-E72D297353CC}">
                    <c16:uniqueId val="{00000007-4D9F-45AD-9C93-98D348CC0E96}"/>
                  </c:ext>
                </c:extLst>
              </c15:ser>
            </c15:filteredBarSeries>
            <c15:filteredBarSeries>
              <c15:ser>
                <c:idx val="5"/>
                <c:order val="5"/>
                <c:tx>
                  <c:strRef>
                    <c:extLst xmlns:c15="http://schemas.microsoft.com/office/drawing/2012/chart">
                      <c:ext xmlns:c15="http://schemas.microsoft.com/office/drawing/2012/chart" uri="{02D57815-91ED-43cb-92C2-25804820EDAC}">
                        <c15:formulaRef>
                          <c15:sqref>'activities-data'!$G$3</c15:sqref>
                        </c15:formulaRef>
                      </c:ext>
                    </c:extLst>
                    <c:strCache>
                      <c:ptCount val="1"/>
                      <c:pt idx="0">
                        <c:v>75%</c:v>
                      </c:pt>
                    </c:strCache>
                  </c:strRef>
                </c:tx>
                <c:spPr>
                  <a:solidFill>
                    <a:schemeClr val="accent6">
                      <a:lumMod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en-US"/>
                    </a:p>
                  </c:txPr>
                  <c:dLblPos val="ct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extLst xmlns:c15="http://schemas.microsoft.com/office/drawing/2012/chart">
                      <c:ext xmlns:c15="http://schemas.microsoft.com/office/drawing/2012/chart" uri="{02D57815-91ED-43cb-92C2-25804820EDAC}">
                        <c15:formulaRef>
                          <c15:sqref>'activities-data'!$A$4:$A$18</c15:sqref>
                        </c15:formulaRef>
                      </c:ext>
                    </c:extLst>
                    <c:strCache>
                      <c:ptCount val="1"/>
                      <c:pt idx="0">
                        <c:v>All</c:v>
                      </c:pt>
                    </c:strCache>
                  </c:strRef>
                </c:cat>
                <c:val>
                  <c:numRef>
                    <c:extLst xmlns:c15="http://schemas.microsoft.com/office/drawing/2012/chart">
                      <c:ext xmlns:c15="http://schemas.microsoft.com/office/drawing/2012/chart" uri="{02D57815-91ED-43cb-92C2-25804820EDAC}">
                        <c15:formulaRef>
                          <c15:sqref>'activities-data'!$G$4:$G$18</c15:sqref>
                        </c15:formulaRef>
                      </c:ext>
                    </c:extLst>
                    <c:numCache>
                      <c:formatCode>0%</c:formatCode>
                      <c:ptCount val="1"/>
                      <c:pt idx="0">
                        <c:v>6.6884176182707991E-2</c:v>
                      </c:pt>
                    </c:numCache>
                  </c:numRef>
                </c:val>
                <c:extLst xmlns:c15="http://schemas.microsoft.com/office/drawing/2012/chart">
                  <c:ext xmlns:c16="http://schemas.microsoft.com/office/drawing/2014/chart" uri="{C3380CC4-5D6E-409C-BE32-E72D297353CC}">
                    <c16:uniqueId val="{00000008-4D9F-45AD-9C93-98D348CC0E96}"/>
                  </c:ext>
                </c:extLst>
              </c15:ser>
            </c15:filteredBarSeries>
            <c15:filteredBarSeries>
              <c15:ser>
                <c:idx val="6"/>
                <c:order val="6"/>
                <c:tx>
                  <c:strRef>
                    <c:extLst xmlns:c15="http://schemas.microsoft.com/office/drawing/2012/chart">
                      <c:ext xmlns:c15="http://schemas.microsoft.com/office/drawing/2012/chart" uri="{02D57815-91ED-43cb-92C2-25804820EDAC}">
                        <c15:formulaRef>
                          <c15:sqref>'activities-data'!$H$3</c15:sqref>
                        </c15:formulaRef>
                      </c:ext>
                    </c:extLst>
                    <c:strCache>
                      <c:ptCount val="1"/>
                      <c:pt idx="0">
                        <c:v>50%</c:v>
                      </c:pt>
                    </c:strCache>
                  </c:strRef>
                </c:tx>
                <c:spPr>
                  <a:solidFill>
                    <a:schemeClr val="accent2">
                      <a:lumMod val="80000"/>
                      <a:lumOff val="2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en-US"/>
                    </a:p>
                  </c:txPr>
                  <c:dLblPos val="ct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extLst xmlns:c15="http://schemas.microsoft.com/office/drawing/2012/chart">
                      <c:ext xmlns:c15="http://schemas.microsoft.com/office/drawing/2012/chart" uri="{02D57815-91ED-43cb-92C2-25804820EDAC}">
                        <c15:formulaRef>
                          <c15:sqref>'activities-data'!$A$4:$A$18</c15:sqref>
                        </c15:formulaRef>
                      </c:ext>
                    </c:extLst>
                    <c:strCache>
                      <c:ptCount val="1"/>
                      <c:pt idx="0">
                        <c:v>All</c:v>
                      </c:pt>
                    </c:strCache>
                  </c:strRef>
                </c:cat>
                <c:val>
                  <c:numRef>
                    <c:extLst xmlns:c15="http://schemas.microsoft.com/office/drawing/2012/chart">
                      <c:ext xmlns:c15="http://schemas.microsoft.com/office/drawing/2012/chart" uri="{02D57815-91ED-43cb-92C2-25804820EDAC}">
                        <c15:formulaRef>
                          <c15:sqref>'activities-data'!$H$4:$H$18</c15:sqref>
                        </c15:formulaRef>
                      </c:ext>
                    </c:extLst>
                    <c:numCache>
                      <c:formatCode>0%</c:formatCode>
                      <c:ptCount val="1"/>
                      <c:pt idx="0">
                        <c:v>9.2985318107667206E-2</c:v>
                      </c:pt>
                    </c:numCache>
                  </c:numRef>
                </c:val>
                <c:extLst xmlns:c15="http://schemas.microsoft.com/office/drawing/2012/chart">
                  <c:ext xmlns:c16="http://schemas.microsoft.com/office/drawing/2014/chart" uri="{C3380CC4-5D6E-409C-BE32-E72D297353CC}">
                    <c16:uniqueId val="{00000009-4D9F-45AD-9C93-98D348CC0E96}"/>
                  </c:ext>
                </c:extLst>
              </c15:ser>
            </c15:filteredBarSeries>
            <c15:filteredBarSeries>
              <c15:ser>
                <c:idx val="7"/>
                <c:order val="7"/>
                <c:tx>
                  <c:strRef>
                    <c:extLst xmlns:c15="http://schemas.microsoft.com/office/drawing/2012/chart">
                      <c:ext xmlns:c15="http://schemas.microsoft.com/office/drawing/2012/chart" uri="{02D57815-91ED-43cb-92C2-25804820EDAC}">
                        <c15:formulaRef>
                          <c15:sqref>'activities-data'!$I$3</c15:sqref>
                        </c15:formulaRef>
                      </c:ext>
                    </c:extLst>
                    <c:strCache>
                      <c:ptCount val="1"/>
                      <c:pt idx="0">
                        <c:v>25%</c:v>
                      </c:pt>
                    </c:strCache>
                  </c:strRef>
                </c:tx>
                <c:spPr>
                  <a:solidFill>
                    <a:schemeClr val="accent4">
                      <a:lumMod val="80000"/>
                      <a:lumOff val="2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en-US"/>
                    </a:p>
                  </c:txPr>
                  <c:dLblPos val="ct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extLst xmlns:c15="http://schemas.microsoft.com/office/drawing/2012/chart">
                      <c:ext xmlns:c15="http://schemas.microsoft.com/office/drawing/2012/chart" uri="{02D57815-91ED-43cb-92C2-25804820EDAC}">
                        <c15:formulaRef>
                          <c15:sqref>'activities-data'!$A$4:$A$18</c15:sqref>
                        </c15:formulaRef>
                      </c:ext>
                    </c:extLst>
                    <c:strCache>
                      <c:ptCount val="1"/>
                      <c:pt idx="0">
                        <c:v>All</c:v>
                      </c:pt>
                    </c:strCache>
                  </c:strRef>
                </c:cat>
                <c:val>
                  <c:numRef>
                    <c:extLst xmlns:c15="http://schemas.microsoft.com/office/drawing/2012/chart">
                      <c:ext xmlns:c15="http://schemas.microsoft.com/office/drawing/2012/chart" uri="{02D57815-91ED-43cb-92C2-25804820EDAC}">
                        <c15:formulaRef>
                          <c15:sqref>'activities-data'!$I$4:$I$18</c15:sqref>
                        </c15:formulaRef>
                      </c:ext>
                    </c:extLst>
                    <c:numCache>
                      <c:formatCode>0%</c:formatCode>
                      <c:ptCount val="1"/>
                      <c:pt idx="0">
                        <c:v>0.15171288743882544</c:v>
                      </c:pt>
                    </c:numCache>
                  </c:numRef>
                </c:val>
                <c:extLst xmlns:c15="http://schemas.microsoft.com/office/drawing/2012/chart">
                  <c:ext xmlns:c16="http://schemas.microsoft.com/office/drawing/2014/chart" uri="{C3380CC4-5D6E-409C-BE32-E72D297353CC}">
                    <c16:uniqueId val="{0000000A-4D9F-45AD-9C93-98D348CC0E96}"/>
                  </c:ext>
                </c:extLst>
              </c15:ser>
            </c15:filteredBarSeries>
            <c15:filteredBarSeries>
              <c15:ser>
                <c:idx val="8"/>
                <c:order val="8"/>
                <c:tx>
                  <c:strRef>
                    <c:extLst xmlns:c15="http://schemas.microsoft.com/office/drawing/2012/chart">
                      <c:ext xmlns:c15="http://schemas.microsoft.com/office/drawing/2012/chart" uri="{02D57815-91ED-43cb-92C2-25804820EDAC}">
                        <c15:formulaRef>
                          <c15:sqref>'activities-data'!$J$3</c15:sqref>
                        </c15:formulaRef>
                      </c:ext>
                    </c:extLst>
                    <c:strCache>
                      <c:ptCount val="1"/>
                      <c:pt idx="0">
                        <c:v>10%</c:v>
                      </c:pt>
                    </c:strCache>
                  </c:strRef>
                </c:tx>
                <c:spPr>
                  <a:solidFill>
                    <a:schemeClr val="accent6">
                      <a:lumMod val="80000"/>
                      <a:lumOff val="2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en-US"/>
                    </a:p>
                  </c:txPr>
                  <c:dLblPos val="ct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extLst xmlns:c15="http://schemas.microsoft.com/office/drawing/2012/chart">
                      <c:ext xmlns:c15="http://schemas.microsoft.com/office/drawing/2012/chart" uri="{02D57815-91ED-43cb-92C2-25804820EDAC}">
                        <c15:formulaRef>
                          <c15:sqref>'activities-data'!$A$4:$A$18</c15:sqref>
                        </c15:formulaRef>
                      </c:ext>
                    </c:extLst>
                    <c:strCache>
                      <c:ptCount val="1"/>
                      <c:pt idx="0">
                        <c:v>All</c:v>
                      </c:pt>
                    </c:strCache>
                  </c:strRef>
                </c:cat>
                <c:val>
                  <c:numRef>
                    <c:extLst xmlns:c15="http://schemas.microsoft.com/office/drawing/2012/chart">
                      <c:ext xmlns:c15="http://schemas.microsoft.com/office/drawing/2012/chart" uri="{02D57815-91ED-43cb-92C2-25804820EDAC}">
                        <c15:formulaRef>
                          <c15:sqref>'activities-data'!$J$4:$J$18</c15:sqref>
                        </c15:formulaRef>
                      </c:ext>
                    </c:extLst>
                    <c:numCache>
                      <c:formatCode>0%</c:formatCode>
                      <c:ptCount val="1"/>
                      <c:pt idx="0">
                        <c:v>0</c:v>
                      </c:pt>
                    </c:numCache>
                  </c:numRef>
                </c:val>
                <c:extLst xmlns:c15="http://schemas.microsoft.com/office/drawing/2012/chart">
                  <c:ext xmlns:c16="http://schemas.microsoft.com/office/drawing/2014/chart" uri="{C3380CC4-5D6E-409C-BE32-E72D297353CC}">
                    <c16:uniqueId val="{0000000B-4D9F-45AD-9C93-98D348CC0E96}"/>
                  </c:ext>
                </c:extLst>
              </c15:ser>
            </c15:filteredBarSeries>
            <c15:filteredBarSeries>
              <c15:ser>
                <c:idx val="9"/>
                <c:order val="9"/>
                <c:tx>
                  <c:strRef>
                    <c:extLst xmlns:c15="http://schemas.microsoft.com/office/drawing/2012/chart">
                      <c:ext xmlns:c15="http://schemas.microsoft.com/office/drawing/2012/chart" uri="{02D57815-91ED-43cb-92C2-25804820EDAC}">
                        <c15:formulaRef>
                          <c15:sqref>'activities-data'!$K$3</c15:sqref>
                        </c15:formulaRef>
                      </c:ext>
                    </c:extLst>
                    <c:strCache>
                      <c:ptCount val="1"/>
                      <c:pt idx="0">
                        <c:v>0%</c:v>
                      </c:pt>
                    </c:strCache>
                  </c:strRef>
                </c:tx>
                <c:spPr>
                  <a:solidFill>
                    <a:schemeClr val="accent2">
                      <a:lumMod val="8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en-US"/>
                    </a:p>
                  </c:txPr>
                  <c:dLblPos val="ct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extLst xmlns:c15="http://schemas.microsoft.com/office/drawing/2012/chart">
                      <c:ext xmlns:c15="http://schemas.microsoft.com/office/drawing/2012/chart" uri="{02D57815-91ED-43cb-92C2-25804820EDAC}">
                        <c15:formulaRef>
                          <c15:sqref>'activities-data'!$A$4:$A$18</c15:sqref>
                        </c15:formulaRef>
                      </c:ext>
                    </c:extLst>
                    <c:strCache>
                      <c:ptCount val="1"/>
                      <c:pt idx="0">
                        <c:v>All</c:v>
                      </c:pt>
                    </c:strCache>
                  </c:strRef>
                </c:cat>
                <c:val>
                  <c:numRef>
                    <c:extLst xmlns:c15="http://schemas.microsoft.com/office/drawing/2012/chart">
                      <c:ext xmlns:c15="http://schemas.microsoft.com/office/drawing/2012/chart" uri="{02D57815-91ED-43cb-92C2-25804820EDAC}">
                        <c15:formulaRef>
                          <c15:sqref>'activities-data'!$K$4:$K$18</c15:sqref>
                        </c15:formulaRef>
                      </c:ext>
                    </c:extLst>
                    <c:numCache>
                      <c:formatCode>0%</c:formatCode>
                      <c:ptCount val="1"/>
                      <c:pt idx="0">
                        <c:v>0.15660685154975529</c:v>
                      </c:pt>
                    </c:numCache>
                  </c:numRef>
                </c:val>
                <c:extLst xmlns:c15="http://schemas.microsoft.com/office/drawing/2012/chart">
                  <c:ext xmlns:c16="http://schemas.microsoft.com/office/drawing/2014/chart" uri="{C3380CC4-5D6E-409C-BE32-E72D297353CC}">
                    <c16:uniqueId val="{0000000C-4D9F-45AD-9C93-98D348CC0E96}"/>
                  </c:ext>
                </c:extLst>
              </c15:ser>
            </c15:filteredBarSeries>
            <c15:filteredBarSeries>
              <c15:ser>
                <c:idx val="10"/>
                <c:order val="10"/>
                <c:tx>
                  <c:strRef>
                    <c:extLst xmlns:c15="http://schemas.microsoft.com/office/drawing/2012/chart">
                      <c:ext xmlns:c15="http://schemas.microsoft.com/office/drawing/2012/chart" uri="{02D57815-91ED-43cb-92C2-25804820EDAC}">
                        <c15:formulaRef>
                          <c15:sqref>'activities-data'!$L$3</c15:sqref>
                        </c15:formulaRef>
                      </c:ext>
                    </c:extLst>
                    <c:strCache>
                      <c:ptCount val="1"/>
                      <c:pt idx="0">
                        <c:v>Completed</c:v>
                      </c:pt>
                    </c:strCache>
                  </c:strRef>
                </c:tx>
                <c:spPr>
                  <a:solidFill>
                    <a:srgbClr val="FF99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600" b="0" i="0" u="none" strike="noStrike" kern="1200" baseline="0">
                          <a:solidFill>
                            <a:sysClr val="windowText" lastClr="000000"/>
                          </a:solidFill>
                          <a:latin typeface="+mn-lt"/>
                          <a:ea typeface="+mn-ea"/>
                          <a:cs typeface="+mn-cs"/>
                        </a:defRPr>
                      </a:pPr>
                      <a:endParaRPr lang="en-US"/>
                    </a:p>
                  </c:txPr>
                  <c:dLblPos val="ct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extLst xmlns:c15="http://schemas.microsoft.com/office/drawing/2012/chart">
                      <c:ext xmlns:c15="http://schemas.microsoft.com/office/drawing/2012/chart" uri="{02D57815-91ED-43cb-92C2-25804820EDAC}">
                        <c15:formulaRef>
                          <c15:sqref>'activities-data'!$A$4:$A$18</c15:sqref>
                        </c15:formulaRef>
                      </c:ext>
                    </c:extLst>
                    <c:strCache>
                      <c:ptCount val="1"/>
                      <c:pt idx="0">
                        <c:v>All</c:v>
                      </c:pt>
                    </c:strCache>
                  </c:strRef>
                </c:cat>
                <c:val>
                  <c:numRef>
                    <c:extLst xmlns:c15="http://schemas.microsoft.com/office/drawing/2012/chart">
                      <c:ext xmlns:c15="http://schemas.microsoft.com/office/drawing/2012/chart" uri="{02D57815-91ED-43cb-92C2-25804820EDAC}">
                        <c15:formulaRef>
                          <c15:sqref>'activities-data'!$L$4:$L$18</c15:sqref>
                        </c15:formulaRef>
                      </c:ext>
                    </c:extLst>
                    <c:numCache>
                      <c:formatCode>0%</c:formatCode>
                      <c:ptCount val="1"/>
                      <c:pt idx="0">
                        <c:v>0.4301765650080257</c:v>
                      </c:pt>
                    </c:numCache>
                  </c:numRef>
                </c:val>
                <c:extLst xmlns:c15="http://schemas.microsoft.com/office/drawing/2012/chart">
                  <c:ext xmlns:c16="http://schemas.microsoft.com/office/drawing/2014/chart" uri="{C3380CC4-5D6E-409C-BE32-E72D297353CC}">
                    <c16:uniqueId val="{0000000D-4D9F-45AD-9C93-98D348CC0E96}"/>
                  </c:ext>
                </c:extLst>
              </c15:ser>
            </c15:filteredBarSeries>
            <c15:filteredBarSeries>
              <c15:ser>
                <c:idx val="11"/>
                <c:order val="11"/>
                <c:tx>
                  <c:strRef>
                    <c:extLst xmlns:c15="http://schemas.microsoft.com/office/drawing/2012/chart">
                      <c:ext xmlns:c15="http://schemas.microsoft.com/office/drawing/2012/chart" uri="{02D57815-91ED-43cb-92C2-25804820EDAC}">
                        <c15:formulaRef>
                          <c15:sqref>'activities-data'!$M$3</c15:sqref>
                        </c15:formulaRef>
                      </c:ext>
                    </c:extLst>
                    <c:strCache>
                      <c:ptCount val="1"/>
                      <c:pt idx="0">
                        <c:v>In progress</c:v>
                      </c:pt>
                    </c:strCache>
                  </c:strRef>
                </c:tx>
                <c:spPr>
                  <a:solidFill>
                    <a:srgbClr val="FFCC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600" b="0" i="0" u="none" strike="noStrike" kern="1200" baseline="0">
                          <a:solidFill>
                            <a:sysClr val="windowText" lastClr="000000"/>
                          </a:solidFill>
                          <a:latin typeface="+mn-lt"/>
                          <a:ea typeface="+mn-ea"/>
                          <a:cs typeface="+mn-cs"/>
                        </a:defRPr>
                      </a:pPr>
                      <a:endParaRPr lang="en-US"/>
                    </a:p>
                  </c:txPr>
                  <c:dLblPos val="ct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extLst xmlns:c15="http://schemas.microsoft.com/office/drawing/2012/chart">
                      <c:ext xmlns:c15="http://schemas.microsoft.com/office/drawing/2012/chart" uri="{02D57815-91ED-43cb-92C2-25804820EDAC}">
                        <c15:formulaRef>
                          <c15:sqref>'activities-data'!$A$4:$A$18</c15:sqref>
                        </c15:formulaRef>
                      </c:ext>
                    </c:extLst>
                    <c:strCache>
                      <c:ptCount val="1"/>
                      <c:pt idx="0">
                        <c:v>All</c:v>
                      </c:pt>
                    </c:strCache>
                  </c:strRef>
                </c:cat>
                <c:val>
                  <c:numRef>
                    <c:extLst xmlns:c15="http://schemas.microsoft.com/office/drawing/2012/chart">
                      <c:ext xmlns:c15="http://schemas.microsoft.com/office/drawing/2012/chart" uri="{02D57815-91ED-43cb-92C2-25804820EDAC}">
                        <c15:formulaRef>
                          <c15:sqref>'activities-data'!$M$4:$M$18</c15:sqref>
                        </c15:formulaRef>
                      </c:ext>
                    </c:extLst>
                    <c:numCache>
                      <c:formatCode>0%</c:formatCode>
                      <c:ptCount val="1"/>
                      <c:pt idx="0">
                        <c:v>0.31942215088282505</c:v>
                      </c:pt>
                    </c:numCache>
                  </c:numRef>
                </c:val>
                <c:extLst xmlns:c15="http://schemas.microsoft.com/office/drawing/2012/chart">
                  <c:ext xmlns:c16="http://schemas.microsoft.com/office/drawing/2014/chart" uri="{C3380CC4-5D6E-409C-BE32-E72D297353CC}">
                    <c16:uniqueId val="{0000000E-4D9F-45AD-9C93-98D348CC0E96}"/>
                  </c:ext>
                </c:extLst>
              </c15:ser>
            </c15:filteredBarSeries>
            <c15:filteredBarSeries>
              <c15:ser>
                <c:idx val="12"/>
                <c:order val="12"/>
                <c:tx>
                  <c:strRef>
                    <c:extLst xmlns:c15="http://schemas.microsoft.com/office/drawing/2012/chart">
                      <c:ext xmlns:c15="http://schemas.microsoft.com/office/drawing/2012/chart" uri="{02D57815-91ED-43cb-92C2-25804820EDAC}">
                        <c15:formulaRef>
                          <c15:sqref>'activities-data'!$N$3</c15:sqref>
                        </c15:formulaRef>
                      </c:ext>
                    </c:extLst>
                    <c:strCache>
                      <c:ptCount val="1"/>
                      <c:pt idx="0">
                        <c:v>Not started</c:v>
                      </c:pt>
                    </c:strCache>
                  </c:strRef>
                </c:tx>
                <c:spPr>
                  <a:solidFill>
                    <a:srgbClr val="0099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600" b="0" i="0" u="none" strike="noStrike" kern="1200" baseline="0">
                          <a:solidFill>
                            <a:sysClr val="windowText" lastClr="000000"/>
                          </a:solidFill>
                          <a:latin typeface="+mn-lt"/>
                          <a:ea typeface="+mn-ea"/>
                          <a:cs typeface="+mn-cs"/>
                        </a:defRPr>
                      </a:pPr>
                      <a:endParaRPr lang="en-US"/>
                    </a:p>
                  </c:txPr>
                  <c:dLblPos val="ct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extLst xmlns:c15="http://schemas.microsoft.com/office/drawing/2012/chart">
                      <c:ext xmlns:c15="http://schemas.microsoft.com/office/drawing/2012/chart" uri="{02D57815-91ED-43cb-92C2-25804820EDAC}">
                        <c15:formulaRef>
                          <c15:sqref>'activities-data'!$A$4:$A$18</c15:sqref>
                        </c15:formulaRef>
                      </c:ext>
                    </c:extLst>
                    <c:strCache>
                      <c:ptCount val="1"/>
                      <c:pt idx="0">
                        <c:v>All</c:v>
                      </c:pt>
                    </c:strCache>
                  </c:strRef>
                </c:cat>
                <c:val>
                  <c:numRef>
                    <c:extLst xmlns:c15="http://schemas.microsoft.com/office/drawing/2012/chart">
                      <c:ext xmlns:c15="http://schemas.microsoft.com/office/drawing/2012/chart" uri="{02D57815-91ED-43cb-92C2-25804820EDAC}">
                        <c15:formulaRef>
                          <c15:sqref>'activities-data'!$N$4:$N$18</c15:sqref>
                        </c15:formulaRef>
                      </c:ext>
                    </c:extLst>
                    <c:numCache>
                      <c:formatCode>0%</c:formatCode>
                      <c:ptCount val="1"/>
                      <c:pt idx="0">
                        <c:v>0.18298555377207062</c:v>
                      </c:pt>
                    </c:numCache>
                  </c:numRef>
                </c:val>
                <c:extLst xmlns:c15="http://schemas.microsoft.com/office/drawing/2012/chart">
                  <c:ext xmlns:c16="http://schemas.microsoft.com/office/drawing/2014/chart" uri="{C3380CC4-5D6E-409C-BE32-E72D297353CC}">
                    <c16:uniqueId val="{0000000F-4D9F-45AD-9C93-98D348CC0E96}"/>
                  </c:ext>
                </c:extLst>
              </c15:ser>
            </c15:filteredBarSeries>
            <c15:filteredBarSeries>
              <c15:ser>
                <c:idx val="13"/>
                <c:order val="13"/>
                <c:tx>
                  <c:strRef>
                    <c:extLst xmlns:c15="http://schemas.microsoft.com/office/drawing/2012/chart">
                      <c:ext xmlns:c15="http://schemas.microsoft.com/office/drawing/2012/chart" uri="{02D57815-91ED-43cb-92C2-25804820EDAC}">
                        <c15:formulaRef>
                          <c15:sqref>'activities-data'!$O$3</c15:sqref>
                        </c15:formulaRef>
                      </c:ext>
                    </c:extLst>
                    <c:strCache>
                      <c:ptCount val="1"/>
                      <c:pt idx="0">
                        <c:v>100%</c:v>
                      </c:pt>
                    </c:strCache>
                  </c:strRef>
                </c:tx>
                <c:spPr>
                  <a:solidFill>
                    <a:schemeClr val="accent4">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en-US"/>
                    </a:p>
                  </c:txPr>
                  <c:dLblPos val="ct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extLst xmlns:c15="http://schemas.microsoft.com/office/drawing/2012/chart">
                      <c:ext xmlns:c15="http://schemas.microsoft.com/office/drawing/2012/chart" uri="{02D57815-91ED-43cb-92C2-25804820EDAC}">
                        <c15:formulaRef>
                          <c15:sqref>'activities-data'!$A$4:$A$18</c15:sqref>
                        </c15:formulaRef>
                      </c:ext>
                    </c:extLst>
                    <c:strCache>
                      <c:ptCount val="1"/>
                      <c:pt idx="0">
                        <c:v>All</c:v>
                      </c:pt>
                    </c:strCache>
                  </c:strRef>
                </c:cat>
                <c:val>
                  <c:numRef>
                    <c:extLst xmlns:c15="http://schemas.microsoft.com/office/drawing/2012/chart">
                      <c:ext xmlns:c15="http://schemas.microsoft.com/office/drawing/2012/chart" uri="{02D57815-91ED-43cb-92C2-25804820EDAC}">
                        <c15:formulaRef>
                          <c15:sqref>'activities-data'!$O$4:$O$18</c15:sqref>
                        </c15:formulaRef>
                      </c:ext>
                    </c:extLst>
                    <c:numCache>
                      <c:formatCode>0%</c:formatCode>
                      <c:ptCount val="1"/>
                      <c:pt idx="0">
                        <c:v>0.4959871589085072</c:v>
                      </c:pt>
                    </c:numCache>
                  </c:numRef>
                </c:val>
                <c:extLst xmlns:c15="http://schemas.microsoft.com/office/drawing/2012/chart">
                  <c:ext xmlns:c16="http://schemas.microsoft.com/office/drawing/2014/chart" uri="{C3380CC4-5D6E-409C-BE32-E72D297353CC}">
                    <c16:uniqueId val="{00000010-4D9F-45AD-9C93-98D348CC0E96}"/>
                  </c:ext>
                </c:extLst>
              </c15:ser>
            </c15:filteredBarSeries>
            <c15:filteredBarSeries>
              <c15:ser>
                <c:idx val="14"/>
                <c:order val="14"/>
                <c:tx>
                  <c:strRef>
                    <c:extLst xmlns:c15="http://schemas.microsoft.com/office/drawing/2012/chart">
                      <c:ext xmlns:c15="http://schemas.microsoft.com/office/drawing/2012/chart" uri="{02D57815-91ED-43cb-92C2-25804820EDAC}">
                        <c15:formulaRef>
                          <c15:sqref>'activities-data'!$P$3</c15:sqref>
                        </c15:formulaRef>
                      </c:ext>
                    </c:extLst>
                    <c:strCache>
                      <c:ptCount val="1"/>
                      <c:pt idx="0">
                        <c:v>90%</c:v>
                      </c:pt>
                    </c:strCache>
                  </c:strRef>
                </c:tx>
                <c:spPr>
                  <a:solidFill>
                    <a:schemeClr val="accent6">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en-US"/>
                    </a:p>
                  </c:txPr>
                  <c:dLblPos val="ct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extLst xmlns:c15="http://schemas.microsoft.com/office/drawing/2012/chart">
                      <c:ext xmlns:c15="http://schemas.microsoft.com/office/drawing/2012/chart" uri="{02D57815-91ED-43cb-92C2-25804820EDAC}">
                        <c15:formulaRef>
                          <c15:sqref>'activities-data'!$A$4:$A$18</c15:sqref>
                        </c15:formulaRef>
                      </c:ext>
                    </c:extLst>
                    <c:strCache>
                      <c:ptCount val="1"/>
                      <c:pt idx="0">
                        <c:v>All</c:v>
                      </c:pt>
                    </c:strCache>
                  </c:strRef>
                </c:cat>
                <c:val>
                  <c:numRef>
                    <c:extLst xmlns:c15="http://schemas.microsoft.com/office/drawing/2012/chart">
                      <c:ext xmlns:c15="http://schemas.microsoft.com/office/drawing/2012/chart" uri="{02D57815-91ED-43cb-92C2-25804820EDAC}">
                        <c15:formulaRef>
                          <c15:sqref>'activities-data'!$P$4:$P$18</c15:sqref>
                        </c15:formulaRef>
                      </c:ext>
                    </c:extLst>
                    <c:numCache>
                      <c:formatCode>0%</c:formatCode>
                      <c:ptCount val="1"/>
                      <c:pt idx="0">
                        <c:v>3.2102728731942212E-2</c:v>
                      </c:pt>
                    </c:numCache>
                  </c:numRef>
                </c:val>
                <c:extLst xmlns:c15="http://schemas.microsoft.com/office/drawing/2012/chart">
                  <c:ext xmlns:c16="http://schemas.microsoft.com/office/drawing/2014/chart" uri="{C3380CC4-5D6E-409C-BE32-E72D297353CC}">
                    <c16:uniqueId val="{00000011-4D9F-45AD-9C93-98D348CC0E96}"/>
                  </c:ext>
                </c:extLst>
              </c15:ser>
            </c15:filteredBarSeries>
            <c15:filteredBarSeries>
              <c15:ser>
                <c:idx val="15"/>
                <c:order val="15"/>
                <c:tx>
                  <c:strRef>
                    <c:extLst xmlns:c15="http://schemas.microsoft.com/office/drawing/2012/chart">
                      <c:ext xmlns:c15="http://schemas.microsoft.com/office/drawing/2012/chart" uri="{02D57815-91ED-43cb-92C2-25804820EDAC}">
                        <c15:formulaRef>
                          <c15:sqref>'activities-data'!$Q$3</c15:sqref>
                        </c15:formulaRef>
                      </c:ext>
                    </c:extLst>
                    <c:strCache>
                      <c:ptCount val="1"/>
                      <c:pt idx="0">
                        <c:v>75%</c:v>
                      </c:pt>
                    </c:strCache>
                  </c:strRef>
                </c:tx>
                <c:spPr>
                  <a:solidFill>
                    <a:schemeClr val="accent2">
                      <a:lumMod val="5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en-US"/>
                    </a:p>
                  </c:txPr>
                  <c:dLblPos val="ct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extLst xmlns:c15="http://schemas.microsoft.com/office/drawing/2012/chart">
                      <c:ext xmlns:c15="http://schemas.microsoft.com/office/drawing/2012/chart" uri="{02D57815-91ED-43cb-92C2-25804820EDAC}">
                        <c15:formulaRef>
                          <c15:sqref>'activities-data'!$A$4:$A$18</c15:sqref>
                        </c15:formulaRef>
                      </c:ext>
                    </c:extLst>
                    <c:strCache>
                      <c:ptCount val="1"/>
                      <c:pt idx="0">
                        <c:v>All</c:v>
                      </c:pt>
                    </c:strCache>
                  </c:strRef>
                </c:cat>
                <c:val>
                  <c:numRef>
                    <c:extLst xmlns:c15="http://schemas.microsoft.com/office/drawing/2012/chart">
                      <c:ext xmlns:c15="http://schemas.microsoft.com/office/drawing/2012/chart" uri="{02D57815-91ED-43cb-92C2-25804820EDAC}">
                        <c15:formulaRef>
                          <c15:sqref>'activities-data'!$Q$4:$Q$18</c15:sqref>
                        </c15:formulaRef>
                      </c:ext>
                    </c:extLst>
                    <c:numCache>
                      <c:formatCode>0%</c:formatCode>
                      <c:ptCount val="1"/>
                      <c:pt idx="0">
                        <c:v>5.6179775280898875E-2</c:v>
                      </c:pt>
                    </c:numCache>
                  </c:numRef>
                </c:val>
                <c:extLst xmlns:c15="http://schemas.microsoft.com/office/drawing/2012/chart">
                  <c:ext xmlns:c16="http://schemas.microsoft.com/office/drawing/2014/chart" uri="{C3380CC4-5D6E-409C-BE32-E72D297353CC}">
                    <c16:uniqueId val="{00000012-4D9F-45AD-9C93-98D348CC0E96}"/>
                  </c:ext>
                </c:extLst>
              </c15:ser>
            </c15:filteredBarSeries>
            <c15:filteredBarSeries>
              <c15:ser>
                <c:idx val="16"/>
                <c:order val="16"/>
                <c:tx>
                  <c:strRef>
                    <c:extLst xmlns:c15="http://schemas.microsoft.com/office/drawing/2012/chart">
                      <c:ext xmlns:c15="http://schemas.microsoft.com/office/drawing/2012/chart" uri="{02D57815-91ED-43cb-92C2-25804820EDAC}">
                        <c15:formulaRef>
                          <c15:sqref>'activities-data'!$R$3</c15:sqref>
                        </c15:formulaRef>
                      </c:ext>
                    </c:extLst>
                    <c:strCache>
                      <c:ptCount val="1"/>
                      <c:pt idx="0">
                        <c:v>50%</c:v>
                      </c:pt>
                    </c:strCache>
                  </c:strRef>
                </c:tx>
                <c:spPr>
                  <a:solidFill>
                    <a:schemeClr val="accent4">
                      <a:lumMod val="5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en-US"/>
                    </a:p>
                  </c:txPr>
                  <c:dLblPos val="ct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extLst xmlns:c15="http://schemas.microsoft.com/office/drawing/2012/chart">
                      <c:ext xmlns:c15="http://schemas.microsoft.com/office/drawing/2012/chart" uri="{02D57815-91ED-43cb-92C2-25804820EDAC}">
                        <c15:formulaRef>
                          <c15:sqref>'activities-data'!$A$4:$A$18</c15:sqref>
                        </c15:formulaRef>
                      </c:ext>
                    </c:extLst>
                    <c:strCache>
                      <c:ptCount val="1"/>
                      <c:pt idx="0">
                        <c:v>All</c:v>
                      </c:pt>
                    </c:strCache>
                  </c:strRef>
                </c:cat>
                <c:val>
                  <c:numRef>
                    <c:extLst xmlns:c15="http://schemas.microsoft.com/office/drawing/2012/chart">
                      <c:ext xmlns:c15="http://schemas.microsoft.com/office/drawing/2012/chart" uri="{02D57815-91ED-43cb-92C2-25804820EDAC}">
                        <c15:formulaRef>
                          <c15:sqref>'activities-data'!$R$4:$R$18</c15:sqref>
                        </c15:formulaRef>
                      </c:ext>
                    </c:extLst>
                    <c:numCache>
                      <c:formatCode>0%</c:formatCode>
                      <c:ptCount val="1"/>
                      <c:pt idx="0">
                        <c:v>8.186195826645265E-2</c:v>
                      </c:pt>
                    </c:numCache>
                  </c:numRef>
                </c:val>
                <c:extLst xmlns:c15="http://schemas.microsoft.com/office/drawing/2012/chart">
                  <c:ext xmlns:c16="http://schemas.microsoft.com/office/drawing/2014/chart" uri="{C3380CC4-5D6E-409C-BE32-E72D297353CC}">
                    <c16:uniqueId val="{00000013-4D9F-45AD-9C93-98D348CC0E96}"/>
                  </c:ext>
                </c:extLst>
              </c15:ser>
            </c15:filteredBarSeries>
            <c15:filteredBarSeries>
              <c15:ser>
                <c:idx val="17"/>
                <c:order val="17"/>
                <c:tx>
                  <c:strRef>
                    <c:extLst xmlns:c15="http://schemas.microsoft.com/office/drawing/2012/chart">
                      <c:ext xmlns:c15="http://schemas.microsoft.com/office/drawing/2012/chart" uri="{02D57815-91ED-43cb-92C2-25804820EDAC}">
                        <c15:formulaRef>
                          <c15:sqref>'activities-data'!$S$3</c15:sqref>
                        </c15:formulaRef>
                      </c:ext>
                    </c:extLst>
                    <c:strCache>
                      <c:ptCount val="1"/>
                      <c:pt idx="0">
                        <c:v>25%</c:v>
                      </c:pt>
                    </c:strCache>
                  </c:strRef>
                </c:tx>
                <c:spPr>
                  <a:solidFill>
                    <a:schemeClr val="accent6">
                      <a:lumMod val="5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en-US"/>
                    </a:p>
                  </c:txPr>
                  <c:dLblPos val="ct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extLst xmlns:c15="http://schemas.microsoft.com/office/drawing/2012/chart">
                      <c:ext xmlns:c15="http://schemas.microsoft.com/office/drawing/2012/chart" uri="{02D57815-91ED-43cb-92C2-25804820EDAC}">
                        <c15:formulaRef>
                          <c15:sqref>'activities-data'!$A$4:$A$18</c15:sqref>
                        </c15:formulaRef>
                      </c:ext>
                    </c:extLst>
                    <c:strCache>
                      <c:ptCount val="1"/>
                      <c:pt idx="0">
                        <c:v>All</c:v>
                      </c:pt>
                    </c:strCache>
                  </c:strRef>
                </c:cat>
                <c:val>
                  <c:numRef>
                    <c:extLst xmlns:c15="http://schemas.microsoft.com/office/drawing/2012/chart">
                      <c:ext xmlns:c15="http://schemas.microsoft.com/office/drawing/2012/chart" uri="{02D57815-91ED-43cb-92C2-25804820EDAC}">
                        <c15:formulaRef>
                          <c15:sqref>'activities-data'!$S$4:$S$18</c15:sqref>
                        </c15:formulaRef>
                      </c:ext>
                    </c:extLst>
                    <c:numCache>
                      <c:formatCode>0%</c:formatCode>
                      <c:ptCount val="1"/>
                      <c:pt idx="0">
                        <c:v>0.1492776886035313</c:v>
                      </c:pt>
                    </c:numCache>
                  </c:numRef>
                </c:val>
                <c:extLst xmlns:c15="http://schemas.microsoft.com/office/drawing/2012/chart">
                  <c:ext xmlns:c16="http://schemas.microsoft.com/office/drawing/2014/chart" uri="{C3380CC4-5D6E-409C-BE32-E72D297353CC}">
                    <c16:uniqueId val="{00000014-4D9F-45AD-9C93-98D348CC0E96}"/>
                  </c:ext>
                </c:extLst>
              </c15:ser>
            </c15:filteredBarSeries>
            <c15:filteredBarSeries>
              <c15:ser>
                <c:idx val="18"/>
                <c:order val="18"/>
                <c:tx>
                  <c:strRef>
                    <c:extLst xmlns:c15="http://schemas.microsoft.com/office/drawing/2012/chart">
                      <c:ext xmlns:c15="http://schemas.microsoft.com/office/drawing/2012/chart" uri="{02D57815-91ED-43cb-92C2-25804820EDAC}">
                        <c15:formulaRef>
                          <c15:sqref>'activities-data'!$T$3</c15:sqref>
                        </c15:formulaRef>
                      </c:ext>
                    </c:extLst>
                    <c:strCache>
                      <c:ptCount val="1"/>
                      <c:pt idx="0">
                        <c:v>10%</c:v>
                      </c:pt>
                    </c:strCache>
                  </c:strRef>
                </c:tx>
                <c:spPr>
                  <a:solidFill>
                    <a:schemeClr val="accent2">
                      <a:lumMod val="70000"/>
                      <a:lumOff val="3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en-US"/>
                    </a:p>
                  </c:txPr>
                  <c:dLblPos val="ct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extLst xmlns:c15="http://schemas.microsoft.com/office/drawing/2012/chart">
                      <c:ext xmlns:c15="http://schemas.microsoft.com/office/drawing/2012/chart" uri="{02D57815-91ED-43cb-92C2-25804820EDAC}">
                        <c15:formulaRef>
                          <c15:sqref>'activities-data'!$A$4:$A$18</c15:sqref>
                        </c15:formulaRef>
                      </c:ext>
                    </c:extLst>
                    <c:strCache>
                      <c:ptCount val="1"/>
                      <c:pt idx="0">
                        <c:v>All</c:v>
                      </c:pt>
                    </c:strCache>
                  </c:strRef>
                </c:cat>
                <c:val>
                  <c:numRef>
                    <c:extLst xmlns:c15="http://schemas.microsoft.com/office/drawing/2012/chart">
                      <c:ext xmlns:c15="http://schemas.microsoft.com/office/drawing/2012/chart" uri="{02D57815-91ED-43cb-92C2-25804820EDAC}">
                        <c15:formulaRef>
                          <c15:sqref>'activities-data'!$T$4:$T$18</c15:sqref>
                        </c15:formulaRef>
                      </c:ext>
                    </c:extLst>
                    <c:numCache>
                      <c:formatCode>0%</c:formatCode>
                      <c:ptCount val="1"/>
                      <c:pt idx="0">
                        <c:v>0</c:v>
                      </c:pt>
                    </c:numCache>
                  </c:numRef>
                </c:val>
                <c:extLst xmlns:c15="http://schemas.microsoft.com/office/drawing/2012/chart">
                  <c:ext xmlns:c16="http://schemas.microsoft.com/office/drawing/2014/chart" uri="{C3380CC4-5D6E-409C-BE32-E72D297353CC}">
                    <c16:uniqueId val="{00000015-4D9F-45AD-9C93-98D348CC0E96}"/>
                  </c:ext>
                </c:extLst>
              </c15:ser>
            </c15:filteredBarSeries>
            <c15:filteredBarSeries>
              <c15:ser>
                <c:idx val="19"/>
                <c:order val="19"/>
                <c:tx>
                  <c:strRef>
                    <c:extLst xmlns:c15="http://schemas.microsoft.com/office/drawing/2012/chart">
                      <c:ext xmlns:c15="http://schemas.microsoft.com/office/drawing/2012/chart" uri="{02D57815-91ED-43cb-92C2-25804820EDAC}">
                        <c15:formulaRef>
                          <c15:sqref>'activities-data'!$U$3</c15:sqref>
                        </c15:formulaRef>
                      </c:ext>
                    </c:extLst>
                    <c:strCache>
                      <c:ptCount val="1"/>
                      <c:pt idx="0">
                        <c:v>0%</c:v>
                      </c:pt>
                    </c:strCache>
                  </c:strRef>
                </c:tx>
                <c:spPr>
                  <a:solidFill>
                    <a:schemeClr val="accent4">
                      <a:lumMod val="70000"/>
                      <a:lumOff val="3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en-US"/>
                    </a:p>
                  </c:txPr>
                  <c:dLblPos val="ct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extLst xmlns:c15="http://schemas.microsoft.com/office/drawing/2012/chart">
                      <c:ext xmlns:c15="http://schemas.microsoft.com/office/drawing/2012/chart" uri="{02D57815-91ED-43cb-92C2-25804820EDAC}">
                        <c15:formulaRef>
                          <c15:sqref>'activities-data'!$A$4:$A$18</c15:sqref>
                        </c15:formulaRef>
                      </c:ext>
                    </c:extLst>
                    <c:strCache>
                      <c:ptCount val="1"/>
                      <c:pt idx="0">
                        <c:v>All</c:v>
                      </c:pt>
                    </c:strCache>
                  </c:strRef>
                </c:cat>
                <c:val>
                  <c:numRef>
                    <c:extLst xmlns:c15="http://schemas.microsoft.com/office/drawing/2012/chart">
                      <c:ext xmlns:c15="http://schemas.microsoft.com/office/drawing/2012/chart" uri="{02D57815-91ED-43cb-92C2-25804820EDAC}">
                        <c15:formulaRef>
                          <c15:sqref>'activities-data'!$U$4:$U$18</c15:sqref>
                        </c15:formulaRef>
                      </c:ext>
                    </c:extLst>
                    <c:numCache>
                      <c:formatCode>0%</c:formatCode>
                      <c:ptCount val="1"/>
                      <c:pt idx="0">
                        <c:v>0.18298555377207062</c:v>
                      </c:pt>
                    </c:numCache>
                  </c:numRef>
                </c:val>
                <c:extLst xmlns:c15="http://schemas.microsoft.com/office/drawing/2012/chart">
                  <c:ext xmlns:c16="http://schemas.microsoft.com/office/drawing/2014/chart" uri="{C3380CC4-5D6E-409C-BE32-E72D297353CC}">
                    <c16:uniqueId val="{00000016-4D9F-45AD-9C93-98D348CC0E96}"/>
                  </c:ext>
                </c:extLst>
              </c15:ser>
            </c15:filteredBarSeries>
            <c15:filteredBarSeries>
              <c15:ser>
                <c:idx val="23"/>
                <c:order val="23"/>
                <c:tx>
                  <c:strRef>
                    <c:extLst xmlns:c15="http://schemas.microsoft.com/office/drawing/2012/chart">
                      <c:ext xmlns:c15="http://schemas.microsoft.com/office/drawing/2012/chart" uri="{02D57815-91ED-43cb-92C2-25804820EDAC}">
                        <c15:formulaRef>
                          <c15:sqref>'activities-data'!$Y$3</c15:sqref>
                        </c15:formulaRef>
                      </c:ext>
                    </c:extLst>
                    <c:strCache>
                      <c:ptCount val="1"/>
                      <c:pt idx="0">
                        <c:v>100%</c:v>
                      </c:pt>
                    </c:strCache>
                  </c:strRef>
                </c:tx>
                <c:spPr>
                  <a:solidFill>
                    <a:schemeClr val="accent6">
                      <a:lumMod val="7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en-US"/>
                    </a:p>
                  </c:txPr>
                  <c:dLblPos val="ct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extLst xmlns:c15="http://schemas.microsoft.com/office/drawing/2012/chart">
                      <c:ext xmlns:c15="http://schemas.microsoft.com/office/drawing/2012/chart" uri="{02D57815-91ED-43cb-92C2-25804820EDAC}">
                        <c15:formulaRef>
                          <c15:sqref>'activities-data'!$A$4:$A$18</c15:sqref>
                        </c15:formulaRef>
                      </c:ext>
                    </c:extLst>
                    <c:strCache>
                      <c:ptCount val="1"/>
                      <c:pt idx="0">
                        <c:v>All</c:v>
                      </c:pt>
                    </c:strCache>
                  </c:strRef>
                </c:cat>
                <c:val>
                  <c:numRef>
                    <c:extLst xmlns:c15="http://schemas.microsoft.com/office/drawing/2012/chart">
                      <c:ext xmlns:c15="http://schemas.microsoft.com/office/drawing/2012/chart" uri="{02D57815-91ED-43cb-92C2-25804820EDAC}">
                        <c15:formulaRef>
                          <c15:sqref>'activities-data'!$Y$4:$Y$18</c15:sqref>
                        </c15:formulaRef>
                      </c:ext>
                    </c:extLst>
                    <c:numCache>
                      <c:formatCode>0%</c:formatCode>
                      <c:ptCount val="1"/>
                      <c:pt idx="0">
                        <c:v>0.39017341040462428</c:v>
                      </c:pt>
                    </c:numCache>
                  </c:numRef>
                </c:val>
                <c:extLst xmlns:c15="http://schemas.microsoft.com/office/drawing/2012/chart">
                  <c:ext xmlns:c16="http://schemas.microsoft.com/office/drawing/2014/chart" uri="{C3380CC4-5D6E-409C-BE32-E72D297353CC}">
                    <c16:uniqueId val="{00000017-4D9F-45AD-9C93-98D348CC0E96}"/>
                  </c:ext>
                </c:extLst>
              </c15:ser>
            </c15:filteredBarSeries>
            <c15:filteredBarSeries>
              <c15:ser>
                <c:idx val="24"/>
                <c:order val="24"/>
                <c:tx>
                  <c:strRef>
                    <c:extLst xmlns:c15="http://schemas.microsoft.com/office/drawing/2012/chart">
                      <c:ext xmlns:c15="http://schemas.microsoft.com/office/drawing/2012/chart" uri="{02D57815-91ED-43cb-92C2-25804820EDAC}">
                        <c15:formulaRef>
                          <c15:sqref>'activities-data'!$Z$3</c15:sqref>
                        </c15:formulaRef>
                      </c:ext>
                    </c:extLst>
                    <c:strCache>
                      <c:ptCount val="1"/>
                      <c:pt idx="0">
                        <c:v>90%</c:v>
                      </c:pt>
                    </c:strCache>
                  </c:strRef>
                </c:tx>
                <c:spPr>
                  <a:solidFill>
                    <a:schemeClr val="accent2">
                      <a:lumMod val="50000"/>
                      <a:lumOff val="5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en-US"/>
                    </a:p>
                  </c:txPr>
                  <c:dLblPos val="ct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extLst xmlns:c15="http://schemas.microsoft.com/office/drawing/2012/chart">
                      <c:ext xmlns:c15="http://schemas.microsoft.com/office/drawing/2012/chart" uri="{02D57815-91ED-43cb-92C2-25804820EDAC}">
                        <c15:formulaRef>
                          <c15:sqref>'activities-data'!$A$4:$A$18</c15:sqref>
                        </c15:formulaRef>
                      </c:ext>
                    </c:extLst>
                    <c:strCache>
                      <c:ptCount val="1"/>
                      <c:pt idx="0">
                        <c:v>All</c:v>
                      </c:pt>
                    </c:strCache>
                  </c:strRef>
                </c:cat>
                <c:val>
                  <c:numRef>
                    <c:extLst xmlns:c15="http://schemas.microsoft.com/office/drawing/2012/chart">
                      <c:ext xmlns:c15="http://schemas.microsoft.com/office/drawing/2012/chart" uri="{02D57815-91ED-43cb-92C2-25804820EDAC}">
                        <c15:formulaRef>
                          <c15:sqref>'activities-data'!$Z$4:$Z$18</c15:sqref>
                        </c15:formulaRef>
                      </c:ext>
                    </c:extLst>
                    <c:numCache>
                      <c:formatCode>0%</c:formatCode>
                      <c:ptCount val="1"/>
                      <c:pt idx="0">
                        <c:v>2.6011560693641619E-2</c:v>
                      </c:pt>
                    </c:numCache>
                  </c:numRef>
                </c:val>
                <c:extLst xmlns:c15="http://schemas.microsoft.com/office/drawing/2012/chart">
                  <c:ext xmlns:c16="http://schemas.microsoft.com/office/drawing/2014/chart" uri="{C3380CC4-5D6E-409C-BE32-E72D297353CC}">
                    <c16:uniqueId val="{00000018-4D9F-45AD-9C93-98D348CC0E96}"/>
                  </c:ext>
                </c:extLst>
              </c15:ser>
            </c15:filteredBarSeries>
            <c15:filteredBarSeries>
              <c15:ser>
                <c:idx val="25"/>
                <c:order val="25"/>
                <c:tx>
                  <c:strRef>
                    <c:extLst xmlns:c15="http://schemas.microsoft.com/office/drawing/2012/chart">
                      <c:ext xmlns:c15="http://schemas.microsoft.com/office/drawing/2012/chart" uri="{02D57815-91ED-43cb-92C2-25804820EDAC}">
                        <c15:formulaRef>
                          <c15:sqref>'activities-data'!$AA$3</c15:sqref>
                        </c15:formulaRef>
                      </c:ext>
                    </c:extLst>
                    <c:strCache>
                      <c:ptCount val="1"/>
                      <c:pt idx="0">
                        <c:v>75%</c:v>
                      </c:pt>
                    </c:strCache>
                  </c:strRef>
                </c:tx>
                <c:spPr>
                  <a:solidFill>
                    <a:schemeClr val="accent4">
                      <a:lumMod val="50000"/>
                      <a:lumOff val="5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en-US"/>
                    </a:p>
                  </c:txPr>
                  <c:dLblPos val="ct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extLst xmlns:c15="http://schemas.microsoft.com/office/drawing/2012/chart">
                      <c:ext xmlns:c15="http://schemas.microsoft.com/office/drawing/2012/chart" uri="{02D57815-91ED-43cb-92C2-25804820EDAC}">
                        <c15:formulaRef>
                          <c15:sqref>'activities-data'!$A$4:$A$18</c15:sqref>
                        </c15:formulaRef>
                      </c:ext>
                    </c:extLst>
                    <c:strCache>
                      <c:ptCount val="1"/>
                      <c:pt idx="0">
                        <c:v>All</c:v>
                      </c:pt>
                    </c:strCache>
                  </c:strRef>
                </c:cat>
                <c:val>
                  <c:numRef>
                    <c:extLst xmlns:c15="http://schemas.microsoft.com/office/drawing/2012/chart">
                      <c:ext xmlns:c15="http://schemas.microsoft.com/office/drawing/2012/chart" uri="{02D57815-91ED-43cb-92C2-25804820EDAC}">
                        <c15:formulaRef>
                          <c15:sqref>'activities-data'!$AA$4:$AA$18</c15:sqref>
                        </c15:formulaRef>
                      </c:ext>
                    </c:extLst>
                    <c:numCache>
                      <c:formatCode>0%</c:formatCode>
                      <c:ptCount val="1"/>
                      <c:pt idx="0">
                        <c:v>8.6705202312138727E-2</c:v>
                      </c:pt>
                    </c:numCache>
                  </c:numRef>
                </c:val>
                <c:extLst xmlns:c15="http://schemas.microsoft.com/office/drawing/2012/chart">
                  <c:ext xmlns:c16="http://schemas.microsoft.com/office/drawing/2014/chart" uri="{C3380CC4-5D6E-409C-BE32-E72D297353CC}">
                    <c16:uniqueId val="{00000019-4D9F-45AD-9C93-98D348CC0E96}"/>
                  </c:ext>
                </c:extLst>
              </c15:ser>
            </c15:filteredBarSeries>
            <c15:filteredBarSeries>
              <c15:ser>
                <c:idx val="26"/>
                <c:order val="26"/>
                <c:tx>
                  <c:strRef>
                    <c:extLst xmlns:c15="http://schemas.microsoft.com/office/drawing/2012/chart">
                      <c:ext xmlns:c15="http://schemas.microsoft.com/office/drawing/2012/chart" uri="{02D57815-91ED-43cb-92C2-25804820EDAC}">
                        <c15:formulaRef>
                          <c15:sqref>'activities-data'!$AB$3</c15:sqref>
                        </c15:formulaRef>
                      </c:ext>
                    </c:extLst>
                    <c:strCache>
                      <c:ptCount val="1"/>
                      <c:pt idx="0">
                        <c:v>50%</c:v>
                      </c:pt>
                    </c:strCache>
                  </c:strRef>
                </c:tx>
                <c:spPr>
                  <a:solidFill>
                    <a:schemeClr val="accent6">
                      <a:lumMod val="50000"/>
                      <a:lumOff val="5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en-US"/>
                    </a:p>
                  </c:txPr>
                  <c:dLblPos val="ct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extLst xmlns:c15="http://schemas.microsoft.com/office/drawing/2012/chart">
                      <c:ext xmlns:c15="http://schemas.microsoft.com/office/drawing/2012/chart" uri="{02D57815-91ED-43cb-92C2-25804820EDAC}">
                        <c15:formulaRef>
                          <c15:sqref>'activities-data'!$A$4:$A$18</c15:sqref>
                        </c15:formulaRef>
                      </c:ext>
                    </c:extLst>
                    <c:strCache>
                      <c:ptCount val="1"/>
                      <c:pt idx="0">
                        <c:v>All</c:v>
                      </c:pt>
                    </c:strCache>
                  </c:strRef>
                </c:cat>
                <c:val>
                  <c:numRef>
                    <c:extLst xmlns:c15="http://schemas.microsoft.com/office/drawing/2012/chart">
                      <c:ext xmlns:c15="http://schemas.microsoft.com/office/drawing/2012/chart" uri="{02D57815-91ED-43cb-92C2-25804820EDAC}">
                        <c15:formulaRef>
                          <c15:sqref>'activities-data'!$AB$4:$AB$18</c15:sqref>
                        </c15:formulaRef>
                      </c:ext>
                    </c:extLst>
                    <c:numCache>
                      <c:formatCode>0%</c:formatCode>
                      <c:ptCount val="1"/>
                      <c:pt idx="0">
                        <c:v>9.8265895953757232E-2</c:v>
                      </c:pt>
                    </c:numCache>
                  </c:numRef>
                </c:val>
                <c:extLst xmlns:c15="http://schemas.microsoft.com/office/drawing/2012/chart">
                  <c:ext xmlns:c16="http://schemas.microsoft.com/office/drawing/2014/chart" uri="{C3380CC4-5D6E-409C-BE32-E72D297353CC}">
                    <c16:uniqueId val="{0000001A-4D9F-45AD-9C93-98D348CC0E96}"/>
                  </c:ext>
                </c:extLst>
              </c15:ser>
            </c15:filteredBarSeries>
            <c15:filteredBarSeries>
              <c15:ser>
                <c:idx val="27"/>
                <c:order val="27"/>
                <c:tx>
                  <c:strRef>
                    <c:extLst xmlns:c15="http://schemas.microsoft.com/office/drawing/2012/chart">
                      <c:ext xmlns:c15="http://schemas.microsoft.com/office/drawing/2012/chart" uri="{02D57815-91ED-43cb-92C2-25804820EDAC}">
                        <c15:formulaRef>
                          <c15:sqref>'activities-data'!$AC$3</c15:sqref>
                        </c15:formulaRef>
                      </c:ext>
                    </c:extLst>
                    <c:strCache>
                      <c:ptCount val="1"/>
                      <c:pt idx="0">
                        <c:v>25%</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en-US"/>
                    </a:p>
                  </c:txPr>
                  <c:dLblPos val="ct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extLst xmlns:c15="http://schemas.microsoft.com/office/drawing/2012/chart">
                      <c:ext xmlns:c15="http://schemas.microsoft.com/office/drawing/2012/chart" uri="{02D57815-91ED-43cb-92C2-25804820EDAC}">
                        <c15:formulaRef>
                          <c15:sqref>'activities-data'!$A$4:$A$18</c15:sqref>
                        </c15:formulaRef>
                      </c:ext>
                    </c:extLst>
                    <c:strCache>
                      <c:ptCount val="1"/>
                      <c:pt idx="0">
                        <c:v>All</c:v>
                      </c:pt>
                    </c:strCache>
                  </c:strRef>
                </c:cat>
                <c:val>
                  <c:numRef>
                    <c:extLst xmlns:c15="http://schemas.microsoft.com/office/drawing/2012/chart">
                      <c:ext xmlns:c15="http://schemas.microsoft.com/office/drawing/2012/chart" uri="{02D57815-91ED-43cb-92C2-25804820EDAC}">
                        <c15:formulaRef>
                          <c15:sqref>'activities-data'!$AC$4:$AC$18</c15:sqref>
                        </c15:formulaRef>
                      </c:ext>
                    </c:extLst>
                    <c:numCache>
                      <c:formatCode>0%</c:formatCode>
                      <c:ptCount val="1"/>
                      <c:pt idx="0">
                        <c:v>0.12716763005780346</c:v>
                      </c:pt>
                    </c:numCache>
                  </c:numRef>
                </c:val>
                <c:extLst xmlns:c15="http://schemas.microsoft.com/office/drawing/2012/chart">
                  <c:ext xmlns:c16="http://schemas.microsoft.com/office/drawing/2014/chart" uri="{C3380CC4-5D6E-409C-BE32-E72D297353CC}">
                    <c16:uniqueId val="{0000001B-4D9F-45AD-9C93-98D348CC0E96}"/>
                  </c:ext>
                </c:extLst>
              </c15:ser>
            </c15:filteredBarSeries>
            <c15:filteredBarSeries>
              <c15:ser>
                <c:idx val="28"/>
                <c:order val="28"/>
                <c:tx>
                  <c:strRef>
                    <c:extLst xmlns:c15="http://schemas.microsoft.com/office/drawing/2012/chart">
                      <c:ext xmlns:c15="http://schemas.microsoft.com/office/drawing/2012/chart" uri="{02D57815-91ED-43cb-92C2-25804820EDAC}">
                        <c15:formulaRef>
                          <c15:sqref>'activities-data'!$AD$3</c15:sqref>
                        </c15:formulaRef>
                      </c:ext>
                    </c:extLst>
                    <c:strCache>
                      <c:ptCount val="1"/>
                      <c:pt idx="0">
                        <c:v>10%</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en-US"/>
                    </a:p>
                  </c:txPr>
                  <c:dLblPos val="ct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extLst xmlns:c15="http://schemas.microsoft.com/office/drawing/2012/chart">
                      <c:ext xmlns:c15="http://schemas.microsoft.com/office/drawing/2012/chart" uri="{02D57815-91ED-43cb-92C2-25804820EDAC}">
                        <c15:formulaRef>
                          <c15:sqref>'activities-data'!$A$4:$A$18</c15:sqref>
                        </c15:formulaRef>
                      </c:ext>
                    </c:extLst>
                    <c:strCache>
                      <c:ptCount val="1"/>
                      <c:pt idx="0">
                        <c:v>All</c:v>
                      </c:pt>
                    </c:strCache>
                  </c:strRef>
                </c:cat>
                <c:val>
                  <c:numRef>
                    <c:extLst xmlns:c15="http://schemas.microsoft.com/office/drawing/2012/chart">
                      <c:ext xmlns:c15="http://schemas.microsoft.com/office/drawing/2012/chart" uri="{02D57815-91ED-43cb-92C2-25804820EDAC}">
                        <c15:formulaRef>
                          <c15:sqref>'activities-data'!$AD$4:$AD$18</c15:sqref>
                        </c15:formulaRef>
                      </c:ext>
                    </c:extLst>
                    <c:numCache>
                      <c:formatCode>0%</c:formatCode>
                      <c:ptCount val="1"/>
                      <c:pt idx="0">
                        <c:v>0</c:v>
                      </c:pt>
                    </c:numCache>
                  </c:numRef>
                </c:val>
                <c:extLst xmlns:c15="http://schemas.microsoft.com/office/drawing/2012/chart">
                  <c:ext xmlns:c16="http://schemas.microsoft.com/office/drawing/2014/chart" uri="{C3380CC4-5D6E-409C-BE32-E72D297353CC}">
                    <c16:uniqueId val="{0000001C-4D9F-45AD-9C93-98D348CC0E96}"/>
                  </c:ext>
                </c:extLst>
              </c15:ser>
            </c15:filteredBarSeries>
            <c15:filteredBarSeries>
              <c15:ser>
                <c:idx val="29"/>
                <c:order val="29"/>
                <c:tx>
                  <c:strRef>
                    <c:extLst xmlns:c15="http://schemas.microsoft.com/office/drawing/2012/chart">
                      <c:ext xmlns:c15="http://schemas.microsoft.com/office/drawing/2012/chart" uri="{02D57815-91ED-43cb-92C2-25804820EDAC}">
                        <c15:formulaRef>
                          <c15:sqref>'activities-data'!$AE$3</c15:sqref>
                        </c15:formulaRef>
                      </c:ext>
                    </c:extLst>
                    <c:strCache>
                      <c:ptCount val="1"/>
                      <c:pt idx="0">
                        <c:v>0%</c:v>
                      </c:pt>
                    </c:strCache>
                  </c:strRef>
                </c:tx>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en-US"/>
                    </a:p>
                  </c:txPr>
                  <c:dLblPos val="ct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extLst xmlns:c15="http://schemas.microsoft.com/office/drawing/2012/chart">
                      <c:ext xmlns:c15="http://schemas.microsoft.com/office/drawing/2012/chart" uri="{02D57815-91ED-43cb-92C2-25804820EDAC}">
                        <c15:formulaRef>
                          <c15:sqref>'activities-data'!$A$4:$A$18</c15:sqref>
                        </c15:formulaRef>
                      </c:ext>
                    </c:extLst>
                    <c:strCache>
                      <c:ptCount val="1"/>
                      <c:pt idx="0">
                        <c:v>All</c:v>
                      </c:pt>
                    </c:strCache>
                  </c:strRef>
                </c:cat>
                <c:val>
                  <c:numRef>
                    <c:extLst xmlns:c15="http://schemas.microsoft.com/office/drawing/2012/chart">
                      <c:ext xmlns:c15="http://schemas.microsoft.com/office/drawing/2012/chart" uri="{02D57815-91ED-43cb-92C2-25804820EDAC}">
                        <c15:formulaRef>
                          <c15:sqref>'activities-data'!$AE$4:$AE$18</c15:sqref>
                        </c15:formulaRef>
                      </c:ext>
                    </c:extLst>
                    <c:numCache>
                      <c:formatCode>0%</c:formatCode>
                      <c:ptCount val="1"/>
                      <c:pt idx="0">
                        <c:v>0.26589595375722541</c:v>
                      </c:pt>
                    </c:numCache>
                  </c:numRef>
                </c:val>
                <c:extLst xmlns:c15="http://schemas.microsoft.com/office/drawing/2012/chart">
                  <c:ext xmlns:c16="http://schemas.microsoft.com/office/drawing/2014/chart" uri="{C3380CC4-5D6E-409C-BE32-E72D297353CC}">
                    <c16:uniqueId val="{0000001D-4D9F-45AD-9C93-98D348CC0E96}"/>
                  </c:ext>
                </c:extLst>
              </c15:ser>
            </c15:filteredBarSeries>
          </c:ext>
        </c:extLst>
      </c:barChart>
      <c:catAx>
        <c:axId val="610520992"/>
        <c:scaling>
          <c:orientation val="maxMin"/>
        </c:scaling>
        <c:delete val="0"/>
        <c:axPos val="l"/>
        <c:majorGridlines>
          <c:spPr>
            <a:ln w="9525" cap="flat" cmpd="sng" algn="ctr">
              <a:solidFill>
                <a:schemeClr val="tx1">
                  <a:lumMod val="15000"/>
                  <a:lumOff val="85000"/>
                </a:schemeClr>
              </a:solidFill>
              <a:round/>
            </a:ln>
            <a:effectLst/>
          </c:spPr>
        </c:majorGridlines>
        <c:minorGridlines>
          <c:spPr>
            <a:ln>
              <a:solidFill>
                <a:schemeClr val="tx1">
                  <a:lumMod val="5000"/>
                  <a:lumOff val="95000"/>
                </a:schemeClr>
              </a:solidFill>
            </a:ln>
            <a:effectLst/>
          </c:spPr>
        </c:minorGridlines>
        <c:numFmt formatCode="General" sourceLinked="1"/>
        <c:majorTickMark val="none"/>
        <c:minorTickMark val="none"/>
        <c:tickLblPos val="nextTo"/>
        <c:spPr>
          <a:noFill/>
          <a:ln w="9525" cap="rnd"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cap="all" spc="120" normalizeH="0" baseline="0">
                <a:solidFill>
                  <a:schemeClr val="tx1"/>
                </a:solidFill>
                <a:latin typeface="+mn-lt"/>
                <a:ea typeface="+mn-ea"/>
                <a:cs typeface="+mn-cs"/>
              </a:defRPr>
            </a:pPr>
            <a:endParaRPr lang="en-US"/>
          </a:p>
        </c:txPr>
        <c:crossAx val="610522632"/>
        <c:crosses val="autoZero"/>
        <c:auto val="1"/>
        <c:lblAlgn val="ctr"/>
        <c:lblOffset val="100"/>
        <c:noMultiLvlLbl val="0"/>
      </c:catAx>
      <c:valAx>
        <c:axId val="610522632"/>
        <c:scaling>
          <c:orientation val="minMax"/>
        </c:scaling>
        <c:delete val="1"/>
        <c:axPos val="t"/>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crossAx val="610520992"/>
        <c:crosses val="autoZero"/>
        <c:crossBetween val="between"/>
      </c:valAx>
      <c:spPr>
        <a:noFill/>
        <a:ln>
          <a:noFill/>
        </a:ln>
        <a:effectLst/>
      </c:spPr>
    </c:plotArea>
    <c:legend>
      <c:legendPos val="t"/>
      <c:layout>
        <c:manualLayout>
          <c:xMode val="edge"/>
          <c:yMode val="edge"/>
          <c:x val="0.22202066087892861"/>
          <c:y val="0.30029769860006161"/>
          <c:w val="0.60971868901002757"/>
          <c:h val="6.4702752976098038E-2"/>
        </c:manualLayout>
      </c:layout>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6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4"/>
    </mc:Choice>
    <mc:Fallback>
      <c:style val="4"/>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Topic Area - Customized Employment  Activity #5</a:t>
            </a:r>
          </a:p>
        </c:rich>
      </c:tx>
      <c:layout>
        <c:manualLayout>
          <c:xMode val="edge"/>
          <c:yMode val="edge"/>
          <c:x val="0.20401584330345343"/>
          <c:y val="0"/>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6017916604892113"/>
          <c:y val="0.23265365094271845"/>
          <c:w val="0.78942722632790041"/>
          <c:h val="0.66602748393145406"/>
        </c:manualLayout>
      </c:layout>
      <c:barChart>
        <c:barDir val="col"/>
        <c:grouping val="percentStacked"/>
        <c:varyColors val="0"/>
        <c:ser>
          <c:idx val="3"/>
          <c:order val="3"/>
          <c:tx>
            <c:strRef>
              <c:f>'individual-chart-ce'!$F$2</c:f>
              <c:strCache>
                <c:ptCount val="1"/>
                <c:pt idx="0">
                  <c:v>Completed</c:v>
                </c:pt>
              </c:strCache>
            </c:strRef>
          </c:tx>
          <c:spPr>
            <a:solidFill>
              <a:srgbClr val="99221F"/>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800" b="0"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'individual-chart-ce'!$B$3:$B$46</c:f>
              <c:strCache>
                <c:ptCount val="2"/>
                <c:pt idx="0">
                  <c:v>Activity</c:v>
                </c:pt>
                <c:pt idx="1">
                  <c:v>Outputs</c:v>
                </c:pt>
              </c:strCache>
              <c:extLst/>
            </c:strRef>
          </c:cat>
          <c:val>
            <c:numRef>
              <c:f>'individual-chart-ce'!$F$3:$F$46</c:f>
              <c:numCache>
                <c:formatCode>0%</c:formatCode>
                <c:ptCount val="2"/>
                <c:pt idx="0">
                  <c:v>0.69230769230769229</c:v>
                </c:pt>
                <c:pt idx="1">
                  <c:v>0.69230769230769229</c:v>
                </c:pt>
              </c:numCache>
              <c:extLst/>
            </c:numRef>
          </c:val>
          <c:extLst>
            <c:ext xmlns:c16="http://schemas.microsoft.com/office/drawing/2014/chart" uri="{C3380CC4-5D6E-409C-BE32-E72D297353CC}">
              <c16:uniqueId val="{00000000-F94A-499E-A729-D605DDB0F488}"/>
            </c:ext>
          </c:extLst>
        </c:ser>
        <c:ser>
          <c:idx val="4"/>
          <c:order val="4"/>
          <c:tx>
            <c:strRef>
              <c:f>'individual-chart-ce'!$G$2</c:f>
              <c:strCache>
                <c:ptCount val="1"/>
                <c:pt idx="0">
                  <c:v>90%</c:v>
                </c:pt>
              </c:strCache>
            </c:strRef>
          </c:tx>
          <c:spPr>
            <a:solidFill>
              <a:srgbClr val="D73D39"/>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'individual-chart-ce'!$B$3:$B$46</c:f>
              <c:strCache>
                <c:ptCount val="2"/>
                <c:pt idx="0">
                  <c:v>Activity</c:v>
                </c:pt>
                <c:pt idx="1">
                  <c:v>Outputs</c:v>
                </c:pt>
              </c:strCache>
              <c:extLst/>
            </c:strRef>
          </c:cat>
          <c:val>
            <c:numRef>
              <c:f>'individual-chart-ce'!$G$3:$G$46</c:f>
              <c:numCache>
                <c:formatCode>General</c:formatCode>
                <c:ptCount val="2"/>
              </c:numCache>
              <c:extLst/>
            </c:numRef>
          </c:val>
          <c:extLst>
            <c:ext xmlns:c16="http://schemas.microsoft.com/office/drawing/2014/chart" uri="{C3380CC4-5D6E-409C-BE32-E72D297353CC}">
              <c16:uniqueId val="{00000001-F94A-499E-A729-D605DDB0F488}"/>
            </c:ext>
          </c:extLst>
        </c:ser>
        <c:ser>
          <c:idx val="5"/>
          <c:order val="5"/>
          <c:tx>
            <c:strRef>
              <c:f>'individual-chart-ce'!$H$2</c:f>
              <c:strCache>
                <c:ptCount val="1"/>
                <c:pt idx="0">
                  <c:v>75%</c:v>
                </c:pt>
              </c:strCache>
            </c:strRef>
          </c:tx>
          <c:spPr>
            <a:solidFill>
              <a:srgbClr val="DC535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'individual-chart-ce'!$B$3:$B$46</c:f>
              <c:strCache>
                <c:ptCount val="2"/>
                <c:pt idx="0">
                  <c:v>Activity</c:v>
                </c:pt>
                <c:pt idx="1">
                  <c:v>Outputs</c:v>
                </c:pt>
              </c:strCache>
              <c:extLst/>
            </c:strRef>
          </c:cat>
          <c:val>
            <c:numRef>
              <c:f>'individual-chart-ce'!$H$3:$H$46</c:f>
              <c:numCache>
                <c:formatCode>General</c:formatCode>
                <c:ptCount val="2"/>
              </c:numCache>
              <c:extLst/>
            </c:numRef>
          </c:val>
          <c:extLst>
            <c:ext xmlns:c16="http://schemas.microsoft.com/office/drawing/2014/chart" uri="{C3380CC4-5D6E-409C-BE32-E72D297353CC}">
              <c16:uniqueId val="{00000002-F94A-499E-A729-D605DDB0F488}"/>
            </c:ext>
          </c:extLst>
        </c:ser>
        <c:ser>
          <c:idx val="6"/>
          <c:order val="6"/>
          <c:tx>
            <c:strRef>
              <c:f>'individual-chart-ce'!$I$2</c:f>
              <c:strCache>
                <c:ptCount val="1"/>
                <c:pt idx="0">
                  <c:v>50%</c:v>
                </c:pt>
              </c:strCache>
            </c:strRef>
          </c:tx>
          <c:spPr>
            <a:solidFill>
              <a:srgbClr val="EBA19F"/>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'individual-chart-ce'!$B$3:$B$46</c:f>
              <c:strCache>
                <c:ptCount val="2"/>
                <c:pt idx="0">
                  <c:v>Activity</c:v>
                </c:pt>
                <c:pt idx="1">
                  <c:v>Outputs</c:v>
                </c:pt>
              </c:strCache>
              <c:extLst/>
            </c:strRef>
          </c:cat>
          <c:val>
            <c:numRef>
              <c:f>'individual-chart-ce'!$I$3:$I$46</c:f>
              <c:numCache>
                <c:formatCode>0%</c:formatCode>
                <c:ptCount val="2"/>
                <c:pt idx="0">
                  <c:v>0.15384615384615385</c:v>
                </c:pt>
                <c:pt idx="1">
                  <c:v>7.6923076923076927E-2</c:v>
                </c:pt>
              </c:numCache>
              <c:extLst/>
            </c:numRef>
          </c:val>
          <c:extLst>
            <c:ext xmlns:c16="http://schemas.microsoft.com/office/drawing/2014/chart" uri="{C3380CC4-5D6E-409C-BE32-E72D297353CC}">
              <c16:uniqueId val="{00000003-F94A-499E-A729-D605DDB0F488}"/>
            </c:ext>
          </c:extLst>
        </c:ser>
        <c:ser>
          <c:idx val="7"/>
          <c:order val="7"/>
          <c:tx>
            <c:strRef>
              <c:f>'individual-chart-ce'!$J$2</c:f>
              <c:strCache>
                <c:ptCount val="1"/>
                <c:pt idx="0">
                  <c:v>25%</c:v>
                </c:pt>
              </c:strCache>
            </c:strRef>
          </c:tx>
          <c:spPr>
            <a:solidFill>
              <a:srgbClr val="F3C6C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'individual-chart-ce'!$B$3:$B$46</c:f>
              <c:strCache>
                <c:ptCount val="2"/>
                <c:pt idx="0">
                  <c:v>Activity</c:v>
                </c:pt>
                <c:pt idx="1">
                  <c:v>Outputs</c:v>
                </c:pt>
              </c:strCache>
              <c:extLst/>
            </c:strRef>
          </c:cat>
          <c:val>
            <c:numRef>
              <c:f>'individual-chart-ce'!$J$3:$J$46</c:f>
              <c:numCache>
                <c:formatCode>0%</c:formatCode>
                <c:ptCount val="2"/>
                <c:pt idx="0">
                  <c:v>0.15384615384615385</c:v>
                </c:pt>
                <c:pt idx="1">
                  <c:v>0.23076923076923078</c:v>
                </c:pt>
              </c:numCache>
              <c:extLst/>
            </c:numRef>
          </c:val>
          <c:extLst>
            <c:ext xmlns:c16="http://schemas.microsoft.com/office/drawing/2014/chart" uri="{C3380CC4-5D6E-409C-BE32-E72D297353CC}">
              <c16:uniqueId val="{00000004-F94A-499E-A729-D605DDB0F488}"/>
            </c:ext>
          </c:extLst>
        </c:ser>
        <c:ser>
          <c:idx val="8"/>
          <c:order val="8"/>
          <c:tx>
            <c:strRef>
              <c:f>'individual-chart-ce'!$K$2</c:f>
              <c:strCache>
                <c:ptCount val="1"/>
                <c:pt idx="0">
                  <c:v>10%</c:v>
                </c:pt>
              </c:strCache>
            </c:strRef>
          </c:tx>
          <c:spPr>
            <a:solidFill>
              <a:schemeClr val="accent2">
                <a:tint val="56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'individual-chart-ce'!$B$3:$B$46</c:f>
              <c:strCache>
                <c:ptCount val="2"/>
                <c:pt idx="0">
                  <c:v>Activity</c:v>
                </c:pt>
                <c:pt idx="1">
                  <c:v>Outputs</c:v>
                </c:pt>
              </c:strCache>
              <c:extLst/>
            </c:strRef>
          </c:cat>
          <c:val>
            <c:numRef>
              <c:f>'individual-chart-ce'!$K$3:$K$46</c:f>
              <c:numCache>
                <c:formatCode>General</c:formatCode>
                <c:ptCount val="2"/>
              </c:numCache>
              <c:extLst/>
            </c:numRef>
          </c:val>
          <c:extLst>
            <c:ext xmlns:c16="http://schemas.microsoft.com/office/drawing/2014/chart" uri="{C3380CC4-5D6E-409C-BE32-E72D297353CC}">
              <c16:uniqueId val="{00000005-F94A-499E-A729-D605DDB0F488}"/>
            </c:ext>
          </c:extLst>
        </c:ser>
        <c:ser>
          <c:idx val="9"/>
          <c:order val="9"/>
          <c:tx>
            <c:strRef>
              <c:f>'individual-chart-ce'!$L$2</c:f>
              <c:strCache>
                <c:ptCount val="1"/>
                <c:pt idx="0">
                  <c:v>Not Started</c:v>
                </c:pt>
              </c:strCache>
            </c:strRef>
          </c:tx>
          <c:spPr>
            <a:solidFill>
              <a:srgbClr val="FCF2F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'individual-chart-ce'!$B$3:$B$46</c:f>
              <c:strCache>
                <c:ptCount val="2"/>
                <c:pt idx="0">
                  <c:v>Activity</c:v>
                </c:pt>
                <c:pt idx="1">
                  <c:v>Outputs</c:v>
                </c:pt>
              </c:strCache>
              <c:extLst/>
            </c:strRef>
          </c:cat>
          <c:val>
            <c:numRef>
              <c:f>'individual-chart-ce'!$L$3:$L$46</c:f>
              <c:numCache>
                <c:formatCode>General</c:formatCode>
                <c:ptCount val="2"/>
              </c:numCache>
              <c:extLst/>
            </c:numRef>
          </c:val>
          <c:extLst>
            <c:ext xmlns:c16="http://schemas.microsoft.com/office/drawing/2014/chart" uri="{C3380CC4-5D6E-409C-BE32-E72D297353CC}">
              <c16:uniqueId val="{00000006-F94A-499E-A729-D605DDB0F488}"/>
            </c:ext>
          </c:extLst>
        </c:ser>
        <c:dLbls>
          <c:dLblPos val="ctr"/>
          <c:showLegendKey val="0"/>
          <c:showVal val="1"/>
          <c:showCatName val="0"/>
          <c:showSerName val="0"/>
          <c:showPercent val="0"/>
          <c:showBubbleSize val="0"/>
        </c:dLbls>
        <c:gapWidth val="150"/>
        <c:overlap val="100"/>
        <c:axId val="790958128"/>
        <c:axId val="790961408"/>
        <c:extLst>
          <c:ext xmlns:c15="http://schemas.microsoft.com/office/drawing/2012/chart" uri="{02D57815-91ED-43cb-92C2-25804820EDAC}">
            <c15:filteredBarSeries>
              <c15:ser>
                <c:idx val="0"/>
                <c:order val="0"/>
                <c:tx>
                  <c:strRef>
                    <c:extLst>
                      <c:ext uri="{02D57815-91ED-43cb-92C2-25804820EDAC}">
                        <c15:formulaRef>
                          <c15:sqref>'individual-chart-ce'!$C$2</c15:sqref>
                        </c15:formulaRef>
                      </c:ext>
                    </c:extLst>
                    <c:strCache>
                      <c:ptCount val="1"/>
                      <c:pt idx="0">
                        <c:v>Completed</c:v>
                      </c:pt>
                    </c:strCache>
                  </c:strRef>
                </c:tx>
                <c:spPr>
                  <a:solidFill>
                    <a:schemeClr val="accent2">
                      <a:shade val="42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c:ext uri="{02D57815-91ED-43cb-92C2-25804820EDAC}">
                        <c15:formulaRef>
                          <c15:sqref>'individual-chart-ce'!$B$3:$B$46</c15:sqref>
                        </c15:formulaRef>
                      </c:ext>
                    </c:extLst>
                    <c:strCache>
                      <c:ptCount val="2"/>
                      <c:pt idx="0">
                        <c:v>Activity</c:v>
                      </c:pt>
                      <c:pt idx="1">
                        <c:v>Outputs</c:v>
                      </c:pt>
                    </c:strCache>
                  </c:strRef>
                </c:cat>
                <c:val>
                  <c:numRef>
                    <c:extLst>
                      <c:ext uri="{02D57815-91ED-43cb-92C2-25804820EDAC}">
                        <c15:formulaRef>
                          <c15:sqref>'individual-chart-ce'!$C$3:$C$46</c15:sqref>
                        </c15:formulaRef>
                      </c:ext>
                    </c:extLst>
                    <c:numCache>
                      <c:formatCode>0%</c:formatCode>
                      <c:ptCount val="2"/>
                      <c:pt idx="0">
                        <c:v>0.69230769230769229</c:v>
                      </c:pt>
                      <c:pt idx="1">
                        <c:v>0.69230769230769229</c:v>
                      </c:pt>
                    </c:numCache>
                  </c:numRef>
                </c:val>
                <c:extLst>
                  <c:ext xmlns:c16="http://schemas.microsoft.com/office/drawing/2014/chart" uri="{C3380CC4-5D6E-409C-BE32-E72D297353CC}">
                    <c16:uniqueId val="{00000007-F94A-499E-A729-D605DDB0F488}"/>
                  </c:ext>
                </c:extLst>
              </c15:ser>
            </c15:filteredBarSeries>
            <c15:filteredBarSeries>
              <c15:ser>
                <c:idx val="1"/>
                <c:order val="1"/>
                <c:tx>
                  <c:strRef>
                    <c:extLst xmlns:c15="http://schemas.microsoft.com/office/drawing/2012/chart">
                      <c:ext xmlns:c15="http://schemas.microsoft.com/office/drawing/2012/chart" uri="{02D57815-91ED-43cb-92C2-25804820EDAC}">
                        <c15:formulaRef>
                          <c15:sqref>'individual-chart-ce'!$D$2</c15:sqref>
                        </c15:formulaRef>
                      </c:ext>
                    </c:extLst>
                    <c:strCache>
                      <c:ptCount val="1"/>
                      <c:pt idx="0">
                        <c:v>In progress</c:v>
                      </c:pt>
                    </c:strCache>
                  </c:strRef>
                </c:tx>
                <c:spPr>
                  <a:solidFill>
                    <a:schemeClr val="accent2">
                      <a:shade val="5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'individual-chart-ce'!$B$3:$B$46</c15:sqref>
                        </c15:formulaRef>
                      </c:ext>
                    </c:extLst>
                    <c:strCache>
                      <c:ptCount val="2"/>
                      <c:pt idx="0">
                        <c:v>Activity</c:v>
                      </c:pt>
                      <c:pt idx="1">
                        <c:v>Outputs</c:v>
                      </c:pt>
                    </c:strCache>
                  </c:strRef>
                </c:cat>
                <c:val>
                  <c:numRef>
                    <c:extLst xmlns:c15="http://schemas.microsoft.com/office/drawing/2012/chart">
                      <c:ext xmlns:c15="http://schemas.microsoft.com/office/drawing/2012/chart" uri="{02D57815-91ED-43cb-92C2-25804820EDAC}">
                        <c15:formulaRef>
                          <c15:sqref>'individual-chart-ce'!$D$3:$D$46</c15:sqref>
                        </c15:formulaRef>
                      </c:ext>
                    </c:extLst>
                    <c:numCache>
                      <c:formatCode>0%</c:formatCode>
                      <c:ptCount val="2"/>
                      <c:pt idx="0">
                        <c:v>0.30769230769230771</c:v>
                      </c:pt>
                      <c:pt idx="1">
                        <c:v>0.30769230769230771</c:v>
                      </c:pt>
                    </c:numCache>
                  </c:numRef>
                </c:val>
                <c:extLst xmlns:c15="http://schemas.microsoft.com/office/drawing/2012/chart">
                  <c:ext xmlns:c16="http://schemas.microsoft.com/office/drawing/2014/chart" uri="{C3380CC4-5D6E-409C-BE32-E72D297353CC}">
                    <c16:uniqueId val="{00000008-F94A-499E-A729-D605DDB0F488}"/>
                  </c:ext>
                </c:extLst>
              </c15:ser>
            </c15:filteredBarSeries>
            <c15:filteredBarSeries>
              <c15:ser>
                <c:idx val="2"/>
                <c:order val="2"/>
                <c:tx>
                  <c:strRef>
                    <c:extLst xmlns:c15="http://schemas.microsoft.com/office/drawing/2012/chart">
                      <c:ext xmlns:c15="http://schemas.microsoft.com/office/drawing/2012/chart" uri="{02D57815-91ED-43cb-92C2-25804820EDAC}">
                        <c15:formulaRef>
                          <c15:sqref>'individual-chart-ce'!$E$2</c15:sqref>
                        </c15:formulaRef>
                      </c:ext>
                    </c:extLst>
                    <c:strCache>
                      <c:ptCount val="1"/>
                      <c:pt idx="0">
                        <c:v>Not started</c:v>
                      </c:pt>
                    </c:strCache>
                  </c:strRef>
                </c:tx>
                <c:spPr>
                  <a:solidFill>
                    <a:schemeClr val="accent2">
                      <a:shade val="68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'individual-chart-ce'!$B$3:$B$46</c15:sqref>
                        </c15:formulaRef>
                      </c:ext>
                    </c:extLst>
                    <c:strCache>
                      <c:ptCount val="2"/>
                      <c:pt idx="0">
                        <c:v>Activity</c:v>
                      </c:pt>
                      <c:pt idx="1">
                        <c:v>Outputs</c:v>
                      </c:pt>
                    </c:strCache>
                  </c:strRef>
                </c:cat>
                <c:val>
                  <c:numRef>
                    <c:extLst xmlns:c15="http://schemas.microsoft.com/office/drawing/2012/chart">
                      <c:ext xmlns:c15="http://schemas.microsoft.com/office/drawing/2012/chart" uri="{02D57815-91ED-43cb-92C2-25804820EDAC}">
                        <c15:formulaRef>
                          <c15:sqref>'individual-chart-ce'!$E$3:$E$46</c15:sqref>
                        </c15:formulaRef>
                      </c:ext>
                    </c:extLst>
                    <c:numCache>
                      <c:formatCode>General</c:formatCode>
                      <c:ptCount val="2"/>
                    </c:numCache>
                  </c:numRef>
                </c:val>
                <c:extLst xmlns:c15="http://schemas.microsoft.com/office/drawing/2012/chart">
                  <c:ext xmlns:c16="http://schemas.microsoft.com/office/drawing/2014/chart" uri="{C3380CC4-5D6E-409C-BE32-E72D297353CC}">
                    <c16:uniqueId val="{00000009-F94A-499E-A729-D605DDB0F488}"/>
                  </c:ext>
                </c:extLst>
              </c15:ser>
            </c15:filteredBarSeries>
          </c:ext>
        </c:extLst>
      </c:barChart>
      <c:catAx>
        <c:axId val="7909581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n-US"/>
          </a:p>
        </c:txPr>
        <c:crossAx val="790961408"/>
        <c:crosses val="autoZero"/>
        <c:auto val="1"/>
        <c:lblAlgn val="ctr"/>
        <c:lblOffset val="100"/>
        <c:noMultiLvlLbl val="0"/>
      </c:catAx>
      <c:valAx>
        <c:axId val="790961408"/>
        <c:scaling>
          <c:orientation val="minMax"/>
          <c:min val="0"/>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90958128"/>
        <c:crossesAt val="1"/>
        <c:crossBetween val="between"/>
      </c:valAx>
      <c:spPr>
        <a:noFill/>
        <a:ln>
          <a:noFill/>
        </a:ln>
        <a:effectLst/>
      </c:spPr>
    </c:plotArea>
    <c:legend>
      <c:legendPos val="t"/>
      <c:layout>
        <c:manualLayout>
          <c:xMode val="edge"/>
          <c:yMode val="edge"/>
          <c:x val="0.16878354491402861"/>
          <c:y val="0.14071530758226036"/>
          <c:w val="0.78488188976377948"/>
          <c:h val="8.3691663005643596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userShapes r:id="rId5"/>
</c:chartSpace>
</file>

<file path=word/charts/chart6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4"/>
    </mc:Choice>
    <mc:Fallback>
      <c:style val="4"/>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Topic Area - Customized Employment  Activity #6</a:t>
            </a:r>
          </a:p>
        </c:rich>
      </c:tx>
      <c:layout>
        <c:manualLayout>
          <c:xMode val="edge"/>
          <c:yMode val="edge"/>
          <c:x val="0.20401584330345343"/>
          <c:y val="0"/>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6017916604892113"/>
          <c:y val="0.23265365094271845"/>
          <c:w val="0.78942722632790041"/>
          <c:h val="0.66602748393145406"/>
        </c:manualLayout>
      </c:layout>
      <c:barChart>
        <c:barDir val="col"/>
        <c:grouping val="percentStacked"/>
        <c:varyColors val="0"/>
        <c:ser>
          <c:idx val="3"/>
          <c:order val="3"/>
          <c:tx>
            <c:strRef>
              <c:f>'individual-chart-ce'!$F$2</c:f>
              <c:strCache>
                <c:ptCount val="1"/>
                <c:pt idx="0">
                  <c:v>Completed</c:v>
                </c:pt>
              </c:strCache>
            </c:strRef>
          </c:tx>
          <c:spPr>
            <a:solidFill>
              <a:srgbClr val="99221F"/>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800" b="0"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'individual-chart-ce'!$B$3:$B$46</c:f>
              <c:strCache>
                <c:ptCount val="2"/>
                <c:pt idx="0">
                  <c:v>Activity</c:v>
                </c:pt>
                <c:pt idx="1">
                  <c:v>Outputs</c:v>
                </c:pt>
              </c:strCache>
              <c:extLst/>
            </c:strRef>
          </c:cat>
          <c:val>
            <c:numRef>
              <c:f>'individual-chart-ce'!$F$3:$F$46</c:f>
              <c:numCache>
                <c:formatCode>0%</c:formatCode>
                <c:ptCount val="2"/>
                <c:pt idx="0">
                  <c:v>0.5</c:v>
                </c:pt>
                <c:pt idx="1">
                  <c:v>0.5</c:v>
                </c:pt>
              </c:numCache>
              <c:extLst/>
            </c:numRef>
          </c:val>
          <c:extLst>
            <c:ext xmlns:c16="http://schemas.microsoft.com/office/drawing/2014/chart" uri="{C3380CC4-5D6E-409C-BE32-E72D297353CC}">
              <c16:uniqueId val="{00000000-09A9-4519-9B70-7E96F7A16242}"/>
            </c:ext>
          </c:extLst>
        </c:ser>
        <c:ser>
          <c:idx val="4"/>
          <c:order val="4"/>
          <c:tx>
            <c:strRef>
              <c:f>'individual-chart-ce'!$G$2</c:f>
              <c:strCache>
                <c:ptCount val="1"/>
                <c:pt idx="0">
                  <c:v>90%</c:v>
                </c:pt>
              </c:strCache>
            </c:strRef>
          </c:tx>
          <c:spPr>
            <a:solidFill>
              <a:srgbClr val="D73D39"/>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'individual-chart-ce'!$B$3:$B$46</c:f>
              <c:strCache>
                <c:ptCount val="2"/>
                <c:pt idx="0">
                  <c:v>Activity</c:v>
                </c:pt>
                <c:pt idx="1">
                  <c:v>Outputs</c:v>
                </c:pt>
              </c:strCache>
              <c:extLst/>
            </c:strRef>
          </c:cat>
          <c:val>
            <c:numRef>
              <c:f>'individual-chart-ce'!$G$3:$G$46</c:f>
              <c:numCache>
                <c:formatCode>General</c:formatCode>
                <c:ptCount val="2"/>
              </c:numCache>
              <c:extLst/>
            </c:numRef>
          </c:val>
          <c:extLst>
            <c:ext xmlns:c16="http://schemas.microsoft.com/office/drawing/2014/chart" uri="{C3380CC4-5D6E-409C-BE32-E72D297353CC}">
              <c16:uniqueId val="{00000001-09A9-4519-9B70-7E96F7A16242}"/>
            </c:ext>
          </c:extLst>
        </c:ser>
        <c:ser>
          <c:idx val="5"/>
          <c:order val="5"/>
          <c:tx>
            <c:strRef>
              <c:f>'individual-chart-ce'!$H$2</c:f>
              <c:strCache>
                <c:ptCount val="1"/>
                <c:pt idx="0">
                  <c:v>75%</c:v>
                </c:pt>
              </c:strCache>
            </c:strRef>
          </c:tx>
          <c:spPr>
            <a:solidFill>
              <a:srgbClr val="DC535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'individual-chart-ce'!$B$3:$B$46</c:f>
              <c:strCache>
                <c:ptCount val="2"/>
                <c:pt idx="0">
                  <c:v>Activity</c:v>
                </c:pt>
                <c:pt idx="1">
                  <c:v>Outputs</c:v>
                </c:pt>
              </c:strCache>
              <c:extLst/>
            </c:strRef>
          </c:cat>
          <c:val>
            <c:numRef>
              <c:f>'individual-chart-ce'!$H$3:$H$46</c:f>
              <c:numCache>
                <c:formatCode>General</c:formatCode>
                <c:ptCount val="2"/>
              </c:numCache>
              <c:extLst/>
            </c:numRef>
          </c:val>
          <c:extLst>
            <c:ext xmlns:c16="http://schemas.microsoft.com/office/drawing/2014/chart" uri="{C3380CC4-5D6E-409C-BE32-E72D297353CC}">
              <c16:uniqueId val="{00000002-09A9-4519-9B70-7E96F7A16242}"/>
            </c:ext>
          </c:extLst>
        </c:ser>
        <c:ser>
          <c:idx val="6"/>
          <c:order val="6"/>
          <c:tx>
            <c:strRef>
              <c:f>'individual-chart-ce'!$I$2</c:f>
              <c:strCache>
                <c:ptCount val="1"/>
                <c:pt idx="0">
                  <c:v>50%</c:v>
                </c:pt>
              </c:strCache>
            </c:strRef>
          </c:tx>
          <c:spPr>
            <a:solidFill>
              <a:srgbClr val="EBA19F"/>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'individual-chart-ce'!$B$3:$B$46</c:f>
              <c:strCache>
                <c:ptCount val="2"/>
                <c:pt idx="0">
                  <c:v>Activity</c:v>
                </c:pt>
                <c:pt idx="1">
                  <c:v>Outputs</c:v>
                </c:pt>
              </c:strCache>
              <c:extLst/>
            </c:strRef>
          </c:cat>
          <c:val>
            <c:numRef>
              <c:f>'individual-chart-ce'!$I$3:$I$46</c:f>
              <c:numCache>
                <c:formatCode>General</c:formatCode>
                <c:ptCount val="2"/>
                <c:pt idx="0" formatCode="0%">
                  <c:v>0.1</c:v>
                </c:pt>
              </c:numCache>
              <c:extLst/>
            </c:numRef>
          </c:val>
          <c:extLst>
            <c:ext xmlns:c16="http://schemas.microsoft.com/office/drawing/2014/chart" uri="{C3380CC4-5D6E-409C-BE32-E72D297353CC}">
              <c16:uniqueId val="{00000003-09A9-4519-9B70-7E96F7A16242}"/>
            </c:ext>
          </c:extLst>
        </c:ser>
        <c:ser>
          <c:idx val="7"/>
          <c:order val="7"/>
          <c:tx>
            <c:strRef>
              <c:f>'individual-chart-ce'!$J$2</c:f>
              <c:strCache>
                <c:ptCount val="1"/>
                <c:pt idx="0">
                  <c:v>25%</c:v>
                </c:pt>
              </c:strCache>
            </c:strRef>
          </c:tx>
          <c:spPr>
            <a:solidFill>
              <a:srgbClr val="F3C6C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'individual-chart-ce'!$B$3:$B$46</c:f>
              <c:strCache>
                <c:ptCount val="2"/>
                <c:pt idx="0">
                  <c:v>Activity</c:v>
                </c:pt>
                <c:pt idx="1">
                  <c:v>Outputs</c:v>
                </c:pt>
              </c:strCache>
              <c:extLst/>
            </c:strRef>
          </c:cat>
          <c:val>
            <c:numRef>
              <c:f>'individual-chart-ce'!$J$3:$J$46</c:f>
              <c:numCache>
                <c:formatCode>0%</c:formatCode>
                <c:ptCount val="2"/>
                <c:pt idx="0">
                  <c:v>0.3</c:v>
                </c:pt>
                <c:pt idx="1">
                  <c:v>0.4</c:v>
                </c:pt>
              </c:numCache>
              <c:extLst/>
            </c:numRef>
          </c:val>
          <c:extLst>
            <c:ext xmlns:c16="http://schemas.microsoft.com/office/drawing/2014/chart" uri="{C3380CC4-5D6E-409C-BE32-E72D297353CC}">
              <c16:uniqueId val="{00000004-09A9-4519-9B70-7E96F7A16242}"/>
            </c:ext>
          </c:extLst>
        </c:ser>
        <c:ser>
          <c:idx val="8"/>
          <c:order val="8"/>
          <c:tx>
            <c:strRef>
              <c:f>'individual-chart-ce'!$K$2</c:f>
              <c:strCache>
                <c:ptCount val="1"/>
                <c:pt idx="0">
                  <c:v>10%</c:v>
                </c:pt>
              </c:strCache>
            </c:strRef>
          </c:tx>
          <c:spPr>
            <a:solidFill>
              <a:schemeClr val="accent2">
                <a:tint val="56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'individual-chart-ce'!$B$3:$B$46</c:f>
              <c:strCache>
                <c:ptCount val="2"/>
                <c:pt idx="0">
                  <c:v>Activity</c:v>
                </c:pt>
                <c:pt idx="1">
                  <c:v>Outputs</c:v>
                </c:pt>
              </c:strCache>
              <c:extLst/>
            </c:strRef>
          </c:cat>
          <c:val>
            <c:numRef>
              <c:f>'individual-chart-ce'!$K$3:$K$46</c:f>
              <c:numCache>
                <c:formatCode>General</c:formatCode>
                <c:ptCount val="2"/>
              </c:numCache>
              <c:extLst/>
            </c:numRef>
          </c:val>
          <c:extLst>
            <c:ext xmlns:c16="http://schemas.microsoft.com/office/drawing/2014/chart" uri="{C3380CC4-5D6E-409C-BE32-E72D297353CC}">
              <c16:uniqueId val="{00000005-09A9-4519-9B70-7E96F7A16242}"/>
            </c:ext>
          </c:extLst>
        </c:ser>
        <c:ser>
          <c:idx val="9"/>
          <c:order val="9"/>
          <c:tx>
            <c:strRef>
              <c:f>'individual-chart-ce'!$L$2</c:f>
              <c:strCache>
                <c:ptCount val="1"/>
                <c:pt idx="0">
                  <c:v>Not Started</c:v>
                </c:pt>
              </c:strCache>
            </c:strRef>
          </c:tx>
          <c:spPr>
            <a:solidFill>
              <a:srgbClr val="FCF2F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'individual-chart-ce'!$B$3:$B$46</c:f>
              <c:strCache>
                <c:ptCount val="2"/>
                <c:pt idx="0">
                  <c:v>Activity</c:v>
                </c:pt>
                <c:pt idx="1">
                  <c:v>Outputs</c:v>
                </c:pt>
              </c:strCache>
              <c:extLst/>
            </c:strRef>
          </c:cat>
          <c:val>
            <c:numRef>
              <c:f>'individual-chart-ce'!$L$3:$L$46</c:f>
              <c:numCache>
                <c:formatCode>0%</c:formatCode>
                <c:ptCount val="2"/>
                <c:pt idx="0">
                  <c:v>0.1</c:v>
                </c:pt>
                <c:pt idx="1">
                  <c:v>0.1</c:v>
                </c:pt>
              </c:numCache>
              <c:extLst/>
            </c:numRef>
          </c:val>
          <c:extLst>
            <c:ext xmlns:c16="http://schemas.microsoft.com/office/drawing/2014/chart" uri="{C3380CC4-5D6E-409C-BE32-E72D297353CC}">
              <c16:uniqueId val="{00000006-09A9-4519-9B70-7E96F7A16242}"/>
            </c:ext>
          </c:extLst>
        </c:ser>
        <c:dLbls>
          <c:dLblPos val="ctr"/>
          <c:showLegendKey val="0"/>
          <c:showVal val="1"/>
          <c:showCatName val="0"/>
          <c:showSerName val="0"/>
          <c:showPercent val="0"/>
          <c:showBubbleSize val="0"/>
        </c:dLbls>
        <c:gapWidth val="150"/>
        <c:overlap val="100"/>
        <c:axId val="790958128"/>
        <c:axId val="790961408"/>
        <c:extLst>
          <c:ext xmlns:c15="http://schemas.microsoft.com/office/drawing/2012/chart" uri="{02D57815-91ED-43cb-92C2-25804820EDAC}">
            <c15:filteredBarSeries>
              <c15:ser>
                <c:idx val="0"/>
                <c:order val="0"/>
                <c:tx>
                  <c:strRef>
                    <c:extLst>
                      <c:ext uri="{02D57815-91ED-43cb-92C2-25804820EDAC}">
                        <c15:formulaRef>
                          <c15:sqref>'individual-chart-ce'!$C$2</c15:sqref>
                        </c15:formulaRef>
                      </c:ext>
                    </c:extLst>
                    <c:strCache>
                      <c:ptCount val="1"/>
                      <c:pt idx="0">
                        <c:v>Completed</c:v>
                      </c:pt>
                    </c:strCache>
                  </c:strRef>
                </c:tx>
                <c:spPr>
                  <a:solidFill>
                    <a:schemeClr val="accent2">
                      <a:shade val="42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c:ext uri="{02D57815-91ED-43cb-92C2-25804820EDAC}">
                        <c15:formulaRef>
                          <c15:sqref>'individual-chart-ce'!$B$3:$B$46</c15:sqref>
                        </c15:formulaRef>
                      </c:ext>
                    </c:extLst>
                    <c:strCache>
                      <c:ptCount val="2"/>
                      <c:pt idx="0">
                        <c:v>Activity</c:v>
                      </c:pt>
                      <c:pt idx="1">
                        <c:v>Outputs</c:v>
                      </c:pt>
                    </c:strCache>
                  </c:strRef>
                </c:cat>
                <c:val>
                  <c:numRef>
                    <c:extLst>
                      <c:ext uri="{02D57815-91ED-43cb-92C2-25804820EDAC}">
                        <c15:formulaRef>
                          <c15:sqref>'individual-chart-ce'!$C$3:$C$46</c15:sqref>
                        </c15:formulaRef>
                      </c:ext>
                    </c:extLst>
                    <c:numCache>
                      <c:formatCode>0%</c:formatCode>
                      <c:ptCount val="2"/>
                      <c:pt idx="0">
                        <c:v>0.5</c:v>
                      </c:pt>
                      <c:pt idx="1">
                        <c:v>0.5</c:v>
                      </c:pt>
                    </c:numCache>
                  </c:numRef>
                </c:val>
                <c:extLst>
                  <c:ext xmlns:c16="http://schemas.microsoft.com/office/drawing/2014/chart" uri="{C3380CC4-5D6E-409C-BE32-E72D297353CC}">
                    <c16:uniqueId val="{00000007-09A9-4519-9B70-7E96F7A16242}"/>
                  </c:ext>
                </c:extLst>
              </c15:ser>
            </c15:filteredBarSeries>
            <c15:filteredBarSeries>
              <c15:ser>
                <c:idx val="1"/>
                <c:order val="1"/>
                <c:tx>
                  <c:strRef>
                    <c:extLst xmlns:c15="http://schemas.microsoft.com/office/drawing/2012/chart">
                      <c:ext xmlns:c15="http://schemas.microsoft.com/office/drawing/2012/chart" uri="{02D57815-91ED-43cb-92C2-25804820EDAC}">
                        <c15:formulaRef>
                          <c15:sqref>'individual-chart-ce'!$D$2</c15:sqref>
                        </c15:formulaRef>
                      </c:ext>
                    </c:extLst>
                    <c:strCache>
                      <c:ptCount val="1"/>
                      <c:pt idx="0">
                        <c:v>In progress</c:v>
                      </c:pt>
                    </c:strCache>
                  </c:strRef>
                </c:tx>
                <c:spPr>
                  <a:solidFill>
                    <a:schemeClr val="accent2">
                      <a:shade val="5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'individual-chart-ce'!$B$3:$B$46</c15:sqref>
                        </c15:formulaRef>
                      </c:ext>
                    </c:extLst>
                    <c:strCache>
                      <c:ptCount val="2"/>
                      <c:pt idx="0">
                        <c:v>Activity</c:v>
                      </c:pt>
                      <c:pt idx="1">
                        <c:v>Outputs</c:v>
                      </c:pt>
                    </c:strCache>
                  </c:strRef>
                </c:cat>
                <c:val>
                  <c:numRef>
                    <c:extLst xmlns:c15="http://schemas.microsoft.com/office/drawing/2012/chart">
                      <c:ext xmlns:c15="http://schemas.microsoft.com/office/drawing/2012/chart" uri="{02D57815-91ED-43cb-92C2-25804820EDAC}">
                        <c15:formulaRef>
                          <c15:sqref>'individual-chart-ce'!$D$3:$D$46</c15:sqref>
                        </c15:formulaRef>
                      </c:ext>
                    </c:extLst>
                    <c:numCache>
                      <c:formatCode>0%</c:formatCode>
                      <c:ptCount val="2"/>
                      <c:pt idx="0">
                        <c:v>0.4</c:v>
                      </c:pt>
                      <c:pt idx="1">
                        <c:v>0.4</c:v>
                      </c:pt>
                    </c:numCache>
                  </c:numRef>
                </c:val>
                <c:extLst xmlns:c15="http://schemas.microsoft.com/office/drawing/2012/chart">
                  <c:ext xmlns:c16="http://schemas.microsoft.com/office/drawing/2014/chart" uri="{C3380CC4-5D6E-409C-BE32-E72D297353CC}">
                    <c16:uniqueId val="{00000008-09A9-4519-9B70-7E96F7A16242}"/>
                  </c:ext>
                </c:extLst>
              </c15:ser>
            </c15:filteredBarSeries>
            <c15:filteredBarSeries>
              <c15:ser>
                <c:idx val="2"/>
                <c:order val="2"/>
                <c:tx>
                  <c:strRef>
                    <c:extLst xmlns:c15="http://schemas.microsoft.com/office/drawing/2012/chart">
                      <c:ext xmlns:c15="http://schemas.microsoft.com/office/drawing/2012/chart" uri="{02D57815-91ED-43cb-92C2-25804820EDAC}">
                        <c15:formulaRef>
                          <c15:sqref>'individual-chart-ce'!$E$2</c15:sqref>
                        </c15:formulaRef>
                      </c:ext>
                    </c:extLst>
                    <c:strCache>
                      <c:ptCount val="1"/>
                      <c:pt idx="0">
                        <c:v>Not started</c:v>
                      </c:pt>
                    </c:strCache>
                  </c:strRef>
                </c:tx>
                <c:spPr>
                  <a:solidFill>
                    <a:schemeClr val="accent2">
                      <a:shade val="68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'individual-chart-ce'!$B$3:$B$46</c15:sqref>
                        </c15:formulaRef>
                      </c:ext>
                    </c:extLst>
                    <c:strCache>
                      <c:ptCount val="2"/>
                      <c:pt idx="0">
                        <c:v>Activity</c:v>
                      </c:pt>
                      <c:pt idx="1">
                        <c:v>Outputs</c:v>
                      </c:pt>
                    </c:strCache>
                  </c:strRef>
                </c:cat>
                <c:val>
                  <c:numRef>
                    <c:extLst xmlns:c15="http://schemas.microsoft.com/office/drawing/2012/chart">
                      <c:ext xmlns:c15="http://schemas.microsoft.com/office/drawing/2012/chart" uri="{02D57815-91ED-43cb-92C2-25804820EDAC}">
                        <c15:formulaRef>
                          <c15:sqref>'individual-chart-ce'!$E$3:$E$46</c15:sqref>
                        </c15:formulaRef>
                      </c:ext>
                    </c:extLst>
                    <c:numCache>
                      <c:formatCode>0%</c:formatCode>
                      <c:ptCount val="2"/>
                      <c:pt idx="0">
                        <c:v>0.1</c:v>
                      </c:pt>
                      <c:pt idx="1">
                        <c:v>0.1</c:v>
                      </c:pt>
                    </c:numCache>
                  </c:numRef>
                </c:val>
                <c:extLst xmlns:c15="http://schemas.microsoft.com/office/drawing/2012/chart">
                  <c:ext xmlns:c16="http://schemas.microsoft.com/office/drawing/2014/chart" uri="{C3380CC4-5D6E-409C-BE32-E72D297353CC}">
                    <c16:uniqueId val="{00000009-09A9-4519-9B70-7E96F7A16242}"/>
                  </c:ext>
                </c:extLst>
              </c15:ser>
            </c15:filteredBarSeries>
          </c:ext>
        </c:extLst>
      </c:barChart>
      <c:catAx>
        <c:axId val="7909581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n-US"/>
          </a:p>
        </c:txPr>
        <c:crossAx val="790961408"/>
        <c:crosses val="autoZero"/>
        <c:auto val="1"/>
        <c:lblAlgn val="ctr"/>
        <c:lblOffset val="100"/>
        <c:noMultiLvlLbl val="0"/>
      </c:catAx>
      <c:valAx>
        <c:axId val="790961408"/>
        <c:scaling>
          <c:orientation val="minMax"/>
          <c:min val="0"/>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90958128"/>
        <c:crossesAt val="1"/>
        <c:crossBetween val="between"/>
      </c:valAx>
      <c:spPr>
        <a:noFill/>
        <a:ln>
          <a:noFill/>
        </a:ln>
        <a:effectLst/>
      </c:spPr>
    </c:plotArea>
    <c:legend>
      <c:legendPos val="t"/>
      <c:layout>
        <c:manualLayout>
          <c:xMode val="edge"/>
          <c:yMode val="edge"/>
          <c:x val="0.16878354491402861"/>
          <c:y val="0.14071530758226036"/>
          <c:w val="0.78488188976377948"/>
          <c:h val="8.3691663005643596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userShapes r:id="rId5"/>
</c:chartSpace>
</file>

<file path=word/charts/chart6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4"/>
    </mc:Choice>
    <mc:Fallback>
      <c:style val="4"/>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Topic Area - Customized Employment  Activity #7</a:t>
            </a:r>
          </a:p>
        </c:rich>
      </c:tx>
      <c:layout>
        <c:manualLayout>
          <c:xMode val="edge"/>
          <c:yMode val="edge"/>
          <c:x val="0.20401584330345343"/>
          <c:y val="0"/>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6017916604892113"/>
          <c:y val="0.23265365094271845"/>
          <c:w val="0.78942722632790041"/>
          <c:h val="0.66602748393145406"/>
        </c:manualLayout>
      </c:layout>
      <c:barChart>
        <c:barDir val="col"/>
        <c:grouping val="percentStacked"/>
        <c:varyColors val="0"/>
        <c:ser>
          <c:idx val="3"/>
          <c:order val="3"/>
          <c:tx>
            <c:strRef>
              <c:f>'individual-chart-ce'!$F$2</c:f>
              <c:strCache>
                <c:ptCount val="1"/>
                <c:pt idx="0">
                  <c:v>Completed</c:v>
                </c:pt>
              </c:strCache>
            </c:strRef>
          </c:tx>
          <c:spPr>
            <a:solidFill>
              <a:srgbClr val="99221F"/>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800" b="0"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'individual-chart-ce'!$B$3:$B$46</c:f>
              <c:strCache>
                <c:ptCount val="2"/>
                <c:pt idx="0">
                  <c:v>Activity</c:v>
                </c:pt>
                <c:pt idx="1">
                  <c:v>Outputs</c:v>
                </c:pt>
              </c:strCache>
              <c:extLst/>
            </c:strRef>
          </c:cat>
          <c:val>
            <c:numRef>
              <c:f>'individual-chart-ce'!$F$3:$F$46</c:f>
              <c:numCache>
                <c:formatCode>0%</c:formatCode>
                <c:ptCount val="2"/>
                <c:pt idx="0">
                  <c:v>0.75</c:v>
                </c:pt>
                <c:pt idx="1">
                  <c:v>0.75</c:v>
                </c:pt>
              </c:numCache>
              <c:extLst/>
            </c:numRef>
          </c:val>
          <c:extLst>
            <c:ext xmlns:c16="http://schemas.microsoft.com/office/drawing/2014/chart" uri="{C3380CC4-5D6E-409C-BE32-E72D297353CC}">
              <c16:uniqueId val="{00000000-69CD-42AA-9EC2-DAD66FF575FD}"/>
            </c:ext>
          </c:extLst>
        </c:ser>
        <c:ser>
          <c:idx val="4"/>
          <c:order val="4"/>
          <c:tx>
            <c:strRef>
              <c:f>'individual-chart-ce'!$G$2</c:f>
              <c:strCache>
                <c:ptCount val="1"/>
                <c:pt idx="0">
                  <c:v>90%</c:v>
                </c:pt>
              </c:strCache>
            </c:strRef>
          </c:tx>
          <c:spPr>
            <a:solidFill>
              <a:srgbClr val="D73D39"/>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'individual-chart-ce'!$B$3:$B$46</c:f>
              <c:strCache>
                <c:ptCount val="2"/>
                <c:pt idx="0">
                  <c:v>Activity</c:v>
                </c:pt>
                <c:pt idx="1">
                  <c:v>Outputs</c:v>
                </c:pt>
              </c:strCache>
              <c:extLst/>
            </c:strRef>
          </c:cat>
          <c:val>
            <c:numRef>
              <c:f>'individual-chart-ce'!$G$3:$G$46</c:f>
              <c:numCache>
                <c:formatCode>General</c:formatCode>
                <c:ptCount val="2"/>
              </c:numCache>
              <c:extLst/>
            </c:numRef>
          </c:val>
          <c:extLst>
            <c:ext xmlns:c16="http://schemas.microsoft.com/office/drawing/2014/chart" uri="{C3380CC4-5D6E-409C-BE32-E72D297353CC}">
              <c16:uniqueId val="{00000001-69CD-42AA-9EC2-DAD66FF575FD}"/>
            </c:ext>
          </c:extLst>
        </c:ser>
        <c:ser>
          <c:idx val="5"/>
          <c:order val="5"/>
          <c:tx>
            <c:strRef>
              <c:f>'individual-chart-ce'!$H$2</c:f>
              <c:strCache>
                <c:ptCount val="1"/>
                <c:pt idx="0">
                  <c:v>75%</c:v>
                </c:pt>
              </c:strCache>
            </c:strRef>
          </c:tx>
          <c:spPr>
            <a:solidFill>
              <a:srgbClr val="DC535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'individual-chart-ce'!$B$3:$B$46</c:f>
              <c:strCache>
                <c:ptCount val="2"/>
                <c:pt idx="0">
                  <c:v>Activity</c:v>
                </c:pt>
                <c:pt idx="1">
                  <c:v>Outputs</c:v>
                </c:pt>
              </c:strCache>
              <c:extLst/>
            </c:strRef>
          </c:cat>
          <c:val>
            <c:numRef>
              <c:f>'individual-chart-ce'!$H$3:$H$46</c:f>
              <c:numCache>
                <c:formatCode>General</c:formatCode>
                <c:ptCount val="2"/>
              </c:numCache>
              <c:extLst/>
            </c:numRef>
          </c:val>
          <c:extLst>
            <c:ext xmlns:c16="http://schemas.microsoft.com/office/drawing/2014/chart" uri="{C3380CC4-5D6E-409C-BE32-E72D297353CC}">
              <c16:uniqueId val="{00000002-69CD-42AA-9EC2-DAD66FF575FD}"/>
            </c:ext>
          </c:extLst>
        </c:ser>
        <c:ser>
          <c:idx val="6"/>
          <c:order val="6"/>
          <c:tx>
            <c:strRef>
              <c:f>'individual-chart-ce'!$I$2</c:f>
              <c:strCache>
                <c:ptCount val="1"/>
                <c:pt idx="0">
                  <c:v>50%</c:v>
                </c:pt>
              </c:strCache>
            </c:strRef>
          </c:tx>
          <c:spPr>
            <a:solidFill>
              <a:srgbClr val="EBA19F"/>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'individual-chart-ce'!$B$3:$B$46</c:f>
              <c:strCache>
                <c:ptCount val="2"/>
                <c:pt idx="0">
                  <c:v>Activity</c:v>
                </c:pt>
                <c:pt idx="1">
                  <c:v>Outputs</c:v>
                </c:pt>
              </c:strCache>
              <c:extLst/>
            </c:strRef>
          </c:cat>
          <c:val>
            <c:numRef>
              <c:f>'individual-chart-ce'!$I$3:$I$46</c:f>
              <c:numCache>
                <c:formatCode>General</c:formatCode>
                <c:ptCount val="2"/>
              </c:numCache>
              <c:extLst/>
            </c:numRef>
          </c:val>
          <c:extLst>
            <c:ext xmlns:c16="http://schemas.microsoft.com/office/drawing/2014/chart" uri="{C3380CC4-5D6E-409C-BE32-E72D297353CC}">
              <c16:uniqueId val="{00000003-69CD-42AA-9EC2-DAD66FF575FD}"/>
            </c:ext>
          </c:extLst>
        </c:ser>
        <c:ser>
          <c:idx val="7"/>
          <c:order val="7"/>
          <c:tx>
            <c:strRef>
              <c:f>'individual-chart-ce'!$J$2</c:f>
              <c:strCache>
                <c:ptCount val="1"/>
                <c:pt idx="0">
                  <c:v>25%</c:v>
                </c:pt>
              </c:strCache>
            </c:strRef>
          </c:tx>
          <c:spPr>
            <a:solidFill>
              <a:srgbClr val="F3C6C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'individual-chart-ce'!$B$3:$B$46</c:f>
              <c:strCache>
                <c:ptCount val="2"/>
                <c:pt idx="0">
                  <c:v>Activity</c:v>
                </c:pt>
                <c:pt idx="1">
                  <c:v>Outputs</c:v>
                </c:pt>
              </c:strCache>
              <c:extLst/>
            </c:strRef>
          </c:cat>
          <c:val>
            <c:numRef>
              <c:f>'individual-chart-ce'!$J$3:$J$46</c:f>
              <c:numCache>
                <c:formatCode>0%</c:formatCode>
                <c:ptCount val="2"/>
                <c:pt idx="0">
                  <c:v>0.25</c:v>
                </c:pt>
                <c:pt idx="1">
                  <c:v>0.25</c:v>
                </c:pt>
              </c:numCache>
              <c:extLst/>
            </c:numRef>
          </c:val>
          <c:extLst>
            <c:ext xmlns:c16="http://schemas.microsoft.com/office/drawing/2014/chart" uri="{C3380CC4-5D6E-409C-BE32-E72D297353CC}">
              <c16:uniqueId val="{00000004-69CD-42AA-9EC2-DAD66FF575FD}"/>
            </c:ext>
          </c:extLst>
        </c:ser>
        <c:ser>
          <c:idx val="8"/>
          <c:order val="8"/>
          <c:tx>
            <c:strRef>
              <c:f>'individual-chart-ce'!$K$2</c:f>
              <c:strCache>
                <c:ptCount val="1"/>
                <c:pt idx="0">
                  <c:v>10%</c:v>
                </c:pt>
              </c:strCache>
            </c:strRef>
          </c:tx>
          <c:spPr>
            <a:solidFill>
              <a:schemeClr val="accent2">
                <a:tint val="56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'individual-chart-ce'!$B$3:$B$46</c:f>
              <c:strCache>
                <c:ptCount val="2"/>
                <c:pt idx="0">
                  <c:v>Activity</c:v>
                </c:pt>
                <c:pt idx="1">
                  <c:v>Outputs</c:v>
                </c:pt>
              </c:strCache>
              <c:extLst/>
            </c:strRef>
          </c:cat>
          <c:val>
            <c:numRef>
              <c:f>'individual-chart-ce'!$K$3:$K$46</c:f>
              <c:numCache>
                <c:formatCode>General</c:formatCode>
                <c:ptCount val="2"/>
              </c:numCache>
              <c:extLst/>
            </c:numRef>
          </c:val>
          <c:extLst>
            <c:ext xmlns:c16="http://schemas.microsoft.com/office/drawing/2014/chart" uri="{C3380CC4-5D6E-409C-BE32-E72D297353CC}">
              <c16:uniqueId val="{00000005-69CD-42AA-9EC2-DAD66FF575FD}"/>
            </c:ext>
          </c:extLst>
        </c:ser>
        <c:ser>
          <c:idx val="9"/>
          <c:order val="9"/>
          <c:tx>
            <c:strRef>
              <c:f>'individual-chart-ce'!$L$2</c:f>
              <c:strCache>
                <c:ptCount val="1"/>
                <c:pt idx="0">
                  <c:v>Not Started</c:v>
                </c:pt>
              </c:strCache>
            </c:strRef>
          </c:tx>
          <c:spPr>
            <a:solidFill>
              <a:srgbClr val="FCF2F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'individual-chart-ce'!$B$3:$B$46</c:f>
              <c:strCache>
                <c:ptCount val="2"/>
                <c:pt idx="0">
                  <c:v>Activity</c:v>
                </c:pt>
                <c:pt idx="1">
                  <c:v>Outputs</c:v>
                </c:pt>
              </c:strCache>
              <c:extLst/>
            </c:strRef>
          </c:cat>
          <c:val>
            <c:numRef>
              <c:f>'individual-chart-ce'!$L$3:$L$46</c:f>
              <c:numCache>
                <c:formatCode>General</c:formatCode>
                <c:ptCount val="2"/>
              </c:numCache>
              <c:extLst/>
            </c:numRef>
          </c:val>
          <c:extLst>
            <c:ext xmlns:c16="http://schemas.microsoft.com/office/drawing/2014/chart" uri="{C3380CC4-5D6E-409C-BE32-E72D297353CC}">
              <c16:uniqueId val="{00000006-69CD-42AA-9EC2-DAD66FF575FD}"/>
            </c:ext>
          </c:extLst>
        </c:ser>
        <c:dLbls>
          <c:dLblPos val="ctr"/>
          <c:showLegendKey val="0"/>
          <c:showVal val="1"/>
          <c:showCatName val="0"/>
          <c:showSerName val="0"/>
          <c:showPercent val="0"/>
          <c:showBubbleSize val="0"/>
        </c:dLbls>
        <c:gapWidth val="150"/>
        <c:overlap val="100"/>
        <c:axId val="790958128"/>
        <c:axId val="790961408"/>
        <c:extLst>
          <c:ext xmlns:c15="http://schemas.microsoft.com/office/drawing/2012/chart" uri="{02D57815-91ED-43cb-92C2-25804820EDAC}">
            <c15:filteredBarSeries>
              <c15:ser>
                <c:idx val="0"/>
                <c:order val="0"/>
                <c:tx>
                  <c:strRef>
                    <c:extLst>
                      <c:ext uri="{02D57815-91ED-43cb-92C2-25804820EDAC}">
                        <c15:formulaRef>
                          <c15:sqref>'individual-chart-ce'!$C$2</c15:sqref>
                        </c15:formulaRef>
                      </c:ext>
                    </c:extLst>
                    <c:strCache>
                      <c:ptCount val="1"/>
                      <c:pt idx="0">
                        <c:v>Completed</c:v>
                      </c:pt>
                    </c:strCache>
                  </c:strRef>
                </c:tx>
                <c:spPr>
                  <a:solidFill>
                    <a:schemeClr val="accent2">
                      <a:shade val="42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c:ext uri="{02D57815-91ED-43cb-92C2-25804820EDAC}">
                        <c15:formulaRef>
                          <c15:sqref>'individual-chart-ce'!$B$3:$B$46</c15:sqref>
                        </c15:formulaRef>
                      </c:ext>
                    </c:extLst>
                    <c:strCache>
                      <c:ptCount val="2"/>
                      <c:pt idx="0">
                        <c:v>Activity</c:v>
                      </c:pt>
                      <c:pt idx="1">
                        <c:v>Outputs</c:v>
                      </c:pt>
                    </c:strCache>
                  </c:strRef>
                </c:cat>
                <c:val>
                  <c:numRef>
                    <c:extLst>
                      <c:ext uri="{02D57815-91ED-43cb-92C2-25804820EDAC}">
                        <c15:formulaRef>
                          <c15:sqref>'individual-chart-ce'!$C$3:$C$46</c15:sqref>
                        </c15:formulaRef>
                      </c:ext>
                    </c:extLst>
                    <c:numCache>
                      <c:formatCode>0%</c:formatCode>
                      <c:ptCount val="2"/>
                      <c:pt idx="0">
                        <c:v>0.75</c:v>
                      </c:pt>
                      <c:pt idx="1">
                        <c:v>0.75</c:v>
                      </c:pt>
                    </c:numCache>
                  </c:numRef>
                </c:val>
                <c:extLst>
                  <c:ext xmlns:c16="http://schemas.microsoft.com/office/drawing/2014/chart" uri="{C3380CC4-5D6E-409C-BE32-E72D297353CC}">
                    <c16:uniqueId val="{00000007-69CD-42AA-9EC2-DAD66FF575FD}"/>
                  </c:ext>
                </c:extLst>
              </c15:ser>
            </c15:filteredBarSeries>
            <c15:filteredBarSeries>
              <c15:ser>
                <c:idx val="1"/>
                <c:order val="1"/>
                <c:tx>
                  <c:strRef>
                    <c:extLst xmlns:c15="http://schemas.microsoft.com/office/drawing/2012/chart">
                      <c:ext xmlns:c15="http://schemas.microsoft.com/office/drawing/2012/chart" uri="{02D57815-91ED-43cb-92C2-25804820EDAC}">
                        <c15:formulaRef>
                          <c15:sqref>'individual-chart-ce'!$D$2</c15:sqref>
                        </c15:formulaRef>
                      </c:ext>
                    </c:extLst>
                    <c:strCache>
                      <c:ptCount val="1"/>
                      <c:pt idx="0">
                        <c:v>In progress</c:v>
                      </c:pt>
                    </c:strCache>
                  </c:strRef>
                </c:tx>
                <c:spPr>
                  <a:solidFill>
                    <a:schemeClr val="accent2">
                      <a:shade val="5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'individual-chart-ce'!$B$3:$B$46</c15:sqref>
                        </c15:formulaRef>
                      </c:ext>
                    </c:extLst>
                    <c:strCache>
                      <c:ptCount val="2"/>
                      <c:pt idx="0">
                        <c:v>Activity</c:v>
                      </c:pt>
                      <c:pt idx="1">
                        <c:v>Outputs</c:v>
                      </c:pt>
                    </c:strCache>
                  </c:strRef>
                </c:cat>
                <c:val>
                  <c:numRef>
                    <c:extLst xmlns:c15="http://schemas.microsoft.com/office/drawing/2012/chart">
                      <c:ext xmlns:c15="http://schemas.microsoft.com/office/drawing/2012/chart" uri="{02D57815-91ED-43cb-92C2-25804820EDAC}">
                        <c15:formulaRef>
                          <c15:sqref>'individual-chart-ce'!$D$3:$D$46</c15:sqref>
                        </c15:formulaRef>
                      </c:ext>
                    </c:extLst>
                    <c:numCache>
                      <c:formatCode>0%</c:formatCode>
                      <c:ptCount val="2"/>
                      <c:pt idx="0">
                        <c:v>0.25</c:v>
                      </c:pt>
                      <c:pt idx="1">
                        <c:v>0.25</c:v>
                      </c:pt>
                    </c:numCache>
                  </c:numRef>
                </c:val>
                <c:extLst xmlns:c15="http://schemas.microsoft.com/office/drawing/2012/chart">
                  <c:ext xmlns:c16="http://schemas.microsoft.com/office/drawing/2014/chart" uri="{C3380CC4-5D6E-409C-BE32-E72D297353CC}">
                    <c16:uniqueId val="{00000008-69CD-42AA-9EC2-DAD66FF575FD}"/>
                  </c:ext>
                </c:extLst>
              </c15:ser>
            </c15:filteredBarSeries>
            <c15:filteredBarSeries>
              <c15:ser>
                <c:idx val="2"/>
                <c:order val="2"/>
                <c:tx>
                  <c:strRef>
                    <c:extLst xmlns:c15="http://schemas.microsoft.com/office/drawing/2012/chart">
                      <c:ext xmlns:c15="http://schemas.microsoft.com/office/drawing/2012/chart" uri="{02D57815-91ED-43cb-92C2-25804820EDAC}">
                        <c15:formulaRef>
                          <c15:sqref>'individual-chart-ce'!$E$2</c15:sqref>
                        </c15:formulaRef>
                      </c:ext>
                    </c:extLst>
                    <c:strCache>
                      <c:ptCount val="1"/>
                      <c:pt idx="0">
                        <c:v>Not started</c:v>
                      </c:pt>
                    </c:strCache>
                  </c:strRef>
                </c:tx>
                <c:spPr>
                  <a:solidFill>
                    <a:schemeClr val="accent2">
                      <a:shade val="68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'individual-chart-ce'!$B$3:$B$46</c15:sqref>
                        </c15:formulaRef>
                      </c:ext>
                    </c:extLst>
                    <c:strCache>
                      <c:ptCount val="2"/>
                      <c:pt idx="0">
                        <c:v>Activity</c:v>
                      </c:pt>
                      <c:pt idx="1">
                        <c:v>Outputs</c:v>
                      </c:pt>
                    </c:strCache>
                  </c:strRef>
                </c:cat>
                <c:val>
                  <c:numRef>
                    <c:extLst xmlns:c15="http://schemas.microsoft.com/office/drawing/2012/chart">
                      <c:ext xmlns:c15="http://schemas.microsoft.com/office/drawing/2012/chart" uri="{02D57815-91ED-43cb-92C2-25804820EDAC}">
                        <c15:formulaRef>
                          <c15:sqref>'individual-chart-ce'!$E$3:$E$46</c15:sqref>
                        </c15:formulaRef>
                      </c:ext>
                    </c:extLst>
                    <c:numCache>
                      <c:formatCode>General</c:formatCode>
                      <c:ptCount val="2"/>
                    </c:numCache>
                  </c:numRef>
                </c:val>
                <c:extLst xmlns:c15="http://schemas.microsoft.com/office/drawing/2012/chart">
                  <c:ext xmlns:c16="http://schemas.microsoft.com/office/drawing/2014/chart" uri="{C3380CC4-5D6E-409C-BE32-E72D297353CC}">
                    <c16:uniqueId val="{00000009-69CD-42AA-9EC2-DAD66FF575FD}"/>
                  </c:ext>
                </c:extLst>
              </c15:ser>
            </c15:filteredBarSeries>
          </c:ext>
        </c:extLst>
      </c:barChart>
      <c:catAx>
        <c:axId val="7909581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n-US"/>
          </a:p>
        </c:txPr>
        <c:crossAx val="790961408"/>
        <c:crosses val="autoZero"/>
        <c:auto val="1"/>
        <c:lblAlgn val="ctr"/>
        <c:lblOffset val="100"/>
        <c:noMultiLvlLbl val="0"/>
      </c:catAx>
      <c:valAx>
        <c:axId val="790961408"/>
        <c:scaling>
          <c:orientation val="minMax"/>
          <c:min val="0"/>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90958128"/>
        <c:crossesAt val="1"/>
        <c:crossBetween val="between"/>
      </c:valAx>
      <c:spPr>
        <a:noFill/>
        <a:ln>
          <a:noFill/>
        </a:ln>
        <a:effectLst/>
      </c:spPr>
    </c:plotArea>
    <c:legend>
      <c:legendPos val="t"/>
      <c:layout>
        <c:manualLayout>
          <c:xMode val="edge"/>
          <c:yMode val="edge"/>
          <c:x val="0.16878354491402861"/>
          <c:y val="0.14071530758226036"/>
          <c:w val="0.78488188976377948"/>
          <c:h val="8.3691663005643596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userShapes r:id="rId5"/>
</c:chartSpace>
</file>

<file path=word/charts/chart6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4"/>
    </mc:Choice>
    <mc:Fallback>
      <c:style val="4"/>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Topic Area - Customized Employment  Activity #8</a:t>
            </a:r>
          </a:p>
        </c:rich>
      </c:tx>
      <c:layout>
        <c:manualLayout>
          <c:xMode val="edge"/>
          <c:yMode val="edge"/>
          <c:x val="0.20401584330345343"/>
          <c:y val="0"/>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6017916604892113"/>
          <c:y val="0.23265365094271845"/>
          <c:w val="0.78942722632790041"/>
          <c:h val="0.66602748393145406"/>
        </c:manualLayout>
      </c:layout>
      <c:barChart>
        <c:barDir val="col"/>
        <c:grouping val="percentStacked"/>
        <c:varyColors val="0"/>
        <c:ser>
          <c:idx val="3"/>
          <c:order val="3"/>
          <c:tx>
            <c:strRef>
              <c:f>'individual-chart-ce'!$F$2</c:f>
              <c:strCache>
                <c:ptCount val="1"/>
                <c:pt idx="0">
                  <c:v>Completed</c:v>
                </c:pt>
              </c:strCache>
            </c:strRef>
          </c:tx>
          <c:spPr>
            <a:solidFill>
              <a:srgbClr val="99221F"/>
            </a:solidFill>
            <a:ln>
              <a:noFill/>
            </a:ln>
            <a:effectLst/>
          </c:spPr>
          <c:invertIfNegative val="0"/>
          <c:dLbls>
            <c:dLbl>
              <c:idx val="0"/>
              <c:layout>
                <c:manualLayout>
                  <c:x val="0"/>
                  <c:y val="-5.6770896296034275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F591-49BC-9593-A737203E1AA5}"/>
                </c:ext>
              </c:extLst>
            </c:dLbl>
            <c:dLbl>
              <c:idx val="1"/>
              <c:layout>
                <c:manualLayout>
                  <c:x val="0"/>
                  <c:y val="-5.6770896296034275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F591-49BC-9593-A737203E1AA5}"/>
                </c:ext>
              </c:extLst>
            </c:dLbl>
            <c:spPr>
              <a:noFill/>
              <a:ln>
                <a:noFill/>
              </a:ln>
              <a:effectLst/>
            </c:spPr>
            <c:txPr>
              <a:bodyPr rot="0" spcFirstLastPara="1" vertOverflow="ellipsis" vert="horz" wrap="square" lIns="38100" tIns="19050" rIns="38100" bIns="19050" anchor="ctr" anchorCtr="1">
                <a:spAutoFit/>
              </a:bodyPr>
              <a:lstStyle/>
              <a:p>
                <a:pPr>
                  <a:defRPr sz="1800" b="0"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'individual-chart-ce'!$B$3:$B$46</c:f>
              <c:strCache>
                <c:ptCount val="2"/>
                <c:pt idx="0">
                  <c:v>Activity</c:v>
                </c:pt>
                <c:pt idx="1">
                  <c:v>Outputs</c:v>
                </c:pt>
              </c:strCache>
              <c:extLst/>
            </c:strRef>
          </c:cat>
          <c:val>
            <c:numRef>
              <c:f>'individual-chart-ce'!$F$3:$F$46</c:f>
              <c:numCache>
                <c:formatCode>0%</c:formatCode>
                <c:ptCount val="2"/>
                <c:pt idx="0">
                  <c:v>0.2857142857142857</c:v>
                </c:pt>
                <c:pt idx="1">
                  <c:v>0.2857142857142857</c:v>
                </c:pt>
              </c:numCache>
              <c:extLst/>
            </c:numRef>
          </c:val>
          <c:extLst>
            <c:ext xmlns:c16="http://schemas.microsoft.com/office/drawing/2014/chart" uri="{C3380CC4-5D6E-409C-BE32-E72D297353CC}">
              <c16:uniqueId val="{00000002-F591-49BC-9593-A737203E1AA5}"/>
            </c:ext>
          </c:extLst>
        </c:ser>
        <c:ser>
          <c:idx val="4"/>
          <c:order val="4"/>
          <c:tx>
            <c:strRef>
              <c:f>'individual-chart-ce'!$G$2</c:f>
              <c:strCache>
                <c:ptCount val="1"/>
                <c:pt idx="0">
                  <c:v>90%</c:v>
                </c:pt>
              </c:strCache>
            </c:strRef>
          </c:tx>
          <c:spPr>
            <a:solidFill>
              <a:srgbClr val="D73D39"/>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'individual-chart-ce'!$B$3:$B$46</c:f>
              <c:strCache>
                <c:ptCount val="2"/>
                <c:pt idx="0">
                  <c:v>Activity</c:v>
                </c:pt>
                <c:pt idx="1">
                  <c:v>Outputs</c:v>
                </c:pt>
              </c:strCache>
              <c:extLst/>
            </c:strRef>
          </c:cat>
          <c:val>
            <c:numRef>
              <c:f>'individual-chart-ce'!$G$3:$G$46</c:f>
              <c:numCache>
                <c:formatCode>General</c:formatCode>
                <c:ptCount val="2"/>
              </c:numCache>
              <c:extLst/>
            </c:numRef>
          </c:val>
          <c:extLst>
            <c:ext xmlns:c16="http://schemas.microsoft.com/office/drawing/2014/chart" uri="{C3380CC4-5D6E-409C-BE32-E72D297353CC}">
              <c16:uniqueId val="{00000003-F591-49BC-9593-A737203E1AA5}"/>
            </c:ext>
          </c:extLst>
        </c:ser>
        <c:ser>
          <c:idx val="5"/>
          <c:order val="5"/>
          <c:tx>
            <c:strRef>
              <c:f>'individual-chart-ce'!$H$2</c:f>
              <c:strCache>
                <c:ptCount val="1"/>
                <c:pt idx="0">
                  <c:v>75%</c:v>
                </c:pt>
              </c:strCache>
            </c:strRef>
          </c:tx>
          <c:spPr>
            <a:solidFill>
              <a:srgbClr val="DC535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'individual-chart-ce'!$B$3:$B$46</c:f>
              <c:strCache>
                <c:ptCount val="2"/>
                <c:pt idx="0">
                  <c:v>Activity</c:v>
                </c:pt>
                <c:pt idx="1">
                  <c:v>Outputs</c:v>
                </c:pt>
              </c:strCache>
              <c:extLst/>
            </c:strRef>
          </c:cat>
          <c:val>
            <c:numRef>
              <c:f>'individual-chart-ce'!$H$3:$H$46</c:f>
              <c:numCache>
                <c:formatCode>0%</c:formatCode>
                <c:ptCount val="2"/>
                <c:pt idx="0">
                  <c:v>0.14285714285714285</c:v>
                </c:pt>
                <c:pt idx="1">
                  <c:v>0.42857142857142855</c:v>
                </c:pt>
              </c:numCache>
              <c:extLst/>
            </c:numRef>
          </c:val>
          <c:extLst>
            <c:ext xmlns:c16="http://schemas.microsoft.com/office/drawing/2014/chart" uri="{C3380CC4-5D6E-409C-BE32-E72D297353CC}">
              <c16:uniqueId val="{00000004-F591-49BC-9593-A737203E1AA5}"/>
            </c:ext>
          </c:extLst>
        </c:ser>
        <c:ser>
          <c:idx val="6"/>
          <c:order val="6"/>
          <c:tx>
            <c:strRef>
              <c:f>'individual-chart-ce'!$I$2</c:f>
              <c:strCache>
                <c:ptCount val="1"/>
                <c:pt idx="0">
                  <c:v>50%</c:v>
                </c:pt>
              </c:strCache>
            </c:strRef>
          </c:tx>
          <c:spPr>
            <a:solidFill>
              <a:srgbClr val="EBA19F"/>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'individual-chart-ce'!$B$3:$B$46</c:f>
              <c:strCache>
                <c:ptCount val="2"/>
                <c:pt idx="0">
                  <c:v>Activity</c:v>
                </c:pt>
                <c:pt idx="1">
                  <c:v>Outputs</c:v>
                </c:pt>
              </c:strCache>
              <c:extLst/>
            </c:strRef>
          </c:cat>
          <c:val>
            <c:numRef>
              <c:f>'individual-chart-ce'!$I$3:$I$46</c:f>
              <c:numCache>
                <c:formatCode>0%</c:formatCode>
                <c:ptCount val="2"/>
                <c:pt idx="0">
                  <c:v>0.14285714285714285</c:v>
                </c:pt>
                <c:pt idx="1">
                  <c:v>0.14285714285714285</c:v>
                </c:pt>
              </c:numCache>
              <c:extLst/>
            </c:numRef>
          </c:val>
          <c:extLst>
            <c:ext xmlns:c16="http://schemas.microsoft.com/office/drawing/2014/chart" uri="{C3380CC4-5D6E-409C-BE32-E72D297353CC}">
              <c16:uniqueId val="{00000005-F591-49BC-9593-A737203E1AA5}"/>
            </c:ext>
          </c:extLst>
        </c:ser>
        <c:ser>
          <c:idx val="7"/>
          <c:order val="7"/>
          <c:tx>
            <c:strRef>
              <c:f>'individual-chart-ce'!$J$2</c:f>
              <c:strCache>
                <c:ptCount val="1"/>
                <c:pt idx="0">
                  <c:v>25%</c:v>
                </c:pt>
              </c:strCache>
            </c:strRef>
          </c:tx>
          <c:spPr>
            <a:solidFill>
              <a:srgbClr val="F3C6C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'individual-chart-ce'!$B$3:$B$46</c:f>
              <c:strCache>
                <c:ptCount val="2"/>
                <c:pt idx="0">
                  <c:v>Activity</c:v>
                </c:pt>
                <c:pt idx="1">
                  <c:v>Outputs</c:v>
                </c:pt>
              </c:strCache>
              <c:extLst/>
            </c:strRef>
          </c:cat>
          <c:val>
            <c:numRef>
              <c:f>'individual-chart-ce'!$J$3:$J$46</c:f>
              <c:numCache>
                <c:formatCode>0%</c:formatCode>
                <c:ptCount val="2"/>
                <c:pt idx="0">
                  <c:v>0.42857142857142855</c:v>
                </c:pt>
                <c:pt idx="1">
                  <c:v>0.14285714285714285</c:v>
                </c:pt>
              </c:numCache>
              <c:extLst/>
            </c:numRef>
          </c:val>
          <c:extLst>
            <c:ext xmlns:c16="http://schemas.microsoft.com/office/drawing/2014/chart" uri="{C3380CC4-5D6E-409C-BE32-E72D297353CC}">
              <c16:uniqueId val="{00000006-F591-49BC-9593-A737203E1AA5}"/>
            </c:ext>
          </c:extLst>
        </c:ser>
        <c:ser>
          <c:idx val="8"/>
          <c:order val="8"/>
          <c:tx>
            <c:strRef>
              <c:f>'individual-chart-ce'!$K$2</c:f>
              <c:strCache>
                <c:ptCount val="1"/>
                <c:pt idx="0">
                  <c:v>10%</c:v>
                </c:pt>
              </c:strCache>
            </c:strRef>
          </c:tx>
          <c:spPr>
            <a:solidFill>
              <a:schemeClr val="accent2">
                <a:tint val="56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'individual-chart-ce'!$B$3:$B$46</c:f>
              <c:strCache>
                <c:ptCount val="2"/>
                <c:pt idx="0">
                  <c:v>Activity</c:v>
                </c:pt>
                <c:pt idx="1">
                  <c:v>Outputs</c:v>
                </c:pt>
              </c:strCache>
              <c:extLst/>
            </c:strRef>
          </c:cat>
          <c:val>
            <c:numRef>
              <c:f>'individual-chart-ce'!$K$3:$K$46</c:f>
              <c:numCache>
                <c:formatCode>General</c:formatCode>
                <c:ptCount val="2"/>
              </c:numCache>
              <c:extLst/>
            </c:numRef>
          </c:val>
          <c:extLst>
            <c:ext xmlns:c16="http://schemas.microsoft.com/office/drawing/2014/chart" uri="{C3380CC4-5D6E-409C-BE32-E72D297353CC}">
              <c16:uniqueId val="{00000007-F591-49BC-9593-A737203E1AA5}"/>
            </c:ext>
          </c:extLst>
        </c:ser>
        <c:ser>
          <c:idx val="9"/>
          <c:order val="9"/>
          <c:tx>
            <c:strRef>
              <c:f>'individual-chart-ce'!$L$2</c:f>
              <c:strCache>
                <c:ptCount val="1"/>
                <c:pt idx="0">
                  <c:v>Not Started</c:v>
                </c:pt>
              </c:strCache>
            </c:strRef>
          </c:tx>
          <c:spPr>
            <a:solidFill>
              <a:srgbClr val="FCF2F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'individual-chart-ce'!$B$3:$B$46</c:f>
              <c:strCache>
                <c:ptCount val="2"/>
                <c:pt idx="0">
                  <c:v>Activity</c:v>
                </c:pt>
                <c:pt idx="1">
                  <c:v>Outputs</c:v>
                </c:pt>
              </c:strCache>
              <c:extLst/>
            </c:strRef>
          </c:cat>
          <c:val>
            <c:numRef>
              <c:f>'individual-chart-ce'!$L$3:$L$46</c:f>
              <c:numCache>
                <c:formatCode>General</c:formatCode>
                <c:ptCount val="2"/>
              </c:numCache>
              <c:extLst/>
            </c:numRef>
          </c:val>
          <c:extLst>
            <c:ext xmlns:c16="http://schemas.microsoft.com/office/drawing/2014/chart" uri="{C3380CC4-5D6E-409C-BE32-E72D297353CC}">
              <c16:uniqueId val="{00000008-F591-49BC-9593-A737203E1AA5}"/>
            </c:ext>
          </c:extLst>
        </c:ser>
        <c:dLbls>
          <c:dLblPos val="ctr"/>
          <c:showLegendKey val="0"/>
          <c:showVal val="1"/>
          <c:showCatName val="0"/>
          <c:showSerName val="0"/>
          <c:showPercent val="0"/>
          <c:showBubbleSize val="0"/>
        </c:dLbls>
        <c:gapWidth val="150"/>
        <c:overlap val="100"/>
        <c:axId val="790958128"/>
        <c:axId val="790961408"/>
        <c:extLst>
          <c:ext xmlns:c15="http://schemas.microsoft.com/office/drawing/2012/chart" uri="{02D57815-91ED-43cb-92C2-25804820EDAC}">
            <c15:filteredBarSeries>
              <c15:ser>
                <c:idx val="0"/>
                <c:order val="0"/>
                <c:tx>
                  <c:strRef>
                    <c:extLst>
                      <c:ext uri="{02D57815-91ED-43cb-92C2-25804820EDAC}">
                        <c15:formulaRef>
                          <c15:sqref>'individual-chart-ce'!$C$2</c15:sqref>
                        </c15:formulaRef>
                      </c:ext>
                    </c:extLst>
                    <c:strCache>
                      <c:ptCount val="1"/>
                      <c:pt idx="0">
                        <c:v>Completed</c:v>
                      </c:pt>
                    </c:strCache>
                  </c:strRef>
                </c:tx>
                <c:spPr>
                  <a:solidFill>
                    <a:schemeClr val="accent2">
                      <a:shade val="42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c:ext uri="{02D57815-91ED-43cb-92C2-25804820EDAC}">
                        <c15:formulaRef>
                          <c15:sqref>'individual-chart-ce'!$B$3:$B$46</c15:sqref>
                        </c15:formulaRef>
                      </c:ext>
                    </c:extLst>
                    <c:strCache>
                      <c:ptCount val="2"/>
                      <c:pt idx="0">
                        <c:v>Activity</c:v>
                      </c:pt>
                      <c:pt idx="1">
                        <c:v>Outputs</c:v>
                      </c:pt>
                    </c:strCache>
                  </c:strRef>
                </c:cat>
                <c:val>
                  <c:numRef>
                    <c:extLst>
                      <c:ext uri="{02D57815-91ED-43cb-92C2-25804820EDAC}">
                        <c15:formulaRef>
                          <c15:sqref>'individual-chart-ce'!$C$3:$C$46</c15:sqref>
                        </c15:formulaRef>
                      </c:ext>
                    </c:extLst>
                    <c:numCache>
                      <c:formatCode>0%</c:formatCode>
                      <c:ptCount val="2"/>
                      <c:pt idx="0">
                        <c:v>0.2857142857142857</c:v>
                      </c:pt>
                      <c:pt idx="1">
                        <c:v>0.2857142857142857</c:v>
                      </c:pt>
                    </c:numCache>
                  </c:numRef>
                </c:val>
                <c:extLst>
                  <c:ext xmlns:c16="http://schemas.microsoft.com/office/drawing/2014/chart" uri="{C3380CC4-5D6E-409C-BE32-E72D297353CC}">
                    <c16:uniqueId val="{00000009-F591-49BC-9593-A737203E1AA5}"/>
                  </c:ext>
                </c:extLst>
              </c15:ser>
            </c15:filteredBarSeries>
            <c15:filteredBarSeries>
              <c15:ser>
                <c:idx val="1"/>
                <c:order val="1"/>
                <c:tx>
                  <c:strRef>
                    <c:extLst xmlns:c15="http://schemas.microsoft.com/office/drawing/2012/chart">
                      <c:ext xmlns:c15="http://schemas.microsoft.com/office/drawing/2012/chart" uri="{02D57815-91ED-43cb-92C2-25804820EDAC}">
                        <c15:formulaRef>
                          <c15:sqref>'individual-chart-ce'!$D$2</c15:sqref>
                        </c15:formulaRef>
                      </c:ext>
                    </c:extLst>
                    <c:strCache>
                      <c:ptCount val="1"/>
                      <c:pt idx="0">
                        <c:v>In progress</c:v>
                      </c:pt>
                    </c:strCache>
                  </c:strRef>
                </c:tx>
                <c:spPr>
                  <a:solidFill>
                    <a:schemeClr val="accent2">
                      <a:shade val="5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'individual-chart-ce'!$B$3:$B$46</c15:sqref>
                        </c15:formulaRef>
                      </c:ext>
                    </c:extLst>
                    <c:strCache>
                      <c:ptCount val="2"/>
                      <c:pt idx="0">
                        <c:v>Activity</c:v>
                      </c:pt>
                      <c:pt idx="1">
                        <c:v>Outputs</c:v>
                      </c:pt>
                    </c:strCache>
                  </c:strRef>
                </c:cat>
                <c:val>
                  <c:numRef>
                    <c:extLst xmlns:c15="http://schemas.microsoft.com/office/drawing/2012/chart">
                      <c:ext xmlns:c15="http://schemas.microsoft.com/office/drawing/2012/chart" uri="{02D57815-91ED-43cb-92C2-25804820EDAC}">
                        <c15:formulaRef>
                          <c15:sqref>'individual-chart-ce'!$D$3:$D$46</c15:sqref>
                        </c15:formulaRef>
                      </c:ext>
                    </c:extLst>
                    <c:numCache>
                      <c:formatCode>0%</c:formatCode>
                      <c:ptCount val="2"/>
                      <c:pt idx="0">
                        <c:v>0.7142857142857143</c:v>
                      </c:pt>
                      <c:pt idx="1">
                        <c:v>0.7142857142857143</c:v>
                      </c:pt>
                    </c:numCache>
                  </c:numRef>
                </c:val>
                <c:extLst xmlns:c15="http://schemas.microsoft.com/office/drawing/2012/chart">
                  <c:ext xmlns:c16="http://schemas.microsoft.com/office/drawing/2014/chart" uri="{C3380CC4-5D6E-409C-BE32-E72D297353CC}">
                    <c16:uniqueId val="{0000000A-F591-49BC-9593-A737203E1AA5}"/>
                  </c:ext>
                </c:extLst>
              </c15:ser>
            </c15:filteredBarSeries>
            <c15:filteredBarSeries>
              <c15:ser>
                <c:idx val="2"/>
                <c:order val="2"/>
                <c:tx>
                  <c:strRef>
                    <c:extLst xmlns:c15="http://schemas.microsoft.com/office/drawing/2012/chart">
                      <c:ext xmlns:c15="http://schemas.microsoft.com/office/drawing/2012/chart" uri="{02D57815-91ED-43cb-92C2-25804820EDAC}">
                        <c15:formulaRef>
                          <c15:sqref>'individual-chart-ce'!$E$2</c15:sqref>
                        </c15:formulaRef>
                      </c:ext>
                    </c:extLst>
                    <c:strCache>
                      <c:ptCount val="1"/>
                      <c:pt idx="0">
                        <c:v>Not started</c:v>
                      </c:pt>
                    </c:strCache>
                  </c:strRef>
                </c:tx>
                <c:spPr>
                  <a:solidFill>
                    <a:schemeClr val="accent2">
                      <a:shade val="68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'individual-chart-ce'!$B$3:$B$46</c15:sqref>
                        </c15:formulaRef>
                      </c:ext>
                    </c:extLst>
                    <c:strCache>
                      <c:ptCount val="2"/>
                      <c:pt idx="0">
                        <c:v>Activity</c:v>
                      </c:pt>
                      <c:pt idx="1">
                        <c:v>Outputs</c:v>
                      </c:pt>
                    </c:strCache>
                  </c:strRef>
                </c:cat>
                <c:val>
                  <c:numRef>
                    <c:extLst xmlns:c15="http://schemas.microsoft.com/office/drawing/2012/chart">
                      <c:ext xmlns:c15="http://schemas.microsoft.com/office/drawing/2012/chart" uri="{02D57815-91ED-43cb-92C2-25804820EDAC}">
                        <c15:formulaRef>
                          <c15:sqref>'individual-chart-ce'!$E$3:$E$46</c15:sqref>
                        </c15:formulaRef>
                      </c:ext>
                    </c:extLst>
                    <c:numCache>
                      <c:formatCode>General</c:formatCode>
                      <c:ptCount val="2"/>
                    </c:numCache>
                  </c:numRef>
                </c:val>
                <c:extLst xmlns:c15="http://schemas.microsoft.com/office/drawing/2012/chart">
                  <c:ext xmlns:c16="http://schemas.microsoft.com/office/drawing/2014/chart" uri="{C3380CC4-5D6E-409C-BE32-E72D297353CC}">
                    <c16:uniqueId val="{0000000B-F591-49BC-9593-A737203E1AA5}"/>
                  </c:ext>
                </c:extLst>
              </c15:ser>
            </c15:filteredBarSeries>
          </c:ext>
        </c:extLst>
      </c:barChart>
      <c:catAx>
        <c:axId val="7909581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n-US"/>
          </a:p>
        </c:txPr>
        <c:crossAx val="790961408"/>
        <c:crosses val="autoZero"/>
        <c:auto val="1"/>
        <c:lblAlgn val="ctr"/>
        <c:lblOffset val="100"/>
        <c:noMultiLvlLbl val="0"/>
      </c:catAx>
      <c:valAx>
        <c:axId val="790961408"/>
        <c:scaling>
          <c:orientation val="minMax"/>
          <c:min val="0"/>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90958128"/>
        <c:crossesAt val="1"/>
        <c:crossBetween val="between"/>
      </c:valAx>
      <c:spPr>
        <a:noFill/>
        <a:ln>
          <a:noFill/>
        </a:ln>
        <a:effectLst/>
      </c:spPr>
    </c:plotArea>
    <c:legend>
      <c:legendPos val="t"/>
      <c:layout>
        <c:manualLayout>
          <c:xMode val="edge"/>
          <c:yMode val="edge"/>
          <c:x val="0.16878354491402861"/>
          <c:y val="0.14071530758226036"/>
          <c:w val="0.78488188976377948"/>
          <c:h val="8.3691663005643596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userShapes r:id="rId5"/>
</c:chartSpace>
</file>

<file path=word/charts/chart6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4"/>
    </mc:Choice>
    <mc:Fallback>
      <c:style val="4"/>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Topic Area - Customized Employment  Activity #9</a:t>
            </a:r>
          </a:p>
        </c:rich>
      </c:tx>
      <c:layout>
        <c:manualLayout>
          <c:xMode val="edge"/>
          <c:yMode val="edge"/>
          <c:x val="0.20401584330345343"/>
          <c:y val="0"/>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6017916604892113"/>
          <c:y val="0.23265365094271845"/>
          <c:w val="0.78942722632790041"/>
          <c:h val="0.66602748393145406"/>
        </c:manualLayout>
      </c:layout>
      <c:barChart>
        <c:barDir val="col"/>
        <c:grouping val="percentStacked"/>
        <c:varyColors val="0"/>
        <c:ser>
          <c:idx val="3"/>
          <c:order val="3"/>
          <c:tx>
            <c:strRef>
              <c:f>'individual-chart-ce'!$F$2</c:f>
              <c:strCache>
                <c:ptCount val="1"/>
                <c:pt idx="0">
                  <c:v>Completed</c:v>
                </c:pt>
              </c:strCache>
            </c:strRef>
          </c:tx>
          <c:spPr>
            <a:solidFill>
              <a:srgbClr val="99221F"/>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800" b="0"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'individual-chart-ce'!$B$3:$B$46</c:f>
              <c:strCache>
                <c:ptCount val="2"/>
                <c:pt idx="0">
                  <c:v>Activity</c:v>
                </c:pt>
                <c:pt idx="1">
                  <c:v>Outputs</c:v>
                </c:pt>
              </c:strCache>
              <c:extLst/>
            </c:strRef>
          </c:cat>
          <c:val>
            <c:numRef>
              <c:f>'individual-chart-ce'!$F$3:$F$46</c:f>
              <c:numCache>
                <c:formatCode>0%</c:formatCode>
                <c:ptCount val="2"/>
                <c:pt idx="0">
                  <c:v>0.75</c:v>
                </c:pt>
                <c:pt idx="1">
                  <c:v>0.75</c:v>
                </c:pt>
              </c:numCache>
              <c:extLst/>
            </c:numRef>
          </c:val>
          <c:extLst>
            <c:ext xmlns:c16="http://schemas.microsoft.com/office/drawing/2014/chart" uri="{C3380CC4-5D6E-409C-BE32-E72D297353CC}">
              <c16:uniqueId val="{00000000-9A9B-4BF3-BD33-427FD3AFFB4F}"/>
            </c:ext>
          </c:extLst>
        </c:ser>
        <c:ser>
          <c:idx val="4"/>
          <c:order val="4"/>
          <c:tx>
            <c:strRef>
              <c:f>'individual-chart-ce'!$G$2</c:f>
              <c:strCache>
                <c:ptCount val="1"/>
                <c:pt idx="0">
                  <c:v>90%</c:v>
                </c:pt>
              </c:strCache>
            </c:strRef>
          </c:tx>
          <c:spPr>
            <a:solidFill>
              <a:srgbClr val="D73D39"/>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ysClr val="windowText" lastClr="000000"/>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'individual-chart-ce'!$B$3:$B$46</c:f>
              <c:strCache>
                <c:ptCount val="2"/>
                <c:pt idx="0">
                  <c:v>Activity</c:v>
                </c:pt>
                <c:pt idx="1">
                  <c:v>Outputs</c:v>
                </c:pt>
              </c:strCache>
              <c:extLst/>
            </c:strRef>
          </c:cat>
          <c:val>
            <c:numRef>
              <c:f>'individual-chart-ce'!$G$3:$G$46</c:f>
              <c:numCache>
                <c:formatCode>0%</c:formatCode>
                <c:ptCount val="2"/>
                <c:pt idx="0">
                  <c:v>0.25</c:v>
                </c:pt>
                <c:pt idx="1">
                  <c:v>0.25</c:v>
                </c:pt>
              </c:numCache>
              <c:extLst/>
            </c:numRef>
          </c:val>
          <c:extLst>
            <c:ext xmlns:c16="http://schemas.microsoft.com/office/drawing/2014/chart" uri="{C3380CC4-5D6E-409C-BE32-E72D297353CC}">
              <c16:uniqueId val="{00000001-9A9B-4BF3-BD33-427FD3AFFB4F}"/>
            </c:ext>
          </c:extLst>
        </c:ser>
        <c:ser>
          <c:idx val="5"/>
          <c:order val="5"/>
          <c:tx>
            <c:strRef>
              <c:f>'individual-chart-ce'!$H$2</c:f>
              <c:strCache>
                <c:ptCount val="1"/>
                <c:pt idx="0">
                  <c:v>75%</c:v>
                </c:pt>
              </c:strCache>
            </c:strRef>
          </c:tx>
          <c:spPr>
            <a:solidFill>
              <a:srgbClr val="DC535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'individual-chart-ce'!$B$3:$B$46</c:f>
              <c:strCache>
                <c:ptCount val="2"/>
                <c:pt idx="0">
                  <c:v>Activity</c:v>
                </c:pt>
                <c:pt idx="1">
                  <c:v>Outputs</c:v>
                </c:pt>
              </c:strCache>
              <c:extLst/>
            </c:strRef>
          </c:cat>
          <c:val>
            <c:numRef>
              <c:f>'individual-chart-ce'!$H$3:$H$46</c:f>
              <c:numCache>
                <c:formatCode>General</c:formatCode>
                <c:ptCount val="2"/>
              </c:numCache>
              <c:extLst/>
            </c:numRef>
          </c:val>
          <c:extLst>
            <c:ext xmlns:c16="http://schemas.microsoft.com/office/drawing/2014/chart" uri="{C3380CC4-5D6E-409C-BE32-E72D297353CC}">
              <c16:uniqueId val="{00000002-9A9B-4BF3-BD33-427FD3AFFB4F}"/>
            </c:ext>
          </c:extLst>
        </c:ser>
        <c:ser>
          <c:idx val="6"/>
          <c:order val="6"/>
          <c:tx>
            <c:strRef>
              <c:f>'individual-chart-ce'!$I$2</c:f>
              <c:strCache>
                <c:ptCount val="1"/>
                <c:pt idx="0">
                  <c:v>50%</c:v>
                </c:pt>
              </c:strCache>
            </c:strRef>
          </c:tx>
          <c:spPr>
            <a:solidFill>
              <a:srgbClr val="EBA19F"/>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'individual-chart-ce'!$B$3:$B$46</c:f>
              <c:strCache>
                <c:ptCount val="2"/>
                <c:pt idx="0">
                  <c:v>Activity</c:v>
                </c:pt>
                <c:pt idx="1">
                  <c:v>Outputs</c:v>
                </c:pt>
              </c:strCache>
              <c:extLst/>
            </c:strRef>
          </c:cat>
          <c:val>
            <c:numRef>
              <c:f>'individual-chart-ce'!$I$3:$I$46</c:f>
              <c:numCache>
                <c:formatCode>General</c:formatCode>
                <c:ptCount val="2"/>
              </c:numCache>
              <c:extLst/>
            </c:numRef>
          </c:val>
          <c:extLst>
            <c:ext xmlns:c16="http://schemas.microsoft.com/office/drawing/2014/chart" uri="{C3380CC4-5D6E-409C-BE32-E72D297353CC}">
              <c16:uniqueId val="{00000003-9A9B-4BF3-BD33-427FD3AFFB4F}"/>
            </c:ext>
          </c:extLst>
        </c:ser>
        <c:ser>
          <c:idx val="7"/>
          <c:order val="7"/>
          <c:tx>
            <c:strRef>
              <c:f>'individual-chart-ce'!$J$2</c:f>
              <c:strCache>
                <c:ptCount val="1"/>
                <c:pt idx="0">
                  <c:v>25%</c:v>
                </c:pt>
              </c:strCache>
            </c:strRef>
          </c:tx>
          <c:spPr>
            <a:solidFill>
              <a:srgbClr val="F3C6C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'individual-chart-ce'!$B$3:$B$46</c:f>
              <c:strCache>
                <c:ptCount val="2"/>
                <c:pt idx="0">
                  <c:v>Activity</c:v>
                </c:pt>
                <c:pt idx="1">
                  <c:v>Outputs</c:v>
                </c:pt>
              </c:strCache>
              <c:extLst/>
            </c:strRef>
          </c:cat>
          <c:val>
            <c:numRef>
              <c:f>'individual-chart-ce'!$J$3:$J$46</c:f>
              <c:numCache>
                <c:formatCode>General</c:formatCode>
                <c:ptCount val="2"/>
              </c:numCache>
              <c:extLst/>
            </c:numRef>
          </c:val>
          <c:extLst>
            <c:ext xmlns:c16="http://schemas.microsoft.com/office/drawing/2014/chart" uri="{C3380CC4-5D6E-409C-BE32-E72D297353CC}">
              <c16:uniqueId val="{00000004-9A9B-4BF3-BD33-427FD3AFFB4F}"/>
            </c:ext>
          </c:extLst>
        </c:ser>
        <c:ser>
          <c:idx val="8"/>
          <c:order val="8"/>
          <c:tx>
            <c:strRef>
              <c:f>'individual-chart-ce'!$K$2</c:f>
              <c:strCache>
                <c:ptCount val="1"/>
                <c:pt idx="0">
                  <c:v>10%</c:v>
                </c:pt>
              </c:strCache>
            </c:strRef>
          </c:tx>
          <c:spPr>
            <a:solidFill>
              <a:schemeClr val="accent2">
                <a:tint val="56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'individual-chart-ce'!$B$3:$B$46</c:f>
              <c:strCache>
                <c:ptCount val="2"/>
                <c:pt idx="0">
                  <c:v>Activity</c:v>
                </c:pt>
                <c:pt idx="1">
                  <c:v>Outputs</c:v>
                </c:pt>
              </c:strCache>
              <c:extLst/>
            </c:strRef>
          </c:cat>
          <c:val>
            <c:numRef>
              <c:f>'individual-chart-ce'!$K$3:$K$46</c:f>
              <c:numCache>
                <c:formatCode>General</c:formatCode>
                <c:ptCount val="2"/>
              </c:numCache>
              <c:extLst/>
            </c:numRef>
          </c:val>
          <c:extLst>
            <c:ext xmlns:c16="http://schemas.microsoft.com/office/drawing/2014/chart" uri="{C3380CC4-5D6E-409C-BE32-E72D297353CC}">
              <c16:uniqueId val="{00000005-9A9B-4BF3-BD33-427FD3AFFB4F}"/>
            </c:ext>
          </c:extLst>
        </c:ser>
        <c:ser>
          <c:idx val="9"/>
          <c:order val="9"/>
          <c:tx>
            <c:strRef>
              <c:f>'individual-chart-ce'!$L$2</c:f>
              <c:strCache>
                <c:ptCount val="1"/>
                <c:pt idx="0">
                  <c:v>Not Started</c:v>
                </c:pt>
              </c:strCache>
            </c:strRef>
          </c:tx>
          <c:spPr>
            <a:solidFill>
              <a:srgbClr val="FCF2F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'individual-chart-ce'!$B$3:$B$46</c:f>
              <c:strCache>
                <c:ptCount val="2"/>
                <c:pt idx="0">
                  <c:v>Activity</c:v>
                </c:pt>
                <c:pt idx="1">
                  <c:v>Outputs</c:v>
                </c:pt>
              </c:strCache>
              <c:extLst/>
            </c:strRef>
          </c:cat>
          <c:val>
            <c:numRef>
              <c:f>'individual-chart-ce'!$L$3:$L$46</c:f>
              <c:numCache>
                <c:formatCode>General</c:formatCode>
                <c:ptCount val="2"/>
              </c:numCache>
              <c:extLst/>
            </c:numRef>
          </c:val>
          <c:extLst>
            <c:ext xmlns:c16="http://schemas.microsoft.com/office/drawing/2014/chart" uri="{C3380CC4-5D6E-409C-BE32-E72D297353CC}">
              <c16:uniqueId val="{00000006-9A9B-4BF3-BD33-427FD3AFFB4F}"/>
            </c:ext>
          </c:extLst>
        </c:ser>
        <c:dLbls>
          <c:dLblPos val="ctr"/>
          <c:showLegendKey val="0"/>
          <c:showVal val="1"/>
          <c:showCatName val="0"/>
          <c:showSerName val="0"/>
          <c:showPercent val="0"/>
          <c:showBubbleSize val="0"/>
        </c:dLbls>
        <c:gapWidth val="150"/>
        <c:overlap val="100"/>
        <c:axId val="790958128"/>
        <c:axId val="790961408"/>
        <c:extLst>
          <c:ext xmlns:c15="http://schemas.microsoft.com/office/drawing/2012/chart" uri="{02D57815-91ED-43cb-92C2-25804820EDAC}">
            <c15:filteredBarSeries>
              <c15:ser>
                <c:idx val="0"/>
                <c:order val="0"/>
                <c:tx>
                  <c:strRef>
                    <c:extLst>
                      <c:ext uri="{02D57815-91ED-43cb-92C2-25804820EDAC}">
                        <c15:formulaRef>
                          <c15:sqref>'individual-chart-ce'!$C$2</c15:sqref>
                        </c15:formulaRef>
                      </c:ext>
                    </c:extLst>
                    <c:strCache>
                      <c:ptCount val="1"/>
                      <c:pt idx="0">
                        <c:v>Completed</c:v>
                      </c:pt>
                    </c:strCache>
                  </c:strRef>
                </c:tx>
                <c:spPr>
                  <a:solidFill>
                    <a:schemeClr val="accent2">
                      <a:shade val="42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c:ext uri="{02D57815-91ED-43cb-92C2-25804820EDAC}">
                        <c15:formulaRef>
                          <c15:sqref>'individual-chart-ce'!$B$3:$B$46</c15:sqref>
                        </c15:formulaRef>
                      </c:ext>
                    </c:extLst>
                    <c:strCache>
                      <c:ptCount val="2"/>
                      <c:pt idx="0">
                        <c:v>Activity</c:v>
                      </c:pt>
                      <c:pt idx="1">
                        <c:v>Outputs</c:v>
                      </c:pt>
                    </c:strCache>
                  </c:strRef>
                </c:cat>
                <c:val>
                  <c:numRef>
                    <c:extLst>
                      <c:ext uri="{02D57815-91ED-43cb-92C2-25804820EDAC}">
                        <c15:formulaRef>
                          <c15:sqref>'individual-chart-ce'!$C$3:$C$46</c15:sqref>
                        </c15:formulaRef>
                      </c:ext>
                    </c:extLst>
                    <c:numCache>
                      <c:formatCode>0%</c:formatCode>
                      <c:ptCount val="2"/>
                      <c:pt idx="0">
                        <c:v>0.75</c:v>
                      </c:pt>
                      <c:pt idx="1">
                        <c:v>0.75</c:v>
                      </c:pt>
                    </c:numCache>
                  </c:numRef>
                </c:val>
                <c:extLst>
                  <c:ext xmlns:c16="http://schemas.microsoft.com/office/drawing/2014/chart" uri="{C3380CC4-5D6E-409C-BE32-E72D297353CC}">
                    <c16:uniqueId val="{00000007-9A9B-4BF3-BD33-427FD3AFFB4F}"/>
                  </c:ext>
                </c:extLst>
              </c15:ser>
            </c15:filteredBarSeries>
            <c15:filteredBarSeries>
              <c15:ser>
                <c:idx val="1"/>
                <c:order val="1"/>
                <c:tx>
                  <c:strRef>
                    <c:extLst xmlns:c15="http://schemas.microsoft.com/office/drawing/2012/chart">
                      <c:ext xmlns:c15="http://schemas.microsoft.com/office/drawing/2012/chart" uri="{02D57815-91ED-43cb-92C2-25804820EDAC}">
                        <c15:formulaRef>
                          <c15:sqref>'individual-chart-ce'!$D$2</c15:sqref>
                        </c15:formulaRef>
                      </c:ext>
                    </c:extLst>
                    <c:strCache>
                      <c:ptCount val="1"/>
                      <c:pt idx="0">
                        <c:v>In progress</c:v>
                      </c:pt>
                    </c:strCache>
                  </c:strRef>
                </c:tx>
                <c:spPr>
                  <a:solidFill>
                    <a:schemeClr val="accent2">
                      <a:shade val="5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'individual-chart-ce'!$B$3:$B$46</c15:sqref>
                        </c15:formulaRef>
                      </c:ext>
                    </c:extLst>
                    <c:strCache>
                      <c:ptCount val="2"/>
                      <c:pt idx="0">
                        <c:v>Activity</c:v>
                      </c:pt>
                      <c:pt idx="1">
                        <c:v>Outputs</c:v>
                      </c:pt>
                    </c:strCache>
                  </c:strRef>
                </c:cat>
                <c:val>
                  <c:numRef>
                    <c:extLst xmlns:c15="http://schemas.microsoft.com/office/drawing/2012/chart">
                      <c:ext xmlns:c15="http://schemas.microsoft.com/office/drawing/2012/chart" uri="{02D57815-91ED-43cb-92C2-25804820EDAC}">
                        <c15:formulaRef>
                          <c15:sqref>'individual-chart-ce'!$D$3:$D$46</c15:sqref>
                        </c15:formulaRef>
                      </c:ext>
                    </c:extLst>
                    <c:numCache>
                      <c:formatCode>0%</c:formatCode>
                      <c:ptCount val="2"/>
                      <c:pt idx="0">
                        <c:v>0.25</c:v>
                      </c:pt>
                      <c:pt idx="1">
                        <c:v>0.25</c:v>
                      </c:pt>
                    </c:numCache>
                  </c:numRef>
                </c:val>
                <c:extLst xmlns:c15="http://schemas.microsoft.com/office/drawing/2012/chart">
                  <c:ext xmlns:c16="http://schemas.microsoft.com/office/drawing/2014/chart" uri="{C3380CC4-5D6E-409C-BE32-E72D297353CC}">
                    <c16:uniqueId val="{00000008-9A9B-4BF3-BD33-427FD3AFFB4F}"/>
                  </c:ext>
                </c:extLst>
              </c15:ser>
            </c15:filteredBarSeries>
            <c15:filteredBarSeries>
              <c15:ser>
                <c:idx val="2"/>
                <c:order val="2"/>
                <c:tx>
                  <c:strRef>
                    <c:extLst xmlns:c15="http://schemas.microsoft.com/office/drawing/2012/chart">
                      <c:ext xmlns:c15="http://schemas.microsoft.com/office/drawing/2012/chart" uri="{02D57815-91ED-43cb-92C2-25804820EDAC}">
                        <c15:formulaRef>
                          <c15:sqref>'individual-chart-ce'!$E$2</c15:sqref>
                        </c15:formulaRef>
                      </c:ext>
                    </c:extLst>
                    <c:strCache>
                      <c:ptCount val="1"/>
                      <c:pt idx="0">
                        <c:v>Not started</c:v>
                      </c:pt>
                    </c:strCache>
                  </c:strRef>
                </c:tx>
                <c:spPr>
                  <a:solidFill>
                    <a:schemeClr val="accent2">
                      <a:shade val="68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'individual-chart-ce'!$B$3:$B$46</c15:sqref>
                        </c15:formulaRef>
                      </c:ext>
                    </c:extLst>
                    <c:strCache>
                      <c:ptCount val="2"/>
                      <c:pt idx="0">
                        <c:v>Activity</c:v>
                      </c:pt>
                      <c:pt idx="1">
                        <c:v>Outputs</c:v>
                      </c:pt>
                    </c:strCache>
                  </c:strRef>
                </c:cat>
                <c:val>
                  <c:numRef>
                    <c:extLst xmlns:c15="http://schemas.microsoft.com/office/drawing/2012/chart">
                      <c:ext xmlns:c15="http://schemas.microsoft.com/office/drawing/2012/chart" uri="{02D57815-91ED-43cb-92C2-25804820EDAC}">
                        <c15:formulaRef>
                          <c15:sqref>'individual-chart-ce'!$E$3:$E$46</c15:sqref>
                        </c15:formulaRef>
                      </c:ext>
                    </c:extLst>
                    <c:numCache>
                      <c:formatCode>General</c:formatCode>
                      <c:ptCount val="2"/>
                    </c:numCache>
                  </c:numRef>
                </c:val>
                <c:extLst xmlns:c15="http://schemas.microsoft.com/office/drawing/2012/chart">
                  <c:ext xmlns:c16="http://schemas.microsoft.com/office/drawing/2014/chart" uri="{C3380CC4-5D6E-409C-BE32-E72D297353CC}">
                    <c16:uniqueId val="{00000009-9A9B-4BF3-BD33-427FD3AFFB4F}"/>
                  </c:ext>
                </c:extLst>
              </c15:ser>
            </c15:filteredBarSeries>
          </c:ext>
        </c:extLst>
      </c:barChart>
      <c:catAx>
        <c:axId val="7909581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n-US"/>
          </a:p>
        </c:txPr>
        <c:crossAx val="790961408"/>
        <c:crosses val="autoZero"/>
        <c:auto val="1"/>
        <c:lblAlgn val="ctr"/>
        <c:lblOffset val="100"/>
        <c:noMultiLvlLbl val="0"/>
      </c:catAx>
      <c:valAx>
        <c:axId val="790961408"/>
        <c:scaling>
          <c:orientation val="minMax"/>
          <c:min val="0"/>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90958128"/>
        <c:crossesAt val="1"/>
        <c:crossBetween val="between"/>
      </c:valAx>
      <c:spPr>
        <a:noFill/>
        <a:ln>
          <a:noFill/>
        </a:ln>
        <a:effectLst/>
      </c:spPr>
    </c:plotArea>
    <c:legend>
      <c:legendPos val="t"/>
      <c:layout>
        <c:manualLayout>
          <c:xMode val="edge"/>
          <c:yMode val="edge"/>
          <c:x val="0.16878354491402861"/>
          <c:y val="0.14071530758226036"/>
          <c:w val="0.78488188976377948"/>
          <c:h val="8.3691663005643596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userShapes r:id="rId5"/>
</c:chartSpace>
</file>

<file path=word/charts/chart6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4"/>
    </mc:Choice>
    <mc:Fallback>
      <c:style val="4"/>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Topic Area - Customized Employment  Activity #10</a:t>
            </a:r>
          </a:p>
        </c:rich>
      </c:tx>
      <c:layout>
        <c:manualLayout>
          <c:xMode val="edge"/>
          <c:yMode val="edge"/>
          <c:x val="0.20401584330345343"/>
          <c:y val="0"/>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6017916604892113"/>
          <c:y val="0.23265365094271845"/>
          <c:w val="0.78942722632790041"/>
          <c:h val="0.66602748393145406"/>
        </c:manualLayout>
      </c:layout>
      <c:barChart>
        <c:barDir val="col"/>
        <c:grouping val="percentStacked"/>
        <c:varyColors val="0"/>
        <c:ser>
          <c:idx val="3"/>
          <c:order val="3"/>
          <c:tx>
            <c:strRef>
              <c:f>'individual-chart-ce'!$F$2</c:f>
              <c:strCache>
                <c:ptCount val="1"/>
                <c:pt idx="0">
                  <c:v>Completed</c:v>
                </c:pt>
              </c:strCache>
            </c:strRef>
          </c:tx>
          <c:spPr>
            <a:solidFill>
              <a:srgbClr val="99221F"/>
            </a:solidFill>
            <a:ln>
              <a:noFill/>
            </a:ln>
            <a:effectLst/>
          </c:spPr>
          <c:invertIfNegative val="0"/>
          <c:dLbls>
            <c:dLbl>
              <c:idx val="1"/>
              <c:layout>
                <c:manualLayout>
                  <c:x val="-0.15466491298576351"/>
                  <c:y val="-2.9619598067496235E-2"/>
                </c:manualLayout>
              </c:layout>
              <c:spPr>
                <a:noFill/>
                <a:ln>
                  <a:noFill/>
                </a:ln>
                <a:effectLst/>
              </c:spPr>
              <c:txPr>
                <a:bodyPr rot="0" spcFirstLastPara="1" vertOverflow="ellipsis" vert="horz" wrap="square" lIns="38100" tIns="19050" rIns="38100" bIns="19050" anchor="ctr" anchorCtr="1">
                  <a:spAutoFit/>
                </a:bodyPr>
                <a:lstStyle/>
                <a:p>
                  <a:pPr>
                    <a:defRPr sz="1800" b="0" i="0" u="none" strike="noStrike" kern="1200" baseline="0">
                      <a:solidFill>
                        <a:sysClr val="windowText" lastClr="000000"/>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C6F9-4C1D-9BAC-8A6DCCC3BCFF}"/>
                </c:ext>
              </c:extLst>
            </c:dLbl>
            <c:spPr>
              <a:noFill/>
              <a:ln>
                <a:noFill/>
              </a:ln>
              <a:effectLst/>
            </c:spPr>
            <c:txPr>
              <a:bodyPr rot="0" spcFirstLastPara="1" vertOverflow="ellipsis" vert="horz" wrap="square" lIns="38100" tIns="19050" rIns="38100" bIns="19050" anchor="ctr" anchorCtr="1">
                <a:spAutoFit/>
              </a:bodyPr>
              <a:lstStyle/>
              <a:p>
                <a:pPr>
                  <a:defRPr sz="1800" b="0"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'individual-chart-ce'!$B$3:$B$46</c:f>
              <c:strCache>
                <c:ptCount val="2"/>
                <c:pt idx="0">
                  <c:v>Activity</c:v>
                </c:pt>
                <c:pt idx="1">
                  <c:v>Outputs</c:v>
                </c:pt>
              </c:strCache>
              <c:extLst/>
            </c:strRef>
          </c:cat>
          <c:val>
            <c:numRef>
              <c:f>'individual-chart-ce'!$F$3:$F$46</c:f>
              <c:numCache>
                <c:formatCode>0%</c:formatCode>
                <c:ptCount val="2"/>
                <c:pt idx="1">
                  <c:v>9.0909090909090912E-2</c:v>
                </c:pt>
              </c:numCache>
              <c:extLst/>
            </c:numRef>
          </c:val>
          <c:extLst>
            <c:ext xmlns:c16="http://schemas.microsoft.com/office/drawing/2014/chart" uri="{C3380CC4-5D6E-409C-BE32-E72D297353CC}">
              <c16:uniqueId val="{00000001-C6F9-4C1D-9BAC-8A6DCCC3BCFF}"/>
            </c:ext>
          </c:extLst>
        </c:ser>
        <c:ser>
          <c:idx val="4"/>
          <c:order val="4"/>
          <c:tx>
            <c:strRef>
              <c:f>'individual-chart-ce'!$G$2</c:f>
              <c:strCache>
                <c:ptCount val="1"/>
                <c:pt idx="0">
                  <c:v>90%</c:v>
                </c:pt>
              </c:strCache>
            </c:strRef>
          </c:tx>
          <c:spPr>
            <a:solidFill>
              <a:srgbClr val="D73D39"/>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'individual-chart-ce'!$B$3:$B$46</c:f>
              <c:strCache>
                <c:ptCount val="2"/>
                <c:pt idx="0">
                  <c:v>Activity</c:v>
                </c:pt>
                <c:pt idx="1">
                  <c:v>Outputs</c:v>
                </c:pt>
              </c:strCache>
              <c:extLst/>
            </c:strRef>
          </c:cat>
          <c:val>
            <c:numRef>
              <c:f>'individual-chart-ce'!$G$3:$G$46</c:f>
              <c:numCache>
                <c:formatCode>General</c:formatCode>
                <c:ptCount val="2"/>
              </c:numCache>
              <c:extLst/>
            </c:numRef>
          </c:val>
          <c:extLst>
            <c:ext xmlns:c16="http://schemas.microsoft.com/office/drawing/2014/chart" uri="{C3380CC4-5D6E-409C-BE32-E72D297353CC}">
              <c16:uniqueId val="{00000002-C6F9-4C1D-9BAC-8A6DCCC3BCFF}"/>
            </c:ext>
          </c:extLst>
        </c:ser>
        <c:ser>
          <c:idx val="5"/>
          <c:order val="5"/>
          <c:tx>
            <c:strRef>
              <c:f>'individual-chart-ce'!$H$2</c:f>
              <c:strCache>
                <c:ptCount val="1"/>
                <c:pt idx="0">
                  <c:v>75%</c:v>
                </c:pt>
              </c:strCache>
            </c:strRef>
          </c:tx>
          <c:spPr>
            <a:solidFill>
              <a:srgbClr val="DC5350"/>
            </a:solidFill>
            <a:ln>
              <a:noFill/>
            </a:ln>
            <a:effectLst/>
          </c:spPr>
          <c:invertIfNegative val="0"/>
          <c:dLbls>
            <c:dLbl>
              <c:idx val="0"/>
              <c:layout>
                <c:manualLayout>
                  <c:x val="-0.1689444567625463"/>
                  <c:y val="2.2701260703066072E-3"/>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C6F9-4C1D-9BAC-8A6DCCC3BCFF}"/>
                </c:ext>
              </c:extLst>
            </c:dLbl>
            <c:spPr>
              <a:noFill/>
              <a:ln>
                <a:noFill/>
              </a:ln>
              <a:effectLst/>
            </c:spPr>
            <c:txPr>
              <a:bodyPr rot="0" spcFirstLastPara="1" vertOverflow="ellipsis" vert="horz" wrap="square" lIns="38100" tIns="19050" rIns="38100" bIns="19050" anchor="ctr" anchorCtr="1">
                <a:spAutoFit/>
              </a:bodyPr>
              <a:lstStyle/>
              <a:p>
                <a:pPr>
                  <a:defRPr sz="1800" b="0" i="0" u="none" strike="noStrike" kern="1200" baseline="0">
                    <a:solidFill>
                      <a:sysClr val="windowText" lastClr="000000"/>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'individual-chart-ce'!$B$3:$B$46</c:f>
              <c:strCache>
                <c:ptCount val="2"/>
                <c:pt idx="0">
                  <c:v>Activity</c:v>
                </c:pt>
                <c:pt idx="1">
                  <c:v>Outputs</c:v>
                </c:pt>
              </c:strCache>
              <c:extLst/>
            </c:strRef>
          </c:cat>
          <c:val>
            <c:numRef>
              <c:f>'individual-chart-ce'!$H$3:$H$46</c:f>
              <c:numCache>
                <c:formatCode>General</c:formatCode>
                <c:ptCount val="2"/>
                <c:pt idx="0" formatCode="0%">
                  <c:v>9.0909090909090912E-2</c:v>
                </c:pt>
              </c:numCache>
              <c:extLst/>
            </c:numRef>
          </c:val>
          <c:extLst>
            <c:ext xmlns:c16="http://schemas.microsoft.com/office/drawing/2014/chart" uri="{C3380CC4-5D6E-409C-BE32-E72D297353CC}">
              <c16:uniqueId val="{00000004-C6F9-4C1D-9BAC-8A6DCCC3BCFF}"/>
            </c:ext>
          </c:extLst>
        </c:ser>
        <c:ser>
          <c:idx val="6"/>
          <c:order val="6"/>
          <c:tx>
            <c:strRef>
              <c:f>'individual-chart-ce'!$I$2</c:f>
              <c:strCache>
                <c:ptCount val="1"/>
                <c:pt idx="0">
                  <c:v>50%</c:v>
                </c:pt>
              </c:strCache>
            </c:strRef>
          </c:tx>
          <c:spPr>
            <a:solidFill>
              <a:srgbClr val="EBA19F"/>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'individual-chart-ce'!$B$3:$B$46</c:f>
              <c:strCache>
                <c:ptCount val="2"/>
                <c:pt idx="0">
                  <c:v>Activity</c:v>
                </c:pt>
                <c:pt idx="1">
                  <c:v>Outputs</c:v>
                </c:pt>
              </c:strCache>
              <c:extLst/>
            </c:strRef>
          </c:cat>
          <c:val>
            <c:numRef>
              <c:f>'individual-chart-ce'!$I$3:$I$46</c:f>
              <c:numCache>
                <c:formatCode>General</c:formatCode>
                <c:ptCount val="2"/>
              </c:numCache>
              <c:extLst/>
            </c:numRef>
          </c:val>
          <c:extLst>
            <c:ext xmlns:c16="http://schemas.microsoft.com/office/drawing/2014/chart" uri="{C3380CC4-5D6E-409C-BE32-E72D297353CC}">
              <c16:uniqueId val="{00000005-C6F9-4C1D-9BAC-8A6DCCC3BCFF}"/>
            </c:ext>
          </c:extLst>
        </c:ser>
        <c:ser>
          <c:idx val="7"/>
          <c:order val="7"/>
          <c:tx>
            <c:strRef>
              <c:f>'individual-chart-ce'!$J$2</c:f>
              <c:strCache>
                <c:ptCount val="1"/>
                <c:pt idx="0">
                  <c:v>25%</c:v>
                </c:pt>
              </c:strCache>
            </c:strRef>
          </c:tx>
          <c:spPr>
            <a:solidFill>
              <a:srgbClr val="F3C6C5"/>
            </a:solidFill>
            <a:ln>
              <a:noFill/>
            </a:ln>
            <a:effectLst/>
          </c:spPr>
          <c:invertIfNegative val="0"/>
          <c:dPt>
            <c:idx val="0"/>
            <c:invertIfNegative val="0"/>
            <c:bubble3D val="0"/>
            <c:spPr>
              <a:solidFill>
                <a:srgbClr val="F4C7C5"/>
              </a:solidFill>
              <a:ln>
                <a:noFill/>
              </a:ln>
              <a:effectLst/>
            </c:spPr>
            <c:extLst>
              <c:ext xmlns:c16="http://schemas.microsoft.com/office/drawing/2014/chart" uri="{C3380CC4-5D6E-409C-BE32-E72D297353CC}">
                <c16:uniqueId val="{00000007-C6F9-4C1D-9BAC-8A6DCCC3BCFF}"/>
              </c:ext>
            </c:extLst>
          </c:dPt>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'individual-chart-ce'!$B$3:$B$46</c:f>
              <c:strCache>
                <c:ptCount val="2"/>
                <c:pt idx="0">
                  <c:v>Activity</c:v>
                </c:pt>
                <c:pt idx="1">
                  <c:v>Outputs</c:v>
                </c:pt>
              </c:strCache>
              <c:extLst/>
            </c:strRef>
          </c:cat>
          <c:val>
            <c:numRef>
              <c:f>'individual-chart-ce'!$J$3:$J$46</c:f>
              <c:numCache>
                <c:formatCode>0%</c:formatCode>
                <c:ptCount val="2"/>
                <c:pt idx="0">
                  <c:v>0.45454545454545453</c:v>
                </c:pt>
                <c:pt idx="1">
                  <c:v>0.45454545454545453</c:v>
                </c:pt>
              </c:numCache>
              <c:extLst/>
            </c:numRef>
          </c:val>
          <c:extLst>
            <c:ext xmlns:c16="http://schemas.microsoft.com/office/drawing/2014/chart" uri="{C3380CC4-5D6E-409C-BE32-E72D297353CC}">
              <c16:uniqueId val="{00000008-C6F9-4C1D-9BAC-8A6DCCC3BCFF}"/>
            </c:ext>
          </c:extLst>
        </c:ser>
        <c:ser>
          <c:idx val="8"/>
          <c:order val="8"/>
          <c:tx>
            <c:strRef>
              <c:f>'individual-chart-ce'!$K$2</c:f>
              <c:strCache>
                <c:ptCount val="1"/>
                <c:pt idx="0">
                  <c:v>10%</c:v>
                </c:pt>
              </c:strCache>
            </c:strRef>
          </c:tx>
          <c:spPr>
            <a:solidFill>
              <a:schemeClr val="accent2">
                <a:tint val="56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'individual-chart-ce'!$B$3:$B$46</c:f>
              <c:strCache>
                <c:ptCount val="2"/>
                <c:pt idx="0">
                  <c:v>Activity</c:v>
                </c:pt>
                <c:pt idx="1">
                  <c:v>Outputs</c:v>
                </c:pt>
              </c:strCache>
              <c:extLst/>
            </c:strRef>
          </c:cat>
          <c:val>
            <c:numRef>
              <c:f>'individual-chart-ce'!$K$3:$K$46</c:f>
              <c:numCache>
                <c:formatCode>General</c:formatCode>
                <c:ptCount val="2"/>
              </c:numCache>
              <c:extLst/>
            </c:numRef>
          </c:val>
          <c:extLst>
            <c:ext xmlns:c16="http://schemas.microsoft.com/office/drawing/2014/chart" uri="{C3380CC4-5D6E-409C-BE32-E72D297353CC}">
              <c16:uniqueId val="{00000009-C6F9-4C1D-9BAC-8A6DCCC3BCFF}"/>
            </c:ext>
          </c:extLst>
        </c:ser>
        <c:ser>
          <c:idx val="9"/>
          <c:order val="9"/>
          <c:tx>
            <c:strRef>
              <c:f>'individual-chart-ce'!$L$2</c:f>
              <c:strCache>
                <c:ptCount val="1"/>
                <c:pt idx="0">
                  <c:v>Not Started</c:v>
                </c:pt>
              </c:strCache>
            </c:strRef>
          </c:tx>
          <c:spPr>
            <a:solidFill>
              <a:srgbClr val="FCF2F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'individual-chart-ce'!$B$3:$B$46</c:f>
              <c:strCache>
                <c:ptCount val="2"/>
                <c:pt idx="0">
                  <c:v>Activity</c:v>
                </c:pt>
                <c:pt idx="1">
                  <c:v>Outputs</c:v>
                </c:pt>
              </c:strCache>
              <c:extLst/>
            </c:strRef>
          </c:cat>
          <c:val>
            <c:numRef>
              <c:f>'individual-chart-ce'!$L$3:$L$46</c:f>
              <c:numCache>
                <c:formatCode>0%</c:formatCode>
                <c:ptCount val="2"/>
                <c:pt idx="0">
                  <c:v>0.45454545454545453</c:v>
                </c:pt>
                <c:pt idx="1">
                  <c:v>0.45454545454545453</c:v>
                </c:pt>
              </c:numCache>
              <c:extLst/>
            </c:numRef>
          </c:val>
          <c:extLst>
            <c:ext xmlns:c16="http://schemas.microsoft.com/office/drawing/2014/chart" uri="{C3380CC4-5D6E-409C-BE32-E72D297353CC}">
              <c16:uniqueId val="{0000000A-C6F9-4C1D-9BAC-8A6DCCC3BCFF}"/>
            </c:ext>
          </c:extLst>
        </c:ser>
        <c:dLbls>
          <c:dLblPos val="ctr"/>
          <c:showLegendKey val="0"/>
          <c:showVal val="1"/>
          <c:showCatName val="0"/>
          <c:showSerName val="0"/>
          <c:showPercent val="0"/>
          <c:showBubbleSize val="0"/>
        </c:dLbls>
        <c:gapWidth val="150"/>
        <c:overlap val="100"/>
        <c:axId val="790958128"/>
        <c:axId val="790961408"/>
        <c:extLst>
          <c:ext xmlns:c15="http://schemas.microsoft.com/office/drawing/2012/chart" uri="{02D57815-91ED-43cb-92C2-25804820EDAC}">
            <c15:filteredBarSeries>
              <c15:ser>
                <c:idx val="0"/>
                <c:order val="0"/>
                <c:tx>
                  <c:strRef>
                    <c:extLst>
                      <c:ext uri="{02D57815-91ED-43cb-92C2-25804820EDAC}">
                        <c15:formulaRef>
                          <c15:sqref>'individual-chart-ce'!$C$2</c15:sqref>
                        </c15:formulaRef>
                      </c:ext>
                    </c:extLst>
                    <c:strCache>
                      <c:ptCount val="1"/>
                      <c:pt idx="0">
                        <c:v>Completed</c:v>
                      </c:pt>
                    </c:strCache>
                  </c:strRef>
                </c:tx>
                <c:spPr>
                  <a:solidFill>
                    <a:schemeClr val="accent2">
                      <a:shade val="42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c:ext uri="{02D57815-91ED-43cb-92C2-25804820EDAC}">
                        <c15:formulaRef>
                          <c15:sqref>'individual-chart-ce'!$B$3:$B$46</c15:sqref>
                        </c15:formulaRef>
                      </c:ext>
                    </c:extLst>
                    <c:strCache>
                      <c:ptCount val="2"/>
                      <c:pt idx="0">
                        <c:v>Activity</c:v>
                      </c:pt>
                      <c:pt idx="1">
                        <c:v>Outputs</c:v>
                      </c:pt>
                    </c:strCache>
                  </c:strRef>
                </c:cat>
                <c:val>
                  <c:numRef>
                    <c:extLst>
                      <c:ext uri="{02D57815-91ED-43cb-92C2-25804820EDAC}">
                        <c15:formulaRef>
                          <c15:sqref>'individual-chart-ce'!$C$3:$C$46</c15:sqref>
                        </c15:formulaRef>
                      </c:ext>
                    </c:extLst>
                    <c:numCache>
                      <c:formatCode>0%</c:formatCode>
                      <c:ptCount val="2"/>
                      <c:pt idx="1">
                        <c:v>9.0909090909090912E-2</c:v>
                      </c:pt>
                    </c:numCache>
                  </c:numRef>
                </c:val>
                <c:extLst>
                  <c:ext xmlns:c16="http://schemas.microsoft.com/office/drawing/2014/chart" uri="{C3380CC4-5D6E-409C-BE32-E72D297353CC}">
                    <c16:uniqueId val="{0000000B-C6F9-4C1D-9BAC-8A6DCCC3BCFF}"/>
                  </c:ext>
                </c:extLst>
              </c15:ser>
            </c15:filteredBarSeries>
            <c15:filteredBarSeries>
              <c15:ser>
                <c:idx val="1"/>
                <c:order val="1"/>
                <c:tx>
                  <c:strRef>
                    <c:extLst xmlns:c15="http://schemas.microsoft.com/office/drawing/2012/chart">
                      <c:ext xmlns:c15="http://schemas.microsoft.com/office/drawing/2012/chart" uri="{02D57815-91ED-43cb-92C2-25804820EDAC}">
                        <c15:formulaRef>
                          <c15:sqref>'individual-chart-ce'!$D$2</c15:sqref>
                        </c15:formulaRef>
                      </c:ext>
                    </c:extLst>
                    <c:strCache>
                      <c:ptCount val="1"/>
                      <c:pt idx="0">
                        <c:v>In progress</c:v>
                      </c:pt>
                    </c:strCache>
                  </c:strRef>
                </c:tx>
                <c:spPr>
                  <a:solidFill>
                    <a:schemeClr val="accent2">
                      <a:shade val="5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'individual-chart-ce'!$B$3:$B$46</c15:sqref>
                        </c15:formulaRef>
                      </c:ext>
                    </c:extLst>
                    <c:strCache>
                      <c:ptCount val="2"/>
                      <c:pt idx="0">
                        <c:v>Activity</c:v>
                      </c:pt>
                      <c:pt idx="1">
                        <c:v>Outputs</c:v>
                      </c:pt>
                    </c:strCache>
                  </c:strRef>
                </c:cat>
                <c:val>
                  <c:numRef>
                    <c:extLst xmlns:c15="http://schemas.microsoft.com/office/drawing/2012/chart">
                      <c:ext xmlns:c15="http://schemas.microsoft.com/office/drawing/2012/chart" uri="{02D57815-91ED-43cb-92C2-25804820EDAC}">
                        <c15:formulaRef>
                          <c15:sqref>'individual-chart-ce'!$D$3:$D$46</c15:sqref>
                        </c15:formulaRef>
                      </c:ext>
                    </c:extLst>
                    <c:numCache>
                      <c:formatCode>0%</c:formatCode>
                      <c:ptCount val="2"/>
                      <c:pt idx="0">
                        <c:v>0.54545454545454541</c:v>
                      </c:pt>
                      <c:pt idx="1">
                        <c:v>0.45454545454545453</c:v>
                      </c:pt>
                    </c:numCache>
                  </c:numRef>
                </c:val>
                <c:extLst xmlns:c15="http://schemas.microsoft.com/office/drawing/2012/chart">
                  <c:ext xmlns:c16="http://schemas.microsoft.com/office/drawing/2014/chart" uri="{C3380CC4-5D6E-409C-BE32-E72D297353CC}">
                    <c16:uniqueId val="{0000000C-C6F9-4C1D-9BAC-8A6DCCC3BCFF}"/>
                  </c:ext>
                </c:extLst>
              </c15:ser>
            </c15:filteredBarSeries>
            <c15:filteredBarSeries>
              <c15:ser>
                <c:idx val="2"/>
                <c:order val="2"/>
                <c:tx>
                  <c:strRef>
                    <c:extLst xmlns:c15="http://schemas.microsoft.com/office/drawing/2012/chart">
                      <c:ext xmlns:c15="http://schemas.microsoft.com/office/drawing/2012/chart" uri="{02D57815-91ED-43cb-92C2-25804820EDAC}">
                        <c15:formulaRef>
                          <c15:sqref>'individual-chart-ce'!$E$2</c15:sqref>
                        </c15:formulaRef>
                      </c:ext>
                    </c:extLst>
                    <c:strCache>
                      <c:ptCount val="1"/>
                      <c:pt idx="0">
                        <c:v>Not started</c:v>
                      </c:pt>
                    </c:strCache>
                  </c:strRef>
                </c:tx>
                <c:spPr>
                  <a:solidFill>
                    <a:schemeClr val="accent2">
                      <a:shade val="68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'individual-chart-ce'!$B$3:$B$46</c15:sqref>
                        </c15:formulaRef>
                      </c:ext>
                    </c:extLst>
                    <c:strCache>
                      <c:ptCount val="2"/>
                      <c:pt idx="0">
                        <c:v>Activity</c:v>
                      </c:pt>
                      <c:pt idx="1">
                        <c:v>Outputs</c:v>
                      </c:pt>
                    </c:strCache>
                  </c:strRef>
                </c:cat>
                <c:val>
                  <c:numRef>
                    <c:extLst xmlns:c15="http://schemas.microsoft.com/office/drawing/2012/chart">
                      <c:ext xmlns:c15="http://schemas.microsoft.com/office/drawing/2012/chart" uri="{02D57815-91ED-43cb-92C2-25804820EDAC}">
                        <c15:formulaRef>
                          <c15:sqref>'individual-chart-ce'!$E$3:$E$46</c15:sqref>
                        </c15:formulaRef>
                      </c:ext>
                    </c:extLst>
                    <c:numCache>
                      <c:formatCode>0%</c:formatCode>
                      <c:ptCount val="2"/>
                      <c:pt idx="0">
                        <c:v>0.45454545454545453</c:v>
                      </c:pt>
                      <c:pt idx="1">
                        <c:v>0.45454545454545453</c:v>
                      </c:pt>
                    </c:numCache>
                  </c:numRef>
                </c:val>
                <c:extLst xmlns:c15="http://schemas.microsoft.com/office/drawing/2012/chart">
                  <c:ext xmlns:c16="http://schemas.microsoft.com/office/drawing/2014/chart" uri="{C3380CC4-5D6E-409C-BE32-E72D297353CC}">
                    <c16:uniqueId val="{0000000D-C6F9-4C1D-9BAC-8A6DCCC3BCFF}"/>
                  </c:ext>
                </c:extLst>
              </c15:ser>
            </c15:filteredBarSeries>
          </c:ext>
        </c:extLst>
      </c:barChart>
      <c:catAx>
        <c:axId val="7909581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n-US"/>
          </a:p>
        </c:txPr>
        <c:crossAx val="790961408"/>
        <c:crosses val="autoZero"/>
        <c:auto val="1"/>
        <c:lblAlgn val="ctr"/>
        <c:lblOffset val="100"/>
        <c:noMultiLvlLbl val="0"/>
      </c:catAx>
      <c:valAx>
        <c:axId val="790961408"/>
        <c:scaling>
          <c:orientation val="minMax"/>
          <c:min val="0"/>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90958128"/>
        <c:crossesAt val="1"/>
        <c:crossBetween val="between"/>
      </c:valAx>
      <c:spPr>
        <a:noFill/>
        <a:ln>
          <a:noFill/>
        </a:ln>
        <a:effectLst/>
      </c:spPr>
    </c:plotArea>
    <c:legend>
      <c:legendPos val="t"/>
      <c:layout>
        <c:manualLayout>
          <c:xMode val="edge"/>
          <c:yMode val="edge"/>
          <c:x val="0.16878354491402861"/>
          <c:y val="0.14071530758226036"/>
          <c:w val="0.78488188976377948"/>
          <c:h val="8.3691663005643596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userShapes r:id="rId5"/>
</c:chartSpace>
</file>

<file path=word/charts/chart6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4"/>
    </mc:Choice>
    <mc:Fallback>
      <c:style val="4"/>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Topic Area - Customized Employment  #11</a:t>
            </a:r>
          </a:p>
        </c:rich>
      </c:tx>
      <c:layout>
        <c:manualLayout>
          <c:xMode val="edge"/>
          <c:yMode val="edge"/>
          <c:x val="0.15852625564661557"/>
          <c:y val="1.4306151645207439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6017916604892113"/>
          <c:y val="0.23265365094271845"/>
          <c:w val="0.78942722632790041"/>
          <c:h val="0.66602748393145406"/>
        </c:manualLayout>
      </c:layout>
      <c:barChart>
        <c:barDir val="col"/>
        <c:grouping val="percentStacked"/>
        <c:varyColors val="0"/>
        <c:ser>
          <c:idx val="3"/>
          <c:order val="3"/>
          <c:tx>
            <c:strRef>
              <c:f>'individual-chart-peer-mentoring'!$F$2</c:f>
              <c:strCache>
                <c:ptCount val="1"/>
                <c:pt idx="0">
                  <c:v>Completed</c:v>
                </c:pt>
              </c:strCache>
            </c:strRef>
          </c:tx>
          <c:spPr>
            <a:solidFill>
              <a:srgbClr val="99221F"/>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800" b="0"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'individual-chart-peer-mentoring'!$B$3:$B$34</c:f>
              <c:strCache>
                <c:ptCount val="2"/>
                <c:pt idx="0">
                  <c:v>Activity</c:v>
                </c:pt>
                <c:pt idx="1">
                  <c:v>Outputs</c:v>
                </c:pt>
              </c:strCache>
              <c:extLst/>
            </c:strRef>
          </c:cat>
          <c:val>
            <c:numRef>
              <c:f>'individual-chart-peer-mentoring'!$F$3:$F$34</c:f>
              <c:numCache>
                <c:formatCode>0%</c:formatCode>
                <c:ptCount val="2"/>
                <c:pt idx="0">
                  <c:v>0</c:v>
                </c:pt>
                <c:pt idx="1">
                  <c:v>0</c:v>
                </c:pt>
              </c:numCache>
              <c:extLst/>
            </c:numRef>
          </c:val>
          <c:extLst>
            <c:ext xmlns:c16="http://schemas.microsoft.com/office/drawing/2014/chart" uri="{C3380CC4-5D6E-409C-BE32-E72D297353CC}">
              <c16:uniqueId val="{00000000-099C-49E0-B1F6-8F30887E39D9}"/>
            </c:ext>
          </c:extLst>
        </c:ser>
        <c:ser>
          <c:idx val="4"/>
          <c:order val="4"/>
          <c:tx>
            <c:strRef>
              <c:f>'individual-chart-peer-mentoring'!$G$2</c:f>
              <c:strCache>
                <c:ptCount val="1"/>
                <c:pt idx="0">
                  <c:v>90%</c:v>
                </c:pt>
              </c:strCache>
            </c:strRef>
          </c:tx>
          <c:spPr>
            <a:solidFill>
              <a:srgbClr val="D73D39"/>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'individual-chart-peer-mentoring'!$B$3:$B$34</c:f>
              <c:strCache>
                <c:ptCount val="2"/>
                <c:pt idx="0">
                  <c:v>Activity</c:v>
                </c:pt>
                <c:pt idx="1">
                  <c:v>Outputs</c:v>
                </c:pt>
              </c:strCache>
              <c:extLst/>
            </c:strRef>
          </c:cat>
          <c:val>
            <c:numRef>
              <c:f>'individual-chart-peer-mentoring'!$G$3:$G$34</c:f>
              <c:numCache>
                <c:formatCode>0%</c:formatCode>
                <c:ptCount val="2"/>
                <c:pt idx="0">
                  <c:v>0</c:v>
                </c:pt>
                <c:pt idx="1">
                  <c:v>0</c:v>
                </c:pt>
              </c:numCache>
              <c:extLst/>
            </c:numRef>
          </c:val>
          <c:extLst>
            <c:ext xmlns:c16="http://schemas.microsoft.com/office/drawing/2014/chart" uri="{C3380CC4-5D6E-409C-BE32-E72D297353CC}">
              <c16:uniqueId val="{00000001-099C-49E0-B1F6-8F30887E39D9}"/>
            </c:ext>
          </c:extLst>
        </c:ser>
        <c:ser>
          <c:idx val="5"/>
          <c:order val="5"/>
          <c:tx>
            <c:strRef>
              <c:f>'individual-chart-peer-mentoring'!$H$2</c:f>
              <c:strCache>
                <c:ptCount val="1"/>
                <c:pt idx="0">
                  <c:v>75%</c:v>
                </c:pt>
              </c:strCache>
            </c:strRef>
          </c:tx>
          <c:spPr>
            <a:solidFill>
              <a:srgbClr val="DC535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'individual-chart-peer-mentoring'!$B$3:$B$34</c:f>
              <c:strCache>
                <c:ptCount val="2"/>
                <c:pt idx="0">
                  <c:v>Activity</c:v>
                </c:pt>
                <c:pt idx="1">
                  <c:v>Outputs</c:v>
                </c:pt>
              </c:strCache>
              <c:extLst/>
            </c:strRef>
          </c:cat>
          <c:val>
            <c:numRef>
              <c:f>'individual-chart-peer-mentoring'!$H$3:$H$34</c:f>
              <c:numCache>
                <c:formatCode>0%</c:formatCode>
                <c:ptCount val="2"/>
                <c:pt idx="0">
                  <c:v>0</c:v>
                </c:pt>
                <c:pt idx="1">
                  <c:v>0</c:v>
                </c:pt>
              </c:numCache>
              <c:extLst/>
            </c:numRef>
          </c:val>
          <c:extLst>
            <c:ext xmlns:c16="http://schemas.microsoft.com/office/drawing/2014/chart" uri="{C3380CC4-5D6E-409C-BE32-E72D297353CC}">
              <c16:uniqueId val="{00000002-099C-49E0-B1F6-8F30887E39D9}"/>
            </c:ext>
          </c:extLst>
        </c:ser>
        <c:ser>
          <c:idx val="6"/>
          <c:order val="6"/>
          <c:tx>
            <c:strRef>
              <c:f>'individual-chart-peer-mentoring'!$I$2</c:f>
              <c:strCache>
                <c:ptCount val="1"/>
                <c:pt idx="0">
                  <c:v>50%</c:v>
                </c:pt>
              </c:strCache>
            </c:strRef>
          </c:tx>
          <c:spPr>
            <a:solidFill>
              <a:srgbClr val="EBA19F"/>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'individual-chart-peer-mentoring'!$B$3:$B$34</c:f>
              <c:strCache>
                <c:ptCount val="2"/>
                <c:pt idx="0">
                  <c:v>Activity</c:v>
                </c:pt>
                <c:pt idx="1">
                  <c:v>Outputs</c:v>
                </c:pt>
              </c:strCache>
              <c:extLst/>
            </c:strRef>
          </c:cat>
          <c:val>
            <c:numRef>
              <c:f>'individual-chart-peer-mentoring'!$I$3:$I$34</c:f>
              <c:numCache>
                <c:formatCode>0%</c:formatCode>
                <c:ptCount val="2"/>
                <c:pt idx="0">
                  <c:v>0</c:v>
                </c:pt>
                <c:pt idx="1">
                  <c:v>0</c:v>
                </c:pt>
              </c:numCache>
              <c:extLst/>
            </c:numRef>
          </c:val>
          <c:extLst>
            <c:ext xmlns:c16="http://schemas.microsoft.com/office/drawing/2014/chart" uri="{C3380CC4-5D6E-409C-BE32-E72D297353CC}">
              <c16:uniqueId val="{00000003-099C-49E0-B1F6-8F30887E39D9}"/>
            </c:ext>
          </c:extLst>
        </c:ser>
        <c:ser>
          <c:idx val="7"/>
          <c:order val="7"/>
          <c:tx>
            <c:strRef>
              <c:f>'individual-chart-peer-mentoring'!$J$2</c:f>
              <c:strCache>
                <c:ptCount val="1"/>
                <c:pt idx="0">
                  <c:v>25%</c:v>
                </c:pt>
              </c:strCache>
            </c:strRef>
          </c:tx>
          <c:spPr>
            <a:solidFill>
              <a:srgbClr val="F3C6C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'individual-chart-peer-mentoring'!$B$3:$B$34</c:f>
              <c:strCache>
                <c:ptCount val="2"/>
                <c:pt idx="0">
                  <c:v>Activity</c:v>
                </c:pt>
                <c:pt idx="1">
                  <c:v>Outputs</c:v>
                </c:pt>
              </c:strCache>
              <c:extLst/>
            </c:strRef>
          </c:cat>
          <c:val>
            <c:numRef>
              <c:f>'individual-chart-peer-mentoring'!$J$3:$J$34</c:f>
              <c:numCache>
                <c:formatCode>0%</c:formatCode>
                <c:ptCount val="2"/>
                <c:pt idx="0">
                  <c:v>0</c:v>
                </c:pt>
                <c:pt idx="1">
                  <c:v>0</c:v>
                </c:pt>
              </c:numCache>
              <c:extLst/>
            </c:numRef>
          </c:val>
          <c:extLst>
            <c:ext xmlns:c16="http://schemas.microsoft.com/office/drawing/2014/chart" uri="{C3380CC4-5D6E-409C-BE32-E72D297353CC}">
              <c16:uniqueId val="{00000004-099C-49E0-B1F6-8F30887E39D9}"/>
            </c:ext>
          </c:extLst>
        </c:ser>
        <c:ser>
          <c:idx val="8"/>
          <c:order val="8"/>
          <c:tx>
            <c:strRef>
              <c:f>'individual-chart-peer-mentoring'!$K$2</c:f>
              <c:strCache>
                <c:ptCount val="1"/>
                <c:pt idx="0">
                  <c:v>10%</c:v>
                </c:pt>
              </c:strCache>
            </c:strRef>
          </c:tx>
          <c:spPr>
            <a:solidFill>
              <a:schemeClr val="accent2">
                <a:tint val="56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'individual-chart-peer-mentoring'!$B$3:$B$34</c:f>
              <c:strCache>
                <c:ptCount val="2"/>
                <c:pt idx="0">
                  <c:v>Activity</c:v>
                </c:pt>
                <c:pt idx="1">
                  <c:v>Outputs</c:v>
                </c:pt>
              </c:strCache>
              <c:extLst/>
            </c:strRef>
          </c:cat>
          <c:val>
            <c:numRef>
              <c:f>'individual-chart-peer-mentoring'!$K$3:$K$34</c:f>
              <c:numCache>
                <c:formatCode>0%</c:formatCode>
                <c:ptCount val="2"/>
                <c:pt idx="0">
                  <c:v>0</c:v>
                </c:pt>
                <c:pt idx="1">
                  <c:v>0</c:v>
                </c:pt>
              </c:numCache>
              <c:extLst/>
            </c:numRef>
          </c:val>
          <c:extLst>
            <c:ext xmlns:c16="http://schemas.microsoft.com/office/drawing/2014/chart" uri="{C3380CC4-5D6E-409C-BE32-E72D297353CC}">
              <c16:uniqueId val="{00000005-099C-49E0-B1F6-8F30887E39D9}"/>
            </c:ext>
          </c:extLst>
        </c:ser>
        <c:ser>
          <c:idx val="9"/>
          <c:order val="9"/>
          <c:tx>
            <c:strRef>
              <c:f>'individual-chart-peer-mentoring'!$L$2</c:f>
              <c:strCache>
                <c:ptCount val="1"/>
                <c:pt idx="0">
                  <c:v>Not Started</c:v>
                </c:pt>
              </c:strCache>
            </c:strRef>
          </c:tx>
          <c:spPr>
            <a:solidFill>
              <a:srgbClr val="FCF2F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'individual-chart-peer-mentoring'!$B$3:$B$34</c:f>
              <c:strCache>
                <c:ptCount val="2"/>
                <c:pt idx="0">
                  <c:v>Activity</c:v>
                </c:pt>
                <c:pt idx="1">
                  <c:v>Outputs</c:v>
                </c:pt>
              </c:strCache>
              <c:extLst/>
            </c:strRef>
          </c:cat>
          <c:val>
            <c:numRef>
              <c:f>'individual-chart-peer-mentoring'!$L$3:$L$34</c:f>
              <c:numCache>
                <c:formatCode>0%</c:formatCode>
                <c:ptCount val="2"/>
                <c:pt idx="0">
                  <c:v>0</c:v>
                </c:pt>
                <c:pt idx="1">
                  <c:v>0</c:v>
                </c:pt>
              </c:numCache>
              <c:extLst/>
            </c:numRef>
          </c:val>
          <c:extLst>
            <c:ext xmlns:c16="http://schemas.microsoft.com/office/drawing/2014/chart" uri="{C3380CC4-5D6E-409C-BE32-E72D297353CC}">
              <c16:uniqueId val="{00000006-099C-49E0-B1F6-8F30887E39D9}"/>
            </c:ext>
          </c:extLst>
        </c:ser>
        <c:dLbls>
          <c:dLblPos val="ctr"/>
          <c:showLegendKey val="0"/>
          <c:showVal val="1"/>
          <c:showCatName val="0"/>
          <c:showSerName val="0"/>
          <c:showPercent val="0"/>
          <c:showBubbleSize val="0"/>
        </c:dLbls>
        <c:gapWidth val="150"/>
        <c:overlap val="100"/>
        <c:axId val="790958128"/>
        <c:axId val="790961408"/>
        <c:extLst>
          <c:ext xmlns:c15="http://schemas.microsoft.com/office/drawing/2012/chart" uri="{02D57815-91ED-43cb-92C2-25804820EDAC}">
            <c15:filteredBarSeries>
              <c15:ser>
                <c:idx val="0"/>
                <c:order val="0"/>
                <c:tx>
                  <c:strRef>
                    <c:extLst>
                      <c:ext uri="{02D57815-91ED-43cb-92C2-25804820EDAC}">
                        <c15:formulaRef>
                          <c15:sqref>'individual-chart-peer-mentoring'!$C$2</c15:sqref>
                        </c15:formulaRef>
                      </c:ext>
                    </c:extLst>
                    <c:strCache>
                      <c:ptCount val="1"/>
                      <c:pt idx="0">
                        <c:v>Completed</c:v>
                      </c:pt>
                    </c:strCache>
                  </c:strRef>
                </c:tx>
                <c:spPr>
                  <a:solidFill>
                    <a:schemeClr val="accent2">
                      <a:shade val="42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c:ext uri="{02D57815-91ED-43cb-92C2-25804820EDAC}">
                        <c15:formulaRef>
                          <c15:sqref>'individual-chart-peer-mentoring'!$B$3:$B$34</c15:sqref>
                        </c15:formulaRef>
                      </c:ext>
                    </c:extLst>
                    <c:strCache>
                      <c:ptCount val="2"/>
                      <c:pt idx="0">
                        <c:v>Activity</c:v>
                      </c:pt>
                      <c:pt idx="1">
                        <c:v>Outputs</c:v>
                      </c:pt>
                    </c:strCache>
                  </c:strRef>
                </c:cat>
                <c:val>
                  <c:numRef>
                    <c:extLst>
                      <c:ext uri="{02D57815-91ED-43cb-92C2-25804820EDAC}">
                        <c15:formulaRef>
                          <c15:sqref>'individual-chart-peer-mentoring'!$C$3:$C$34</c15:sqref>
                        </c15:formulaRef>
                      </c:ext>
                    </c:extLst>
                    <c:numCache>
                      <c:formatCode>0%</c:formatCode>
                      <c:ptCount val="2"/>
                      <c:pt idx="0">
                        <c:v>0</c:v>
                      </c:pt>
                      <c:pt idx="1">
                        <c:v>0</c:v>
                      </c:pt>
                    </c:numCache>
                  </c:numRef>
                </c:val>
                <c:extLst>
                  <c:ext xmlns:c16="http://schemas.microsoft.com/office/drawing/2014/chart" uri="{C3380CC4-5D6E-409C-BE32-E72D297353CC}">
                    <c16:uniqueId val="{00000007-099C-49E0-B1F6-8F30887E39D9}"/>
                  </c:ext>
                </c:extLst>
              </c15:ser>
            </c15:filteredBarSeries>
            <c15:filteredBarSeries>
              <c15:ser>
                <c:idx val="1"/>
                <c:order val="1"/>
                <c:tx>
                  <c:strRef>
                    <c:extLst xmlns:c15="http://schemas.microsoft.com/office/drawing/2012/chart">
                      <c:ext xmlns:c15="http://schemas.microsoft.com/office/drawing/2012/chart" uri="{02D57815-91ED-43cb-92C2-25804820EDAC}">
                        <c15:formulaRef>
                          <c15:sqref>'individual-chart-peer-mentoring'!$D$2</c15:sqref>
                        </c15:formulaRef>
                      </c:ext>
                    </c:extLst>
                    <c:strCache>
                      <c:ptCount val="1"/>
                      <c:pt idx="0">
                        <c:v>In progress</c:v>
                      </c:pt>
                    </c:strCache>
                  </c:strRef>
                </c:tx>
                <c:spPr>
                  <a:solidFill>
                    <a:schemeClr val="accent2">
                      <a:shade val="5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'individual-chart-peer-mentoring'!$B$3:$B$34</c15:sqref>
                        </c15:formulaRef>
                      </c:ext>
                    </c:extLst>
                    <c:strCache>
                      <c:ptCount val="2"/>
                      <c:pt idx="0">
                        <c:v>Activity</c:v>
                      </c:pt>
                      <c:pt idx="1">
                        <c:v>Outputs</c:v>
                      </c:pt>
                    </c:strCache>
                  </c:strRef>
                </c:cat>
                <c:val>
                  <c:numRef>
                    <c:extLst xmlns:c15="http://schemas.microsoft.com/office/drawing/2012/chart">
                      <c:ext xmlns:c15="http://schemas.microsoft.com/office/drawing/2012/chart" uri="{02D57815-91ED-43cb-92C2-25804820EDAC}">
                        <c15:formulaRef>
                          <c15:sqref>'individual-chart-peer-mentoring'!$D$3:$D$34</c15:sqref>
                        </c15:formulaRef>
                      </c:ext>
                    </c:extLst>
                    <c:numCache>
                      <c:formatCode>0%</c:formatCode>
                      <c:ptCount val="2"/>
                      <c:pt idx="0">
                        <c:v>0</c:v>
                      </c:pt>
                      <c:pt idx="1">
                        <c:v>0</c:v>
                      </c:pt>
                    </c:numCache>
                  </c:numRef>
                </c:val>
                <c:extLst xmlns:c15="http://schemas.microsoft.com/office/drawing/2012/chart">
                  <c:ext xmlns:c16="http://schemas.microsoft.com/office/drawing/2014/chart" uri="{C3380CC4-5D6E-409C-BE32-E72D297353CC}">
                    <c16:uniqueId val="{00000008-099C-49E0-B1F6-8F30887E39D9}"/>
                  </c:ext>
                </c:extLst>
              </c15:ser>
            </c15:filteredBarSeries>
            <c15:filteredBarSeries>
              <c15:ser>
                <c:idx val="2"/>
                <c:order val="2"/>
                <c:tx>
                  <c:strRef>
                    <c:extLst xmlns:c15="http://schemas.microsoft.com/office/drawing/2012/chart">
                      <c:ext xmlns:c15="http://schemas.microsoft.com/office/drawing/2012/chart" uri="{02D57815-91ED-43cb-92C2-25804820EDAC}">
                        <c15:formulaRef>
                          <c15:sqref>'individual-chart-peer-mentoring'!$E$2</c15:sqref>
                        </c15:formulaRef>
                      </c:ext>
                    </c:extLst>
                    <c:strCache>
                      <c:ptCount val="1"/>
                      <c:pt idx="0">
                        <c:v>Not started</c:v>
                      </c:pt>
                    </c:strCache>
                  </c:strRef>
                </c:tx>
                <c:spPr>
                  <a:solidFill>
                    <a:schemeClr val="accent2">
                      <a:shade val="68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'individual-chart-peer-mentoring'!$B$3:$B$34</c15:sqref>
                        </c15:formulaRef>
                      </c:ext>
                    </c:extLst>
                    <c:strCache>
                      <c:ptCount val="2"/>
                      <c:pt idx="0">
                        <c:v>Activity</c:v>
                      </c:pt>
                      <c:pt idx="1">
                        <c:v>Outputs</c:v>
                      </c:pt>
                    </c:strCache>
                  </c:strRef>
                </c:cat>
                <c:val>
                  <c:numRef>
                    <c:extLst xmlns:c15="http://schemas.microsoft.com/office/drawing/2012/chart">
                      <c:ext xmlns:c15="http://schemas.microsoft.com/office/drawing/2012/chart" uri="{02D57815-91ED-43cb-92C2-25804820EDAC}">
                        <c15:formulaRef>
                          <c15:sqref>'individual-chart-peer-mentoring'!$E$3:$E$34</c15:sqref>
                        </c15:formulaRef>
                      </c:ext>
                    </c:extLst>
                    <c:numCache>
                      <c:formatCode>0%</c:formatCode>
                      <c:ptCount val="2"/>
                      <c:pt idx="0">
                        <c:v>0</c:v>
                      </c:pt>
                      <c:pt idx="1">
                        <c:v>0</c:v>
                      </c:pt>
                    </c:numCache>
                  </c:numRef>
                </c:val>
                <c:extLst xmlns:c15="http://schemas.microsoft.com/office/drawing/2012/chart">
                  <c:ext xmlns:c16="http://schemas.microsoft.com/office/drawing/2014/chart" uri="{C3380CC4-5D6E-409C-BE32-E72D297353CC}">
                    <c16:uniqueId val="{00000009-099C-49E0-B1F6-8F30887E39D9}"/>
                  </c:ext>
                </c:extLst>
              </c15:ser>
            </c15:filteredBarSeries>
          </c:ext>
        </c:extLst>
      </c:barChart>
      <c:catAx>
        <c:axId val="7909581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n-US"/>
          </a:p>
        </c:txPr>
        <c:crossAx val="790961408"/>
        <c:crosses val="autoZero"/>
        <c:auto val="1"/>
        <c:lblAlgn val="ctr"/>
        <c:lblOffset val="100"/>
        <c:noMultiLvlLbl val="0"/>
      </c:catAx>
      <c:valAx>
        <c:axId val="790961408"/>
        <c:scaling>
          <c:orientation val="minMax"/>
          <c:min val="0"/>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90958128"/>
        <c:crossesAt val="1"/>
        <c:crossBetween val="between"/>
      </c:valAx>
      <c:spPr>
        <a:noFill/>
        <a:ln>
          <a:noFill/>
        </a:ln>
        <a:effectLst/>
      </c:spPr>
    </c:plotArea>
    <c:legend>
      <c:legendPos val="t"/>
      <c:layout>
        <c:manualLayout>
          <c:xMode val="edge"/>
          <c:yMode val="edge"/>
          <c:x val="0.16878354491402861"/>
          <c:y val="0.14071530758226036"/>
          <c:w val="0.78488188976377948"/>
          <c:h val="8.3691663005643596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6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4"/>
    </mc:Choice>
    <mc:Fallback>
      <c:style val="4"/>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Topic Area - Customized Employment  Activity Unique</a:t>
            </a:r>
          </a:p>
        </c:rich>
      </c:tx>
      <c:layout>
        <c:manualLayout>
          <c:xMode val="edge"/>
          <c:yMode val="edge"/>
          <c:x val="0.10863393064929022"/>
          <c:y val="1.5122873345935728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6017916604892113"/>
          <c:y val="0.23265365094271845"/>
          <c:w val="0.78942722632790041"/>
          <c:h val="0.66602748393145406"/>
        </c:manualLayout>
      </c:layout>
      <c:barChart>
        <c:barDir val="col"/>
        <c:grouping val="percentStacked"/>
        <c:varyColors val="0"/>
        <c:ser>
          <c:idx val="3"/>
          <c:order val="3"/>
          <c:tx>
            <c:strRef>
              <c:f>'individual-chart-ce'!$F$2</c:f>
              <c:strCache>
                <c:ptCount val="1"/>
                <c:pt idx="0">
                  <c:v>Completed</c:v>
                </c:pt>
              </c:strCache>
            </c:strRef>
          </c:tx>
          <c:spPr>
            <a:solidFill>
              <a:srgbClr val="99221F"/>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600" b="0"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'individual-chart-ce'!$B$3:$B$46</c:f>
              <c:strCache>
                <c:ptCount val="2"/>
                <c:pt idx="0">
                  <c:v>Activity</c:v>
                </c:pt>
                <c:pt idx="1">
                  <c:v>Outputs</c:v>
                </c:pt>
              </c:strCache>
              <c:extLst/>
            </c:strRef>
          </c:cat>
          <c:val>
            <c:numRef>
              <c:f>'individual-chart-ce'!$F$3:$F$46</c:f>
              <c:numCache>
                <c:formatCode>0%</c:formatCode>
                <c:ptCount val="2"/>
                <c:pt idx="0">
                  <c:v>1</c:v>
                </c:pt>
                <c:pt idx="1">
                  <c:v>1</c:v>
                </c:pt>
              </c:numCache>
              <c:extLst/>
            </c:numRef>
          </c:val>
          <c:extLst>
            <c:ext xmlns:c16="http://schemas.microsoft.com/office/drawing/2014/chart" uri="{C3380CC4-5D6E-409C-BE32-E72D297353CC}">
              <c16:uniqueId val="{00000000-52A4-4987-BDC8-F959ECE0D75F}"/>
            </c:ext>
          </c:extLst>
        </c:ser>
        <c:ser>
          <c:idx val="4"/>
          <c:order val="4"/>
          <c:tx>
            <c:strRef>
              <c:f>'individual-chart-ce'!$G$2</c:f>
              <c:strCache>
                <c:ptCount val="1"/>
                <c:pt idx="0">
                  <c:v>90%</c:v>
                </c:pt>
              </c:strCache>
            </c:strRef>
          </c:tx>
          <c:spPr>
            <a:solidFill>
              <a:srgbClr val="D73D39"/>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'individual-chart-ce'!$B$3:$B$46</c:f>
              <c:strCache>
                <c:ptCount val="2"/>
                <c:pt idx="0">
                  <c:v>Activity</c:v>
                </c:pt>
                <c:pt idx="1">
                  <c:v>Outputs</c:v>
                </c:pt>
              </c:strCache>
              <c:extLst/>
            </c:strRef>
          </c:cat>
          <c:val>
            <c:numRef>
              <c:f>'individual-chart-ce'!$G$3:$G$46</c:f>
              <c:numCache>
                <c:formatCode>General</c:formatCode>
                <c:ptCount val="2"/>
              </c:numCache>
              <c:extLst/>
            </c:numRef>
          </c:val>
          <c:extLst>
            <c:ext xmlns:c16="http://schemas.microsoft.com/office/drawing/2014/chart" uri="{C3380CC4-5D6E-409C-BE32-E72D297353CC}">
              <c16:uniqueId val="{00000001-52A4-4987-BDC8-F959ECE0D75F}"/>
            </c:ext>
          </c:extLst>
        </c:ser>
        <c:ser>
          <c:idx val="5"/>
          <c:order val="5"/>
          <c:tx>
            <c:strRef>
              <c:f>'individual-chart-ce'!$H$2</c:f>
              <c:strCache>
                <c:ptCount val="1"/>
                <c:pt idx="0">
                  <c:v>75%</c:v>
                </c:pt>
              </c:strCache>
            </c:strRef>
          </c:tx>
          <c:spPr>
            <a:solidFill>
              <a:srgbClr val="DC535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'individual-chart-ce'!$B$3:$B$46</c:f>
              <c:strCache>
                <c:ptCount val="2"/>
                <c:pt idx="0">
                  <c:v>Activity</c:v>
                </c:pt>
                <c:pt idx="1">
                  <c:v>Outputs</c:v>
                </c:pt>
              </c:strCache>
              <c:extLst/>
            </c:strRef>
          </c:cat>
          <c:val>
            <c:numRef>
              <c:f>'individual-chart-ce'!$H$3:$H$46</c:f>
              <c:numCache>
                <c:formatCode>General</c:formatCode>
                <c:ptCount val="2"/>
              </c:numCache>
              <c:extLst/>
            </c:numRef>
          </c:val>
          <c:extLst>
            <c:ext xmlns:c16="http://schemas.microsoft.com/office/drawing/2014/chart" uri="{C3380CC4-5D6E-409C-BE32-E72D297353CC}">
              <c16:uniqueId val="{00000002-52A4-4987-BDC8-F959ECE0D75F}"/>
            </c:ext>
          </c:extLst>
        </c:ser>
        <c:ser>
          <c:idx val="6"/>
          <c:order val="6"/>
          <c:tx>
            <c:strRef>
              <c:f>'individual-chart-ce'!$I$2</c:f>
              <c:strCache>
                <c:ptCount val="1"/>
                <c:pt idx="0">
                  <c:v>50%</c:v>
                </c:pt>
              </c:strCache>
            </c:strRef>
          </c:tx>
          <c:spPr>
            <a:solidFill>
              <a:srgbClr val="EBA19F"/>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'individual-chart-ce'!$B$3:$B$46</c:f>
              <c:strCache>
                <c:ptCount val="2"/>
                <c:pt idx="0">
                  <c:v>Activity</c:v>
                </c:pt>
                <c:pt idx="1">
                  <c:v>Outputs</c:v>
                </c:pt>
              </c:strCache>
              <c:extLst/>
            </c:strRef>
          </c:cat>
          <c:val>
            <c:numRef>
              <c:f>'individual-chart-ce'!$I$3:$I$46</c:f>
              <c:numCache>
                <c:formatCode>General</c:formatCode>
                <c:ptCount val="2"/>
              </c:numCache>
              <c:extLst/>
            </c:numRef>
          </c:val>
          <c:extLst>
            <c:ext xmlns:c16="http://schemas.microsoft.com/office/drawing/2014/chart" uri="{C3380CC4-5D6E-409C-BE32-E72D297353CC}">
              <c16:uniqueId val="{00000003-52A4-4987-BDC8-F959ECE0D75F}"/>
            </c:ext>
          </c:extLst>
        </c:ser>
        <c:ser>
          <c:idx val="7"/>
          <c:order val="7"/>
          <c:tx>
            <c:strRef>
              <c:f>'individual-chart-ce'!$J$2</c:f>
              <c:strCache>
                <c:ptCount val="1"/>
                <c:pt idx="0">
                  <c:v>25%</c:v>
                </c:pt>
              </c:strCache>
            </c:strRef>
          </c:tx>
          <c:spPr>
            <a:solidFill>
              <a:srgbClr val="F3C6C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'individual-chart-ce'!$B$3:$B$46</c:f>
              <c:strCache>
                <c:ptCount val="2"/>
                <c:pt idx="0">
                  <c:v>Activity</c:v>
                </c:pt>
                <c:pt idx="1">
                  <c:v>Outputs</c:v>
                </c:pt>
              </c:strCache>
              <c:extLst/>
            </c:strRef>
          </c:cat>
          <c:val>
            <c:numRef>
              <c:f>'individual-chart-ce'!$J$3:$J$46</c:f>
              <c:numCache>
                <c:formatCode>General</c:formatCode>
                <c:ptCount val="2"/>
              </c:numCache>
              <c:extLst/>
            </c:numRef>
          </c:val>
          <c:extLst>
            <c:ext xmlns:c16="http://schemas.microsoft.com/office/drawing/2014/chart" uri="{C3380CC4-5D6E-409C-BE32-E72D297353CC}">
              <c16:uniqueId val="{00000004-52A4-4987-BDC8-F959ECE0D75F}"/>
            </c:ext>
          </c:extLst>
        </c:ser>
        <c:ser>
          <c:idx val="8"/>
          <c:order val="8"/>
          <c:tx>
            <c:strRef>
              <c:f>'individual-chart-ce'!$K$2</c:f>
              <c:strCache>
                <c:ptCount val="1"/>
                <c:pt idx="0">
                  <c:v>10%</c:v>
                </c:pt>
              </c:strCache>
            </c:strRef>
          </c:tx>
          <c:spPr>
            <a:solidFill>
              <a:schemeClr val="accent2">
                <a:tint val="56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'individual-chart-ce'!$B$3:$B$46</c:f>
              <c:strCache>
                <c:ptCount val="2"/>
                <c:pt idx="0">
                  <c:v>Activity</c:v>
                </c:pt>
                <c:pt idx="1">
                  <c:v>Outputs</c:v>
                </c:pt>
              </c:strCache>
              <c:extLst/>
            </c:strRef>
          </c:cat>
          <c:val>
            <c:numRef>
              <c:f>'individual-chart-ce'!$K$3:$K$46</c:f>
              <c:numCache>
                <c:formatCode>General</c:formatCode>
                <c:ptCount val="2"/>
              </c:numCache>
              <c:extLst/>
            </c:numRef>
          </c:val>
          <c:extLst>
            <c:ext xmlns:c16="http://schemas.microsoft.com/office/drawing/2014/chart" uri="{C3380CC4-5D6E-409C-BE32-E72D297353CC}">
              <c16:uniqueId val="{00000005-52A4-4987-BDC8-F959ECE0D75F}"/>
            </c:ext>
          </c:extLst>
        </c:ser>
        <c:ser>
          <c:idx val="9"/>
          <c:order val="9"/>
          <c:tx>
            <c:strRef>
              <c:f>'individual-chart-ce'!$L$2</c:f>
              <c:strCache>
                <c:ptCount val="1"/>
                <c:pt idx="0">
                  <c:v>Not Started</c:v>
                </c:pt>
              </c:strCache>
            </c:strRef>
          </c:tx>
          <c:spPr>
            <a:solidFill>
              <a:srgbClr val="FCF2F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'individual-chart-ce'!$B$3:$B$46</c:f>
              <c:strCache>
                <c:ptCount val="2"/>
                <c:pt idx="0">
                  <c:v>Activity</c:v>
                </c:pt>
                <c:pt idx="1">
                  <c:v>Outputs</c:v>
                </c:pt>
              </c:strCache>
              <c:extLst/>
            </c:strRef>
          </c:cat>
          <c:val>
            <c:numRef>
              <c:f>'individual-chart-ce'!$L$3:$L$46</c:f>
              <c:numCache>
                <c:formatCode>General</c:formatCode>
                <c:ptCount val="2"/>
              </c:numCache>
              <c:extLst/>
            </c:numRef>
          </c:val>
          <c:extLst>
            <c:ext xmlns:c16="http://schemas.microsoft.com/office/drawing/2014/chart" uri="{C3380CC4-5D6E-409C-BE32-E72D297353CC}">
              <c16:uniqueId val="{00000006-52A4-4987-BDC8-F959ECE0D75F}"/>
            </c:ext>
          </c:extLst>
        </c:ser>
        <c:dLbls>
          <c:dLblPos val="ctr"/>
          <c:showLegendKey val="0"/>
          <c:showVal val="1"/>
          <c:showCatName val="0"/>
          <c:showSerName val="0"/>
          <c:showPercent val="0"/>
          <c:showBubbleSize val="0"/>
        </c:dLbls>
        <c:gapWidth val="150"/>
        <c:overlap val="100"/>
        <c:axId val="790958128"/>
        <c:axId val="790961408"/>
        <c:extLst>
          <c:ext xmlns:c15="http://schemas.microsoft.com/office/drawing/2012/chart" uri="{02D57815-91ED-43cb-92C2-25804820EDAC}">
            <c15:filteredBarSeries>
              <c15:ser>
                <c:idx val="0"/>
                <c:order val="0"/>
                <c:tx>
                  <c:strRef>
                    <c:extLst>
                      <c:ext uri="{02D57815-91ED-43cb-92C2-25804820EDAC}">
                        <c15:formulaRef>
                          <c15:sqref>'individual-chart-ce'!$C$2</c15:sqref>
                        </c15:formulaRef>
                      </c:ext>
                    </c:extLst>
                    <c:strCache>
                      <c:ptCount val="1"/>
                      <c:pt idx="0">
                        <c:v>Completed</c:v>
                      </c:pt>
                    </c:strCache>
                  </c:strRef>
                </c:tx>
                <c:spPr>
                  <a:solidFill>
                    <a:schemeClr val="accent2">
                      <a:shade val="42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c:ext uri="{02D57815-91ED-43cb-92C2-25804820EDAC}">
                        <c15:formulaRef>
                          <c15:sqref>'individual-chart-ce'!$B$3:$B$46</c15:sqref>
                        </c15:formulaRef>
                      </c:ext>
                    </c:extLst>
                    <c:strCache>
                      <c:ptCount val="2"/>
                      <c:pt idx="0">
                        <c:v>Activity</c:v>
                      </c:pt>
                      <c:pt idx="1">
                        <c:v>Outputs</c:v>
                      </c:pt>
                    </c:strCache>
                  </c:strRef>
                </c:cat>
                <c:val>
                  <c:numRef>
                    <c:extLst>
                      <c:ext uri="{02D57815-91ED-43cb-92C2-25804820EDAC}">
                        <c15:formulaRef>
                          <c15:sqref>'individual-chart-ce'!$C$3:$C$46</c15:sqref>
                        </c15:formulaRef>
                      </c:ext>
                    </c:extLst>
                    <c:numCache>
                      <c:formatCode>0%</c:formatCode>
                      <c:ptCount val="2"/>
                      <c:pt idx="0">
                        <c:v>1</c:v>
                      </c:pt>
                      <c:pt idx="1">
                        <c:v>1</c:v>
                      </c:pt>
                    </c:numCache>
                  </c:numRef>
                </c:val>
                <c:extLst>
                  <c:ext xmlns:c16="http://schemas.microsoft.com/office/drawing/2014/chart" uri="{C3380CC4-5D6E-409C-BE32-E72D297353CC}">
                    <c16:uniqueId val="{00000007-52A4-4987-BDC8-F959ECE0D75F}"/>
                  </c:ext>
                </c:extLst>
              </c15:ser>
            </c15:filteredBarSeries>
            <c15:filteredBarSeries>
              <c15:ser>
                <c:idx val="1"/>
                <c:order val="1"/>
                <c:tx>
                  <c:strRef>
                    <c:extLst xmlns:c15="http://schemas.microsoft.com/office/drawing/2012/chart">
                      <c:ext xmlns:c15="http://schemas.microsoft.com/office/drawing/2012/chart" uri="{02D57815-91ED-43cb-92C2-25804820EDAC}">
                        <c15:formulaRef>
                          <c15:sqref>'individual-chart-ce'!$D$2</c15:sqref>
                        </c15:formulaRef>
                      </c:ext>
                    </c:extLst>
                    <c:strCache>
                      <c:ptCount val="1"/>
                      <c:pt idx="0">
                        <c:v>In progress</c:v>
                      </c:pt>
                    </c:strCache>
                  </c:strRef>
                </c:tx>
                <c:spPr>
                  <a:solidFill>
                    <a:schemeClr val="accent2">
                      <a:shade val="5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'individual-chart-ce'!$B$3:$B$46</c15:sqref>
                        </c15:formulaRef>
                      </c:ext>
                    </c:extLst>
                    <c:strCache>
                      <c:ptCount val="2"/>
                      <c:pt idx="0">
                        <c:v>Activity</c:v>
                      </c:pt>
                      <c:pt idx="1">
                        <c:v>Outputs</c:v>
                      </c:pt>
                    </c:strCache>
                  </c:strRef>
                </c:cat>
                <c:val>
                  <c:numRef>
                    <c:extLst xmlns:c15="http://schemas.microsoft.com/office/drawing/2012/chart">
                      <c:ext xmlns:c15="http://schemas.microsoft.com/office/drawing/2012/chart" uri="{02D57815-91ED-43cb-92C2-25804820EDAC}">
                        <c15:formulaRef>
                          <c15:sqref>'individual-chart-ce'!$D$3:$D$46</c15:sqref>
                        </c15:formulaRef>
                      </c:ext>
                    </c:extLst>
                    <c:numCache>
                      <c:formatCode>General</c:formatCode>
                      <c:ptCount val="2"/>
                    </c:numCache>
                  </c:numRef>
                </c:val>
                <c:extLst xmlns:c15="http://schemas.microsoft.com/office/drawing/2012/chart">
                  <c:ext xmlns:c16="http://schemas.microsoft.com/office/drawing/2014/chart" uri="{C3380CC4-5D6E-409C-BE32-E72D297353CC}">
                    <c16:uniqueId val="{00000008-52A4-4987-BDC8-F959ECE0D75F}"/>
                  </c:ext>
                </c:extLst>
              </c15:ser>
            </c15:filteredBarSeries>
            <c15:filteredBarSeries>
              <c15:ser>
                <c:idx val="2"/>
                <c:order val="2"/>
                <c:tx>
                  <c:strRef>
                    <c:extLst xmlns:c15="http://schemas.microsoft.com/office/drawing/2012/chart">
                      <c:ext xmlns:c15="http://schemas.microsoft.com/office/drawing/2012/chart" uri="{02D57815-91ED-43cb-92C2-25804820EDAC}">
                        <c15:formulaRef>
                          <c15:sqref>'individual-chart-ce'!$E$2</c15:sqref>
                        </c15:formulaRef>
                      </c:ext>
                    </c:extLst>
                    <c:strCache>
                      <c:ptCount val="1"/>
                      <c:pt idx="0">
                        <c:v>Not started</c:v>
                      </c:pt>
                    </c:strCache>
                  </c:strRef>
                </c:tx>
                <c:spPr>
                  <a:solidFill>
                    <a:schemeClr val="accent2">
                      <a:shade val="68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'individual-chart-ce'!$B$3:$B$46</c15:sqref>
                        </c15:formulaRef>
                      </c:ext>
                    </c:extLst>
                    <c:strCache>
                      <c:ptCount val="2"/>
                      <c:pt idx="0">
                        <c:v>Activity</c:v>
                      </c:pt>
                      <c:pt idx="1">
                        <c:v>Outputs</c:v>
                      </c:pt>
                    </c:strCache>
                  </c:strRef>
                </c:cat>
                <c:val>
                  <c:numRef>
                    <c:extLst xmlns:c15="http://schemas.microsoft.com/office/drawing/2012/chart">
                      <c:ext xmlns:c15="http://schemas.microsoft.com/office/drawing/2012/chart" uri="{02D57815-91ED-43cb-92C2-25804820EDAC}">
                        <c15:formulaRef>
                          <c15:sqref>'individual-chart-ce'!$E$3:$E$46</c15:sqref>
                        </c15:formulaRef>
                      </c:ext>
                    </c:extLst>
                    <c:numCache>
                      <c:formatCode>General</c:formatCode>
                      <c:ptCount val="2"/>
                    </c:numCache>
                  </c:numRef>
                </c:val>
                <c:extLst xmlns:c15="http://schemas.microsoft.com/office/drawing/2012/chart">
                  <c:ext xmlns:c16="http://schemas.microsoft.com/office/drawing/2014/chart" uri="{C3380CC4-5D6E-409C-BE32-E72D297353CC}">
                    <c16:uniqueId val="{00000009-52A4-4987-BDC8-F959ECE0D75F}"/>
                  </c:ext>
                </c:extLst>
              </c15:ser>
            </c15:filteredBarSeries>
          </c:ext>
        </c:extLst>
      </c:barChart>
      <c:catAx>
        <c:axId val="7909581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n-US"/>
          </a:p>
        </c:txPr>
        <c:crossAx val="790961408"/>
        <c:crosses val="autoZero"/>
        <c:auto val="1"/>
        <c:lblAlgn val="ctr"/>
        <c:lblOffset val="100"/>
        <c:noMultiLvlLbl val="0"/>
      </c:catAx>
      <c:valAx>
        <c:axId val="790961408"/>
        <c:scaling>
          <c:orientation val="minMax"/>
          <c:min val="0"/>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90958128"/>
        <c:crossesAt val="1"/>
        <c:crossBetween val="between"/>
      </c:valAx>
      <c:spPr>
        <a:noFill/>
        <a:ln>
          <a:noFill/>
        </a:ln>
        <a:effectLst/>
      </c:spPr>
    </c:plotArea>
    <c:legend>
      <c:legendPos val="t"/>
      <c:layout>
        <c:manualLayout>
          <c:xMode val="edge"/>
          <c:yMode val="edge"/>
          <c:x val="0.16878354491402861"/>
          <c:y val="0.14071530758226036"/>
          <c:w val="0.78488188976377948"/>
          <c:h val="8.3691663005643596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userShapes r:id="rId5"/>
</c:chartSpace>
</file>

<file path=word/charts/chart6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cap="all" spc="120" normalizeH="0" baseline="0">
                <a:solidFill>
                  <a:schemeClr val="tx1">
                    <a:lumMod val="65000"/>
                    <a:lumOff val="35000"/>
                  </a:schemeClr>
                </a:solidFill>
                <a:latin typeface="+mn-lt"/>
                <a:ea typeface="+mn-ea"/>
                <a:cs typeface="+mn-cs"/>
              </a:defRPr>
            </a:pPr>
            <a:r>
              <a:rPr lang="en-US"/>
              <a:t>Progress </a:t>
            </a:r>
            <a:r>
              <a:rPr lang="en-US" sz="1600" b="1" i="0" u="none" strike="noStrike" cap="all" normalizeH="0" baseline="0">
                <a:effectLst/>
              </a:rPr>
              <a:t>SARA Activities </a:t>
            </a:r>
            <a:endParaRPr lang="en-US"/>
          </a:p>
        </c:rich>
      </c:tx>
      <c:overlay val="0"/>
      <c:spPr>
        <a:noFill/>
        <a:ln>
          <a:noFill/>
        </a:ln>
        <a:effectLst/>
      </c:spPr>
      <c:txPr>
        <a:bodyPr rot="0" spcFirstLastPara="1" vertOverflow="ellipsis" vert="horz" wrap="square" anchor="ctr" anchorCtr="1"/>
        <a:lstStyle/>
        <a:p>
          <a:pPr>
            <a:defRPr sz="1600" b="1" i="0" u="none" strike="noStrike" kern="1200" cap="all" spc="120" normalizeH="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3.3720388225764973E-2"/>
          <c:y val="0.14584098852712488"/>
          <c:w val="0.94109226599161167"/>
          <c:h val="0.62853727315905772"/>
        </c:manualLayout>
      </c:layout>
      <c:barChart>
        <c:barDir val="bar"/>
        <c:grouping val="stacked"/>
        <c:varyColors val="0"/>
        <c:ser>
          <c:idx val="2"/>
          <c:order val="2"/>
          <c:tx>
            <c:strRef>
              <c:f>'activities-percent-completed'!$D$3</c:f>
              <c:strCache>
                <c:ptCount val="1"/>
                <c:pt idx="0">
                  <c:v>Completed</c:v>
                </c:pt>
              </c:strCache>
            </c:strRef>
          </c:tx>
          <c:spPr>
            <a:solidFill>
              <a:srgbClr val="B2272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2400" b="0"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'activities-percent-completed'!$A$4:$A$15</c:f>
              <c:strCache>
                <c:ptCount val="1"/>
                <c:pt idx="0">
                  <c:v>SARA</c:v>
                </c:pt>
              </c:strCache>
            </c:strRef>
          </c:cat>
          <c:val>
            <c:numRef>
              <c:f>'activities-percent-completed'!$D$4:$D$15</c:f>
              <c:numCache>
                <c:formatCode>0%</c:formatCode>
                <c:ptCount val="1"/>
                <c:pt idx="0">
                  <c:v>1</c:v>
                </c:pt>
              </c:numCache>
            </c:numRef>
          </c:val>
          <c:extLst>
            <c:ext xmlns:c16="http://schemas.microsoft.com/office/drawing/2014/chart" uri="{C3380CC4-5D6E-409C-BE32-E72D297353CC}">
              <c16:uniqueId val="{00000000-B356-4448-9056-D40081D7DB0A}"/>
            </c:ext>
          </c:extLst>
        </c:ser>
        <c:ser>
          <c:idx val="3"/>
          <c:order val="3"/>
          <c:tx>
            <c:strRef>
              <c:f>'activities-percent-completed'!$E$3</c:f>
              <c:strCache>
                <c:ptCount val="1"/>
                <c:pt idx="0">
                  <c:v>90%</c:v>
                </c:pt>
              </c:strCache>
            </c:strRef>
          </c:tx>
          <c:spPr>
            <a:solidFill>
              <a:schemeClr val="accent4"/>
            </a:solidFill>
            <a:ln>
              <a:noFill/>
            </a:ln>
            <a:effectLst/>
          </c:spPr>
          <c:invertIfNegative val="0"/>
          <c:dLbls>
            <c:delete val="1"/>
          </c:dLbls>
          <c:cat>
            <c:strRef>
              <c:f>'activities-percent-completed'!$A$4:$A$15</c:f>
              <c:strCache>
                <c:ptCount val="1"/>
                <c:pt idx="0">
                  <c:v>SARA</c:v>
                </c:pt>
              </c:strCache>
            </c:strRef>
          </c:cat>
          <c:val>
            <c:numRef>
              <c:f>'activities-percent-completed'!$E$4:$E$15</c:f>
              <c:numCache>
                <c:formatCode>0%</c:formatCode>
                <c:ptCount val="1"/>
                <c:pt idx="0">
                  <c:v>0</c:v>
                </c:pt>
              </c:numCache>
            </c:numRef>
          </c:val>
          <c:extLst>
            <c:ext xmlns:c16="http://schemas.microsoft.com/office/drawing/2014/chart" uri="{C3380CC4-5D6E-409C-BE32-E72D297353CC}">
              <c16:uniqueId val="{00000001-B356-4448-9056-D40081D7DB0A}"/>
            </c:ext>
          </c:extLst>
        </c:ser>
        <c:ser>
          <c:idx val="4"/>
          <c:order val="4"/>
          <c:tx>
            <c:strRef>
              <c:f>'activities-percent-completed'!$F$3</c:f>
              <c:strCache>
                <c:ptCount val="1"/>
                <c:pt idx="0">
                  <c:v>75%</c:v>
                </c:pt>
              </c:strCache>
            </c:strRef>
          </c:tx>
          <c:spPr>
            <a:solidFill>
              <a:srgbClr val="FFFF66"/>
            </a:solidFill>
            <a:ln>
              <a:noFill/>
            </a:ln>
            <a:effectLst/>
          </c:spPr>
          <c:invertIfNegative val="0"/>
          <c:dLbls>
            <c:delete val="1"/>
          </c:dLbls>
          <c:cat>
            <c:strRef>
              <c:f>'activities-percent-completed'!$A$4:$A$15</c:f>
              <c:strCache>
                <c:ptCount val="1"/>
                <c:pt idx="0">
                  <c:v>SARA</c:v>
                </c:pt>
              </c:strCache>
            </c:strRef>
          </c:cat>
          <c:val>
            <c:numRef>
              <c:f>'activities-percent-completed'!$F$4:$F$15</c:f>
              <c:numCache>
                <c:formatCode>0%</c:formatCode>
                <c:ptCount val="1"/>
                <c:pt idx="0">
                  <c:v>0</c:v>
                </c:pt>
              </c:numCache>
            </c:numRef>
          </c:val>
          <c:extLst>
            <c:ext xmlns:c16="http://schemas.microsoft.com/office/drawing/2014/chart" uri="{C3380CC4-5D6E-409C-BE32-E72D297353CC}">
              <c16:uniqueId val="{00000002-B356-4448-9056-D40081D7DB0A}"/>
            </c:ext>
          </c:extLst>
        </c:ser>
        <c:ser>
          <c:idx val="5"/>
          <c:order val="5"/>
          <c:tx>
            <c:strRef>
              <c:f>'activities-percent-completed'!$G$3</c:f>
              <c:strCache>
                <c:ptCount val="1"/>
                <c:pt idx="0">
                  <c:v>50%</c:v>
                </c:pt>
              </c:strCache>
            </c:strRef>
          </c:tx>
          <c:spPr>
            <a:solidFill>
              <a:schemeClr val="accent6"/>
            </a:solidFill>
            <a:ln>
              <a:noFill/>
            </a:ln>
            <a:effectLst/>
          </c:spPr>
          <c:invertIfNegative val="0"/>
          <c:dLbls>
            <c:delete val="1"/>
          </c:dLbls>
          <c:cat>
            <c:strRef>
              <c:f>'activities-percent-completed'!$A$4:$A$15</c:f>
              <c:strCache>
                <c:ptCount val="1"/>
                <c:pt idx="0">
                  <c:v>SARA</c:v>
                </c:pt>
              </c:strCache>
            </c:strRef>
          </c:cat>
          <c:val>
            <c:numRef>
              <c:f>'activities-percent-completed'!$G$4:$G$15</c:f>
              <c:numCache>
                <c:formatCode>0%</c:formatCode>
                <c:ptCount val="1"/>
                <c:pt idx="0">
                  <c:v>0</c:v>
                </c:pt>
              </c:numCache>
            </c:numRef>
          </c:val>
          <c:extLst>
            <c:ext xmlns:c16="http://schemas.microsoft.com/office/drawing/2014/chart" uri="{C3380CC4-5D6E-409C-BE32-E72D297353CC}">
              <c16:uniqueId val="{00000003-B356-4448-9056-D40081D7DB0A}"/>
            </c:ext>
          </c:extLst>
        </c:ser>
        <c:ser>
          <c:idx val="6"/>
          <c:order val="6"/>
          <c:tx>
            <c:strRef>
              <c:f>'activities-percent-completed'!$H$3</c:f>
              <c:strCache>
                <c:ptCount val="1"/>
                <c:pt idx="0">
                  <c:v>25%</c:v>
                </c:pt>
              </c:strCache>
            </c:strRef>
          </c:tx>
          <c:spPr>
            <a:solidFill>
              <a:srgbClr val="15FFFF"/>
            </a:solidFill>
            <a:ln>
              <a:noFill/>
            </a:ln>
            <a:effectLst/>
          </c:spPr>
          <c:invertIfNegative val="0"/>
          <c:dLbls>
            <c:delete val="1"/>
          </c:dLbls>
          <c:cat>
            <c:strRef>
              <c:f>'activities-percent-completed'!$A$4:$A$15</c:f>
              <c:strCache>
                <c:ptCount val="1"/>
                <c:pt idx="0">
                  <c:v>SARA</c:v>
                </c:pt>
              </c:strCache>
            </c:strRef>
          </c:cat>
          <c:val>
            <c:numRef>
              <c:f>'activities-percent-completed'!$H$4:$H$15</c:f>
              <c:numCache>
                <c:formatCode>0%</c:formatCode>
                <c:ptCount val="1"/>
                <c:pt idx="0">
                  <c:v>0</c:v>
                </c:pt>
              </c:numCache>
            </c:numRef>
          </c:val>
          <c:extLst>
            <c:ext xmlns:c16="http://schemas.microsoft.com/office/drawing/2014/chart" uri="{C3380CC4-5D6E-409C-BE32-E72D297353CC}">
              <c16:uniqueId val="{00000004-B356-4448-9056-D40081D7DB0A}"/>
            </c:ext>
          </c:extLst>
        </c:ser>
        <c:ser>
          <c:idx val="7"/>
          <c:order val="7"/>
          <c:tx>
            <c:strRef>
              <c:f>'activities-percent-completed'!$I$3</c:f>
              <c:strCache>
                <c:ptCount val="1"/>
                <c:pt idx="0">
                  <c:v>10%</c:v>
                </c:pt>
              </c:strCache>
            </c:strRef>
          </c:tx>
          <c:spPr>
            <a:solidFill>
              <a:srgbClr val="3399FF"/>
            </a:solidFill>
            <a:ln>
              <a:noFill/>
            </a:ln>
            <a:effectLst/>
          </c:spPr>
          <c:invertIfNegative val="0"/>
          <c:dLbls>
            <c:delete val="1"/>
          </c:dLbls>
          <c:cat>
            <c:strRef>
              <c:f>'activities-percent-completed'!$A$4:$A$15</c:f>
              <c:strCache>
                <c:ptCount val="1"/>
                <c:pt idx="0">
                  <c:v>SARA</c:v>
                </c:pt>
              </c:strCache>
            </c:strRef>
          </c:cat>
          <c:val>
            <c:numRef>
              <c:f>'activities-percent-completed'!$I$4:$I$15</c:f>
              <c:numCache>
                <c:formatCode>0%</c:formatCode>
                <c:ptCount val="1"/>
                <c:pt idx="0">
                  <c:v>0</c:v>
                </c:pt>
              </c:numCache>
            </c:numRef>
          </c:val>
          <c:extLst xmlns:c15="http://schemas.microsoft.com/office/drawing/2012/chart">
            <c:ext xmlns:c16="http://schemas.microsoft.com/office/drawing/2014/chart" uri="{C3380CC4-5D6E-409C-BE32-E72D297353CC}">
              <c16:uniqueId val="{00000005-B356-4448-9056-D40081D7DB0A}"/>
            </c:ext>
          </c:extLst>
        </c:ser>
        <c:ser>
          <c:idx val="8"/>
          <c:order val="8"/>
          <c:tx>
            <c:strRef>
              <c:f>'activities-percent-completed'!$J$3</c:f>
              <c:strCache>
                <c:ptCount val="1"/>
                <c:pt idx="0">
                  <c:v>Not started</c:v>
                </c:pt>
              </c:strCache>
            </c:strRef>
          </c:tx>
          <c:spPr>
            <a:solidFill>
              <a:srgbClr val="7030A0"/>
            </a:solidFill>
            <a:ln>
              <a:noFill/>
            </a:ln>
            <a:effectLst/>
          </c:spPr>
          <c:invertIfNegative val="0"/>
          <c:dLbls>
            <c:delete val="1"/>
          </c:dLbls>
          <c:cat>
            <c:strRef>
              <c:f>'activities-percent-completed'!$A$4:$A$15</c:f>
              <c:strCache>
                <c:ptCount val="1"/>
                <c:pt idx="0">
                  <c:v>SARA</c:v>
                </c:pt>
              </c:strCache>
            </c:strRef>
          </c:cat>
          <c:val>
            <c:numRef>
              <c:f>'activities-percent-completed'!$J$4:$J$15</c:f>
              <c:numCache>
                <c:formatCode>0%</c:formatCode>
                <c:ptCount val="1"/>
                <c:pt idx="0">
                  <c:v>0</c:v>
                </c:pt>
              </c:numCache>
            </c:numRef>
          </c:val>
          <c:extLst xmlns:c15="http://schemas.microsoft.com/office/drawing/2012/chart">
            <c:ext xmlns:c16="http://schemas.microsoft.com/office/drawing/2014/chart" uri="{C3380CC4-5D6E-409C-BE32-E72D297353CC}">
              <c16:uniqueId val="{00000006-B356-4448-9056-D40081D7DB0A}"/>
            </c:ext>
          </c:extLst>
        </c:ser>
        <c:dLbls>
          <c:dLblPos val="ctr"/>
          <c:showLegendKey val="0"/>
          <c:showVal val="1"/>
          <c:showCatName val="0"/>
          <c:showSerName val="0"/>
          <c:showPercent val="0"/>
          <c:showBubbleSize val="0"/>
        </c:dLbls>
        <c:gapWidth val="79"/>
        <c:overlap val="100"/>
        <c:axId val="610520992"/>
        <c:axId val="610522632"/>
        <c:extLst>
          <c:ext xmlns:c15="http://schemas.microsoft.com/office/drawing/2012/chart" uri="{02D57815-91ED-43cb-92C2-25804820EDAC}">
            <c15:filteredBarSeries>
              <c15:ser>
                <c:idx val="0"/>
                <c:order val="0"/>
                <c:tx>
                  <c:strRef>
                    <c:extLst>
                      <c:ext uri="{02D57815-91ED-43cb-92C2-25804820EDAC}">
                        <c15:formulaRef>
                          <c15:sqref>'activities-percent-completed'!$B$3</c15:sqref>
                        </c15:formulaRef>
                      </c:ext>
                    </c:extLst>
                    <c:strCache>
                      <c:ptCount val="1"/>
                      <c:pt idx="0">
                        <c:v># of Total Activities</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showLeaderLines val="0"/>
                  <c:extLst>
                    <c:ext uri="{CE6537A1-D6FC-4f65-9D91-7224C49458BB}">
                      <c15:showLeaderLines val="1"/>
                      <c15:leaderLines>
                        <c:spPr>
                          <a:ln w="9525">
                            <a:solidFill>
                              <a:schemeClr val="tx1">
                                <a:lumMod val="35000"/>
                                <a:lumOff val="65000"/>
                              </a:schemeClr>
                            </a:solidFill>
                          </a:ln>
                          <a:effectLst/>
                        </c:spPr>
                      </c15:leaderLines>
                    </c:ext>
                  </c:extLst>
                </c:dLbls>
                <c:cat>
                  <c:strRef>
                    <c:extLst>
                      <c:ext uri="{02D57815-91ED-43cb-92C2-25804820EDAC}">
                        <c15:formulaRef>
                          <c15:sqref>'activities-percent-completed'!$A$4:$A$15</c15:sqref>
                        </c15:formulaRef>
                      </c:ext>
                    </c:extLst>
                    <c:strCache>
                      <c:ptCount val="1"/>
                      <c:pt idx="0">
                        <c:v>SARA</c:v>
                      </c:pt>
                    </c:strCache>
                  </c:strRef>
                </c:cat>
                <c:val>
                  <c:numRef>
                    <c:extLst>
                      <c:ext uri="{02D57815-91ED-43cb-92C2-25804820EDAC}">
                        <c15:formulaRef>
                          <c15:sqref>'activities-percent-completed'!$B$4:$B$15</c15:sqref>
                        </c15:formulaRef>
                      </c:ext>
                    </c:extLst>
                    <c:numCache>
                      <c:formatCode>0</c:formatCode>
                      <c:ptCount val="1"/>
                      <c:pt idx="0">
                        <c:v>21</c:v>
                      </c:pt>
                    </c:numCache>
                  </c:numRef>
                </c:val>
                <c:extLst>
                  <c:ext xmlns:c16="http://schemas.microsoft.com/office/drawing/2014/chart" uri="{C3380CC4-5D6E-409C-BE32-E72D297353CC}">
                    <c16:uniqueId val="{00000007-B356-4448-9056-D40081D7DB0A}"/>
                  </c:ext>
                </c:extLst>
              </c15:ser>
            </c15:filteredBarSeries>
            <c15:filteredBarSeries>
              <c15:ser>
                <c:idx val="1"/>
                <c:order val="1"/>
                <c:tx>
                  <c:strRef>
                    <c:extLst xmlns:c15="http://schemas.microsoft.com/office/drawing/2012/chart">
                      <c:ext xmlns:c15="http://schemas.microsoft.com/office/drawing/2012/chart" uri="{02D57815-91ED-43cb-92C2-25804820EDAC}">
                        <c15:formulaRef>
                          <c15:sqref>'activities-percent-completed'!$C$3</c15:sqref>
                        </c15:formulaRef>
                      </c:ext>
                    </c:extLst>
                    <c:strCache>
                      <c:ptCount val="1"/>
                      <c:pt idx="0">
                        <c:v>Average Progress on Activities (%)</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extLst xmlns:c15="http://schemas.microsoft.com/office/drawing/2012/chart">
                      <c:ext xmlns:c15="http://schemas.microsoft.com/office/drawing/2012/chart" uri="{02D57815-91ED-43cb-92C2-25804820EDAC}">
                        <c15:formulaRef>
                          <c15:sqref>'activities-percent-completed'!$A$4:$A$15</c15:sqref>
                        </c15:formulaRef>
                      </c:ext>
                    </c:extLst>
                    <c:strCache>
                      <c:ptCount val="1"/>
                      <c:pt idx="0">
                        <c:v>SARA</c:v>
                      </c:pt>
                    </c:strCache>
                  </c:strRef>
                </c:cat>
                <c:val>
                  <c:numRef>
                    <c:extLst xmlns:c15="http://schemas.microsoft.com/office/drawing/2012/chart">
                      <c:ext xmlns:c15="http://schemas.microsoft.com/office/drawing/2012/chart" uri="{02D57815-91ED-43cb-92C2-25804820EDAC}">
                        <c15:formulaRef>
                          <c15:sqref>'activities-percent-completed'!$C$4:$C$15</c15:sqref>
                        </c15:formulaRef>
                      </c:ext>
                    </c:extLst>
                    <c:numCache>
                      <c:formatCode>0%</c:formatCode>
                      <c:ptCount val="1"/>
                      <c:pt idx="0">
                        <c:v>1</c:v>
                      </c:pt>
                    </c:numCache>
                  </c:numRef>
                </c:val>
                <c:extLst xmlns:c15="http://schemas.microsoft.com/office/drawing/2012/chart">
                  <c:ext xmlns:c16="http://schemas.microsoft.com/office/drawing/2014/chart" uri="{C3380CC4-5D6E-409C-BE32-E72D297353CC}">
                    <c16:uniqueId val="{00000008-B356-4448-9056-D40081D7DB0A}"/>
                  </c:ext>
                </c:extLst>
              </c15:ser>
            </c15:filteredBarSeries>
            <c15:filteredBarSeries>
              <c15:ser>
                <c:idx val="9"/>
                <c:order val="9"/>
                <c:tx>
                  <c:strRef>
                    <c:extLst xmlns:c15="http://schemas.microsoft.com/office/drawing/2012/chart">
                      <c:ext xmlns:c15="http://schemas.microsoft.com/office/drawing/2012/chart" uri="{02D57815-91ED-43cb-92C2-25804820EDAC}">
                        <c15:formulaRef>
                          <c15:sqref>'activities-percent-completed'!$K$3</c15:sqref>
                        </c15:formulaRef>
                      </c:ext>
                    </c:extLst>
                    <c:strCache>
                      <c:ptCount val="1"/>
                      <c:pt idx="0">
                        <c:v>In Progress</c:v>
                      </c:pt>
                    </c:strCache>
                  </c:strRef>
                </c:tx>
                <c:spPr>
                  <a:solidFill>
                    <a:schemeClr val="accent4">
                      <a:lumMod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en-US"/>
                    </a:p>
                  </c:txPr>
                  <c:dLblPos val="ct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extLst xmlns:c15="http://schemas.microsoft.com/office/drawing/2012/chart">
                      <c:ext xmlns:c15="http://schemas.microsoft.com/office/drawing/2012/chart" uri="{02D57815-91ED-43cb-92C2-25804820EDAC}">
                        <c15:formulaRef>
                          <c15:sqref>'activities-percent-completed'!$A$4:$A$15</c15:sqref>
                        </c15:formulaRef>
                      </c:ext>
                    </c:extLst>
                    <c:strCache>
                      <c:ptCount val="1"/>
                      <c:pt idx="0">
                        <c:v>SARA</c:v>
                      </c:pt>
                    </c:strCache>
                  </c:strRef>
                </c:cat>
                <c:val>
                  <c:numRef>
                    <c:extLst xmlns:c15="http://schemas.microsoft.com/office/drawing/2012/chart">
                      <c:ext xmlns:c15="http://schemas.microsoft.com/office/drawing/2012/chart" uri="{02D57815-91ED-43cb-92C2-25804820EDAC}">
                        <c15:formulaRef>
                          <c15:sqref>'activities-percent-completed'!$K$4:$K$15</c15:sqref>
                        </c15:formulaRef>
                      </c:ext>
                    </c:extLst>
                    <c:numCache>
                      <c:formatCode>0%</c:formatCode>
                      <c:ptCount val="1"/>
                      <c:pt idx="0">
                        <c:v>0</c:v>
                      </c:pt>
                    </c:numCache>
                  </c:numRef>
                </c:val>
                <c:extLst xmlns:c15="http://schemas.microsoft.com/office/drawing/2012/chart">
                  <c:ext xmlns:c16="http://schemas.microsoft.com/office/drawing/2014/chart" uri="{C3380CC4-5D6E-409C-BE32-E72D297353CC}">
                    <c16:uniqueId val="{00000009-B356-4448-9056-D40081D7DB0A}"/>
                  </c:ext>
                </c:extLst>
              </c15:ser>
            </c15:filteredBarSeries>
          </c:ext>
        </c:extLst>
      </c:barChart>
      <c:catAx>
        <c:axId val="610520992"/>
        <c:scaling>
          <c:orientation val="minMax"/>
        </c:scaling>
        <c:delete val="1"/>
        <c:axPos val="l"/>
        <c:majorGridlines>
          <c:spPr>
            <a:ln w="9525" cap="flat" cmpd="sng" algn="ctr">
              <a:solidFill>
                <a:schemeClr val="tx1">
                  <a:lumMod val="15000"/>
                  <a:lumOff val="85000"/>
                </a:schemeClr>
              </a:solidFill>
              <a:round/>
            </a:ln>
            <a:effectLst/>
          </c:spPr>
        </c:majorGridlines>
        <c:minorGridlines>
          <c:spPr>
            <a:ln>
              <a:solidFill>
                <a:schemeClr val="tx1">
                  <a:lumMod val="5000"/>
                  <a:lumOff val="95000"/>
                </a:schemeClr>
              </a:solidFill>
            </a:ln>
            <a:effectLst/>
          </c:spPr>
        </c:minorGridlines>
        <c:numFmt formatCode="General" sourceLinked="1"/>
        <c:majorTickMark val="out"/>
        <c:minorTickMark val="none"/>
        <c:tickLblPos val="nextTo"/>
        <c:crossAx val="610522632"/>
        <c:crosses val="autoZero"/>
        <c:auto val="1"/>
        <c:lblAlgn val="ctr"/>
        <c:lblOffset val="100"/>
        <c:noMultiLvlLbl val="0"/>
      </c:catAx>
      <c:valAx>
        <c:axId val="610522632"/>
        <c:scaling>
          <c:orientation val="minMax"/>
          <c:max val="1"/>
        </c:scaling>
        <c:delete val="0"/>
        <c:axPos val="b"/>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10520992"/>
        <c:crosses val="autoZero"/>
        <c:crossBetween val="between"/>
      </c:valAx>
      <c:spPr>
        <a:noFill/>
        <a:ln>
          <a:noFill/>
        </a:ln>
        <a:effectLst/>
      </c:spPr>
    </c:plotArea>
    <c:legend>
      <c:legendPos val="t"/>
      <c:layout>
        <c:manualLayout>
          <c:xMode val="edge"/>
          <c:yMode val="edge"/>
          <c:x val="0.13182108486439195"/>
          <c:y val="0.88928425603226235"/>
          <c:w val="0.57483332975155021"/>
          <c:h val="8.5354113285177044E-2"/>
        </c:manualLayout>
      </c:layout>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6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4"/>
    </mc:Choice>
    <mc:Fallback>
      <c:style val="4"/>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Topic Area - SARA</a:t>
            </a:r>
            <a:br>
              <a:rPr lang="en-US"/>
            </a:br>
            <a:r>
              <a:rPr lang="en-US"/>
              <a:t>Activity #1</a:t>
            </a:r>
          </a:p>
        </c:rich>
      </c:tx>
      <c:layout>
        <c:manualLayout>
          <c:xMode val="edge"/>
          <c:yMode val="edge"/>
          <c:x val="0.28386751051089032"/>
          <c:y val="1.4306075052544569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6017916604892113"/>
          <c:y val="0.23265365094271845"/>
          <c:w val="0.78942722632790041"/>
          <c:h val="0.66602748393145406"/>
        </c:manualLayout>
      </c:layout>
      <c:barChart>
        <c:barDir val="col"/>
        <c:grouping val="percentStacked"/>
        <c:varyColors val="0"/>
        <c:ser>
          <c:idx val="3"/>
          <c:order val="3"/>
          <c:tx>
            <c:strRef>
              <c:f>'individual-chart-sara'!$F$2</c:f>
              <c:strCache>
                <c:ptCount val="1"/>
                <c:pt idx="0">
                  <c:v>Completed</c:v>
                </c:pt>
              </c:strCache>
            </c:strRef>
          </c:tx>
          <c:spPr>
            <a:solidFill>
              <a:srgbClr val="99221F"/>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600" b="0"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'individual-chart-sara'!$B$3:$B$30</c:f>
              <c:strCache>
                <c:ptCount val="2"/>
                <c:pt idx="0">
                  <c:v>Activity</c:v>
                </c:pt>
                <c:pt idx="1">
                  <c:v>Outputs</c:v>
                </c:pt>
              </c:strCache>
              <c:extLst/>
            </c:strRef>
          </c:cat>
          <c:val>
            <c:numRef>
              <c:f>'individual-chart-sara'!$F$3:$F$30</c:f>
              <c:numCache>
                <c:formatCode>0%</c:formatCode>
                <c:ptCount val="2"/>
                <c:pt idx="0">
                  <c:v>1</c:v>
                </c:pt>
                <c:pt idx="1">
                  <c:v>1</c:v>
                </c:pt>
              </c:numCache>
              <c:extLst/>
            </c:numRef>
          </c:val>
          <c:extLst>
            <c:ext xmlns:c16="http://schemas.microsoft.com/office/drawing/2014/chart" uri="{C3380CC4-5D6E-409C-BE32-E72D297353CC}">
              <c16:uniqueId val="{00000000-3D6D-4DC7-A298-EB6B3E7C44AE}"/>
            </c:ext>
          </c:extLst>
        </c:ser>
        <c:ser>
          <c:idx val="4"/>
          <c:order val="4"/>
          <c:tx>
            <c:strRef>
              <c:f>'individual-chart-sara'!$G$2</c:f>
              <c:strCache>
                <c:ptCount val="1"/>
                <c:pt idx="0">
                  <c:v>90%</c:v>
                </c:pt>
              </c:strCache>
            </c:strRef>
          </c:tx>
          <c:spPr>
            <a:solidFill>
              <a:srgbClr val="D73D39"/>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'individual-chart-sara'!$B$3:$B$30</c:f>
              <c:strCache>
                <c:ptCount val="2"/>
                <c:pt idx="0">
                  <c:v>Activity</c:v>
                </c:pt>
                <c:pt idx="1">
                  <c:v>Outputs</c:v>
                </c:pt>
              </c:strCache>
              <c:extLst/>
            </c:strRef>
          </c:cat>
          <c:val>
            <c:numRef>
              <c:f>'individual-chart-sara'!$G$3:$G$30</c:f>
              <c:numCache>
                <c:formatCode>General</c:formatCode>
                <c:ptCount val="2"/>
              </c:numCache>
              <c:extLst/>
            </c:numRef>
          </c:val>
          <c:extLst>
            <c:ext xmlns:c16="http://schemas.microsoft.com/office/drawing/2014/chart" uri="{C3380CC4-5D6E-409C-BE32-E72D297353CC}">
              <c16:uniqueId val="{00000001-3D6D-4DC7-A298-EB6B3E7C44AE}"/>
            </c:ext>
          </c:extLst>
        </c:ser>
        <c:ser>
          <c:idx val="5"/>
          <c:order val="5"/>
          <c:tx>
            <c:strRef>
              <c:f>'individual-chart-sara'!$H$2</c:f>
              <c:strCache>
                <c:ptCount val="1"/>
                <c:pt idx="0">
                  <c:v>75%</c:v>
                </c:pt>
              </c:strCache>
            </c:strRef>
          </c:tx>
          <c:spPr>
            <a:solidFill>
              <a:srgbClr val="DC535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'individual-chart-sara'!$B$3:$B$30</c:f>
              <c:strCache>
                <c:ptCount val="2"/>
                <c:pt idx="0">
                  <c:v>Activity</c:v>
                </c:pt>
                <c:pt idx="1">
                  <c:v>Outputs</c:v>
                </c:pt>
              </c:strCache>
              <c:extLst/>
            </c:strRef>
          </c:cat>
          <c:val>
            <c:numRef>
              <c:f>'individual-chart-sara'!$H$3:$H$30</c:f>
              <c:numCache>
                <c:formatCode>General</c:formatCode>
                <c:ptCount val="2"/>
              </c:numCache>
              <c:extLst/>
            </c:numRef>
          </c:val>
          <c:extLst>
            <c:ext xmlns:c16="http://schemas.microsoft.com/office/drawing/2014/chart" uri="{C3380CC4-5D6E-409C-BE32-E72D297353CC}">
              <c16:uniqueId val="{00000002-3D6D-4DC7-A298-EB6B3E7C44AE}"/>
            </c:ext>
          </c:extLst>
        </c:ser>
        <c:ser>
          <c:idx val="6"/>
          <c:order val="6"/>
          <c:tx>
            <c:strRef>
              <c:f>'individual-chart-sara'!$I$2</c:f>
              <c:strCache>
                <c:ptCount val="1"/>
                <c:pt idx="0">
                  <c:v>50%</c:v>
                </c:pt>
              </c:strCache>
            </c:strRef>
          </c:tx>
          <c:spPr>
            <a:solidFill>
              <a:srgbClr val="EBA19F"/>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'individual-chart-sara'!$B$3:$B$30</c:f>
              <c:strCache>
                <c:ptCount val="2"/>
                <c:pt idx="0">
                  <c:v>Activity</c:v>
                </c:pt>
                <c:pt idx="1">
                  <c:v>Outputs</c:v>
                </c:pt>
              </c:strCache>
              <c:extLst/>
            </c:strRef>
          </c:cat>
          <c:val>
            <c:numRef>
              <c:f>'individual-chart-sara'!$I$3:$I$30</c:f>
              <c:numCache>
                <c:formatCode>General</c:formatCode>
                <c:ptCount val="2"/>
              </c:numCache>
              <c:extLst/>
            </c:numRef>
          </c:val>
          <c:extLst>
            <c:ext xmlns:c16="http://schemas.microsoft.com/office/drawing/2014/chart" uri="{C3380CC4-5D6E-409C-BE32-E72D297353CC}">
              <c16:uniqueId val="{00000003-3D6D-4DC7-A298-EB6B3E7C44AE}"/>
            </c:ext>
          </c:extLst>
        </c:ser>
        <c:ser>
          <c:idx val="7"/>
          <c:order val="7"/>
          <c:tx>
            <c:strRef>
              <c:f>'individual-chart-sara'!$J$2</c:f>
              <c:strCache>
                <c:ptCount val="1"/>
                <c:pt idx="0">
                  <c:v>25%</c:v>
                </c:pt>
              </c:strCache>
            </c:strRef>
          </c:tx>
          <c:spPr>
            <a:solidFill>
              <a:srgbClr val="F3C6C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'individual-chart-sara'!$B$3:$B$30</c:f>
              <c:strCache>
                <c:ptCount val="2"/>
                <c:pt idx="0">
                  <c:v>Activity</c:v>
                </c:pt>
                <c:pt idx="1">
                  <c:v>Outputs</c:v>
                </c:pt>
              </c:strCache>
              <c:extLst/>
            </c:strRef>
          </c:cat>
          <c:val>
            <c:numRef>
              <c:f>'individual-chart-sara'!$J$3:$J$30</c:f>
              <c:numCache>
                <c:formatCode>General</c:formatCode>
                <c:ptCount val="2"/>
              </c:numCache>
              <c:extLst/>
            </c:numRef>
          </c:val>
          <c:extLst>
            <c:ext xmlns:c16="http://schemas.microsoft.com/office/drawing/2014/chart" uri="{C3380CC4-5D6E-409C-BE32-E72D297353CC}">
              <c16:uniqueId val="{00000004-3D6D-4DC7-A298-EB6B3E7C44AE}"/>
            </c:ext>
          </c:extLst>
        </c:ser>
        <c:ser>
          <c:idx val="8"/>
          <c:order val="8"/>
          <c:tx>
            <c:strRef>
              <c:f>'individual-chart-sara'!$K$2</c:f>
              <c:strCache>
                <c:ptCount val="1"/>
                <c:pt idx="0">
                  <c:v>10%</c:v>
                </c:pt>
              </c:strCache>
            </c:strRef>
          </c:tx>
          <c:spPr>
            <a:solidFill>
              <a:schemeClr val="accent2">
                <a:tint val="56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'individual-chart-sara'!$B$3:$B$30</c:f>
              <c:strCache>
                <c:ptCount val="2"/>
                <c:pt idx="0">
                  <c:v>Activity</c:v>
                </c:pt>
                <c:pt idx="1">
                  <c:v>Outputs</c:v>
                </c:pt>
              </c:strCache>
              <c:extLst/>
            </c:strRef>
          </c:cat>
          <c:val>
            <c:numRef>
              <c:f>'individual-chart-sara'!$K$3:$K$30</c:f>
              <c:numCache>
                <c:formatCode>General</c:formatCode>
                <c:ptCount val="2"/>
              </c:numCache>
              <c:extLst/>
            </c:numRef>
          </c:val>
          <c:extLst>
            <c:ext xmlns:c16="http://schemas.microsoft.com/office/drawing/2014/chart" uri="{C3380CC4-5D6E-409C-BE32-E72D297353CC}">
              <c16:uniqueId val="{00000005-3D6D-4DC7-A298-EB6B3E7C44AE}"/>
            </c:ext>
          </c:extLst>
        </c:ser>
        <c:ser>
          <c:idx val="9"/>
          <c:order val="9"/>
          <c:tx>
            <c:strRef>
              <c:f>'individual-chart-sara'!$L$2</c:f>
              <c:strCache>
                <c:ptCount val="1"/>
                <c:pt idx="0">
                  <c:v>Not Started</c:v>
                </c:pt>
              </c:strCache>
            </c:strRef>
          </c:tx>
          <c:spPr>
            <a:solidFill>
              <a:srgbClr val="FCF2F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'individual-chart-sara'!$B$3:$B$30</c:f>
              <c:strCache>
                <c:ptCount val="2"/>
                <c:pt idx="0">
                  <c:v>Activity</c:v>
                </c:pt>
                <c:pt idx="1">
                  <c:v>Outputs</c:v>
                </c:pt>
              </c:strCache>
              <c:extLst/>
            </c:strRef>
          </c:cat>
          <c:val>
            <c:numRef>
              <c:f>'individual-chart-sara'!$L$3:$L$30</c:f>
              <c:numCache>
                <c:formatCode>General</c:formatCode>
                <c:ptCount val="2"/>
              </c:numCache>
              <c:extLst/>
            </c:numRef>
          </c:val>
          <c:extLst>
            <c:ext xmlns:c16="http://schemas.microsoft.com/office/drawing/2014/chart" uri="{C3380CC4-5D6E-409C-BE32-E72D297353CC}">
              <c16:uniqueId val="{00000006-3D6D-4DC7-A298-EB6B3E7C44AE}"/>
            </c:ext>
          </c:extLst>
        </c:ser>
        <c:dLbls>
          <c:dLblPos val="ctr"/>
          <c:showLegendKey val="0"/>
          <c:showVal val="1"/>
          <c:showCatName val="0"/>
          <c:showSerName val="0"/>
          <c:showPercent val="0"/>
          <c:showBubbleSize val="0"/>
        </c:dLbls>
        <c:gapWidth val="150"/>
        <c:overlap val="100"/>
        <c:axId val="790958128"/>
        <c:axId val="790961408"/>
        <c:extLst>
          <c:ext xmlns:c15="http://schemas.microsoft.com/office/drawing/2012/chart" uri="{02D57815-91ED-43cb-92C2-25804820EDAC}">
            <c15:filteredBarSeries>
              <c15:ser>
                <c:idx val="0"/>
                <c:order val="0"/>
                <c:tx>
                  <c:strRef>
                    <c:extLst>
                      <c:ext uri="{02D57815-91ED-43cb-92C2-25804820EDAC}">
                        <c15:formulaRef>
                          <c15:sqref>'individual-chart-sara'!$C$2</c15:sqref>
                        </c15:formulaRef>
                      </c:ext>
                    </c:extLst>
                    <c:strCache>
                      <c:ptCount val="1"/>
                      <c:pt idx="0">
                        <c:v>Completed</c:v>
                      </c:pt>
                    </c:strCache>
                  </c:strRef>
                </c:tx>
                <c:spPr>
                  <a:solidFill>
                    <a:schemeClr val="accent2">
                      <a:shade val="42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c:ext uri="{02D57815-91ED-43cb-92C2-25804820EDAC}">
                        <c15:formulaRef>
                          <c15:sqref>'individual-chart-sara'!$B$3:$B$30</c15:sqref>
                        </c15:formulaRef>
                      </c:ext>
                    </c:extLst>
                    <c:strCache>
                      <c:ptCount val="2"/>
                      <c:pt idx="0">
                        <c:v>Activity</c:v>
                      </c:pt>
                      <c:pt idx="1">
                        <c:v>Outputs</c:v>
                      </c:pt>
                    </c:strCache>
                  </c:strRef>
                </c:cat>
                <c:val>
                  <c:numRef>
                    <c:extLst>
                      <c:ext uri="{02D57815-91ED-43cb-92C2-25804820EDAC}">
                        <c15:formulaRef>
                          <c15:sqref>'individual-chart-sara'!$C$3:$C$30</c15:sqref>
                        </c15:formulaRef>
                      </c:ext>
                    </c:extLst>
                    <c:numCache>
                      <c:formatCode>0%</c:formatCode>
                      <c:ptCount val="2"/>
                      <c:pt idx="0">
                        <c:v>1</c:v>
                      </c:pt>
                      <c:pt idx="1">
                        <c:v>1</c:v>
                      </c:pt>
                    </c:numCache>
                  </c:numRef>
                </c:val>
                <c:extLst>
                  <c:ext xmlns:c16="http://schemas.microsoft.com/office/drawing/2014/chart" uri="{C3380CC4-5D6E-409C-BE32-E72D297353CC}">
                    <c16:uniqueId val="{00000007-3D6D-4DC7-A298-EB6B3E7C44AE}"/>
                  </c:ext>
                </c:extLst>
              </c15:ser>
            </c15:filteredBarSeries>
            <c15:filteredBarSeries>
              <c15:ser>
                <c:idx val="1"/>
                <c:order val="1"/>
                <c:tx>
                  <c:strRef>
                    <c:extLst xmlns:c15="http://schemas.microsoft.com/office/drawing/2012/chart">
                      <c:ext xmlns:c15="http://schemas.microsoft.com/office/drawing/2012/chart" uri="{02D57815-91ED-43cb-92C2-25804820EDAC}">
                        <c15:formulaRef>
                          <c15:sqref>'individual-chart-sara'!$D$2</c15:sqref>
                        </c15:formulaRef>
                      </c:ext>
                    </c:extLst>
                    <c:strCache>
                      <c:ptCount val="1"/>
                      <c:pt idx="0">
                        <c:v>In progress</c:v>
                      </c:pt>
                    </c:strCache>
                  </c:strRef>
                </c:tx>
                <c:spPr>
                  <a:solidFill>
                    <a:schemeClr val="accent2">
                      <a:shade val="5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'individual-chart-sara'!$B$3:$B$30</c15:sqref>
                        </c15:formulaRef>
                      </c:ext>
                    </c:extLst>
                    <c:strCache>
                      <c:ptCount val="2"/>
                      <c:pt idx="0">
                        <c:v>Activity</c:v>
                      </c:pt>
                      <c:pt idx="1">
                        <c:v>Outputs</c:v>
                      </c:pt>
                    </c:strCache>
                  </c:strRef>
                </c:cat>
                <c:val>
                  <c:numRef>
                    <c:extLst xmlns:c15="http://schemas.microsoft.com/office/drawing/2012/chart">
                      <c:ext xmlns:c15="http://schemas.microsoft.com/office/drawing/2012/chart" uri="{02D57815-91ED-43cb-92C2-25804820EDAC}">
                        <c15:formulaRef>
                          <c15:sqref>'individual-chart-sara'!$D$3:$D$30</c15:sqref>
                        </c15:formulaRef>
                      </c:ext>
                    </c:extLst>
                    <c:numCache>
                      <c:formatCode>General</c:formatCode>
                      <c:ptCount val="2"/>
                    </c:numCache>
                  </c:numRef>
                </c:val>
                <c:extLst xmlns:c15="http://schemas.microsoft.com/office/drawing/2012/chart">
                  <c:ext xmlns:c16="http://schemas.microsoft.com/office/drawing/2014/chart" uri="{C3380CC4-5D6E-409C-BE32-E72D297353CC}">
                    <c16:uniqueId val="{00000008-3D6D-4DC7-A298-EB6B3E7C44AE}"/>
                  </c:ext>
                </c:extLst>
              </c15:ser>
            </c15:filteredBarSeries>
            <c15:filteredBarSeries>
              <c15:ser>
                <c:idx val="2"/>
                <c:order val="2"/>
                <c:tx>
                  <c:strRef>
                    <c:extLst xmlns:c15="http://schemas.microsoft.com/office/drawing/2012/chart">
                      <c:ext xmlns:c15="http://schemas.microsoft.com/office/drawing/2012/chart" uri="{02D57815-91ED-43cb-92C2-25804820EDAC}">
                        <c15:formulaRef>
                          <c15:sqref>'individual-chart-sara'!$E$2</c15:sqref>
                        </c15:formulaRef>
                      </c:ext>
                    </c:extLst>
                    <c:strCache>
                      <c:ptCount val="1"/>
                      <c:pt idx="0">
                        <c:v>Not started</c:v>
                      </c:pt>
                    </c:strCache>
                  </c:strRef>
                </c:tx>
                <c:spPr>
                  <a:solidFill>
                    <a:schemeClr val="accent2">
                      <a:shade val="68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'individual-chart-sara'!$B$3:$B$30</c15:sqref>
                        </c15:formulaRef>
                      </c:ext>
                    </c:extLst>
                    <c:strCache>
                      <c:ptCount val="2"/>
                      <c:pt idx="0">
                        <c:v>Activity</c:v>
                      </c:pt>
                      <c:pt idx="1">
                        <c:v>Outputs</c:v>
                      </c:pt>
                    </c:strCache>
                  </c:strRef>
                </c:cat>
                <c:val>
                  <c:numRef>
                    <c:extLst xmlns:c15="http://schemas.microsoft.com/office/drawing/2012/chart">
                      <c:ext xmlns:c15="http://schemas.microsoft.com/office/drawing/2012/chart" uri="{02D57815-91ED-43cb-92C2-25804820EDAC}">
                        <c15:formulaRef>
                          <c15:sqref>'individual-chart-sara'!$E$3:$E$30</c15:sqref>
                        </c15:formulaRef>
                      </c:ext>
                    </c:extLst>
                    <c:numCache>
                      <c:formatCode>General</c:formatCode>
                      <c:ptCount val="2"/>
                    </c:numCache>
                  </c:numRef>
                </c:val>
                <c:extLst xmlns:c15="http://schemas.microsoft.com/office/drawing/2012/chart">
                  <c:ext xmlns:c16="http://schemas.microsoft.com/office/drawing/2014/chart" uri="{C3380CC4-5D6E-409C-BE32-E72D297353CC}">
                    <c16:uniqueId val="{00000009-3D6D-4DC7-A298-EB6B3E7C44AE}"/>
                  </c:ext>
                </c:extLst>
              </c15:ser>
            </c15:filteredBarSeries>
          </c:ext>
        </c:extLst>
      </c:barChart>
      <c:catAx>
        <c:axId val="7909581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n-US"/>
          </a:p>
        </c:txPr>
        <c:crossAx val="790961408"/>
        <c:crosses val="autoZero"/>
        <c:auto val="1"/>
        <c:lblAlgn val="ctr"/>
        <c:lblOffset val="100"/>
        <c:noMultiLvlLbl val="0"/>
      </c:catAx>
      <c:valAx>
        <c:axId val="790961408"/>
        <c:scaling>
          <c:orientation val="minMax"/>
          <c:min val="0"/>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90958128"/>
        <c:crossesAt val="1"/>
        <c:crossBetween val="between"/>
      </c:valAx>
      <c:spPr>
        <a:noFill/>
        <a:ln>
          <a:noFill/>
        </a:ln>
        <a:effectLst/>
      </c:spPr>
    </c:plotArea>
    <c:legend>
      <c:legendPos val="t"/>
      <c:layout>
        <c:manualLayout>
          <c:xMode val="edge"/>
          <c:yMode val="edge"/>
          <c:x val="0.16878358787806125"/>
          <c:y val="0.10208247651819531"/>
          <c:w val="0.70460273616206281"/>
          <c:h val="0.12652310298086494"/>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userShapes r:id="rId5"/>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kern="1200" cap="all" spc="120" normalizeH="0" baseline="0">
                <a:solidFill>
                  <a:schemeClr val="tx1">
                    <a:lumMod val="65000"/>
                    <a:lumOff val="35000"/>
                  </a:schemeClr>
                </a:solidFill>
                <a:latin typeface="+mn-lt"/>
                <a:ea typeface="+mn-ea"/>
                <a:cs typeface="+mn-cs"/>
              </a:defRPr>
            </a:pPr>
            <a:r>
              <a:rPr lang="en-US" sz="1400"/>
              <a:t>Progress </a:t>
            </a:r>
            <a:r>
              <a:rPr lang="en-US" sz="1400" b="1" i="0" u="none" strike="noStrike" cap="all" normalizeH="0" baseline="0">
                <a:effectLst/>
              </a:rPr>
              <a:t>Pre-eMPLOYMENT TRANSITION SERVICES  Activities </a:t>
            </a:r>
            <a:endParaRPr lang="en-US" sz="1400"/>
          </a:p>
        </c:rich>
      </c:tx>
      <c:layout>
        <c:manualLayout>
          <c:xMode val="edge"/>
          <c:yMode val="edge"/>
          <c:x val="0.10680548264800234"/>
          <c:y val="2.9491275497665274E-2"/>
        </c:manualLayout>
      </c:layout>
      <c:overlay val="0"/>
      <c:spPr>
        <a:noFill/>
        <a:ln>
          <a:noFill/>
        </a:ln>
        <a:effectLst/>
      </c:spPr>
      <c:txPr>
        <a:bodyPr rot="0" spcFirstLastPara="1" vertOverflow="ellipsis" vert="horz" wrap="square" anchor="ctr" anchorCtr="1"/>
        <a:lstStyle/>
        <a:p>
          <a:pPr>
            <a:defRPr sz="1400" b="1" i="0" u="none" strike="noStrike" kern="1200" cap="all" spc="120" normalizeH="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2.4596877313412747E-2"/>
          <c:y val="0.17018810148731411"/>
          <c:w val="0.94109226599161167"/>
          <c:h val="0.62853727315905772"/>
        </c:manualLayout>
      </c:layout>
      <c:barChart>
        <c:barDir val="bar"/>
        <c:grouping val="stacked"/>
        <c:varyColors val="0"/>
        <c:ser>
          <c:idx val="2"/>
          <c:order val="2"/>
          <c:tx>
            <c:strRef>
              <c:f>'activities-percent-completed'!$D$3</c:f>
              <c:strCache>
                <c:ptCount val="1"/>
                <c:pt idx="0">
                  <c:v>Completed</c:v>
                </c:pt>
              </c:strCache>
            </c:strRef>
          </c:tx>
          <c:spPr>
            <a:solidFill>
              <a:srgbClr val="B22724"/>
            </a:solidFill>
            <a:ln>
              <a:noFill/>
            </a:ln>
            <a:effectLst/>
          </c:spPr>
          <c:invertIfNegative val="0"/>
          <c:dLbls>
            <c:dLbl>
              <c:idx val="0"/>
              <c:layout>
                <c:manualLayout>
                  <c:x val="-9.4114438711121289E-3"/>
                  <c:y val="0.2331221619786014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FCDC-4630-B487-732B8CDAA63E}"/>
                </c:ext>
              </c:extLst>
            </c:dLbl>
            <c:spPr>
              <a:noFill/>
              <a:ln>
                <a:noFill/>
              </a:ln>
              <a:effectLst/>
            </c:spPr>
            <c:txPr>
              <a:bodyPr rot="0" spcFirstLastPara="1" vertOverflow="ellipsis" vert="horz" wrap="square" lIns="38100" tIns="19050" rIns="38100" bIns="19050" anchor="ctr" anchorCtr="1">
                <a:spAutoFit/>
              </a:bodyPr>
              <a:lstStyle/>
              <a:p>
                <a:pPr>
                  <a:defRPr sz="16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'activities-percent-completed'!$A$4:$A$11</c:f>
              <c:strCache>
                <c:ptCount val="1"/>
                <c:pt idx="0">
                  <c:v>Pre-ETS</c:v>
                </c:pt>
              </c:strCache>
            </c:strRef>
          </c:cat>
          <c:val>
            <c:numRef>
              <c:f>'activities-percent-completed'!$D$4:$D$11</c:f>
              <c:numCache>
                <c:formatCode>0%</c:formatCode>
                <c:ptCount val="1"/>
                <c:pt idx="0">
                  <c:v>0.60176991150442483</c:v>
                </c:pt>
              </c:numCache>
            </c:numRef>
          </c:val>
          <c:extLst>
            <c:ext xmlns:c16="http://schemas.microsoft.com/office/drawing/2014/chart" uri="{C3380CC4-5D6E-409C-BE32-E72D297353CC}">
              <c16:uniqueId val="{00000001-FCDC-4630-B487-732B8CDAA63E}"/>
            </c:ext>
          </c:extLst>
        </c:ser>
        <c:ser>
          <c:idx val="3"/>
          <c:order val="3"/>
          <c:tx>
            <c:strRef>
              <c:f>'activities-percent-completed'!$E$3</c:f>
              <c:strCache>
                <c:ptCount val="1"/>
                <c:pt idx="0">
                  <c:v>90%</c:v>
                </c:pt>
              </c:strCache>
            </c:strRef>
          </c:tx>
          <c:spPr>
            <a:solidFill>
              <a:schemeClr val="accent4"/>
            </a:solidFill>
            <a:ln>
              <a:noFill/>
            </a:ln>
            <a:effectLst/>
          </c:spPr>
          <c:invertIfNegative val="0"/>
          <c:dLbls>
            <c:dLbl>
              <c:idx val="0"/>
              <c:layout>
                <c:manualLayout>
                  <c:x val="-6.2742959140747526E-3"/>
                  <c:y val="0.22895926622898338"/>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FCDC-4630-B487-732B8CDAA63E}"/>
                </c:ext>
              </c:extLst>
            </c:dLbl>
            <c:spPr>
              <a:noFill/>
              <a:ln>
                <a:noFill/>
              </a:ln>
              <a:effectLst/>
            </c:spPr>
            <c:txPr>
              <a:bodyPr rot="0" spcFirstLastPara="1" vertOverflow="ellipsis" vert="horz" wrap="square" lIns="38100" tIns="19050" rIns="38100" bIns="19050" anchor="ctr" anchorCtr="1">
                <a:spAutoFit/>
              </a:bodyPr>
              <a:lstStyle/>
              <a:p>
                <a:pPr>
                  <a:defRPr sz="14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'activities-percent-completed'!$A$4:$A$11</c:f>
              <c:strCache>
                <c:ptCount val="1"/>
                <c:pt idx="0">
                  <c:v>Pre-ETS</c:v>
                </c:pt>
              </c:strCache>
            </c:strRef>
          </c:cat>
          <c:val>
            <c:numRef>
              <c:f>'activities-percent-completed'!$E$4:$E$11</c:f>
              <c:numCache>
                <c:formatCode>0%</c:formatCode>
                <c:ptCount val="1"/>
                <c:pt idx="0">
                  <c:v>2.2123893805309734E-2</c:v>
                </c:pt>
              </c:numCache>
            </c:numRef>
          </c:val>
          <c:extLst>
            <c:ext xmlns:c16="http://schemas.microsoft.com/office/drawing/2014/chart" uri="{C3380CC4-5D6E-409C-BE32-E72D297353CC}">
              <c16:uniqueId val="{00000003-FCDC-4630-B487-732B8CDAA63E}"/>
            </c:ext>
          </c:extLst>
        </c:ser>
        <c:ser>
          <c:idx val="4"/>
          <c:order val="4"/>
          <c:tx>
            <c:strRef>
              <c:f>'activities-percent-completed'!$F$3</c:f>
              <c:strCache>
                <c:ptCount val="1"/>
                <c:pt idx="0">
                  <c:v>75%</c:v>
                </c:pt>
              </c:strCache>
            </c:strRef>
          </c:tx>
          <c:spPr>
            <a:solidFill>
              <a:srgbClr val="FFFF66"/>
            </a:solidFill>
            <a:ln>
              <a:noFill/>
            </a:ln>
            <a:effectLst/>
          </c:spPr>
          <c:invertIfNegative val="0"/>
          <c:dLbls>
            <c:dLbl>
              <c:idx val="0"/>
              <c:layout>
                <c:manualLayout>
                  <c:x val="-4.7057219355560644E-3"/>
                  <c:y val="0.23728505772821928"/>
                </c:manualLayout>
              </c:layout>
              <c:spPr>
                <a:noFill/>
                <a:ln>
                  <a:noFill/>
                </a:ln>
                <a:effectLst/>
              </c:spPr>
              <c:txPr>
                <a:bodyPr rot="0" spcFirstLastPara="1" vertOverflow="ellipsis" vert="horz" wrap="square" lIns="38100" tIns="19050" rIns="38100" bIns="19050" anchor="ctr" anchorCtr="1">
                  <a:spAutoFit/>
                </a:bodyPr>
                <a:lstStyle/>
                <a:p>
                  <a:pPr>
                    <a:defRPr sz="14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FCDC-4630-B487-732B8CDAA63E}"/>
                </c:ext>
              </c:extLst>
            </c:dLbl>
            <c:spPr>
              <a:solidFill>
                <a:srgbClr val="FFFF66"/>
              </a:solidFill>
              <a:ln>
                <a:noFill/>
              </a:ln>
              <a:effectLst/>
            </c:spPr>
            <c:txPr>
              <a:bodyPr rot="0" spcFirstLastPara="1" vertOverflow="ellipsis" vert="horz" wrap="square" lIns="38100" tIns="19050" rIns="38100" bIns="19050" anchor="ctr" anchorCtr="1">
                <a:spAutoFit/>
              </a:bodyPr>
              <a:lstStyle/>
              <a:p>
                <a:pPr>
                  <a:defRPr sz="14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'activities-percent-completed'!$A$4:$A$11</c:f>
              <c:strCache>
                <c:ptCount val="1"/>
                <c:pt idx="0">
                  <c:v>Pre-ETS</c:v>
                </c:pt>
              </c:strCache>
            </c:strRef>
          </c:cat>
          <c:val>
            <c:numRef>
              <c:f>'activities-percent-completed'!$F$4:$F$11</c:f>
              <c:numCache>
                <c:formatCode>0%</c:formatCode>
                <c:ptCount val="1"/>
                <c:pt idx="0">
                  <c:v>7.0796460176991149E-2</c:v>
                </c:pt>
              </c:numCache>
            </c:numRef>
          </c:val>
          <c:extLst>
            <c:ext xmlns:c16="http://schemas.microsoft.com/office/drawing/2014/chart" uri="{C3380CC4-5D6E-409C-BE32-E72D297353CC}">
              <c16:uniqueId val="{00000005-FCDC-4630-B487-732B8CDAA63E}"/>
            </c:ext>
          </c:extLst>
        </c:ser>
        <c:ser>
          <c:idx val="5"/>
          <c:order val="5"/>
          <c:tx>
            <c:strRef>
              <c:f>'activities-percent-completed'!$G$3</c:f>
              <c:strCache>
                <c:ptCount val="1"/>
                <c:pt idx="0">
                  <c:v>50%</c:v>
                </c:pt>
              </c:strCache>
            </c:strRef>
          </c:tx>
          <c:spPr>
            <a:solidFill>
              <a:schemeClr val="accent6"/>
            </a:solidFill>
            <a:ln>
              <a:noFill/>
            </a:ln>
            <a:effectLst/>
          </c:spPr>
          <c:invertIfNegative val="0"/>
          <c:dLbls>
            <c:dLbl>
              <c:idx val="0"/>
              <c:layout>
                <c:manualLayout>
                  <c:x val="3.1371479570373763E-3"/>
                  <c:y val="0.2331221619786014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FCDC-4630-B487-732B8CDAA63E}"/>
                </c:ext>
              </c:extLst>
            </c:dLbl>
            <c:spPr>
              <a:noFill/>
              <a:ln>
                <a:noFill/>
              </a:ln>
              <a:effectLst/>
            </c:spPr>
            <c:txPr>
              <a:bodyPr rot="0" spcFirstLastPara="1" vertOverflow="ellipsis" vert="horz" wrap="square" lIns="38100" tIns="19050" rIns="38100" bIns="19050" anchor="ctr" anchorCtr="1">
                <a:spAutoFit/>
              </a:bodyPr>
              <a:lstStyle/>
              <a:p>
                <a:pPr>
                  <a:defRPr sz="14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'activities-percent-completed'!$A$4:$A$11</c:f>
              <c:strCache>
                <c:ptCount val="1"/>
                <c:pt idx="0">
                  <c:v>Pre-ETS</c:v>
                </c:pt>
              </c:strCache>
            </c:strRef>
          </c:cat>
          <c:val>
            <c:numRef>
              <c:f>'activities-percent-completed'!$G$4:$G$11</c:f>
              <c:numCache>
                <c:formatCode>0%</c:formatCode>
                <c:ptCount val="1"/>
                <c:pt idx="0">
                  <c:v>6.1946902654867256E-2</c:v>
                </c:pt>
              </c:numCache>
            </c:numRef>
          </c:val>
          <c:extLst>
            <c:ext xmlns:c16="http://schemas.microsoft.com/office/drawing/2014/chart" uri="{C3380CC4-5D6E-409C-BE32-E72D297353CC}">
              <c16:uniqueId val="{00000007-FCDC-4630-B487-732B8CDAA63E}"/>
            </c:ext>
          </c:extLst>
        </c:ser>
        <c:ser>
          <c:idx val="6"/>
          <c:order val="6"/>
          <c:tx>
            <c:strRef>
              <c:f>'activities-percent-completed'!$H$3</c:f>
              <c:strCache>
                <c:ptCount val="1"/>
                <c:pt idx="0">
                  <c:v>25%</c:v>
                </c:pt>
              </c:strCache>
            </c:strRef>
          </c:tx>
          <c:spPr>
            <a:solidFill>
              <a:srgbClr val="15FFFF"/>
            </a:solidFill>
            <a:ln>
              <a:noFill/>
            </a:ln>
            <a:effectLst/>
          </c:spPr>
          <c:invertIfNegative val="0"/>
          <c:dLbls>
            <c:dLbl>
              <c:idx val="0"/>
              <c:layout>
                <c:manualLayout>
                  <c:x val="1.5685739785186881E-3"/>
                  <c:y val="0.22479637047936549"/>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FCDC-4630-B487-732B8CDAA63E}"/>
                </c:ext>
              </c:extLst>
            </c:dLbl>
            <c:spPr>
              <a:noFill/>
              <a:ln>
                <a:noFill/>
              </a:ln>
              <a:effectLst/>
            </c:spPr>
            <c:txPr>
              <a:bodyPr rot="0" spcFirstLastPara="1" vertOverflow="ellipsis" vert="horz" wrap="square" lIns="38100" tIns="19050" rIns="38100" bIns="19050" anchor="ctr" anchorCtr="1">
                <a:spAutoFit/>
              </a:bodyPr>
              <a:lstStyle/>
              <a:p>
                <a:pPr>
                  <a:defRPr sz="14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'activities-percent-completed'!$A$4:$A$11</c:f>
              <c:strCache>
                <c:ptCount val="1"/>
                <c:pt idx="0">
                  <c:v>Pre-ETS</c:v>
                </c:pt>
              </c:strCache>
            </c:strRef>
          </c:cat>
          <c:val>
            <c:numRef>
              <c:f>'activities-percent-completed'!$H$4:$H$11</c:f>
              <c:numCache>
                <c:formatCode>0%</c:formatCode>
                <c:ptCount val="1"/>
                <c:pt idx="0">
                  <c:v>7.0796460176991149E-2</c:v>
                </c:pt>
              </c:numCache>
            </c:numRef>
          </c:val>
          <c:extLst>
            <c:ext xmlns:c16="http://schemas.microsoft.com/office/drawing/2014/chart" uri="{C3380CC4-5D6E-409C-BE32-E72D297353CC}">
              <c16:uniqueId val="{00000009-FCDC-4630-B487-732B8CDAA63E}"/>
            </c:ext>
          </c:extLst>
        </c:ser>
        <c:ser>
          <c:idx val="7"/>
          <c:order val="7"/>
          <c:tx>
            <c:strRef>
              <c:f>'activities-percent-completed'!$I$3</c:f>
              <c:strCache>
                <c:ptCount val="1"/>
                <c:pt idx="0">
                  <c:v>10%</c:v>
                </c:pt>
              </c:strCache>
              <c:extLst xmlns:c15="http://schemas.microsoft.com/office/drawing/2012/chart"/>
            </c:strRef>
          </c:tx>
          <c:spPr>
            <a:solidFill>
              <a:srgbClr val="3399FF"/>
            </a:solidFill>
            <a:ln>
              <a:noFill/>
            </a:ln>
            <a:effectLst/>
          </c:spPr>
          <c:invertIfNegative val="0"/>
          <c:dLbls>
            <c:dLbl>
              <c:idx val="0"/>
              <c:layout>
                <c:manualLayout>
                  <c:x val="1.5685739785186881E-2"/>
                  <c:y val="0.22479637047936565"/>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FCDC-4630-B487-732B8CDAA63E}"/>
                </c:ext>
              </c:extLst>
            </c:dLbl>
            <c:spPr>
              <a:noFill/>
              <a:ln>
                <a:noFill/>
              </a:ln>
              <a:effectLst/>
            </c:spPr>
            <c:txPr>
              <a:bodyPr rot="0" spcFirstLastPara="1" vertOverflow="ellipsis" vert="horz" wrap="square" lIns="38100" tIns="19050" rIns="38100" bIns="19050" anchor="ctr" anchorCtr="1">
                <a:spAutoFit/>
              </a:bodyPr>
              <a:lstStyle/>
              <a:p>
                <a:pPr>
                  <a:defRPr sz="14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'activities-percent-completed'!$A$4:$A$11</c:f>
              <c:strCache>
                <c:ptCount val="1"/>
                <c:pt idx="0">
                  <c:v>Pre-ETS</c:v>
                </c:pt>
              </c:strCache>
            </c:strRef>
          </c:cat>
          <c:val>
            <c:numRef>
              <c:f>'activities-percent-completed'!$I$4:$I$11</c:f>
              <c:numCache>
                <c:formatCode>0%</c:formatCode>
                <c:ptCount val="1"/>
                <c:pt idx="0">
                  <c:v>0</c:v>
                </c:pt>
              </c:numCache>
            </c:numRef>
          </c:val>
          <c:extLst xmlns:c15="http://schemas.microsoft.com/office/drawing/2012/chart">
            <c:ext xmlns:c16="http://schemas.microsoft.com/office/drawing/2014/chart" uri="{C3380CC4-5D6E-409C-BE32-E72D297353CC}">
              <c16:uniqueId val="{0000000B-FCDC-4630-B487-732B8CDAA63E}"/>
            </c:ext>
          </c:extLst>
        </c:ser>
        <c:ser>
          <c:idx val="8"/>
          <c:order val="8"/>
          <c:tx>
            <c:strRef>
              <c:f>'activities-percent-completed'!$J$3</c:f>
              <c:strCache>
                <c:ptCount val="1"/>
                <c:pt idx="0">
                  <c:v>Not started</c:v>
                </c:pt>
              </c:strCache>
              <c:extLst xmlns:c15="http://schemas.microsoft.com/office/drawing/2012/chart"/>
            </c:strRef>
          </c:tx>
          <c:spPr>
            <a:solidFill>
              <a:srgbClr val="7030A0"/>
            </a:solidFill>
            <a:ln>
              <a:noFill/>
            </a:ln>
            <a:effectLst/>
          </c:spPr>
          <c:invertIfNegative val="0"/>
          <c:dLbls>
            <c:dLbl>
              <c:idx val="0"/>
              <c:layout>
                <c:manualLayout>
                  <c:x val="-4.7057219355560644E-3"/>
                  <c:y val="0.22479637047936549"/>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FCDC-4630-B487-732B8CDAA63E}"/>
                </c:ext>
              </c:extLst>
            </c:dLbl>
            <c:spPr>
              <a:noFill/>
              <a:ln>
                <a:noFill/>
              </a:ln>
              <a:effectLst/>
            </c:spPr>
            <c:txPr>
              <a:bodyPr rot="0" spcFirstLastPara="1" vertOverflow="ellipsis" vert="horz" wrap="square" lIns="38100" tIns="19050" rIns="38100" bIns="19050" anchor="ctr" anchorCtr="1">
                <a:spAutoFit/>
              </a:bodyPr>
              <a:lstStyle/>
              <a:p>
                <a:pPr>
                  <a:defRPr sz="1400" b="0" i="0" u="none" strike="noStrike" kern="1200" baseline="0">
                    <a:solidFill>
                      <a:sysClr val="windowText" lastClr="000000"/>
                    </a:solidFill>
                    <a:latin typeface="+mn-lt"/>
                    <a:ea typeface="+mn-ea"/>
                    <a:cs typeface="+mn-cs"/>
                  </a:defRPr>
                </a:pPr>
                <a:endParaRPr lang="en-US"/>
              </a:p>
            </c:txPr>
            <c:dLblPos val="ct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'activities-percent-completed'!$A$4:$A$11</c:f>
              <c:strCache>
                <c:ptCount val="1"/>
                <c:pt idx="0">
                  <c:v>Pre-ETS</c:v>
                </c:pt>
              </c:strCache>
            </c:strRef>
          </c:cat>
          <c:val>
            <c:numRef>
              <c:f>'activities-percent-completed'!$J$4:$J$11</c:f>
              <c:numCache>
                <c:formatCode>0%</c:formatCode>
                <c:ptCount val="1"/>
                <c:pt idx="0">
                  <c:v>0.17256637168141592</c:v>
                </c:pt>
              </c:numCache>
            </c:numRef>
          </c:val>
          <c:extLst xmlns:c15="http://schemas.microsoft.com/office/drawing/2012/chart">
            <c:ext xmlns:c16="http://schemas.microsoft.com/office/drawing/2014/chart" uri="{C3380CC4-5D6E-409C-BE32-E72D297353CC}">
              <c16:uniqueId val="{0000000D-FCDC-4630-B487-732B8CDAA63E}"/>
            </c:ext>
          </c:extLst>
        </c:ser>
        <c:dLbls>
          <c:dLblPos val="ctr"/>
          <c:showLegendKey val="0"/>
          <c:showVal val="1"/>
          <c:showCatName val="0"/>
          <c:showSerName val="0"/>
          <c:showPercent val="0"/>
          <c:showBubbleSize val="0"/>
        </c:dLbls>
        <c:gapWidth val="79"/>
        <c:overlap val="100"/>
        <c:axId val="610520992"/>
        <c:axId val="610522632"/>
        <c:extLst>
          <c:ext xmlns:c15="http://schemas.microsoft.com/office/drawing/2012/chart" uri="{02D57815-91ED-43cb-92C2-25804820EDAC}">
            <c15:filteredBarSeries>
              <c15:ser>
                <c:idx val="0"/>
                <c:order val="0"/>
                <c:tx>
                  <c:strRef>
                    <c:extLst>
                      <c:ext uri="{02D57815-91ED-43cb-92C2-25804820EDAC}">
                        <c15:formulaRef>
                          <c15:sqref>'activities-percent-completed'!$B$3</c15:sqref>
                        </c15:formulaRef>
                      </c:ext>
                    </c:extLst>
                    <c:strCache>
                      <c:ptCount val="1"/>
                      <c:pt idx="0">
                        <c:v># of Total Activities</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showLeaderLines val="0"/>
                  <c:extLst>
                    <c:ext uri="{CE6537A1-D6FC-4f65-9D91-7224C49458BB}">
                      <c15:showLeaderLines val="1"/>
                      <c15:leaderLines>
                        <c:spPr>
                          <a:ln w="9525">
                            <a:solidFill>
                              <a:schemeClr val="tx1">
                                <a:lumMod val="35000"/>
                                <a:lumOff val="65000"/>
                              </a:schemeClr>
                            </a:solidFill>
                          </a:ln>
                          <a:effectLst/>
                        </c:spPr>
                      </c15:leaderLines>
                    </c:ext>
                  </c:extLst>
                </c:dLbls>
                <c:cat>
                  <c:strRef>
                    <c:extLst>
                      <c:ext uri="{02D57815-91ED-43cb-92C2-25804820EDAC}">
                        <c15:formulaRef>
                          <c15:sqref>'activities-percent-completed'!$A$4:$A$11</c15:sqref>
                        </c15:formulaRef>
                      </c:ext>
                    </c:extLst>
                    <c:strCache>
                      <c:ptCount val="1"/>
                      <c:pt idx="0">
                        <c:v>Pre-ETS</c:v>
                      </c:pt>
                    </c:strCache>
                  </c:strRef>
                </c:cat>
                <c:val>
                  <c:numRef>
                    <c:extLst>
                      <c:ext uri="{02D57815-91ED-43cb-92C2-25804820EDAC}">
                        <c15:formulaRef>
                          <c15:sqref>'activities-percent-completed'!$B$4:$B$11</c15:sqref>
                        </c15:formulaRef>
                      </c:ext>
                    </c:extLst>
                    <c:numCache>
                      <c:formatCode>0</c:formatCode>
                      <c:ptCount val="1"/>
                      <c:pt idx="0">
                        <c:v>226</c:v>
                      </c:pt>
                    </c:numCache>
                  </c:numRef>
                </c:val>
                <c:extLst>
                  <c:ext xmlns:c16="http://schemas.microsoft.com/office/drawing/2014/chart" uri="{C3380CC4-5D6E-409C-BE32-E72D297353CC}">
                    <c16:uniqueId val="{0000000E-FCDC-4630-B487-732B8CDAA63E}"/>
                  </c:ext>
                </c:extLst>
              </c15:ser>
            </c15:filteredBarSeries>
            <c15:filteredBarSeries>
              <c15:ser>
                <c:idx val="1"/>
                <c:order val="1"/>
                <c:tx>
                  <c:strRef>
                    <c:extLst xmlns:c15="http://schemas.microsoft.com/office/drawing/2012/chart">
                      <c:ext xmlns:c15="http://schemas.microsoft.com/office/drawing/2012/chart" uri="{02D57815-91ED-43cb-92C2-25804820EDAC}">
                        <c15:formulaRef>
                          <c15:sqref>'activities-percent-completed'!$C$3</c15:sqref>
                        </c15:formulaRef>
                      </c:ext>
                    </c:extLst>
                    <c:strCache>
                      <c:ptCount val="1"/>
                      <c:pt idx="0">
                        <c:v>Average Progress on Activities (%)</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extLst xmlns:c15="http://schemas.microsoft.com/office/drawing/2012/chart">
                      <c:ext xmlns:c15="http://schemas.microsoft.com/office/drawing/2012/chart" uri="{02D57815-91ED-43cb-92C2-25804820EDAC}">
                        <c15:formulaRef>
                          <c15:sqref>'activities-percent-completed'!$A$4:$A$11</c15:sqref>
                        </c15:formulaRef>
                      </c:ext>
                    </c:extLst>
                    <c:strCache>
                      <c:ptCount val="1"/>
                      <c:pt idx="0">
                        <c:v>Pre-ETS</c:v>
                      </c:pt>
                    </c:strCache>
                  </c:strRef>
                </c:cat>
                <c:val>
                  <c:numRef>
                    <c:extLst xmlns:c15="http://schemas.microsoft.com/office/drawing/2012/chart">
                      <c:ext xmlns:c15="http://schemas.microsoft.com/office/drawing/2012/chart" uri="{02D57815-91ED-43cb-92C2-25804820EDAC}">
                        <c15:formulaRef>
                          <c15:sqref>'activities-percent-completed'!$C$4:$C$11</c15:sqref>
                        </c15:formulaRef>
                      </c:ext>
                    </c:extLst>
                    <c:numCache>
                      <c:formatCode>0%</c:formatCode>
                      <c:ptCount val="1"/>
                      <c:pt idx="0">
                        <c:v>0.72345132743362828</c:v>
                      </c:pt>
                    </c:numCache>
                  </c:numRef>
                </c:val>
                <c:extLst xmlns:c15="http://schemas.microsoft.com/office/drawing/2012/chart">
                  <c:ext xmlns:c16="http://schemas.microsoft.com/office/drawing/2014/chart" uri="{C3380CC4-5D6E-409C-BE32-E72D297353CC}">
                    <c16:uniqueId val="{0000000F-FCDC-4630-B487-732B8CDAA63E}"/>
                  </c:ext>
                </c:extLst>
              </c15:ser>
            </c15:filteredBarSeries>
          </c:ext>
        </c:extLst>
      </c:barChart>
      <c:catAx>
        <c:axId val="610520992"/>
        <c:scaling>
          <c:orientation val="minMax"/>
        </c:scaling>
        <c:delete val="1"/>
        <c:axPos val="l"/>
        <c:majorGridlines>
          <c:spPr>
            <a:ln w="9525" cap="flat" cmpd="sng" algn="ctr">
              <a:solidFill>
                <a:schemeClr val="tx1">
                  <a:lumMod val="15000"/>
                  <a:lumOff val="85000"/>
                </a:schemeClr>
              </a:solidFill>
              <a:round/>
            </a:ln>
            <a:effectLst/>
          </c:spPr>
        </c:majorGridlines>
        <c:minorGridlines>
          <c:spPr>
            <a:ln>
              <a:solidFill>
                <a:schemeClr val="tx1">
                  <a:lumMod val="5000"/>
                  <a:lumOff val="95000"/>
                </a:schemeClr>
              </a:solidFill>
            </a:ln>
            <a:effectLst/>
          </c:spPr>
        </c:minorGridlines>
        <c:numFmt formatCode="General" sourceLinked="1"/>
        <c:majorTickMark val="out"/>
        <c:minorTickMark val="none"/>
        <c:tickLblPos val="nextTo"/>
        <c:crossAx val="610522632"/>
        <c:crosses val="autoZero"/>
        <c:auto val="1"/>
        <c:lblAlgn val="ctr"/>
        <c:lblOffset val="100"/>
        <c:noMultiLvlLbl val="0"/>
      </c:catAx>
      <c:valAx>
        <c:axId val="610522632"/>
        <c:scaling>
          <c:orientation val="minMax"/>
          <c:max val="1"/>
        </c:scaling>
        <c:delete val="0"/>
        <c:axPos val="b"/>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10520992"/>
        <c:crosses val="autoZero"/>
        <c:crossBetween val="between"/>
      </c:valAx>
      <c:spPr>
        <a:noFill/>
        <a:ln>
          <a:noFill/>
        </a:ln>
        <a:effectLst/>
      </c:spPr>
    </c:plotArea>
    <c:legend>
      <c:legendPos val="t"/>
      <c:layout>
        <c:manualLayout>
          <c:xMode val="edge"/>
          <c:yMode val="edge"/>
          <c:x val="4.635103304394643E-2"/>
          <c:y val="0.82210242950400436"/>
          <c:w val="0.94380325055521908"/>
          <c:h val="0.17461332780351052"/>
        </c:manualLayout>
      </c:layout>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7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4"/>
    </mc:Choice>
    <mc:Fallback>
      <c:style val="4"/>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Topic Area - SARA</a:t>
            </a:r>
            <a:br>
              <a:rPr lang="en-US"/>
            </a:br>
            <a:r>
              <a:rPr lang="en-US"/>
              <a:t>Activity #2</a:t>
            </a:r>
          </a:p>
        </c:rich>
      </c:tx>
      <c:layout>
        <c:manualLayout>
          <c:xMode val="edge"/>
          <c:yMode val="edge"/>
          <c:x val="0.28386751051089032"/>
          <c:y val="1.4306075052544569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6017916604892113"/>
          <c:y val="0.23265365094271845"/>
          <c:w val="0.78942722632790041"/>
          <c:h val="0.66602748393145406"/>
        </c:manualLayout>
      </c:layout>
      <c:barChart>
        <c:barDir val="col"/>
        <c:grouping val="percentStacked"/>
        <c:varyColors val="0"/>
        <c:ser>
          <c:idx val="3"/>
          <c:order val="3"/>
          <c:tx>
            <c:strRef>
              <c:f>'individual-chart-sara'!$F$2</c:f>
              <c:strCache>
                <c:ptCount val="1"/>
                <c:pt idx="0">
                  <c:v>Completed</c:v>
                </c:pt>
              </c:strCache>
            </c:strRef>
          </c:tx>
          <c:spPr>
            <a:solidFill>
              <a:srgbClr val="99221F"/>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600" b="0"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'individual-chart-sara'!$B$3:$B$30</c:f>
              <c:strCache>
                <c:ptCount val="2"/>
                <c:pt idx="0">
                  <c:v>Activity</c:v>
                </c:pt>
                <c:pt idx="1">
                  <c:v>Outputs</c:v>
                </c:pt>
              </c:strCache>
              <c:extLst/>
            </c:strRef>
          </c:cat>
          <c:val>
            <c:numRef>
              <c:f>'individual-chart-sara'!$F$3:$F$30</c:f>
              <c:numCache>
                <c:formatCode>0%</c:formatCode>
                <c:ptCount val="2"/>
                <c:pt idx="0">
                  <c:v>1</c:v>
                </c:pt>
                <c:pt idx="1">
                  <c:v>1</c:v>
                </c:pt>
              </c:numCache>
              <c:extLst/>
            </c:numRef>
          </c:val>
          <c:extLst>
            <c:ext xmlns:c16="http://schemas.microsoft.com/office/drawing/2014/chart" uri="{C3380CC4-5D6E-409C-BE32-E72D297353CC}">
              <c16:uniqueId val="{00000000-E8B0-456C-929D-2056E0AFB0FE}"/>
            </c:ext>
          </c:extLst>
        </c:ser>
        <c:ser>
          <c:idx val="4"/>
          <c:order val="4"/>
          <c:tx>
            <c:strRef>
              <c:f>'individual-chart-sara'!$G$2</c:f>
              <c:strCache>
                <c:ptCount val="1"/>
                <c:pt idx="0">
                  <c:v>90%</c:v>
                </c:pt>
              </c:strCache>
            </c:strRef>
          </c:tx>
          <c:spPr>
            <a:solidFill>
              <a:srgbClr val="D73D39"/>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'individual-chart-sara'!$B$3:$B$30</c:f>
              <c:strCache>
                <c:ptCount val="2"/>
                <c:pt idx="0">
                  <c:v>Activity</c:v>
                </c:pt>
                <c:pt idx="1">
                  <c:v>Outputs</c:v>
                </c:pt>
              </c:strCache>
              <c:extLst/>
            </c:strRef>
          </c:cat>
          <c:val>
            <c:numRef>
              <c:f>'individual-chart-sara'!$G$3:$G$30</c:f>
              <c:numCache>
                <c:formatCode>General</c:formatCode>
                <c:ptCount val="2"/>
              </c:numCache>
              <c:extLst/>
            </c:numRef>
          </c:val>
          <c:extLst>
            <c:ext xmlns:c16="http://schemas.microsoft.com/office/drawing/2014/chart" uri="{C3380CC4-5D6E-409C-BE32-E72D297353CC}">
              <c16:uniqueId val="{00000001-E8B0-456C-929D-2056E0AFB0FE}"/>
            </c:ext>
          </c:extLst>
        </c:ser>
        <c:ser>
          <c:idx val="5"/>
          <c:order val="5"/>
          <c:tx>
            <c:strRef>
              <c:f>'individual-chart-sara'!$H$2</c:f>
              <c:strCache>
                <c:ptCount val="1"/>
                <c:pt idx="0">
                  <c:v>75%</c:v>
                </c:pt>
              </c:strCache>
            </c:strRef>
          </c:tx>
          <c:spPr>
            <a:solidFill>
              <a:srgbClr val="DC535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'individual-chart-sara'!$B$3:$B$30</c:f>
              <c:strCache>
                <c:ptCount val="2"/>
                <c:pt idx="0">
                  <c:v>Activity</c:v>
                </c:pt>
                <c:pt idx="1">
                  <c:v>Outputs</c:v>
                </c:pt>
              </c:strCache>
              <c:extLst/>
            </c:strRef>
          </c:cat>
          <c:val>
            <c:numRef>
              <c:f>'individual-chart-sara'!$H$3:$H$30</c:f>
              <c:numCache>
                <c:formatCode>General</c:formatCode>
                <c:ptCount val="2"/>
              </c:numCache>
              <c:extLst/>
            </c:numRef>
          </c:val>
          <c:extLst>
            <c:ext xmlns:c16="http://schemas.microsoft.com/office/drawing/2014/chart" uri="{C3380CC4-5D6E-409C-BE32-E72D297353CC}">
              <c16:uniqueId val="{00000002-E8B0-456C-929D-2056E0AFB0FE}"/>
            </c:ext>
          </c:extLst>
        </c:ser>
        <c:ser>
          <c:idx val="6"/>
          <c:order val="6"/>
          <c:tx>
            <c:strRef>
              <c:f>'individual-chart-sara'!$I$2</c:f>
              <c:strCache>
                <c:ptCount val="1"/>
                <c:pt idx="0">
                  <c:v>50%</c:v>
                </c:pt>
              </c:strCache>
            </c:strRef>
          </c:tx>
          <c:spPr>
            <a:solidFill>
              <a:srgbClr val="EBA19F"/>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'individual-chart-sara'!$B$3:$B$30</c:f>
              <c:strCache>
                <c:ptCount val="2"/>
                <c:pt idx="0">
                  <c:v>Activity</c:v>
                </c:pt>
                <c:pt idx="1">
                  <c:v>Outputs</c:v>
                </c:pt>
              </c:strCache>
              <c:extLst/>
            </c:strRef>
          </c:cat>
          <c:val>
            <c:numRef>
              <c:f>'individual-chart-sara'!$I$3:$I$30</c:f>
              <c:numCache>
                <c:formatCode>General</c:formatCode>
                <c:ptCount val="2"/>
              </c:numCache>
              <c:extLst/>
            </c:numRef>
          </c:val>
          <c:extLst>
            <c:ext xmlns:c16="http://schemas.microsoft.com/office/drawing/2014/chart" uri="{C3380CC4-5D6E-409C-BE32-E72D297353CC}">
              <c16:uniqueId val="{00000003-E8B0-456C-929D-2056E0AFB0FE}"/>
            </c:ext>
          </c:extLst>
        </c:ser>
        <c:ser>
          <c:idx val="7"/>
          <c:order val="7"/>
          <c:tx>
            <c:strRef>
              <c:f>'individual-chart-sara'!$J$2</c:f>
              <c:strCache>
                <c:ptCount val="1"/>
                <c:pt idx="0">
                  <c:v>25%</c:v>
                </c:pt>
              </c:strCache>
            </c:strRef>
          </c:tx>
          <c:spPr>
            <a:solidFill>
              <a:srgbClr val="F3C6C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'individual-chart-sara'!$B$3:$B$30</c:f>
              <c:strCache>
                <c:ptCount val="2"/>
                <c:pt idx="0">
                  <c:v>Activity</c:v>
                </c:pt>
                <c:pt idx="1">
                  <c:v>Outputs</c:v>
                </c:pt>
              </c:strCache>
              <c:extLst/>
            </c:strRef>
          </c:cat>
          <c:val>
            <c:numRef>
              <c:f>'individual-chart-sara'!$J$3:$J$30</c:f>
              <c:numCache>
                <c:formatCode>General</c:formatCode>
                <c:ptCount val="2"/>
              </c:numCache>
              <c:extLst/>
            </c:numRef>
          </c:val>
          <c:extLst>
            <c:ext xmlns:c16="http://schemas.microsoft.com/office/drawing/2014/chart" uri="{C3380CC4-5D6E-409C-BE32-E72D297353CC}">
              <c16:uniqueId val="{00000004-E8B0-456C-929D-2056E0AFB0FE}"/>
            </c:ext>
          </c:extLst>
        </c:ser>
        <c:ser>
          <c:idx val="8"/>
          <c:order val="8"/>
          <c:tx>
            <c:strRef>
              <c:f>'individual-chart-sara'!$K$2</c:f>
              <c:strCache>
                <c:ptCount val="1"/>
                <c:pt idx="0">
                  <c:v>10%</c:v>
                </c:pt>
              </c:strCache>
            </c:strRef>
          </c:tx>
          <c:spPr>
            <a:solidFill>
              <a:schemeClr val="accent2">
                <a:tint val="56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'individual-chart-sara'!$B$3:$B$30</c:f>
              <c:strCache>
                <c:ptCount val="2"/>
                <c:pt idx="0">
                  <c:v>Activity</c:v>
                </c:pt>
                <c:pt idx="1">
                  <c:v>Outputs</c:v>
                </c:pt>
              </c:strCache>
              <c:extLst/>
            </c:strRef>
          </c:cat>
          <c:val>
            <c:numRef>
              <c:f>'individual-chart-sara'!$K$3:$K$30</c:f>
              <c:numCache>
                <c:formatCode>General</c:formatCode>
                <c:ptCount val="2"/>
              </c:numCache>
              <c:extLst/>
            </c:numRef>
          </c:val>
          <c:extLst>
            <c:ext xmlns:c16="http://schemas.microsoft.com/office/drawing/2014/chart" uri="{C3380CC4-5D6E-409C-BE32-E72D297353CC}">
              <c16:uniqueId val="{00000005-E8B0-456C-929D-2056E0AFB0FE}"/>
            </c:ext>
          </c:extLst>
        </c:ser>
        <c:ser>
          <c:idx val="9"/>
          <c:order val="9"/>
          <c:tx>
            <c:strRef>
              <c:f>'individual-chart-sara'!$L$2</c:f>
              <c:strCache>
                <c:ptCount val="1"/>
                <c:pt idx="0">
                  <c:v>Not Started</c:v>
                </c:pt>
              </c:strCache>
            </c:strRef>
          </c:tx>
          <c:spPr>
            <a:solidFill>
              <a:srgbClr val="FCF2F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'individual-chart-sara'!$B$3:$B$30</c:f>
              <c:strCache>
                <c:ptCount val="2"/>
                <c:pt idx="0">
                  <c:v>Activity</c:v>
                </c:pt>
                <c:pt idx="1">
                  <c:v>Outputs</c:v>
                </c:pt>
              </c:strCache>
              <c:extLst/>
            </c:strRef>
          </c:cat>
          <c:val>
            <c:numRef>
              <c:f>'individual-chart-sara'!$L$3:$L$30</c:f>
              <c:numCache>
                <c:formatCode>General</c:formatCode>
                <c:ptCount val="2"/>
              </c:numCache>
              <c:extLst/>
            </c:numRef>
          </c:val>
          <c:extLst>
            <c:ext xmlns:c16="http://schemas.microsoft.com/office/drawing/2014/chart" uri="{C3380CC4-5D6E-409C-BE32-E72D297353CC}">
              <c16:uniqueId val="{00000006-E8B0-456C-929D-2056E0AFB0FE}"/>
            </c:ext>
          </c:extLst>
        </c:ser>
        <c:dLbls>
          <c:dLblPos val="ctr"/>
          <c:showLegendKey val="0"/>
          <c:showVal val="1"/>
          <c:showCatName val="0"/>
          <c:showSerName val="0"/>
          <c:showPercent val="0"/>
          <c:showBubbleSize val="0"/>
        </c:dLbls>
        <c:gapWidth val="150"/>
        <c:overlap val="100"/>
        <c:axId val="790958128"/>
        <c:axId val="790961408"/>
        <c:extLst>
          <c:ext xmlns:c15="http://schemas.microsoft.com/office/drawing/2012/chart" uri="{02D57815-91ED-43cb-92C2-25804820EDAC}">
            <c15:filteredBarSeries>
              <c15:ser>
                <c:idx val="0"/>
                <c:order val="0"/>
                <c:tx>
                  <c:strRef>
                    <c:extLst>
                      <c:ext uri="{02D57815-91ED-43cb-92C2-25804820EDAC}">
                        <c15:formulaRef>
                          <c15:sqref>'individual-chart-sara'!$C$2</c15:sqref>
                        </c15:formulaRef>
                      </c:ext>
                    </c:extLst>
                    <c:strCache>
                      <c:ptCount val="1"/>
                      <c:pt idx="0">
                        <c:v>Completed</c:v>
                      </c:pt>
                    </c:strCache>
                  </c:strRef>
                </c:tx>
                <c:spPr>
                  <a:solidFill>
                    <a:schemeClr val="accent2">
                      <a:shade val="42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c:ext uri="{02D57815-91ED-43cb-92C2-25804820EDAC}">
                        <c15:formulaRef>
                          <c15:sqref>'individual-chart-sara'!$B$3:$B$30</c15:sqref>
                        </c15:formulaRef>
                      </c:ext>
                    </c:extLst>
                    <c:strCache>
                      <c:ptCount val="2"/>
                      <c:pt idx="0">
                        <c:v>Activity</c:v>
                      </c:pt>
                      <c:pt idx="1">
                        <c:v>Outputs</c:v>
                      </c:pt>
                    </c:strCache>
                  </c:strRef>
                </c:cat>
                <c:val>
                  <c:numRef>
                    <c:extLst>
                      <c:ext uri="{02D57815-91ED-43cb-92C2-25804820EDAC}">
                        <c15:formulaRef>
                          <c15:sqref>'individual-chart-sara'!$C$3:$C$30</c15:sqref>
                        </c15:formulaRef>
                      </c:ext>
                    </c:extLst>
                    <c:numCache>
                      <c:formatCode>0%</c:formatCode>
                      <c:ptCount val="2"/>
                      <c:pt idx="0">
                        <c:v>1</c:v>
                      </c:pt>
                      <c:pt idx="1">
                        <c:v>1</c:v>
                      </c:pt>
                    </c:numCache>
                  </c:numRef>
                </c:val>
                <c:extLst>
                  <c:ext xmlns:c16="http://schemas.microsoft.com/office/drawing/2014/chart" uri="{C3380CC4-5D6E-409C-BE32-E72D297353CC}">
                    <c16:uniqueId val="{00000007-E8B0-456C-929D-2056E0AFB0FE}"/>
                  </c:ext>
                </c:extLst>
              </c15:ser>
            </c15:filteredBarSeries>
            <c15:filteredBarSeries>
              <c15:ser>
                <c:idx val="1"/>
                <c:order val="1"/>
                <c:tx>
                  <c:strRef>
                    <c:extLst xmlns:c15="http://schemas.microsoft.com/office/drawing/2012/chart">
                      <c:ext xmlns:c15="http://schemas.microsoft.com/office/drawing/2012/chart" uri="{02D57815-91ED-43cb-92C2-25804820EDAC}">
                        <c15:formulaRef>
                          <c15:sqref>'individual-chart-sara'!$D$2</c15:sqref>
                        </c15:formulaRef>
                      </c:ext>
                    </c:extLst>
                    <c:strCache>
                      <c:ptCount val="1"/>
                      <c:pt idx="0">
                        <c:v>In progress</c:v>
                      </c:pt>
                    </c:strCache>
                  </c:strRef>
                </c:tx>
                <c:spPr>
                  <a:solidFill>
                    <a:schemeClr val="accent2">
                      <a:shade val="5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'individual-chart-sara'!$B$3:$B$30</c15:sqref>
                        </c15:formulaRef>
                      </c:ext>
                    </c:extLst>
                    <c:strCache>
                      <c:ptCount val="2"/>
                      <c:pt idx="0">
                        <c:v>Activity</c:v>
                      </c:pt>
                      <c:pt idx="1">
                        <c:v>Outputs</c:v>
                      </c:pt>
                    </c:strCache>
                  </c:strRef>
                </c:cat>
                <c:val>
                  <c:numRef>
                    <c:extLst xmlns:c15="http://schemas.microsoft.com/office/drawing/2012/chart">
                      <c:ext xmlns:c15="http://schemas.microsoft.com/office/drawing/2012/chart" uri="{02D57815-91ED-43cb-92C2-25804820EDAC}">
                        <c15:formulaRef>
                          <c15:sqref>'individual-chart-sara'!$D$3:$D$30</c15:sqref>
                        </c15:formulaRef>
                      </c:ext>
                    </c:extLst>
                    <c:numCache>
                      <c:formatCode>General</c:formatCode>
                      <c:ptCount val="2"/>
                    </c:numCache>
                  </c:numRef>
                </c:val>
                <c:extLst xmlns:c15="http://schemas.microsoft.com/office/drawing/2012/chart">
                  <c:ext xmlns:c16="http://schemas.microsoft.com/office/drawing/2014/chart" uri="{C3380CC4-5D6E-409C-BE32-E72D297353CC}">
                    <c16:uniqueId val="{00000008-E8B0-456C-929D-2056E0AFB0FE}"/>
                  </c:ext>
                </c:extLst>
              </c15:ser>
            </c15:filteredBarSeries>
            <c15:filteredBarSeries>
              <c15:ser>
                <c:idx val="2"/>
                <c:order val="2"/>
                <c:tx>
                  <c:strRef>
                    <c:extLst xmlns:c15="http://schemas.microsoft.com/office/drawing/2012/chart">
                      <c:ext xmlns:c15="http://schemas.microsoft.com/office/drawing/2012/chart" uri="{02D57815-91ED-43cb-92C2-25804820EDAC}">
                        <c15:formulaRef>
                          <c15:sqref>'individual-chart-sara'!$E$2</c15:sqref>
                        </c15:formulaRef>
                      </c:ext>
                    </c:extLst>
                    <c:strCache>
                      <c:ptCount val="1"/>
                      <c:pt idx="0">
                        <c:v>Not started</c:v>
                      </c:pt>
                    </c:strCache>
                  </c:strRef>
                </c:tx>
                <c:spPr>
                  <a:solidFill>
                    <a:schemeClr val="accent2">
                      <a:shade val="68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'individual-chart-sara'!$B$3:$B$30</c15:sqref>
                        </c15:formulaRef>
                      </c:ext>
                    </c:extLst>
                    <c:strCache>
                      <c:ptCount val="2"/>
                      <c:pt idx="0">
                        <c:v>Activity</c:v>
                      </c:pt>
                      <c:pt idx="1">
                        <c:v>Outputs</c:v>
                      </c:pt>
                    </c:strCache>
                  </c:strRef>
                </c:cat>
                <c:val>
                  <c:numRef>
                    <c:extLst xmlns:c15="http://schemas.microsoft.com/office/drawing/2012/chart">
                      <c:ext xmlns:c15="http://schemas.microsoft.com/office/drawing/2012/chart" uri="{02D57815-91ED-43cb-92C2-25804820EDAC}">
                        <c15:formulaRef>
                          <c15:sqref>'individual-chart-sara'!$E$3:$E$30</c15:sqref>
                        </c15:formulaRef>
                      </c:ext>
                    </c:extLst>
                    <c:numCache>
                      <c:formatCode>General</c:formatCode>
                      <c:ptCount val="2"/>
                    </c:numCache>
                  </c:numRef>
                </c:val>
                <c:extLst xmlns:c15="http://schemas.microsoft.com/office/drawing/2012/chart">
                  <c:ext xmlns:c16="http://schemas.microsoft.com/office/drawing/2014/chart" uri="{C3380CC4-5D6E-409C-BE32-E72D297353CC}">
                    <c16:uniqueId val="{00000009-E8B0-456C-929D-2056E0AFB0FE}"/>
                  </c:ext>
                </c:extLst>
              </c15:ser>
            </c15:filteredBarSeries>
          </c:ext>
        </c:extLst>
      </c:barChart>
      <c:catAx>
        <c:axId val="7909581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n-US"/>
          </a:p>
        </c:txPr>
        <c:crossAx val="790961408"/>
        <c:crosses val="autoZero"/>
        <c:auto val="1"/>
        <c:lblAlgn val="ctr"/>
        <c:lblOffset val="100"/>
        <c:noMultiLvlLbl val="0"/>
      </c:catAx>
      <c:valAx>
        <c:axId val="790961408"/>
        <c:scaling>
          <c:orientation val="minMax"/>
          <c:min val="0"/>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90958128"/>
        <c:crossesAt val="1"/>
        <c:crossBetween val="between"/>
      </c:valAx>
      <c:spPr>
        <a:noFill/>
        <a:ln>
          <a:noFill/>
        </a:ln>
        <a:effectLst/>
      </c:spPr>
    </c:plotArea>
    <c:legend>
      <c:legendPos val="t"/>
      <c:layout>
        <c:manualLayout>
          <c:xMode val="edge"/>
          <c:yMode val="edge"/>
          <c:x val="0.16878358787806125"/>
          <c:y val="0.10208247651819531"/>
          <c:w val="0.78092145216948061"/>
          <c:h val="0.12652310298086494"/>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userShapes r:id="rId5"/>
</c:chartSpace>
</file>

<file path=word/charts/chart7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4"/>
    </mc:Choice>
    <mc:Fallback>
      <c:style val="4"/>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Topic Area - SARA</a:t>
            </a:r>
            <a:br>
              <a:rPr lang="en-US"/>
            </a:br>
            <a:r>
              <a:rPr lang="en-US"/>
              <a:t>Activity #3</a:t>
            </a:r>
          </a:p>
        </c:rich>
      </c:tx>
      <c:layout>
        <c:manualLayout>
          <c:xMode val="edge"/>
          <c:yMode val="edge"/>
          <c:x val="0.28386751051089032"/>
          <c:y val="1.4306075052544569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6017916604892113"/>
          <c:y val="0.23265365094271845"/>
          <c:w val="0.78942722632790041"/>
          <c:h val="0.66602748393145406"/>
        </c:manualLayout>
      </c:layout>
      <c:barChart>
        <c:barDir val="col"/>
        <c:grouping val="percentStacked"/>
        <c:varyColors val="0"/>
        <c:ser>
          <c:idx val="3"/>
          <c:order val="3"/>
          <c:tx>
            <c:strRef>
              <c:f>'individual-chart-sara'!$F$2</c:f>
              <c:strCache>
                <c:ptCount val="1"/>
                <c:pt idx="0">
                  <c:v>Completed</c:v>
                </c:pt>
              </c:strCache>
            </c:strRef>
          </c:tx>
          <c:spPr>
            <a:solidFill>
              <a:srgbClr val="99221F"/>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600" b="0"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'individual-chart-sara'!$B$3:$B$30</c:f>
              <c:strCache>
                <c:ptCount val="2"/>
                <c:pt idx="0">
                  <c:v>Activity</c:v>
                </c:pt>
                <c:pt idx="1">
                  <c:v>Outputs</c:v>
                </c:pt>
              </c:strCache>
              <c:extLst/>
            </c:strRef>
          </c:cat>
          <c:val>
            <c:numRef>
              <c:f>'individual-chart-sara'!$F$3:$F$30</c:f>
              <c:numCache>
                <c:formatCode>0%</c:formatCode>
                <c:ptCount val="2"/>
                <c:pt idx="0">
                  <c:v>1</c:v>
                </c:pt>
                <c:pt idx="1">
                  <c:v>1</c:v>
                </c:pt>
              </c:numCache>
              <c:extLst/>
            </c:numRef>
          </c:val>
          <c:extLst>
            <c:ext xmlns:c16="http://schemas.microsoft.com/office/drawing/2014/chart" uri="{C3380CC4-5D6E-409C-BE32-E72D297353CC}">
              <c16:uniqueId val="{00000000-DBC0-4CC1-A1CC-07CA82672609}"/>
            </c:ext>
          </c:extLst>
        </c:ser>
        <c:ser>
          <c:idx val="4"/>
          <c:order val="4"/>
          <c:tx>
            <c:strRef>
              <c:f>'individual-chart-sara'!$G$2</c:f>
              <c:strCache>
                <c:ptCount val="1"/>
                <c:pt idx="0">
                  <c:v>90%</c:v>
                </c:pt>
              </c:strCache>
            </c:strRef>
          </c:tx>
          <c:spPr>
            <a:solidFill>
              <a:srgbClr val="D73D39"/>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'individual-chart-sara'!$B$3:$B$30</c:f>
              <c:strCache>
                <c:ptCount val="2"/>
                <c:pt idx="0">
                  <c:v>Activity</c:v>
                </c:pt>
                <c:pt idx="1">
                  <c:v>Outputs</c:v>
                </c:pt>
              </c:strCache>
              <c:extLst/>
            </c:strRef>
          </c:cat>
          <c:val>
            <c:numRef>
              <c:f>'individual-chart-sara'!$G$3:$G$30</c:f>
              <c:numCache>
                <c:formatCode>General</c:formatCode>
                <c:ptCount val="2"/>
              </c:numCache>
              <c:extLst/>
            </c:numRef>
          </c:val>
          <c:extLst>
            <c:ext xmlns:c16="http://schemas.microsoft.com/office/drawing/2014/chart" uri="{C3380CC4-5D6E-409C-BE32-E72D297353CC}">
              <c16:uniqueId val="{00000001-DBC0-4CC1-A1CC-07CA82672609}"/>
            </c:ext>
          </c:extLst>
        </c:ser>
        <c:ser>
          <c:idx val="5"/>
          <c:order val="5"/>
          <c:tx>
            <c:strRef>
              <c:f>'individual-chart-sara'!$H$2</c:f>
              <c:strCache>
                <c:ptCount val="1"/>
                <c:pt idx="0">
                  <c:v>75%</c:v>
                </c:pt>
              </c:strCache>
            </c:strRef>
          </c:tx>
          <c:spPr>
            <a:solidFill>
              <a:srgbClr val="DC535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'individual-chart-sara'!$B$3:$B$30</c:f>
              <c:strCache>
                <c:ptCount val="2"/>
                <c:pt idx="0">
                  <c:v>Activity</c:v>
                </c:pt>
                <c:pt idx="1">
                  <c:v>Outputs</c:v>
                </c:pt>
              </c:strCache>
              <c:extLst/>
            </c:strRef>
          </c:cat>
          <c:val>
            <c:numRef>
              <c:f>'individual-chart-sara'!$H$3:$H$30</c:f>
              <c:numCache>
                <c:formatCode>General</c:formatCode>
                <c:ptCount val="2"/>
              </c:numCache>
              <c:extLst/>
            </c:numRef>
          </c:val>
          <c:extLst>
            <c:ext xmlns:c16="http://schemas.microsoft.com/office/drawing/2014/chart" uri="{C3380CC4-5D6E-409C-BE32-E72D297353CC}">
              <c16:uniqueId val="{00000002-DBC0-4CC1-A1CC-07CA82672609}"/>
            </c:ext>
          </c:extLst>
        </c:ser>
        <c:ser>
          <c:idx val="6"/>
          <c:order val="6"/>
          <c:tx>
            <c:strRef>
              <c:f>'individual-chart-sara'!$I$2</c:f>
              <c:strCache>
                <c:ptCount val="1"/>
                <c:pt idx="0">
                  <c:v>50%</c:v>
                </c:pt>
              </c:strCache>
            </c:strRef>
          </c:tx>
          <c:spPr>
            <a:solidFill>
              <a:srgbClr val="EBA19F"/>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'individual-chart-sara'!$B$3:$B$30</c:f>
              <c:strCache>
                <c:ptCount val="2"/>
                <c:pt idx="0">
                  <c:v>Activity</c:v>
                </c:pt>
                <c:pt idx="1">
                  <c:v>Outputs</c:v>
                </c:pt>
              </c:strCache>
              <c:extLst/>
            </c:strRef>
          </c:cat>
          <c:val>
            <c:numRef>
              <c:f>'individual-chart-sara'!$I$3:$I$30</c:f>
              <c:numCache>
                <c:formatCode>General</c:formatCode>
                <c:ptCount val="2"/>
              </c:numCache>
              <c:extLst/>
            </c:numRef>
          </c:val>
          <c:extLst>
            <c:ext xmlns:c16="http://schemas.microsoft.com/office/drawing/2014/chart" uri="{C3380CC4-5D6E-409C-BE32-E72D297353CC}">
              <c16:uniqueId val="{00000003-DBC0-4CC1-A1CC-07CA82672609}"/>
            </c:ext>
          </c:extLst>
        </c:ser>
        <c:ser>
          <c:idx val="7"/>
          <c:order val="7"/>
          <c:tx>
            <c:strRef>
              <c:f>'individual-chart-sara'!$J$2</c:f>
              <c:strCache>
                <c:ptCount val="1"/>
                <c:pt idx="0">
                  <c:v>25%</c:v>
                </c:pt>
              </c:strCache>
            </c:strRef>
          </c:tx>
          <c:spPr>
            <a:solidFill>
              <a:srgbClr val="F3C6C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'individual-chart-sara'!$B$3:$B$30</c:f>
              <c:strCache>
                <c:ptCount val="2"/>
                <c:pt idx="0">
                  <c:v>Activity</c:v>
                </c:pt>
                <c:pt idx="1">
                  <c:v>Outputs</c:v>
                </c:pt>
              </c:strCache>
              <c:extLst/>
            </c:strRef>
          </c:cat>
          <c:val>
            <c:numRef>
              <c:f>'individual-chart-sara'!$J$3:$J$30</c:f>
              <c:numCache>
                <c:formatCode>General</c:formatCode>
                <c:ptCount val="2"/>
              </c:numCache>
              <c:extLst/>
            </c:numRef>
          </c:val>
          <c:extLst>
            <c:ext xmlns:c16="http://schemas.microsoft.com/office/drawing/2014/chart" uri="{C3380CC4-5D6E-409C-BE32-E72D297353CC}">
              <c16:uniqueId val="{00000004-DBC0-4CC1-A1CC-07CA82672609}"/>
            </c:ext>
          </c:extLst>
        </c:ser>
        <c:ser>
          <c:idx val="8"/>
          <c:order val="8"/>
          <c:tx>
            <c:strRef>
              <c:f>'individual-chart-sara'!$K$2</c:f>
              <c:strCache>
                <c:ptCount val="1"/>
                <c:pt idx="0">
                  <c:v>10%</c:v>
                </c:pt>
              </c:strCache>
            </c:strRef>
          </c:tx>
          <c:spPr>
            <a:solidFill>
              <a:schemeClr val="accent2">
                <a:tint val="56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'individual-chart-sara'!$B$3:$B$30</c:f>
              <c:strCache>
                <c:ptCount val="2"/>
                <c:pt idx="0">
                  <c:v>Activity</c:v>
                </c:pt>
                <c:pt idx="1">
                  <c:v>Outputs</c:v>
                </c:pt>
              </c:strCache>
              <c:extLst/>
            </c:strRef>
          </c:cat>
          <c:val>
            <c:numRef>
              <c:f>'individual-chart-sara'!$K$3:$K$30</c:f>
              <c:numCache>
                <c:formatCode>General</c:formatCode>
                <c:ptCount val="2"/>
              </c:numCache>
              <c:extLst/>
            </c:numRef>
          </c:val>
          <c:extLst>
            <c:ext xmlns:c16="http://schemas.microsoft.com/office/drawing/2014/chart" uri="{C3380CC4-5D6E-409C-BE32-E72D297353CC}">
              <c16:uniqueId val="{00000005-DBC0-4CC1-A1CC-07CA82672609}"/>
            </c:ext>
          </c:extLst>
        </c:ser>
        <c:ser>
          <c:idx val="9"/>
          <c:order val="9"/>
          <c:tx>
            <c:strRef>
              <c:f>'individual-chart-sara'!$L$2</c:f>
              <c:strCache>
                <c:ptCount val="1"/>
                <c:pt idx="0">
                  <c:v>Not Started</c:v>
                </c:pt>
              </c:strCache>
            </c:strRef>
          </c:tx>
          <c:spPr>
            <a:solidFill>
              <a:srgbClr val="FCF2F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'individual-chart-sara'!$B$3:$B$30</c:f>
              <c:strCache>
                <c:ptCount val="2"/>
                <c:pt idx="0">
                  <c:v>Activity</c:v>
                </c:pt>
                <c:pt idx="1">
                  <c:v>Outputs</c:v>
                </c:pt>
              </c:strCache>
              <c:extLst/>
            </c:strRef>
          </c:cat>
          <c:val>
            <c:numRef>
              <c:f>'individual-chart-sara'!$L$3:$L$30</c:f>
              <c:numCache>
                <c:formatCode>General</c:formatCode>
                <c:ptCount val="2"/>
              </c:numCache>
              <c:extLst/>
            </c:numRef>
          </c:val>
          <c:extLst>
            <c:ext xmlns:c16="http://schemas.microsoft.com/office/drawing/2014/chart" uri="{C3380CC4-5D6E-409C-BE32-E72D297353CC}">
              <c16:uniqueId val="{00000006-DBC0-4CC1-A1CC-07CA82672609}"/>
            </c:ext>
          </c:extLst>
        </c:ser>
        <c:dLbls>
          <c:dLblPos val="ctr"/>
          <c:showLegendKey val="0"/>
          <c:showVal val="1"/>
          <c:showCatName val="0"/>
          <c:showSerName val="0"/>
          <c:showPercent val="0"/>
          <c:showBubbleSize val="0"/>
        </c:dLbls>
        <c:gapWidth val="150"/>
        <c:overlap val="100"/>
        <c:axId val="790958128"/>
        <c:axId val="790961408"/>
        <c:extLst>
          <c:ext xmlns:c15="http://schemas.microsoft.com/office/drawing/2012/chart" uri="{02D57815-91ED-43cb-92C2-25804820EDAC}">
            <c15:filteredBarSeries>
              <c15:ser>
                <c:idx val="0"/>
                <c:order val="0"/>
                <c:tx>
                  <c:strRef>
                    <c:extLst>
                      <c:ext uri="{02D57815-91ED-43cb-92C2-25804820EDAC}">
                        <c15:formulaRef>
                          <c15:sqref>'individual-chart-sara'!$C$2</c15:sqref>
                        </c15:formulaRef>
                      </c:ext>
                    </c:extLst>
                    <c:strCache>
                      <c:ptCount val="1"/>
                      <c:pt idx="0">
                        <c:v>Completed</c:v>
                      </c:pt>
                    </c:strCache>
                  </c:strRef>
                </c:tx>
                <c:spPr>
                  <a:solidFill>
                    <a:schemeClr val="accent2">
                      <a:shade val="42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c:ext uri="{02D57815-91ED-43cb-92C2-25804820EDAC}">
                        <c15:formulaRef>
                          <c15:sqref>'individual-chart-sara'!$B$3:$B$30</c15:sqref>
                        </c15:formulaRef>
                      </c:ext>
                    </c:extLst>
                    <c:strCache>
                      <c:ptCount val="2"/>
                      <c:pt idx="0">
                        <c:v>Activity</c:v>
                      </c:pt>
                      <c:pt idx="1">
                        <c:v>Outputs</c:v>
                      </c:pt>
                    </c:strCache>
                  </c:strRef>
                </c:cat>
                <c:val>
                  <c:numRef>
                    <c:extLst>
                      <c:ext uri="{02D57815-91ED-43cb-92C2-25804820EDAC}">
                        <c15:formulaRef>
                          <c15:sqref>'individual-chart-sara'!$C$3:$C$30</c15:sqref>
                        </c15:formulaRef>
                      </c:ext>
                    </c:extLst>
                    <c:numCache>
                      <c:formatCode>0%</c:formatCode>
                      <c:ptCount val="2"/>
                      <c:pt idx="0">
                        <c:v>1</c:v>
                      </c:pt>
                      <c:pt idx="1">
                        <c:v>1</c:v>
                      </c:pt>
                    </c:numCache>
                  </c:numRef>
                </c:val>
                <c:extLst>
                  <c:ext xmlns:c16="http://schemas.microsoft.com/office/drawing/2014/chart" uri="{C3380CC4-5D6E-409C-BE32-E72D297353CC}">
                    <c16:uniqueId val="{00000007-DBC0-4CC1-A1CC-07CA82672609}"/>
                  </c:ext>
                </c:extLst>
              </c15:ser>
            </c15:filteredBarSeries>
            <c15:filteredBarSeries>
              <c15:ser>
                <c:idx val="1"/>
                <c:order val="1"/>
                <c:tx>
                  <c:strRef>
                    <c:extLst xmlns:c15="http://schemas.microsoft.com/office/drawing/2012/chart">
                      <c:ext xmlns:c15="http://schemas.microsoft.com/office/drawing/2012/chart" uri="{02D57815-91ED-43cb-92C2-25804820EDAC}">
                        <c15:formulaRef>
                          <c15:sqref>'individual-chart-sara'!$D$2</c15:sqref>
                        </c15:formulaRef>
                      </c:ext>
                    </c:extLst>
                    <c:strCache>
                      <c:ptCount val="1"/>
                      <c:pt idx="0">
                        <c:v>In progress</c:v>
                      </c:pt>
                    </c:strCache>
                  </c:strRef>
                </c:tx>
                <c:spPr>
                  <a:solidFill>
                    <a:schemeClr val="accent2">
                      <a:shade val="5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'individual-chart-sara'!$B$3:$B$30</c15:sqref>
                        </c15:formulaRef>
                      </c:ext>
                    </c:extLst>
                    <c:strCache>
                      <c:ptCount val="2"/>
                      <c:pt idx="0">
                        <c:v>Activity</c:v>
                      </c:pt>
                      <c:pt idx="1">
                        <c:v>Outputs</c:v>
                      </c:pt>
                    </c:strCache>
                  </c:strRef>
                </c:cat>
                <c:val>
                  <c:numRef>
                    <c:extLst xmlns:c15="http://schemas.microsoft.com/office/drawing/2012/chart">
                      <c:ext xmlns:c15="http://schemas.microsoft.com/office/drawing/2012/chart" uri="{02D57815-91ED-43cb-92C2-25804820EDAC}">
                        <c15:formulaRef>
                          <c15:sqref>'individual-chart-sara'!$D$3:$D$30</c15:sqref>
                        </c15:formulaRef>
                      </c:ext>
                    </c:extLst>
                    <c:numCache>
                      <c:formatCode>General</c:formatCode>
                      <c:ptCount val="2"/>
                    </c:numCache>
                  </c:numRef>
                </c:val>
                <c:extLst xmlns:c15="http://schemas.microsoft.com/office/drawing/2012/chart">
                  <c:ext xmlns:c16="http://schemas.microsoft.com/office/drawing/2014/chart" uri="{C3380CC4-5D6E-409C-BE32-E72D297353CC}">
                    <c16:uniqueId val="{00000008-DBC0-4CC1-A1CC-07CA82672609}"/>
                  </c:ext>
                </c:extLst>
              </c15:ser>
            </c15:filteredBarSeries>
            <c15:filteredBarSeries>
              <c15:ser>
                <c:idx val="2"/>
                <c:order val="2"/>
                <c:tx>
                  <c:strRef>
                    <c:extLst xmlns:c15="http://schemas.microsoft.com/office/drawing/2012/chart">
                      <c:ext xmlns:c15="http://schemas.microsoft.com/office/drawing/2012/chart" uri="{02D57815-91ED-43cb-92C2-25804820EDAC}">
                        <c15:formulaRef>
                          <c15:sqref>'individual-chart-sara'!$E$2</c15:sqref>
                        </c15:formulaRef>
                      </c:ext>
                    </c:extLst>
                    <c:strCache>
                      <c:ptCount val="1"/>
                      <c:pt idx="0">
                        <c:v>Not started</c:v>
                      </c:pt>
                    </c:strCache>
                  </c:strRef>
                </c:tx>
                <c:spPr>
                  <a:solidFill>
                    <a:schemeClr val="accent2">
                      <a:shade val="68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'individual-chart-sara'!$B$3:$B$30</c15:sqref>
                        </c15:formulaRef>
                      </c:ext>
                    </c:extLst>
                    <c:strCache>
                      <c:ptCount val="2"/>
                      <c:pt idx="0">
                        <c:v>Activity</c:v>
                      </c:pt>
                      <c:pt idx="1">
                        <c:v>Outputs</c:v>
                      </c:pt>
                    </c:strCache>
                  </c:strRef>
                </c:cat>
                <c:val>
                  <c:numRef>
                    <c:extLst xmlns:c15="http://schemas.microsoft.com/office/drawing/2012/chart">
                      <c:ext xmlns:c15="http://schemas.microsoft.com/office/drawing/2012/chart" uri="{02D57815-91ED-43cb-92C2-25804820EDAC}">
                        <c15:formulaRef>
                          <c15:sqref>'individual-chart-sara'!$E$3:$E$30</c15:sqref>
                        </c15:formulaRef>
                      </c:ext>
                    </c:extLst>
                    <c:numCache>
                      <c:formatCode>General</c:formatCode>
                      <c:ptCount val="2"/>
                    </c:numCache>
                  </c:numRef>
                </c:val>
                <c:extLst xmlns:c15="http://schemas.microsoft.com/office/drawing/2012/chart">
                  <c:ext xmlns:c16="http://schemas.microsoft.com/office/drawing/2014/chart" uri="{C3380CC4-5D6E-409C-BE32-E72D297353CC}">
                    <c16:uniqueId val="{00000009-DBC0-4CC1-A1CC-07CA82672609}"/>
                  </c:ext>
                </c:extLst>
              </c15:ser>
            </c15:filteredBarSeries>
          </c:ext>
        </c:extLst>
      </c:barChart>
      <c:catAx>
        <c:axId val="7909581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n-US"/>
          </a:p>
        </c:txPr>
        <c:crossAx val="790961408"/>
        <c:crosses val="autoZero"/>
        <c:auto val="1"/>
        <c:lblAlgn val="ctr"/>
        <c:lblOffset val="100"/>
        <c:noMultiLvlLbl val="0"/>
      </c:catAx>
      <c:valAx>
        <c:axId val="790961408"/>
        <c:scaling>
          <c:orientation val="minMax"/>
          <c:min val="0"/>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90958128"/>
        <c:crossesAt val="1"/>
        <c:crossBetween val="between"/>
      </c:valAx>
      <c:spPr>
        <a:noFill/>
        <a:ln>
          <a:noFill/>
        </a:ln>
        <a:effectLst/>
      </c:spPr>
    </c:plotArea>
    <c:legend>
      <c:legendPos val="t"/>
      <c:layout>
        <c:manualLayout>
          <c:xMode val="edge"/>
          <c:yMode val="edge"/>
          <c:x val="0.16878358787806125"/>
          <c:y val="0.10208247651819531"/>
          <c:w val="0.78092145216948061"/>
          <c:h val="0.12652310298086494"/>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userShapes r:id="rId5"/>
</c:chartSpace>
</file>

<file path=word/charts/chart7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4"/>
    </mc:Choice>
    <mc:Fallback>
      <c:style val="4"/>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Topic Area - SARA</a:t>
            </a:r>
            <a:br>
              <a:rPr lang="en-US"/>
            </a:br>
            <a:r>
              <a:rPr lang="en-US"/>
              <a:t>Activity #4</a:t>
            </a:r>
          </a:p>
        </c:rich>
      </c:tx>
      <c:layout>
        <c:manualLayout>
          <c:xMode val="edge"/>
          <c:yMode val="edge"/>
          <c:x val="0.28386751051089032"/>
          <c:y val="1.4306075052544569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6017916604892113"/>
          <c:y val="0.23265365094271845"/>
          <c:w val="0.78942722632790041"/>
          <c:h val="0.66602748393145406"/>
        </c:manualLayout>
      </c:layout>
      <c:barChart>
        <c:barDir val="col"/>
        <c:grouping val="percentStacked"/>
        <c:varyColors val="0"/>
        <c:ser>
          <c:idx val="3"/>
          <c:order val="3"/>
          <c:tx>
            <c:strRef>
              <c:f>'individual-chart-sara'!$F$2</c:f>
              <c:strCache>
                <c:ptCount val="1"/>
                <c:pt idx="0">
                  <c:v>Completed</c:v>
                </c:pt>
              </c:strCache>
            </c:strRef>
          </c:tx>
          <c:spPr>
            <a:solidFill>
              <a:srgbClr val="99221F"/>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600" b="0"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'individual-chart-sara'!$B$3:$B$30</c:f>
              <c:strCache>
                <c:ptCount val="2"/>
                <c:pt idx="0">
                  <c:v>Activity</c:v>
                </c:pt>
                <c:pt idx="1">
                  <c:v>Outputs</c:v>
                </c:pt>
              </c:strCache>
              <c:extLst/>
            </c:strRef>
          </c:cat>
          <c:val>
            <c:numRef>
              <c:f>'individual-chart-sara'!$F$3:$F$30</c:f>
              <c:numCache>
                <c:formatCode>0%</c:formatCode>
                <c:ptCount val="2"/>
                <c:pt idx="0">
                  <c:v>1</c:v>
                </c:pt>
                <c:pt idx="1">
                  <c:v>1</c:v>
                </c:pt>
              </c:numCache>
              <c:extLst/>
            </c:numRef>
          </c:val>
          <c:extLst>
            <c:ext xmlns:c16="http://schemas.microsoft.com/office/drawing/2014/chart" uri="{C3380CC4-5D6E-409C-BE32-E72D297353CC}">
              <c16:uniqueId val="{00000000-4F2D-4653-83F1-AAD801DE0290}"/>
            </c:ext>
          </c:extLst>
        </c:ser>
        <c:ser>
          <c:idx val="4"/>
          <c:order val="4"/>
          <c:tx>
            <c:strRef>
              <c:f>'individual-chart-sara'!$G$2</c:f>
              <c:strCache>
                <c:ptCount val="1"/>
                <c:pt idx="0">
                  <c:v>90%</c:v>
                </c:pt>
              </c:strCache>
            </c:strRef>
          </c:tx>
          <c:spPr>
            <a:solidFill>
              <a:srgbClr val="D73D39"/>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'individual-chart-sara'!$B$3:$B$30</c:f>
              <c:strCache>
                <c:ptCount val="2"/>
                <c:pt idx="0">
                  <c:v>Activity</c:v>
                </c:pt>
                <c:pt idx="1">
                  <c:v>Outputs</c:v>
                </c:pt>
              </c:strCache>
              <c:extLst/>
            </c:strRef>
          </c:cat>
          <c:val>
            <c:numRef>
              <c:f>'individual-chart-sara'!$G$3:$G$30</c:f>
              <c:numCache>
                <c:formatCode>General</c:formatCode>
                <c:ptCount val="2"/>
              </c:numCache>
              <c:extLst/>
            </c:numRef>
          </c:val>
          <c:extLst>
            <c:ext xmlns:c16="http://schemas.microsoft.com/office/drawing/2014/chart" uri="{C3380CC4-5D6E-409C-BE32-E72D297353CC}">
              <c16:uniqueId val="{00000001-4F2D-4653-83F1-AAD801DE0290}"/>
            </c:ext>
          </c:extLst>
        </c:ser>
        <c:ser>
          <c:idx val="5"/>
          <c:order val="5"/>
          <c:tx>
            <c:strRef>
              <c:f>'individual-chart-sara'!$H$2</c:f>
              <c:strCache>
                <c:ptCount val="1"/>
                <c:pt idx="0">
                  <c:v>75%</c:v>
                </c:pt>
              </c:strCache>
            </c:strRef>
          </c:tx>
          <c:spPr>
            <a:solidFill>
              <a:srgbClr val="DC535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'individual-chart-sara'!$B$3:$B$30</c:f>
              <c:strCache>
                <c:ptCount val="2"/>
                <c:pt idx="0">
                  <c:v>Activity</c:v>
                </c:pt>
                <c:pt idx="1">
                  <c:v>Outputs</c:v>
                </c:pt>
              </c:strCache>
              <c:extLst/>
            </c:strRef>
          </c:cat>
          <c:val>
            <c:numRef>
              <c:f>'individual-chart-sara'!$H$3:$H$30</c:f>
              <c:numCache>
                <c:formatCode>General</c:formatCode>
                <c:ptCount val="2"/>
              </c:numCache>
              <c:extLst/>
            </c:numRef>
          </c:val>
          <c:extLst>
            <c:ext xmlns:c16="http://schemas.microsoft.com/office/drawing/2014/chart" uri="{C3380CC4-5D6E-409C-BE32-E72D297353CC}">
              <c16:uniqueId val="{00000002-4F2D-4653-83F1-AAD801DE0290}"/>
            </c:ext>
          </c:extLst>
        </c:ser>
        <c:ser>
          <c:idx val="6"/>
          <c:order val="6"/>
          <c:tx>
            <c:strRef>
              <c:f>'individual-chart-sara'!$I$2</c:f>
              <c:strCache>
                <c:ptCount val="1"/>
                <c:pt idx="0">
                  <c:v>50%</c:v>
                </c:pt>
              </c:strCache>
            </c:strRef>
          </c:tx>
          <c:spPr>
            <a:solidFill>
              <a:srgbClr val="EBA19F"/>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'individual-chart-sara'!$B$3:$B$30</c:f>
              <c:strCache>
                <c:ptCount val="2"/>
                <c:pt idx="0">
                  <c:v>Activity</c:v>
                </c:pt>
                <c:pt idx="1">
                  <c:v>Outputs</c:v>
                </c:pt>
              </c:strCache>
              <c:extLst/>
            </c:strRef>
          </c:cat>
          <c:val>
            <c:numRef>
              <c:f>'individual-chart-sara'!$I$3:$I$30</c:f>
              <c:numCache>
                <c:formatCode>General</c:formatCode>
                <c:ptCount val="2"/>
              </c:numCache>
              <c:extLst/>
            </c:numRef>
          </c:val>
          <c:extLst>
            <c:ext xmlns:c16="http://schemas.microsoft.com/office/drawing/2014/chart" uri="{C3380CC4-5D6E-409C-BE32-E72D297353CC}">
              <c16:uniqueId val="{00000003-4F2D-4653-83F1-AAD801DE0290}"/>
            </c:ext>
          </c:extLst>
        </c:ser>
        <c:ser>
          <c:idx val="7"/>
          <c:order val="7"/>
          <c:tx>
            <c:strRef>
              <c:f>'individual-chart-sara'!$J$2</c:f>
              <c:strCache>
                <c:ptCount val="1"/>
                <c:pt idx="0">
                  <c:v>25%</c:v>
                </c:pt>
              </c:strCache>
            </c:strRef>
          </c:tx>
          <c:spPr>
            <a:solidFill>
              <a:srgbClr val="F3C6C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'individual-chart-sara'!$B$3:$B$30</c:f>
              <c:strCache>
                <c:ptCount val="2"/>
                <c:pt idx="0">
                  <c:v>Activity</c:v>
                </c:pt>
                <c:pt idx="1">
                  <c:v>Outputs</c:v>
                </c:pt>
              </c:strCache>
              <c:extLst/>
            </c:strRef>
          </c:cat>
          <c:val>
            <c:numRef>
              <c:f>'individual-chart-sara'!$J$3:$J$30</c:f>
              <c:numCache>
                <c:formatCode>General</c:formatCode>
                <c:ptCount val="2"/>
              </c:numCache>
              <c:extLst/>
            </c:numRef>
          </c:val>
          <c:extLst>
            <c:ext xmlns:c16="http://schemas.microsoft.com/office/drawing/2014/chart" uri="{C3380CC4-5D6E-409C-BE32-E72D297353CC}">
              <c16:uniqueId val="{00000004-4F2D-4653-83F1-AAD801DE0290}"/>
            </c:ext>
          </c:extLst>
        </c:ser>
        <c:ser>
          <c:idx val="8"/>
          <c:order val="8"/>
          <c:tx>
            <c:strRef>
              <c:f>'individual-chart-sara'!$K$2</c:f>
              <c:strCache>
                <c:ptCount val="1"/>
                <c:pt idx="0">
                  <c:v>10%</c:v>
                </c:pt>
              </c:strCache>
            </c:strRef>
          </c:tx>
          <c:spPr>
            <a:solidFill>
              <a:schemeClr val="accent2">
                <a:tint val="56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'individual-chart-sara'!$B$3:$B$30</c:f>
              <c:strCache>
                <c:ptCount val="2"/>
                <c:pt idx="0">
                  <c:v>Activity</c:v>
                </c:pt>
                <c:pt idx="1">
                  <c:v>Outputs</c:v>
                </c:pt>
              </c:strCache>
              <c:extLst/>
            </c:strRef>
          </c:cat>
          <c:val>
            <c:numRef>
              <c:f>'individual-chart-sara'!$K$3:$K$30</c:f>
              <c:numCache>
                <c:formatCode>General</c:formatCode>
                <c:ptCount val="2"/>
              </c:numCache>
              <c:extLst/>
            </c:numRef>
          </c:val>
          <c:extLst>
            <c:ext xmlns:c16="http://schemas.microsoft.com/office/drawing/2014/chart" uri="{C3380CC4-5D6E-409C-BE32-E72D297353CC}">
              <c16:uniqueId val="{00000005-4F2D-4653-83F1-AAD801DE0290}"/>
            </c:ext>
          </c:extLst>
        </c:ser>
        <c:ser>
          <c:idx val="9"/>
          <c:order val="9"/>
          <c:tx>
            <c:strRef>
              <c:f>'individual-chart-sara'!$L$2</c:f>
              <c:strCache>
                <c:ptCount val="1"/>
                <c:pt idx="0">
                  <c:v>Not Started</c:v>
                </c:pt>
              </c:strCache>
            </c:strRef>
          </c:tx>
          <c:spPr>
            <a:solidFill>
              <a:srgbClr val="FCF2F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'individual-chart-sara'!$B$3:$B$30</c:f>
              <c:strCache>
                <c:ptCount val="2"/>
                <c:pt idx="0">
                  <c:v>Activity</c:v>
                </c:pt>
                <c:pt idx="1">
                  <c:v>Outputs</c:v>
                </c:pt>
              </c:strCache>
              <c:extLst/>
            </c:strRef>
          </c:cat>
          <c:val>
            <c:numRef>
              <c:f>'individual-chart-sara'!$L$3:$L$30</c:f>
              <c:numCache>
                <c:formatCode>General</c:formatCode>
                <c:ptCount val="2"/>
              </c:numCache>
              <c:extLst/>
            </c:numRef>
          </c:val>
          <c:extLst>
            <c:ext xmlns:c16="http://schemas.microsoft.com/office/drawing/2014/chart" uri="{C3380CC4-5D6E-409C-BE32-E72D297353CC}">
              <c16:uniqueId val="{00000006-4F2D-4653-83F1-AAD801DE0290}"/>
            </c:ext>
          </c:extLst>
        </c:ser>
        <c:dLbls>
          <c:dLblPos val="ctr"/>
          <c:showLegendKey val="0"/>
          <c:showVal val="1"/>
          <c:showCatName val="0"/>
          <c:showSerName val="0"/>
          <c:showPercent val="0"/>
          <c:showBubbleSize val="0"/>
        </c:dLbls>
        <c:gapWidth val="150"/>
        <c:overlap val="100"/>
        <c:axId val="790958128"/>
        <c:axId val="790961408"/>
        <c:extLst>
          <c:ext xmlns:c15="http://schemas.microsoft.com/office/drawing/2012/chart" uri="{02D57815-91ED-43cb-92C2-25804820EDAC}">
            <c15:filteredBarSeries>
              <c15:ser>
                <c:idx val="0"/>
                <c:order val="0"/>
                <c:tx>
                  <c:strRef>
                    <c:extLst>
                      <c:ext uri="{02D57815-91ED-43cb-92C2-25804820EDAC}">
                        <c15:formulaRef>
                          <c15:sqref>'individual-chart-sara'!$C$2</c15:sqref>
                        </c15:formulaRef>
                      </c:ext>
                    </c:extLst>
                    <c:strCache>
                      <c:ptCount val="1"/>
                      <c:pt idx="0">
                        <c:v>Completed</c:v>
                      </c:pt>
                    </c:strCache>
                  </c:strRef>
                </c:tx>
                <c:spPr>
                  <a:solidFill>
                    <a:schemeClr val="accent2">
                      <a:shade val="42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c:ext uri="{02D57815-91ED-43cb-92C2-25804820EDAC}">
                        <c15:formulaRef>
                          <c15:sqref>'individual-chart-sara'!$B$3:$B$30</c15:sqref>
                        </c15:formulaRef>
                      </c:ext>
                    </c:extLst>
                    <c:strCache>
                      <c:ptCount val="2"/>
                      <c:pt idx="0">
                        <c:v>Activity</c:v>
                      </c:pt>
                      <c:pt idx="1">
                        <c:v>Outputs</c:v>
                      </c:pt>
                    </c:strCache>
                  </c:strRef>
                </c:cat>
                <c:val>
                  <c:numRef>
                    <c:extLst>
                      <c:ext uri="{02D57815-91ED-43cb-92C2-25804820EDAC}">
                        <c15:formulaRef>
                          <c15:sqref>'individual-chart-sara'!$C$3:$C$30</c15:sqref>
                        </c15:formulaRef>
                      </c:ext>
                    </c:extLst>
                    <c:numCache>
                      <c:formatCode>0%</c:formatCode>
                      <c:ptCount val="2"/>
                      <c:pt idx="0">
                        <c:v>1</c:v>
                      </c:pt>
                      <c:pt idx="1">
                        <c:v>1</c:v>
                      </c:pt>
                    </c:numCache>
                  </c:numRef>
                </c:val>
                <c:extLst>
                  <c:ext xmlns:c16="http://schemas.microsoft.com/office/drawing/2014/chart" uri="{C3380CC4-5D6E-409C-BE32-E72D297353CC}">
                    <c16:uniqueId val="{00000007-4F2D-4653-83F1-AAD801DE0290}"/>
                  </c:ext>
                </c:extLst>
              </c15:ser>
            </c15:filteredBarSeries>
            <c15:filteredBarSeries>
              <c15:ser>
                <c:idx val="1"/>
                <c:order val="1"/>
                <c:tx>
                  <c:strRef>
                    <c:extLst xmlns:c15="http://schemas.microsoft.com/office/drawing/2012/chart">
                      <c:ext xmlns:c15="http://schemas.microsoft.com/office/drawing/2012/chart" uri="{02D57815-91ED-43cb-92C2-25804820EDAC}">
                        <c15:formulaRef>
                          <c15:sqref>'individual-chart-sara'!$D$2</c15:sqref>
                        </c15:formulaRef>
                      </c:ext>
                    </c:extLst>
                    <c:strCache>
                      <c:ptCount val="1"/>
                      <c:pt idx="0">
                        <c:v>In progress</c:v>
                      </c:pt>
                    </c:strCache>
                  </c:strRef>
                </c:tx>
                <c:spPr>
                  <a:solidFill>
                    <a:schemeClr val="accent2">
                      <a:shade val="5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'individual-chart-sara'!$B$3:$B$30</c15:sqref>
                        </c15:formulaRef>
                      </c:ext>
                    </c:extLst>
                    <c:strCache>
                      <c:ptCount val="2"/>
                      <c:pt idx="0">
                        <c:v>Activity</c:v>
                      </c:pt>
                      <c:pt idx="1">
                        <c:v>Outputs</c:v>
                      </c:pt>
                    </c:strCache>
                  </c:strRef>
                </c:cat>
                <c:val>
                  <c:numRef>
                    <c:extLst xmlns:c15="http://schemas.microsoft.com/office/drawing/2012/chart">
                      <c:ext xmlns:c15="http://schemas.microsoft.com/office/drawing/2012/chart" uri="{02D57815-91ED-43cb-92C2-25804820EDAC}">
                        <c15:formulaRef>
                          <c15:sqref>'individual-chart-sara'!$D$3:$D$30</c15:sqref>
                        </c15:formulaRef>
                      </c:ext>
                    </c:extLst>
                    <c:numCache>
                      <c:formatCode>General</c:formatCode>
                      <c:ptCount val="2"/>
                    </c:numCache>
                  </c:numRef>
                </c:val>
                <c:extLst xmlns:c15="http://schemas.microsoft.com/office/drawing/2012/chart">
                  <c:ext xmlns:c16="http://schemas.microsoft.com/office/drawing/2014/chart" uri="{C3380CC4-5D6E-409C-BE32-E72D297353CC}">
                    <c16:uniqueId val="{00000008-4F2D-4653-83F1-AAD801DE0290}"/>
                  </c:ext>
                </c:extLst>
              </c15:ser>
            </c15:filteredBarSeries>
            <c15:filteredBarSeries>
              <c15:ser>
                <c:idx val="2"/>
                <c:order val="2"/>
                <c:tx>
                  <c:strRef>
                    <c:extLst xmlns:c15="http://schemas.microsoft.com/office/drawing/2012/chart">
                      <c:ext xmlns:c15="http://schemas.microsoft.com/office/drawing/2012/chart" uri="{02D57815-91ED-43cb-92C2-25804820EDAC}">
                        <c15:formulaRef>
                          <c15:sqref>'individual-chart-sara'!$E$2</c15:sqref>
                        </c15:formulaRef>
                      </c:ext>
                    </c:extLst>
                    <c:strCache>
                      <c:ptCount val="1"/>
                      <c:pt idx="0">
                        <c:v>Not started</c:v>
                      </c:pt>
                    </c:strCache>
                  </c:strRef>
                </c:tx>
                <c:spPr>
                  <a:solidFill>
                    <a:schemeClr val="accent2">
                      <a:shade val="68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'individual-chart-sara'!$B$3:$B$30</c15:sqref>
                        </c15:formulaRef>
                      </c:ext>
                    </c:extLst>
                    <c:strCache>
                      <c:ptCount val="2"/>
                      <c:pt idx="0">
                        <c:v>Activity</c:v>
                      </c:pt>
                      <c:pt idx="1">
                        <c:v>Outputs</c:v>
                      </c:pt>
                    </c:strCache>
                  </c:strRef>
                </c:cat>
                <c:val>
                  <c:numRef>
                    <c:extLst xmlns:c15="http://schemas.microsoft.com/office/drawing/2012/chart">
                      <c:ext xmlns:c15="http://schemas.microsoft.com/office/drawing/2012/chart" uri="{02D57815-91ED-43cb-92C2-25804820EDAC}">
                        <c15:formulaRef>
                          <c15:sqref>'individual-chart-sara'!$E$3:$E$30</c15:sqref>
                        </c15:formulaRef>
                      </c:ext>
                    </c:extLst>
                    <c:numCache>
                      <c:formatCode>General</c:formatCode>
                      <c:ptCount val="2"/>
                    </c:numCache>
                  </c:numRef>
                </c:val>
                <c:extLst xmlns:c15="http://schemas.microsoft.com/office/drawing/2012/chart">
                  <c:ext xmlns:c16="http://schemas.microsoft.com/office/drawing/2014/chart" uri="{C3380CC4-5D6E-409C-BE32-E72D297353CC}">
                    <c16:uniqueId val="{00000009-4F2D-4653-83F1-AAD801DE0290}"/>
                  </c:ext>
                </c:extLst>
              </c15:ser>
            </c15:filteredBarSeries>
          </c:ext>
        </c:extLst>
      </c:barChart>
      <c:catAx>
        <c:axId val="7909581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n-US"/>
          </a:p>
        </c:txPr>
        <c:crossAx val="790961408"/>
        <c:crosses val="autoZero"/>
        <c:auto val="1"/>
        <c:lblAlgn val="ctr"/>
        <c:lblOffset val="100"/>
        <c:noMultiLvlLbl val="0"/>
      </c:catAx>
      <c:valAx>
        <c:axId val="790961408"/>
        <c:scaling>
          <c:orientation val="minMax"/>
          <c:min val="0"/>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90958128"/>
        <c:crossesAt val="1"/>
        <c:crossBetween val="between"/>
      </c:valAx>
      <c:spPr>
        <a:noFill/>
        <a:ln>
          <a:noFill/>
        </a:ln>
        <a:effectLst/>
      </c:spPr>
    </c:plotArea>
    <c:legend>
      <c:legendPos val="t"/>
      <c:layout>
        <c:manualLayout>
          <c:xMode val="edge"/>
          <c:yMode val="edge"/>
          <c:x val="0.16878358787806125"/>
          <c:y val="0.10208247651819531"/>
          <c:w val="0.78092145216948061"/>
          <c:h val="0.12652310298086494"/>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userShapes r:id="rId5"/>
</c:chartSpace>
</file>

<file path=word/charts/chart7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4"/>
    </mc:Choice>
    <mc:Fallback>
      <c:style val="4"/>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Topic Area - SARA</a:t>
            </a:r>
            <a:br>
              <a:rPr lang="en-US"/>
            </a:br>
            <a:r>
              <a:rPr lang="en-US"/>
              <a:t>Activity #5</a:t>
            </a:r>
          </a:p>
        </c:rich>
      </c:tx>
      <c:layout>
        <c:manualLayout>
          <c:xMode val="edge"/>
          <c:yMode val="edge"/>
          <c:x val="0.28386751051089032"/>
          <c:y val="1.4306075052544569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6017916604892113"/>
          <c:y val="0.23265365094271845"/>
          <c:w val="0.78942722632790041"/>
          <c:h val="0.66602748393145406"/>
        </c:manualLayout>
      </c:layout>
      <c:barChart>
        <c:barDir val="col"/>
        <c:grouping val="percentStacked"/>
        <c:varyColors val="0"/>
        <c:ser>
          <c:idx val="3"/>
          <c:order val="3"/>
          <c:tx>
            <c:strRef>
              <c:f>'individual-chart-sara'!$F$2</c:f>
              <c:strCache>
                <c:ptCount val="1"/>
                <c:pt idx="0">
                  <c:v>Completed</c:v>
                </c:pt>
              </c:strCache>
            </c:strRef>
          </c:tx>
          <c:spPr>
            <a:solidFill>
              <a:srgbClr val="99221F"/>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600" b="0"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'individual-chart-sara'!$B$3:$B$30</c:f>
              <c:strCache>
                <c:ptCount val="2"/>
                <c:pt idx="0">
                  <c:v>Activity</c:v>
                </c:pt>
                <c:pt idx="1">
                  <c:v>Outputs</c:v>
                </c:pt>
              </c:strCache>
              <c:extLst/>
            </c:strRef>
          </c:cat>
          <c:val>
            <c:numRef>
              <c:f>'individual-chart-sara'!$F$3:$F$30</c:f>
              <c:numCache>
                <c:formatCode>0%</c:formatCode>
                <c:ptCount val="2"/>
                <c:pt idx="0">
                  <c:v>1</c:v>
                </c:pt>
                <c:pt idx="1">
                  <c:v>1</c:v>
                </c:pt>
              </c:numCache>
              <c:extLst/>
            </c:numRef>
          </c:val>
          <c:extLst>
            <c:ext xmlns:c16="http://schemas.microsoft.com/office/drawing/2014/chart" uri="{C3380CC4-5D6E-409C-BE32-E72D297353CC}">
              <c16:uniqueId val="{00000000-F180-49B4-8B77-E9F5D8972167}"/>
            </c:ext>
          </c:extLst>
        </c:ser>
        <c:ser>
          <c:idx val="4"/>
          <c:order val="4"/>
          <c:tx>
            <c:strRef>
              <c:f>'individual-chart-sara'!$G$2</c:f>
              <c:strCache>
                <c:ptCount val="1"/>
                <c:pt idx="0">
                  <c:v>90%</c:v>
                </c:pt>
              </c:strCache>
            </c:strRef>
          </c:tx>
          <c:spPr>
            <a:solidFill>
              <a:srgbClr val="D73D39"/>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'individual-chart-sara'!$B$3:$B$30</c:f>
              <c:strCache>
                <c:ptCount val="2"/>
                <c:pt idx="0">
                  <c:v>Activity</c:v>
                </c:pt>
                <c:pt idx="1">
                  <c:v>Outputs</c:v>
                </c:pt>
              </c:strCache>
              <c:extLst/>
            </c:strRef>
          </c:cat>
          <c:val>
            <c:numRef>
              <c:f>'individual-chart-sara'!$G$3:$G$30</c:f>
              <c:numCache>
                <c:formatCode>General</c:formatCode>
                <c:ptCount val="2"/>
              </c:numCache>
              <c:extLst/>
            </c:numRef>
          </c:val>
          <c:extLst>
            <c:ext xmlns:c16="http://schemas.microsoft.com/office/drawing/2014/chart" uri="{C3380CC4-5D6E-409C-BE32-E72D297353CC}">
              <c16:uniqueId val="{00000001-F180-49B4-8B77-E9F5D8972167}"/>
            </c:ext>
          </c:extLst>
        </c:ser>
        <c:ser>
          <c:idx val="5"/>
          <c:order val="5"/>
          <c:tx>
            <c:strRef>
              <c:f>'individual-chart-sara'!$H$2</c:f>
              <c:strCache>
                <c:ptCount val="1"/>
                <c:pt idx="0">
                  <c:v>75%</c:v>
                </c:pt>
              </c:strCache>
            </c:strRef>
          </c:tx>
          <c:spPr>
            <a:solidFill>
              <a:srgbClr val="DC535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'individual-chart-sara'!$B$3:$B$30</c:f>
              <c:strCache>
                <c:ptCount val="2"/>
                <c:pt idx="0">
                  <c:v>Activity</c:v>
                </c:pt>
                <c:pt idx="1">
                  <c:v>Outputs</c:v>
                </c:pt>
              </c:strCache>
              <c:extLst/>
            </c:strRef>
          </c:cat>
          <c:val>
            <c:numRef>
              <c:f>'individual-chart-sara'!$H$3:$H$30</c:f>
              <c:numCache>
                <c:formatCode>General</c:formatCode>
                <c:ptCount val="2"/>
              </c:numCache>
              <c:extLst/>
            </c:numRef>
          </c:val>
          <c:extLst>
            <c:ext xmlns:c16="http://schemas.microsoft.com/office/drawing/2014/chart" uri="{C3380CC4-5D6E-409C-BE32-E72D297353CC}">
              <c16:uniqueId val="{00000002-F180-49B4-8B77-E9F5D8972167}"/>
            </c:ext>
          </c:extLst>
        </c:ser>
        <c:ser>
          <c:idx val="6"/>
          <c:order val="6"/>
          <c:tx>
            <c:strRef>
              <c:f>'individual-chart-sara'!$I$2</c:f>
              <c:strCache>
                <c:ptCount val="1"/>
                <c:pt idx="0">
                  <c:v>50%</c:v>
                </c:pt>
              </c:strCache>
            </c:strRef>
          </c:tx>
          <c:spPr>
            <a:solidFill>
              <a:srgbClr val="EBA19F"/>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'individual-chart-sara'!$B$3:$B$30</c:f>
              <c:strCache>
                <c:ptCount val="2"/>
                <c:pt idx="0">
                  <c:v>Activity</c:v>
                </c:pt>
                <c:pt idx="1">
                  <c:v>Outputs</c:v>
                </c:pt>
              </c:strCache>
              <c:extLst/>
            </c:strRef>
          </c:cat>
          <c:val>
            <c:numRef>
              <c:f>'individual-chart-sara'!$I$3:$I$30</c:f>
              <c:numCache>
                <c:formatCode>General</c:formatCode>
                <c:ptCount val="2"/>
              </c:numCache>
              <c:extLst/>
            </c:numRef>
          </c:val>
          <c:extLst>
            <c:ext xmlns:c16="http://schemas.microsoft.com/office/drawing/2014/chart" uri="{C3380CC4-5D6E-409C-BE32-E72D297353CC}">
              <c16:uniqueId val="{00000003-F180-49B4-8B77-E9F5D8972167}"/>
            </c:ext>
          </c:extLst>
        </c:ser>
        <c:ser>
          <c:idx val="7"/>
          <c:order val="7"/>
          <c:tx>
            <c:strRef>
              <c:f>'individual-chart-sara'!$J$2</c:f>
              <c:strCache>
                <c:ptCount val="1"/>
                <c:pt idx="0">
                  <c:v>25%</c:v>
                </c:pt>
              </c:strCache>
            </c:strRef>
          </c:tx>
          <c:spPr>
            <a:solidFill>
              <a:srgbClr val="F3C6C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'individual-chart-sara'!$B$3:$B$30</c:f>
              <c:strCache>
                <c:ptCount val="2"/>
                <c:pt idx="0">
                  <c:v>Activity</c:v>
                </c:pt>
                <c:pt idx="1">
                  <c:v>Outputs</c:v>
                </c:pt>
              </c:strCache>
              <c:extLst/>
            </c:strRef>
          </c:cat>
          <c:val>
            <c:numRef>
              <c:f>'individual-chart-sara'!$J$3:$J$30</c:f>
              <c:numCache>
                <c:formatCode>General</c:formatCode>
                <c:ptCount val="2"/>
              </c:numCache>
              <c:extLst/>
            </c:numRef>
          </c:val>
          <c:extLst>
            <c:ext xmlns:c16="http://schemas.microsoft.com/office/drawing/2014/chart" uri="{C3380CC4-5D6E-409C-BE32-E72D297353CC}">
              <c16:uniqueId val="{00000004-F180-49B4-8B77-E9F5D8972167}"/>
            </c:ext>
          </c:extLst>
        </c:ser>
        <c:ser>
          <c:idx val="8"/>
          <c:order val="8"/>
          <c:tx>
            <c:strRef>
              <c:f>'individual-chart-sara'!$K$2</c:f>
              <c:strCache>
                <c:ptCount val="1"/>
                <c:pt idx="0">
                  <c:v>10%</c:v>
                </c:pt>
              </c:strCache>
            </c:strRef>
          </c:tx>
          <c:spPr>
            <a:solidFill>
              <a:schemeClr val="accent2">
                <a:tint val="56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'individual-chart-sara'!$B$3:$B$30</c:f>
              <c:strCache>
                <c:ptCount val="2"/>
                <c:pt idx="0">
                  <c:v>Activity</c:v>
                </c:pt>
                <c:pt idx="1">
                  <c:v>Outputs</c:v>
                </c:pt>
              </c:strCache>
              <c:extLst/>
            </c:strRef>
          </c:cat>
          <c:val>
            <c:numRef>
              <c:f>'individual-chart-sara'!$K$3:$K$30</c:f>
              <c:numCache>
                <c:formatCode>General</c:formatCode>
                <c:ptCount val="2"/>
              </c:numCache>
              <c:extLst/>
            </c:numRef>
          </c:val>
          <c:extLst>
            <c:ext xmlns:c16="http://schemas.microsoft.com/office/drawing/2014/chart" uri="{C3380CC4-5D6E-409C-BE32-E72D297353CC}">
              <c16:uniqueId val="{00000005-F180-49B4-8B77-E9F5D8972167}"/>
            </c:ext>
          </c:extLst>
        </c:ser>
        <c:ser>
          <c:idx val="9"/>
          <c:order val="9"/>
          <c:tx>
            <c:strRef>
              <c:f>'individual-chart-sara'!$L$2</c:f>
              <c:strCache>
                <c:ptCount val="1"/>
                <c:pt idx="0">
                  <c:v>Not Started</c:v>
                </c:pt>
              </c:strCache>
            </c:strRef>
          </c:tx>
          <c:spPr>
            <a:solidFill>
              <a:srgbClr val="FCF2F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'individual-chart-sara'!$B$3:$B$30</c:f>
              <c:strCache>
                <c:ptCount val="2"/>
                <c:pt idx="0">
                  <c:v>Activity</c:v>
                </c:pt>
                <c:pt idx="1">
                  <c:v>Outputs</c:v>
                </c:pt>
              </c:strCache>
              <c:extLst/>
            </c:strRef>
          </c:cat>
          <c:val>
            <c:numRef>
              <c:f>'individual-chart-sara'!$L$3:$L$30</c:f>
              <c:numCache>
                <c:formatCode>General</c:formatCode>
                <c:ptCount val="2"/>
              </c:numCache>
              <c:extLst/>
            </c:numRef>
          </c:val>
          <c:extLst>
            <c:ext xmlns:c16="http://schemas.microsoft.com/office/drawing/2014/chart" uri="{C3380CC4-5D6E-409C-BE32-E72D297353CC}">
              <c16:uniqueId val="{00000006-F180-49B4-8B77-E9F5D8972167}"/>
            </c:ext>
          </c:extLst>
        </c:ser>
        <c:dLbls>
          <c:dLblPos val="ctr"/>
          <c:showLegendKey val="0"/>
          <c:showVal val="1"/>
          <c:showCatName val="0"/>
          <c:showSerName val="0"/>
          <c:showPercent val="0"/>
          <c:showBubbleSize val="0"/>
        </c:dLbls>
        <c:gapWidth val="150"/>
        <c:overlap val="100"/>
        <c:axId val="790958128"/>
        <c:axId val="790961408"/>
        <c:extLst>
          <c:ext xmlns:c15="http://schemas.microsoft.com/office/drawing/2012/chart" uri="{02D57815-91ED-43cb-92C2-25804820EDAC}">
            <c15:filteredBarSeries>
              <c15:ser>
                <c:idx val="0"/>
                <c:order val="0"/>
                <c:tx>
                  <c:strRef>
                    <c:extLst>
                      <c:ext uri="{02D57815-91ED-43cb-92C2-25804820EDAC}">
                        <c15:formulaRef>
                          <c15:sqref>'individual-chart-sara'!$C$2</c15:sqref>
                        </c15:formulaRef>
                      </c:ext>
                    </c:extLst>
                    <c:strCache>
                      <c:ptCount val="1"/>
                      <c:pt idx="0">
                        <c:v>Completed</c:v>
                      </c:pt>
                    </c:strCache>
                  </c:strRef>
                </c:tx>
                <c:spPr>
                  <a:solidFill>
                    <a:schemeClr val="accent2">
                      <a:shade val="42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c:ext uri="{02D57815-91ED-43cb-92C2-25804820EDAC}">
                        <c15:formulaRef>
                          <c15:sqref>'individual-chart-sara'!$B$3:$B$30</c15:sqref>
                        </c15:formulaRef>
                      </c:ext>
                    </c:extLst>
                    <c:strCache>
                      <c:ptCount val="2"/>
                      <c:pt idx="0">
                        <c:v>Activity</c:v>
                      </c:pt>
                      <c:pt idx="1">
                        <c:v>Outputs</c:v>
                      </c:pt>
                    </c:strCache>
                  </c:strRef>
                </c:cat>
                <c:val>
                  <c:numRef>
                    <c:extLst>
                      <c:ext uri="{02D57815-91ED-43cb-92C2-25804820EDAC}">
                        <c15:formulaRef>
                          <c15:sqref>'individual-chart-sara'!$C$3:$C$30</c15:sqref>
                        </c15:formulaRef>
                      </c:ext>
                    </c:extLst>
                    <c:numCache>
                      <c:formatCode>0%</c:formatCode>
                      <c:ptCount val="2"/>
                      <c:pt idx="0">
                        <c:v>1</c:v>
                      </c:pt>
                      <c:pt idx="1">
                        <c:v>1</c:v>
                      </c:pt>
                    </c:numCache>
                  </c:numRef>
                </c:val>
                <c:extLst>
                  <c:ext xmlns:c16="http://schemas.microsoft.com/office/drawing/2014/chart" uri="{C3380CC4-5D6E-409C-BE32-E72D297353CC}">
                    <c16:uniqueId val="{00000007-F180-49B4-8B77-E9F5D8972167}"/>
                  </c:ext>
                </c:extLst>
              </c15:ser>
            </c15:filteredBarSeries>
            <c15:filteredBarSeries>
              <c15:ser>
                <c:idx val="1"/>
                <c:order val="1"/>
                <c:tx>
                  <c:strRef>
                    <c:extLst xmlns:c15="http://schemas.microsoft.com/office/drawing/2012/chart">
                      <c:ext xmlns:c15="http://schemas.microsoft.com/office/drawing/2012/chart" uri="{02D57815-91ED-43cb-92C2-25804820EDAC}">
                        <c15:formulaRef>
                          <c15:sqref>'individual-chart-sara'!$D$2</c15:sqref>
                        </c15:formulaRef>
                      </c:ext>
                    </c:extLst>
                    <c:strCache>
                      <c:ptCount val="1"/>
                      <c:pt idx="0">
                        <c:v>In progress</c:v>
                      </c:pt>
                    </c:strCache>
                  </c:strRef>
                </c:tx>
                <c:spPr>
                  <a:solidFill>
                    <a:schemeClr val="accent2">
                      <a:shade val="5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'individual-chart-sara'!$B$3:$B$30</c15:sqref>
                        </c15:formulaRef>
                      </c:ext>
                    </c:extLst>
                    <c:strCache>
                      <c:ptCount val="2"/>
                      <c:pt idx="0">
                        <c:v>Activity</c:v>
                      </c:pt>
                      <c:pt idx="1">
                        <c:v>Outputs</c:v>
                      </c:pt>
                    </c:strCache>
                  </c:strRef>
                </c:cat>
                <c:val>
                  <c:numRef>
                    <c:extLst xmlns:c15="http://schemas.microsoft.com/office/drawing/2012/chart">
                      <c:ext xmlns:c15="http://schemas.microsoft.com/office/drawing/2012/chart" uri="{02D57815-91ED-43cb-92C2-25804820EDAC}">
                        <c15:formulaRef>
                          <c15:sqref>'individual-chart-sara'!$D$3:$D$30</c15:sqref>
                        </c15:formulaRef>
                      </c:ext>
                    </c:extLst>
                    <c:numCache>
                      <c:formatCode>General</c:formatCode>
                      <c:ptCount val="2"/>
                    </c:numCache>
                  </c:numRef>
                </c:val>
                <c:extLst xmlns:c15="http://schemas.microsoft.com/office/drawing/2012/chart">
                  <c:ext xmlns:c16="http://schemas.microsoft.com/office/drawing/2014/chart" uri="{C3380CC4-5D6E-409C-BE32-E72D297353CC}">
                    <c16:uniqueId val="{00000008-F180-49B4-8B77-E9F5D8972167}"/>
                  </c:ext>
                </c:extLst>
              </c15:ser>
            </c15:filteredBarSeries>
            <c15:filteredBarSeries>
              <c15:ser>
                <c:idx val="2"/>
                <c:order val="2"/>
                <c:tx>
                  <c:strRef>
                    <c:extLst xmlns:c15="http://schemas.microsoft.com/office/drawing/2012/chart">
                      <c:ext xmlns:c15="http://schemas.microsoft.com/office/drawing/2012/chart" uri="{02D57815-91ED-43cb-92C2-25804820EDAC}">
                        <c15:formulaRef>
                          <c15:sqref>'individual-chart-sara'!$E$2</c15:sqref>
                        </c15:formulaRef>
                      </c:ext>
                    </c:extLst>
                    <c:strCache>
                      <c:ptCount val="1"/>
                      <c:pt idx="0">
                        <c:v>Not started</c:v>
                      </c:pt>
                    </c:strCache>
                  </c:strRef>
                </c:tx>
                <c:spPr>
                  <a:solidFill>
                    <a:schemeClr val="accent2">
                      <a:shade val="68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'individual-chart-sara'!$B$3:$B$30</c15:sqref>
                        </c15:formulaRef>
                      </c:ext>
                    </c:extLst>
                    <c:strCache>
                      <c:ptCount val="2"/>
                      <c:pt idx="0">
                        <c:v>Activity</c:v>
                      </c:pt>
                      <c:pt idx="1">
                        <c:v>Outputs</c:v>
                      </c:pt>
                    </c:strCache>
                  </c:strRef>
                </c:cat>
                <c:val>
                  <c:numRef>
                    <c:extLst xmlns:c15="http://schemas.microsoft.com/office/drawing/2012/chart">
                      <c:ext xmlns:c15="http://schemas.microsoft.com/office/drawing/2012/chart" uri="{02D57815-91ED-43cb-92C2-25804820EDAC}">
                        <c15:formulaRef>
                          <c15:sqref>'individual-chart-sara'!$E$3:$E$30</c15:sqref>
                        </c15:formulaRef>
                      </c:ext>
                    </c:extLst>
                    <c:numCache>
                      <c:formatCode>General</c:formatCode>
                      <c:ptCount val="2"/>
                    </c:numCache>
                  </c:numRef>
                </c:val>
                <c:extLst xmlns:c15="http://schemas.microsoft.com/office/drawing/2012/chart">
                  <c:ext xmlns:c16="http://schemas.microsoft.com/office/drawing/2014/chart" uri="{C3380CC4-5D6E-409C-BE32-E72D297353CC}">
                    <c16:uniqueId val="{00000009-F180-49B4-8B77-E9F5D8972167}"/>
                  </c:ext>
                </c:extLst>
              </c15:ser>
            </c15:filteredBarSeries>
          </c:ext>
        </c:extLst>
      </c:barChart>
      <c:catAx>
        <c:axId val="7909581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n-US"/>
          </a:p>
        </c:txPr>
        <c:crossAx val="790961408"/>
        <c:crosses val="autoZero"/>
        <c:auto val="1"/>
        <c:lblAlgn val="ctr"/>
        <c:lblOffset val="100"/>
        <c:noMultiLvlLbl val="0"/>
      </c:catAx>
      <c:valAx>
        <c:axId val="790961408"/>
        <c:scaling>
          <c:orientation val="minMax"/>
          <c:min val="0"/>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90958128"/>
        <c:crossesAt val="1"/>
        <c:crossBetween val="between"/>
      </c:valAx>
      <c:spPr>
        <a:noFill/>
        <a:ln>
          <a:noFill/>
        </a:ln>
        <a:effectLst/>
      </c:spPr>
    </c:plotArea>
    <c:legend>
      <c:legendPos val="t"/>
      <c:layout>
        <c:manualLayout>
          <c:xMode val="edge"/>
          <c:yMode val="edge"/>
          <c:x val="0.16878358787806125"/>
          <c:y val="0.10208247651819531"/>
          <c:w val="0.78092145216948061"/>
          <c:h val="0.12652310298086494"/>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userShapes r:id="rId5"/>
</c:chartSpace>
</file>

<file path=word/charts/chart7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4"/>
    </mc:Choice>
    <mc:Fallback>
      <c:style val="4"/>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Topic Area - SARA</a:t>
            </a:r>
            <a:br>
              <a:rPr lang="en-US"/>
            </a:br>
            <a:r>
              <a:rPr lang="en-US"/>
              <a:t>Activity #6</a:t>
            </a:r>
          </a:p>
        </c:rich>
      </c:tx>
      <c:layout>
        <c:manualLayout>
          <c:xMode val="edge"/>
          <c:yMode val="edge"/>
          <c:x val="0.28386751051089032"/>
          <c:y val="1.4306075052544569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6017916604892113"/>
          <c:y val="0.23265365094271845"/>
          <c:w val="0.78942722632790041"/>
          <c:h val="0.66602748393145406"/>
        </c:manualLayout>
      </c:layout>
      <c:barChart>
        <c:barDir val="col"/>
        <c:grouping val="percentStacked"/>
        <c:varyColors val="0"/>
        <c:ser>
          <c:idx val="3"/>
          <c:order val="3"/>
          <c:tx>
            <c:strRef>
              <c:f>'individual-chart-sara'!$F$2</c:f>
              <c:strCache>
                <c:ptCount val="1"/>
                <c:pt idx="0">
                  <c:v>Completed</c:v>
                </c:pt>
              </c:strCache>
            </c:strRef>
          </c:tx>
          <c:spPr>
            <a:solidFill>
              <a:srgbClr val="99221F"/>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600" b="0"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'individual-chart-sara'!$B$3:$B$30</c:f>
              <c:strCache>
                <c:ptCount val="2"/>
                <c:pt idx="0">
                  <c:v>Activity</c:v>
                </c:pt>
                <c:pt idx="1">
                  <c:v>Outputs</c:v>
                </c:pt>
              </c:strCache>
              <c:extLst/>
            </c:strRef>
          </c:cat>
          <c:val>
            <c:numRef>
              <c:f>'individual-chart-sara'!$F$3:$F$30</c:f>
              <c:numCache>
                <c:formatCode>0%</c:formatCode>
                <c:ptCount val="2"/>
                <c:pt idx="0">
                  <c:v>1</c:v>
                </c:pt>
                <c:pt idx="1">
                  <c:v>1</c:v>
                </c:pt>
              </c:numCache>
              <c:extLst/>
            </c:numRef>
          </c:val>
          <c:extLst>
            <c:ext xmlns:c16="http://schemas.microsoft.com/office/drawing/2014/chart" uri="{C3380CC4-5D6E-409C-BE32-E72D297353CC}">
              <c16:uniqueId val="{00000000-141B-478A-8C04-DFE184ECEE42}"/>
            </c:ext>
          </c:extLst>
        </c:ser>
        <c:ser>
          <c:idx val="4"/>
          <c:order val="4"/>
          <c:tx>
            <c:strRef>
              <c:f>'individual-chart-sara'!$G$2</c:f>
              <c:strCache>
                <c:ptCount val="1"/>
                <c:pt idx="0">
                  <c:v>90%</c:v>
                </c:pt>
              </c:strCache>
            </c:strRef>
          </c:tx>
          <c:spPr>
            <a:solidFill>
              <a:srgbClr val="D73D39"/>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'individual-chart-sara'!$B$3:$B$30</c:f>
              <c:strCache>
                <c:ptCount val="2"/>
                <c:pt idx="0">
                  <c:v>Activity</c:v>
                </c:pt>
                <c:pt idx="1">
                  <c:v>Outputs</c:v>
                </c:pt>
              </c:strCache>
              <c:extLst/>
            </c:strRef>
          </c:cat>
          <c:val>
            <c:numRef>
              <c:f>'individual-chart-sara'!$G$3:$G$30</c:f>
              <c:numCache>
                <c:formatCode>General</c:formatCode>
                <c:ptCount val="2"/>
              </c:numCache>
              <c:extLst/>
            </c:numRef>
          </c:val>
          <c:extLst>
            <c:ext xmlns:c16="http://schemas.microsoft.com/office/drawing/2014/chart" uri="{C3380CC4-5D6E-409C-BE32-E72D297353CC}">
              <c16:uniqueId val="{00000001-141B-478A-8C04-DFE184ECEE42}"/>
            </c:ext>
          </c:extLst>
        </c:ser>
        <c:ser>
          <c:idx val="5"/>
          <c:order val="5"/>
          <c:tx>
            <c:strRef>
              <c:f>'individual-chart-sara'!$H$2</c:f>
              <c:strCache>
                <c:ptCount val="1"/>
                <c:pt idx="0">
                  <c:v>75%</c:v>
                </c:pt>
              </c:strCache>
            </c:strRef>
          </c:tx>
          <c:spPr>
            <a:solidFill>
              <a:srgbClr val="DC535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'individual-chart-sara'!$B$3:$B$30</c:f>
              <c:strCache>
                <c:ptCount val="2"/>
                <c:pt idx="0">
                  <c:v>Activity</c:v>
                </c:pt>
                <c:pt idx="1">
                  <c:v>Outputs</c:v>
                </c:pt>
              </c:strCache>
              <c:extLst/>
            </c:strRef>
          </c:cat>
          <c:val>
            <c:numRef>
              <c:f>'individual-chart-sara'!$H$3:$H$30</c:f>
              <c:numCache>
                <c:formatCode>General</c:formatCode>
                <c:ptCount val="2"/>
              </c:numCache>
              <c:extLst/>
            </c:numRef>
          </c:val>
          <c:extLst>
            <c:ext xmlns:c16="http://schemas.microsoft.com/office/drawing/2014/chart" uri="{C3380CC4-5D6E-409C-BE32-E72D297353CC}">
              <c16:uniqueId val="{00000002-141B-478A-8C04-DFE184ECEE42}"/>
            </c:ext>
          </c:extLst>
        </c:ser>
        <c:ser>
          <c:idx val="6"/>
          <c:order val="6"/>
          <c:tx>
            <c:strRef>
              <c:f>'individual-chart-sara'!$I$2</c:f>
              <c:strCache>
                <c:ptCount val="1"/>
                <c:pt idx="0">
                  <c:v>50%</c:v>
                </c:pt>
              </c:strCache>
            </c:strRef>
          </c:tx>
          <c:spPr>
            <a:solidFill>
              <a:srgbClr val="EBA19F"/>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'individual-chart-sara'!$B$3:$B$30</c:f>
              <c:strCache>
                <c:ptCount val="2"/>
                <c:pt idx="0">
                  <c:v>Activity</c:v>
                </c:pt>
                <c:pt idx="1">
                  <c:v>Outputs</c:v>
                </c:pt>
              </c:strCache>
              <c:extLst/>
            </c:strRef>
          </c:cat>
          <c:val>
            <c:numRef>
              <c:f>'individual-chart-sara'!$I$3:$I$30</c:f>
              <c:numCache>
                <c:formatCode>General</c:formatCode>
                <c:ptCount val="2"/>
              </c:numCache>
              <c:extLst/>
            </c:numRef>
          </c:val>
          <c:extLst>
            <c:ext xmlns:c16="http://schemas.microsoft.com/office/drawing/2014/chart" uri="{C3380CC4-5D6E-409C-BE32-E72D297353CC}">
              <c16:uniqueId val="{00000003-141B-478A-8C04-DFE184ECEE42}"/>
            </c:ext>
          </c:extLst>
        </c:ser>
        <c:ser>
          <c:idx val="7"/>
          <c:order val="7"/>
          <c:tx>
            <c:strRef>
              <c:f>'individual-chart-sara'!$J$2</c:f>
              <c:strCache>
                <c:ptCount val="1"/>
                <c:pt idx="0">
                  <c:v>25%</c:v>
                </c:pt>
              </c:strCache>
            </c:strRef>
          </c:tx>
          <c:spPr>
            <a:solidFill>
              <a:srgbClr val="F3C6C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'individual-chart-sara'!$B$3:$B$30</c:f>
              <c:strCache>
                <c:ptCount val="2"/>
                <c:pt idx="0">
                  <c:v>Activity</c:v>
                </c:pt>
                <c:pt idx="1">
                  <c:v>Outputs</c:v>
                </c:pt>
              </c:strCache>
              <c:extLst/>
            </c:strRef>
          </c:cat>
          <c:val>
            <c:numRef>
              <c:f>'individual-chart-sara'!$J$3:$J$30</c:f>
              <c:numCache>
                <c:formatCode>General</c:formatCode>
                <c:ptCount val="2"/>
              </c:numCache>
              <c:extLst/>
            </c:numRef>
          </c:val>
          <c:extLst>
            <c:ext xmlns:c16="http://schemas.microsoft.com/office/drawing/2014/chart" uri="{C3380CC4-5D6E-409C-BE32-E72D297353CC}">
              <c16:uniqueId val="{00000004-141B-478A-8C04-DFE184ECEE42}"/>
            </c:ext>
          </c:extLst>
        </c:ser>
        <c:ser>
          <c:idx val="8"/>
          <c:order val="8"/>
          <c:tx>
            <c:strRef>
              <c:f>'individual-chart-sara'!$K$2</c:f>
              <c:strCache>
                <c:ptCount val="1"/>
                <c:pt idx="0">
                  <c:v>10%</c:v>
                </c:pt>
              </c:strCache>
            </c:strRef>
          </c:tx>
          <c:spPr>
            <a:solidFill>
              <a:schemeClr val="accent2">
                <a:tint val="56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'individual-chart-sara'!$B$3:$B$30</c:f>
              <c:strCache>
                <c:ptCount val="2"/>
                <c:pt idx="0">
                  <c:v>Activity</c:v>
                </c:pt>
                <c:pt idx="1">
                  <c:v>Outputs</c:v>
                </c:pt>
              </c:strCache>
              <c:extLst/>
            </c:strRef>
          </c:cat>
          <c:val>
            <c:numRef>
              <c:f>'individual-chart-sara'!$K$3:$K$30</c:f>
              <c:numCache>
                <c:formatCode>General</c:formatCode>
                <c:ptCount val="2"/>
              </c:numCache>
              <c:extLst/>
            </c:numRef>
          </c:val>
          <c:extLst>
            <c:ext xmlns:c16="http://schemas.microsoft.com/office/drawing/2014/chart" uri="{C3380CC4-5D6E-409C-BE32-E72D297353CC}">
              <c16:uniqueId val="{00000005-141B-478A-8C04-DFE184ECEE42}"/>
            </c:ext>
          </c:extLst>
        </c:ser>
        <c:ser>
          <c:idx val="9"/>
          <c:order val="9"/>
          <c:tx>
            <c:strRef>
              <c:f>'individual-chart-sara'!$L$2</c:f>
              <c:strCache>
                <c:ptCount val="1"/>
                <c:pt idx="0">
                  <c:v>Not Started</c:v>
                </c:pt>
              </c:strCache>
            </c:strRef>
          </c:tx>
          <c:spPr>
            <a:solidFill>
              <a:srgbClr val="FCF2F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'individual-chart-sara'!$B$3:$B$30</c:f>
              <c:strCache>
                <c:ptCount val="2"/>
                <c:pt idx="0">
                  <c:v>Activity</c:v>
                </c:pt>
                <c:pt idx="1">
                  <c:v>Outputs</c:v>
                </c:pt>
              </c:strCache>
              <c:extLst/>
            </c:strRef>
          </c:cat>
          <c:val>
            <c:numRef>
              <c:f>'individual-chart-sara'!$L$3:$L$30</c:f>
              <c:numCache>
                <c:formatCode>General</c:formatCode>
                <c:ptCount val="2"/>
              </c:numCache>
              <c:extLst/>
            </c:numRef>
          </c:val>
          <c:extLst>
            <c:ext xmlns:c16="http://schemas.microsoft.com/office/drawing/2014/chart" uri="{C3380CC4-5D6E-409C-BE32-E72D297353CC}">
              <c16:uniqueId val="{00000006-141B-478A-8C04-DFE184ECEE42}"/>
            </c:ext>
          </c:extLst>
        </c:ser>
        <c:dLbls>
          <c:dLblPos val="ctr"/>
          <c:showLegendKey val="0"/>
          <c:showVal val="1"/>
          <c:showCatName val="0"/>
          <c:showSerName val="0"/>
          <c:showPercent val="0"/>
          <c:showBubbleSize val="0"/>
        </c:dLbls>
        <c:gapWidth val="150"/>
        <c:overlap val="100"/>
        <c:axId val="790958128"/>
        <c:axId val="790961408"/>
        <c:extLst>
          <c:ext xmlns:c15="http://schemas.microsoft.com/office/drawing/2012/chart" uri="{02D57815-91ED-43cb-92C2-25804820EDAC}">
            <c15:filteredBarSeries>
              <c15:ser>
                <c:idx val="0"/>
                <c:order val="0"/>
                <c:tx>
                  <c:strRef>
                    <c:extLst>
                      <c:ext uri="{02D57815-91ED-43cb-92C2-25804820EDAC}">
                        <c15:formulaRef>
                          <c15:sqref>'individual-chart-sara'!$C$2</c15:sqref>
                        </c15:formulaRef>
                      </c:ext>
                    </c:extLst>
                    <c:strCache>
                      <c:ptCount val="1"/>
                      <c:pt idx="0">
                        <c:v>Completed</c:v>
                      </c:pt>
                    </c:strCache>
                  </c:strRef>
                </c:tx>
                <c:spPr>
                  <a:solidFill>
                    <a:schemeClr val="accent2">
                      <a:shade val="42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c:ext uri="{02D57815-91ED-43cb-92C2-25804820EDAC}">
                        <c15:formulaRef>
                          <c15:sqref>'individual-chart-sara'!$B$3:$B$30</c15:sqref>
                        </c15:formulaRef>
                      </c:ext>
                    </c:extLst>
                    <c:strCache>
                      <c:ptCount val="2"/>
                      <c:pt idx="0">
                        <c:v>Activity</c:v>
                      </c:pt>
                      <c:pt idx="1">
                        <c:v>Outputs</c:v>
                      </c:pt>
                    </c:strCache>
                  </c:strRef>
                </c:cat>
                <c:val>
                  <c:numRef>
                    <c:extLst>
                      <c:ext uri="{02D57815-91ED-43cb-92C2-25804820EDAC}">
                        <c15:formulaRef>
                          <c15:sqref>'individual-chart-sara'!$C$3:$C$30</c15:sqref>
                        </c15:formulaRef>
                      </c:ext>
                    </c:extLst>
                    <c:numCache>
                      <c:formatCode>0%</c:formatCode>
                      <c:ptCount val="2"/>
                      <c:pt idx="0">
                        <c:v>1</c:v>
                      </c:pt>
                      <c:pt idx="1">
                        <c:v>1</c:v>
                      </c:pt>
                    </c:numCache>
                  </c:numRef>
                </c:val>
                <c:extLst>
                  <c:ext xmlns:c16="http://schemas.microsoft.com/office/drawing/2014/chart" uri="{C3380CC4-5D6E-409C-BE32-E72D297353CC}">
                    <c16:uniqueId val="{00000007-141B-478A-8C04-DFE184ECEE42}"/>
                  </c:ext>
                </c:extLst>
              </c15:ser>
            </c15:filteredBarSeries>
            <c15:filteredBarSeries>
              <c15:ser>
                <c:idx val="1"/>
                <c:order val="1"/>
                <c:tx>
                  <c:strRef>
                    <c:extLst xmlns:c15="http://schemas.microsoft.com/office/drawing/2012/chart">
                      <c:ext xmlns:c15="http://schemas.microsoft.com/office/drawing/2012/chart" uri="{02D57815-91ED-43cb-92C2-25804820EDAC}">
                        <c15:formulaRef>
                          <c15:sqref>'individual-chart-sara'!$D$2</c15:sqref>
                        </c15:formulaRef>
                      </c:ext>
                    </c:extLst>
                    <c:strCache>
                      <c:ptCount val="1"/>
                      <c:pt idx="0">
                        <c:v>In progress</c:v>
                      </c:pt>
                    </c:strCache>
                  </c:strRef>
                </c:tx>
                <c:spPr>
                  <a:solidFill>
                    <a:schemeClr val="accent2">
                      <a:shade val="5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'individual-chart-sara'!$B$3:$B$30</c15:sqref>
                        </c15:formulaRef>
                      </c:ext>
                    </c:extLst>
                    <c:strCache>
                      <c:ptCount val="2"/>
                      <c:pt idx="0">
                        <c:v>Activity</c:v>
                      </c:pt>
                      <c:pt idx="1">
                        <c:v>Outputs</c:v>
                      </c:pt>
                    </c:strCache>
                  </c:strRef>
                </c:cat>
                <c:val>
                  <c:numRef>
                    <c:extLst xmlns:c15="http://schemas.microsoft.com/office/drawing/2012/chart">
                      <c:ext xmlns:c15="http://schemas.microsoft.com/office/drawing/2012/chart" uri="{02D57815-91ED-43cb-92C2-25804820EDAC}">
                        <c15:formulaRef>
                          <c15:sqref>'individual-chart-sara'!$D$3:$D$30</c15:sqref>
                        </c15:formulaRef>
                      </c:ext>
                    </c:extLst>
                    <c:numCache>
                      <c:formatCode>General</c:formatCode>
                      <c:ptCount val="2"/>
                    </c:numCache>
                  </c:numRef>
                </c:val>
                <c:extLst xmlns:c15="http://schemas.microsoft.com/office/drawing/2012/chart">
                  <c:ext xmlns:c16="http://schemas.microsoft.com/office/drawing/2014/chart" uri="{C3380CC4-5D6E-409C-BE32-E72D297353CC}">
                    <c16:uniqueId val="{00000008-141B-478A-8C04-DFE184ECEE42}"/>
                  </c:ext>
                </c:extLst>
              </c15:ser>
            </c15:filteredBarSeries>
            <c15:filteredBarSeries>
              <c15:ser>
                <c:idx val="2"/>
                <c:order val="2"/>
                <c:tx>
                  <c:strRef>
                    <c:extLst xmlns:c15="http://schemas.microsoft.com/office/drawing/2012/chart">
                      <c:ext xmlns:c15="http://schemas.microsoft.com/office/drawing/2012/chart" uri="{02D57815-91ED-43cb-92C2-25804820EDAC}">
                        <c15:formulaRef>
                          <c15:sqref>'individual-chart-sara'!$E$2</c15:sqref>
                        </c15:formulaRef>
                      </c:ext>
                    </c:extLst>
                    <c:strCache>
                      <c:ptCount val="1"/>
                      <c:pt idx="0">
                        <c:v>Not started</c:v>
                      </c:pt>
                    </c:strCache>
                  </c:strRef>
                </c:tx>
                <c:spPr>
                  <a:solidFill>
                    <a:schemeClr val="accent2">
                      <a:shade val="68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'individual-chart-sara'!$B$3:$B$30</c15:sqref>
                        </c15:formulaRef>
                      </c:ext>
                    </c:extLst>
                    <c:strCache>
                      <c:ptCount val="2"/>
                      <c:pt idx="0">
                        <c:v>Activity</c:v>
                      </c:pt>
                      <c:pt idx="1">
                        <c:v>Outputs</c:v>
                      </c:pt>
                    </c:strCache>
                  </c:strRef>
                </c:cat>
                <c:val>
                  <c:numRef>
                    <c:extLst xmlns:c15="http://schemas.microsoft.com/office/drawing/2012/chart">
                      <c:ext xmlns:c15="http://schemas.microsoft.com/office/drawing/2012/chart" uri="{02D57815-91ED-43cb-92C2-25804820EDAC}">
                        <c15:formulaRef>
                          <c15:sqref>'individual-chart-sara'!$E$3:$E$30</c15:sqref>
                        </c15:formulaRef>
                      </c:ext>
                    </c:extLst>
                    <c:numCache>
                      <c:formatCode>General</c:formatCode>
                      <c:ptCount val="2"/>
                    </c:numCache>
                  </c:numRef>
                </c:val>
                <c:extLst xmlns:c15="http://schemas.microsoft.com/office/drawing/2012/chart">
                  <c:ext xmlns:c16="http://schemas.microsoft.com/office/drawing/2014/chart" uri="{C3380CC4-5D6E-409C-BE32-E72D297353CC}">
                    <c16:uniqueId val="{00000009-141B-478A-8C04-DFE184ECEE42}"/>
                  </c:ext>
                </c:extLst>
              </c15:ser>
            </c15:filteredBarSeries>
          </c:ext>
        </c:extLst>
      </c:barChart>
      <c:catAx>
        <c:axId val="7909581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n-US"/>
          </a:p>
        </c:txPr>
        <c:crossAx val="790961408"/>
        <c:crosses val="autoZero"/>
        <c:auto val="1"/>
        <c:lblAlgn val="ctr"/>
        <c:lblOffset val="100"/>
        <c:noMultiLvlLbl val="0"/>
      </c:catAx>
      <c:valAx>
        <c:axId val="790961408"/>
        <c:scaling>
          <c:orientation val="minMax"/>
          <c:min val="0"/>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90958128"/>
        <c:crossesAt val="1"/>
        <c:crossBetween val="between"/>
      </c:valAx>
      <c:spPr>
        <a:noFill/>
        <a:ln>
          <a:noFill/>
        </a:ln>
        <a:effectLst/>
      </c:spPr>
    </c:plotArea>
    <c:legend>
      <c:legendPos val="t"/>
      <c:layout>
        <c:manualLayout>
          <c:xMode val="edge"/>
          <c:yMode val="edge"/>
          <c:x val="0.16878358787806125"/>
          <c:y val="0.10208247651819531"/>
          <c:w val="0.78092145216948061"/>
          <c:h val="0.12652310298086494"/>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userShapes r:id="rId5"/>
</c:chartSpace>
</file>

<file path=word/charts/chart7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4"/>
    </mc:Choice>
    <mc:Fallback>
      <c:style val="4"/>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Topic Area - SARA</a:t>
            </a:r>
            <a:br>
              <a:rPr lang="en-US"/>
            </a:br>
            <a:r>
              <a:rPr lang="en-US"/>
              <a:t>Activity #7</a:t>
            </a:r>
          </a:p>
        </c:rich>
      </c:tx>
      <c:layout>
        <c:manualLayout>
          <c:xMode val="edge"/>
          <c:yMode val="edge"/>
          <c:x val="0.28386751051089032"/>
          <c:y val="1.4306075052544569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6017916604892113"/>
          <c:y val="0.23265365094271845"/>
          <c:w val="0.78942722632790041"/>
          <c:h val="0.66602748393145406"/>
        </c:manualLayout>
      </c:layout>
      <c:barChart>
        <c:barDir val="col"/>
        <c:grouping val="percentStacked"/>
        <c:varyColors val="0"/>
        <c:ser>
          <c:idx val="3"/>
          <c:order val="3"/>
          <c:tx>
            <c:strRef>
              <c:f>'individual-chart-sara'!$F$2</c:f>
              <c:strCache>
                <c:ptCount val="1"/>
                <c:pt idx="0">
                  <c:v>Completed</c:v>
                </c:pt>
              </c:strCache>
            </c:strRef>
          </c:tx>
          <c:spPr>
            <a:solidFill>
              <a:srgbClr val="99221F"/>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600" b="0"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'individual-chart-sara'!$B$3:$B$30</c:f>
              <c:strCache>
                <c:ptCount val="2"/>
                <c:pt idx="0">
                  <c:v>Activity</c:v>
                </c:pt>
                <c:pt idx="1">
                  <c:v>Outputs</c:v>
                </c:pt>
              </c:strCache>
              <c:extLst/>
            </c:strRef>
          </c:cat>
          <c:val>
            <c:numRef>
              <c:f>'individual-chart-sara'!$F$3:$F$30</c:f>
              <c:numCache>
                <c:formatCode>0%</c:formatCode>
                <c:ptCount val="2"/>
                <c:pt idx="0">
                  <c:v>1</c:v>
                </c:pt>
                <c:pt idx="1">
                  <c:v>1</c:v>
                </c:pt>
              </c:numCache>
              <c:extLst/>
            </c:numRef>
          </c:val>
          <c:extLst>
            <c:ext xmlns:c16="http://schemas.microsoft.com/office/drawing/2014/chart" uri="{C3380CC4-5D6E-409C-BE32-E72D297353CC}">
              <c16:uniqueId val="{00000000-B5F0-4B06-8D05-EB390458843B}"/>
            </c:ext>
          </c:extLst>
        </c:ser>
        <c:ser>
          <c:idx val="4"/>
          <c:order val="4"/>
          <c:tx>
            <c:strRef>
              <c:f>'individual-chart-sara'!$G$2</c:f>
              <c:strCache>
                <c:ptCount val="1"/>
                <c:pt idx="0">
                  <c:v>90%</c:v>
                </c:pt>
              </c:strCache>
            </c:strRef>
          </c:tx>
          <c:spPr>
            <a:solidFill>
              <a:srgbClr val="D73D39"/>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'individual-chart-sara'!$B$3:$B$30</c:f>
              <c:strCache>
                <c:ptCount val="2"/>
                <c:pt idx="0">
                  <c:v>Activity</c:v>
                </c:pt>
                <c:pt idx="1">
                  <c:v>Outputs</c:v>
                </c:pt>
              </c:strCache>
              <c:extLst/>
            </c:strRef>
          </c:cat>
          <c:val>
            <c:numRef>
              <c:f>'individual-chart-sara'!$G$3:$G$30</c:f>
              <c:numCache>
                <c:formatCode>General</c:formatCode>
                <c:ptCount val="2"/>
              </c:numCache>
              <c:extLst/>
            </c:numRef>
          </c:val>
          <c:extLst>
            <c:ext xmlns:c16="http://schemas.microsoft.com/office/drawing/2014/chart" uri="{C3380CC4-5D6E-409C-BE32-E72D297353CC}">
              <c16:uniqueId val="{00000001-B5F0-4B06-8D05-EB390458843B}"/>
            </c:ext>
          </c:extLst>
        </c:ser>
        <c:ser>
          <c:idx val="5"/>
          <c:order val="5"/>
          <c:tx>
            <c:strRef>
              <c:f>'individual-chart-sara'!$H$2</c:f>
              <c:strCache>
                <c:ptCount val="1"/>
                <c:pt idx="0">
                  <c:v>75%</c:v>
                </c:pt>
              </c:strCache>
            </c:strRef>
          </c:tx>
          <c:spPr>
            <a:solidFill>
              <a:srgbClr val="DC535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'individual-chart-sara'!$B$3:$B$30</c:f>
              <c:strCache>
                <c:ptCount val="2"/>
                <c:pt idx="0">
                  <c:v>Activity</c:v>
                </c:pt>
                <c:pt idx="1">
                  <c:v>Outputs</c:v>
                </c:pt>
              </c:strCache>
              <c:extLst/>
            </c:strRef>
          </c:cat>
          <c:val>
            <c:numRef>
              <c:f>'individual-chart-sara'!$H$3:$H$30</c:f>
              <c:numCache>
                <c:formatCode>General</c:formatCode>
                <c:ptCount val="2"/>
              </c:numCache>
              <c:extLst/>
            </c:numRef>
          </c:val>
          <c:extLst>
            <c:ext xmlns:c16="http://schemas.microsoft.com/office/drawing/2014/chart" uri="{C3380CC4-5D6E-409C-BE32-E72D297353CC}">
              <c16:uniqueId val="{00000002-B5F0-4B06-8D05-EB390458843B}"/>
            </c:ext>
          </c:extLst>
        </c:ser>
        <c:ser>
          <c:idx val="6"/>
          <c:order val="6"/>
          <c:tx>
            <c:strRef>
              <c:f>'individual-chart-sara'!$I$2</c:f>
              <c:strCache>
                <c:ptCount val="1"/>
                <c:pt idx="0">
                  <c:v>50%</c:v>
                </c:pt>
              </c:strCache>
            </c:strRef>
          </c:tx>
          <c:spPr>
            <a:solidFill>
              <a:srgbClr val="EBA19F"/>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'individual-chart-sara'!$B$3:$B$30</c:f>
              <c:strCache>
                <c:ptCount val="2"/>
                <c:pt idx="0">
                  <c:v>Activity</c:v>
                </c:pt>
                <c:pt idx="1">
                  <c:v>Outputs</c:v>
                </c:pt>
              </c:strCache>
              <c:extLst/>
            </c:strRef>
          </c:cat>
          <c:val>
            <c:numRef>
              <c:f>'individual-chart-sara'!$I$3:$I$30</c:f>
              <c:numCache>
                <c:formatCode>General</c:formatCode>
                <c:ptCount val="2"/>
              </c:numCache>
              <c:extLst/>
            </c:numRef>
          </c:val>
          <c:extLst>
            <c:ext xmlns:c16="http://schemas.microsoft.com/office/drawing/2014/chart" uri="{C3380CC4-5D6E-409C-BE32-E72D297353CC}">
              <c16:uniqueId val="{00000003-B5F0-4B06-8D05-EB390458843B}"/>
            </c:ext>
          </c:extLst>
        </c:ser>
        <c:ser>
          <c:idx val="7"/>
          <c:order val="7"/>
          <c:tx>
            <c:strRef>
              <c:f>'individual-chart-sara'!$J$2</c:f>
              <c:strCache>
                <c:ptCount val="1"/>
                <c:pt idx="0">
                  <c:v>25%</c:v>
                </c:pt>
              </c:strCache>
            </c:strRef>
          </c:tx>
          <c:spPr>
            <a:solidFill>
              <a:srgbClr val="F3C6C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'individual-chart-sara'!$B$3:$B$30</c:f>
              <c:strCache>
                <c:ptCount val="2"/>
                <c:pt idx="0">
                  <c:v>Activity</c:v>
                </c:pt>
                <c:pt idx="1">
                  <c:v>Outputs</c:v>
                </c:pt>
              </c:strCache>
              <c:extLst/>
            </c:strRef>
          </c:cat>
          <c:val>
            <c:numRef>
              <c:f>'individual-chart-sara'!$J$3:$J$30</c:f>
              <c:numCache>
                <c:formatCode>General</c:formatCode>
                <c:ptCount val="2"/>
              </c:numCache>
              <c:extLst/>
            </c:numRef>
          </c:val>
          <c:extLst>
            <c:ext xmlns:c16="http://schemas.microsoft.com/office/drawing/2014/chart" uri="{C3380CC4-5D6E-409C-BE32-E72D297353CC}">
              <c16:uniqueId val="{00000004-B5F0-4B06-8D05-EB390458843B}"/>
            </c:ext>
          </c:extLst>
        </c:ser>
        <c:ser>
          <c:idx val="8"/>
          <c:order val="8"/>
          <c:tx>
            <c:strRef>
              <c:f>'individual-chart-sara'!$K$2</c:f>
              <c:strCache>
                <c:ptCount val="1"/>
                <c:pt idx="0">
                  <c:v>10%</c:v>
                </c:pt>
              </c:strCache>
            </c:strRef>
          </c:tx>
          <c:spPr>
            <a:solidFill>
              <a:schemeClr val="accent2">
                <a:tint val="56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'individual-chart-sara'!$B$3:$B$30</c:f>
              <c:strCache>
                <c:ptCount val="2"/>
                <c:pt idx="0">
                  <c:v>Activity</c:v>
                </c:pt>
                <c:pt idx="1">
                  <c:v>Outputs</c:v>
                </c:pt>
              </c:strCache>
              <c:extLst/>
            </c:strRef>
          </c:cat>
          <c:val>
            <c:numRef>
              <c:f>'individual-chart-sara'!$K$3:$K$30</c:f>
              <c:numCache>
                <c:formatCode>General</c:formatCode>
                <c:ptCount val="2"/>
              </c:numCache>
              <c:extLst/>
            </c:numRef>
          </c:val>
          <c:extLst>
            <c:ext xmlns:c16="http://schemas.microsoft.com/office/drawing/2014/chart" uri="{C3380CC4-5D6E-409C-BE32-E72D297353CC}">
              <c16:uniqueId val="{00000005-B5F0-4B06-8D05-EB390458843B}"/>
            </c:ext>
          </c:extLst>
        </c:ser>
        <c:ser>
          <c:idx val="9"/>
          <c:order val="9"/>
          <c:tx>
            <c:strRef>
              <c:f>'individual-chart-sara'!$L$2</c:f>
              <c:strCache>
                <c:ptCount val="1"/>
                <c:pt idx="0">
                  <c:v>Not Started</c:v>
                </c:pt>
              </c:strCache>
            </c:strRef>
          </c:tx>
          <c:spPr>
            <a:solidFill>
              <a:srgbClr val="FCF2F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'individual-chart-sara'!$B$3:$B$30</c:f>
              <c:strCache>
                <c:ptCount val="2"/>
                <c:pt idx="0">
                  <c:v>Activity</c:v>
                </c:pt>
                <c:pt idx="1">
                  <c:v>Outputs</c:v>
                </c:pt>
              </c:strCache>
              <c:extLst/>
            </c:strRef>
          </c:cat>
          <c:val>
            <c:numRef>
              <c:f>'individual-chart-sara'!$L$3:$L$30</c:f>
              <c:numCache>
                <c:formatCode>General</c:formatCode>
                <c:ptCount val="2"/>
              </c:numCache>
              <c:extLst/>
            </c:numRef>
          </c:val>
          <c:extLst>
            <c:ext xmlns:c16="http://schemas.microsoft.com/office/drawing/2014/chart" uri="{C3380CC4-5D6E-409C-BE32-E72D297353CC}">
              <c16:uniqueId val="{00000006-B5F0-4B06-8D05-EB390458843B}"/>
            </c:ext>
          </c:extLst>
        </c:ser>
        <c:dLbls>
          <c:dLblPos val="ctr"/>
          <c:showLegendKey val="0"/>
          <c:showVal val="1"/>
          <c:showCatName val="0"/>
          <c:showSerName val="0"/>
          <c:showPercent val="0"/>
          <c:showBubbleSize val="0"/>
        </c:dLbls>
        <c:gapWidth val="150"/>
        <c:overlap val="100"/>
        <c:axId val="790958128"/>
        <c:axId val="790961408"/>
        <c:extLst>
          <c:ext xmlns:c15="http://schemas.microsoft.com/office/drawing/2012/chart" uri="{02D57815-91ED-43cb-92C2-25804820EDAC}">
            <c15:filteredBarSeries>
              <c15:ser>
                <c:idx val="0"/>
                <c:order val="0"/>
                <c:tx>
                  <c:strRef>
                    <c:extLst>
                      <c:ext uri="{02D57815-91ED-43cb-92C2-25804820EDAC}">
                        <c15:formulaRef>
                          <c15:sqref>'individual-chart-sara'!$C$2</c15:sqref>
                        </c15:formulaRef>
                      </c:ext>
                    </c:extLst>
                    <c:strCache>
                      <c:ptCount val="1"/>
                      <c:pt idx="0">
                        <c:v>Completed</c:v>
                      </c:pt>
                    </c:strCache>
                  </c:strRef>
                </c:tx>
                <c:spPr>
                  <a:solidFill>
                    <a:schemeClr val="accent2">
                      <a:shade val="42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c:ext uri="{02D57815-91ED-43cb-92C2-25804820EDAC}">
                        <c15:formulaRef>
                          <c15:sqref>'individual-chart-sara'!$B$3:$B$30</c15:sqref>
                        </c15:formulaRef>
                      </c:ext>
                    </c:extLst>
                    <c:strCache>
                      <c:ptCount val="2"/>
                      <c:pt idx="0">
                        <c:v>Activity</c:v>
                      </c:pt>
                      <c:pt idx="1">
                        <c:v>Outputs</c:v>
                      </c:pt>
                    </c:strCache>
                  </c:strRef>
                </c:cat>
                <c:val>
                  <c:numRef>
                    <c:extLst>
                      <c:ext uri="{02D57815-91ED-43cb-92C2-25804820EDAC}">
                        <c15:formulaRef>
                          <c15:sqref>'individual-chart-sara'!$C$3:$C$30</c15:sqref>
                        </c15:formulaRef>
                      </c:ext>
                    </c:extLst>
                    <c:numCache>
                      <c:formatCode>0%</c:formatCode>
                      <c:ptCount val="2"/>
                      <c:pt idx="0">
                        <c:v>1</c:v>
                      </c:pt>
                      <c:pt idx="1">
                        <c:v>1</c:v>
                      </c:pt>
                    </c:numCache>
                  </c:numRef>
                </c:val>
                <c:extLst>
                  <c:ext xmlns:c16="http://schemas.microsoft.com/office/drawing/2014/chart" uri="{C3380CC4-5D6E-409C-BE32-E72D297353CC}">
                    <c16:uniqueId val="{00000007-B5F0-4B06-8D05-EB390458843B}"/>
                  </c:ext>
                </c:extLst>
              </c15:ser>
            </c15:filteredBarSeries>
            <c15:filteredBarSeries>
              <c15:ser>
                <c:idx val="1"/>
                <c:order val="1"/>
                <c:tx>
                  <c:strRef>
                    <c:extLst xmlns:c15="http://schemas.microsoft.com/office/drawing/2012/chart">
                      <c:ext xmlns:c15="http://schemas.microsoft.com/office/drawing/2012/chart" uri="{02D57815-91ED-43cb-92C2-25804820EDAC}">
                        <c15:formulaRef>
                          <c15:sqref>'individual-chart-sara'!$D$2</c15:sqref>
                        </c15:formulaRef>
                      </c:ext>
                    </c:extLst>
                    <c:strCache>
                      <c:ptCount val="1"/>
                      <c:pt idx="0">
                        <c:v>In progress</c:v>
                      </c:pt>
                    </c:strCache>
                  </c:strRef>
                </c:tx>
                <c:spPr>
                  <a:solidFill>
                    <a:schemeClr val="accent2">
                      <a:shade val="5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'individual-chart-sara'!$B$3:$B$30</c15:sqref>
                        </c15:formulaRef>
                      </c:ext>
                    </c:extLst>
                    <c:strCache>
                      <c:ptCount val="2"/>
                      <c:pt idx="0">
                        <c:v>Activity</c:v>
                      </c:pt>
                      <c:pt idx="1">
                        <c:v>Outputs</c:v>
                      </c:pt>
                    </c:strCache>
                  </c:strRef>
                </c:cat>
                <c:val>
                  <c:numRef>
                    <c:extLst xmlns:c15="http://schemas.microsoft.com/office/drawing/2012/chart">
                      <c:ext xmlns:c15="http://schemas.microsoft.com/office/drawing/2012/chart" uri="{02D57815-91ED-43cb-92C2-25804820EDAC}">
                        <c15:formulaRef>
                          <c15:sqref>'individual-chart-sara'!$D$3:$D$30</c15:sqref>
                        </c15:formulaRef>
                      </c:ext>
                    </c:extLst>
                    <c:numCache>
                      <c:formatCode>General</c:formatCode>
                      <c:ptCount val="2"/>
                    </c:numCache>
                  </c:numRef>
                </c:val>
                <c:extLst xmlns:c15="http://schemas.microsoft.com/office/drawing/2012/chart">
                  <c:ext xmlns:c16="http://schemas.microsoft.com/office/drawing/2014/chart" uri="{C3380CC4-5D6E-409C-BE32-E72D297353CC}">
                    <c16:uniqueId val="{00000008-B5F0-4B06-8D05-EB390458843B}"/>
                  </c:ext>
                </c:extLst>
              </c15:ser>
            </c15:filteredBarSeries>
            <c15:filteredBarSeries>
              <c15:ser>
                <c:idx val="2"/>
                <c:order val="2"/>
                <c:tx>
                  <c:strRef>
                    <c:extLst xmlns:c15="http://schemas.microsoft.com/office/drawing/2012/chart">
                      <c:ext xmlns:c15="http://schemas.microsoft.com/office/drawing/2012/chart" uri="{02D57815-91ED-43cb-92C2-25804820EDAC}">
                        <c15:formulaRef>
                          <c15:sqref>'individual-chart-sara'!$E$2</c15:sqref>
                        </c15:formulaRef>
                      </c:ext>
                    </c:extLst>
                    <c:strCache>
                      <c:ptCount val="1"/>
                      <c:pt idx="0">
                        <c:v>Not started</c:v>
                      </c:pt>
                    </c:strCache>
                  </c:strRef>
                </c:tx>
                <c:spPr>
                  <a:solidFill>
                    <a:schemeClr val="accent2">
                      <a:shade val="68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'individual-chart-sara'!$B$3:$B$30</c15:sqref>
                        </c15:formulaRef>
                      </c:ext>
                    </c:extLst>
                    <c:strCache>
                      <c:ptCount val="2"/>
                      <c:pt idx="0">
                        <c:v>Activity</c:v>
                      </c:pt>
                      <c:pt idx="1">
                        <c:v>Outputs</c:v>
                      </c:pt>
                    </c:strCache>
                  </c:strRef>
                </c:cat>
                <c:val>
                  <c:numRef>
                    <c:extLst xmlns:c15="http://schemas.microsoft.com/office/drawing/2012/chart">
                      <c:ext xmlns:c15="http://schemas.microsoft.com/office/drawing/2012/chart" uri="{02D57815-91ED-43cb-92C2-25804820EDAC}">
                        <c15:formulaRef>
                          <c15:sqref>'individual-chart-sara'!$E$3:$E$30</c15:sqref>
                        </c15:formulaRef>
                      </c:ext>
                    </c:extLst>
                    <c:numCache>
                      <c:formatCode>General</c:formatCode>
                      <c:ptCount val="2"/>
                    </c:numCache>
                  </c:numRef>
                </c:val>
                <c:extLst xmlns:c15="http://schemas.microsoft.com/office/drawing/2012/chart">
                  <c:ext xmlns:c16="http://schemas.microsoft.com/office/drawing/2014/chart" uri="{C3380CC4-5D6E-409C-BE32-E72D297353CC}">
                    <c16:uniqueId val="{00000009-B5F0-4B06-8D05-EB390458843B}"/>
                  </c:ext>
                </c:extLst>
              </c15:ser>
            </c15:filteredBarSeries>
          </c:ext>
        </c:extLst>
      </c:barChart>
      <c:catAx>
        <c:axId val="7909581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n-US"/>
          </a:p>
        </c:txPr>
        <c:crossAx val="790961408"/>
        <c:crosses val="autoZero"/>
        <c:auto val="1"/>
        <c:lblAlgn val="ctr"/>
        <c:lblOffset val="100"/>
        <c:noMultiLvlLbl val="0"/>
      </c:catAx>
      <c:valAx>
        <c:axId val="790961408"/>
        <c:scaling>
          <c:orientation val="minMax"/>
          <c:min val="0"/>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90958128"/>
        <c:crossesAt val="1"/>
        <c:crossBetween val="between"/>
      </c:valAx>
      <c:spPr>
        <a:noFill/>
        <a:ln>
          <a:noFill/>
        </a:ln>
        <a:effectLst/>
      </c:spPr>
    </c:plotArea>
    <c:legend>
      <c:legendPos val="t"/>
      <c:layout>
        <c:manualLayout>
          <c:xMode val="edge"/>
          <c:yMode val="edge"/>
          <c:x val="0.16878358787806125"/>
          <c:y val="0.10208247651819531"/>
          <c:w val="0.78092145216948061"/>
          <c:h val="0.12652310298086494"/>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userShapes r:id="rId5"/>
</c:chartSpace>
</file>

<file path=word/charts/chart7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b="1"/>
              <a:t># OF VRC</a:t>
            </a:r>
            <a:r>
              <a:rPr lang="en-US" b="1" baseline="0"/>
              <a:t> USERS</a:t>
            </a:r>
            <a:endParaRPr lang="en-US" b="1"/>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Sheet1!$B$1</c:f>
              <c:strCache>
                <c:ptCount val="1"/>
                <c:pt idx="0">
                  <c:v>AK</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Sheet1!$A$2:$A$11</c:f>
              <c:strCache>
                <c:ptCount val="10"/>
                <c:pt idx="0">
                  <c:v>2017Q1</c:v>
                </c:pt>
                <c:pt idx="1">
                  <c:v>2017Q2</c:v>
                </c:pt>
                <c:pt idx="2">
                  <c:v>2017Q4</c:v>
                </c:pt>
                <c:pt idx="3">
                  <c:v>2018Q1</c:v>
                </c:pt>
                <c:pt idx="4">
                  <c:v>2018Q2</c:v>
                </c:pt>
                <c:pt idx="5">
                  <c:v>2018Q3</c:v>
                </c:pt>
                <c:pt idx="6">
                  <c:v>2018Q4</c:v>
                </c:pt>
                <c:pt idx="7">
                  <c:v>2019Q1</c:v>
                </c:pt>
                <c:pt idx="8">
                  <c:v>2019Q2</c:v>
                </c:pt>
                <c:pt idx="9">
                  <c:v>2019Q3</c:v>
                </c:pt>
              </c:strCache>
            </c:strRef>
          </c:cat>
          <c:val>
            <c:numRef>
              <c:f>Sheet1!$B$2:$B$11</c:f>
              <c:numCache>
                <c:formatCode>General</c:formatCode>
                <c:ptCount val="10"/>
                <c:pt idx="2">
                  <c:v>58</c:v>
                </c:pt>
                <c:pt idx="3">
                  <c:v>59</c:v>
                </c:pt>
                <c:pt idx="4">
                  <c:v>62</c:v>
                </c:pt>
                <c:pt idx="5">
                  <c:v>64</c:v>
                </c:pt>
                <c:pt idx="6">
                  <c:v>66</c:v>
                </c:pt>
                <c:pt idx="7">
                  <c:v>68</c:v>
                </c:pt>
                <c:pt idx="8">
                  <c:v>70</c:v>
                </c:pt>
                <c:pt idx="9">
                  <c:v>74</c:v>
                </c:pt>
              </c:numCache>
            </c:numRef>
          </c:val>
          <c:smooth val="0"/>
          <c:extLst>
            <c:ext xmlns:c16="http://schemas.microsoft.com/office/drawing/2014/chart" uri="{C3380CC4-5D6E-409C-BE32-E72D297353CC}">
              <c16:uniqueId val="{00000000-4F0D-4FCC-8AA0-B6D9748C5B08}"/>
            </c:ext>
          </c:extLst>
        </c:ser>
        <c:ser>
          <c:idx val="1"/>
          <c:order val="1"/>
          <c:tx>
            <c:strRef>
              <c:f>Sheet1!$C$1</c:f>
              <c:strCache>
                <c:ptCount val="1"/>
                <c:pt idx="0">
                  <c:v>KY</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strRef>
              <c:f>Sheet1!$A$2:$A$11</c:f>
              <c:strCache>
                <c:ptCount val="10"/>
                <c:pt idx="0">
                  <c:v>2017Q1</c:v>
                </c:pt>
                <c:pt idx="1">
                  <c:v>2017Q2</c:v>
                </c:pt>
                <c:pt idx="2">
                  <c:v>2017Q4</c:v>
                </c:pt>
                <c:pt idx="3">
                  <c:v>2018Q1</c:v>
                </c:pt>
                <c:pt idx="4">
                  <c:v>2018Q2</c:v>
                </c:pt>
                <c:pt idx="5">
                  <c:v>2018Q3</c:v>
                </c:pt>
                <c:pt idx="6">
                  <c:v>2018Q4</c:v>
                </c:pt>
                <c:pt idx="7">
                  <c:v>2019Q1</c:v>
                </c:pt>
                <c:pt idx="8">
                  <c:v>2019Q2</c:v>
                </c:pt>
                <c:pt idx="9">
                  <c:v>2019Q3</c:v>
                </c:pt>
              </c:strCache>
            </c:strRef>
          </c:cat>
          <c:val>
            <c:numRef>
              <c:f>Sheet1!$C$2:$C$11</c:f>
              <c:numCache>
                <c:formatCode>General</c:formatCode>
                <c:ptCount val="10"/>
                <c:pt idx="0">
                  <c:v>15</c:v>
                </c:pt>
                <c:pt idx="1">
                  <c:v>16</c:v>
                </c:pt>
                <c:pt idx="2">
                  <c:v>17</c:v>
                </c:pt>
                <c:pt idx="3">
                  <c:v>21</c:v>
                </c:pt>
                <c:pt idx="4">
                  <c:v>25</c:v>
                </c:pt>
                <c:pt idx="5">
                  <c:v>25</c:v>
                </c:pt>
                <c:pt idx="6">
                  <c:v>25</c:v>
                </c:pt>
                <c:pt idx="7">
                  <c:v>25</c:v>
                </c:pt>
                <c:pt idx="8">
                  <c:v>25</c:v>
                </c:pt>
                <c:pt idx="9">
                  <c:v>25</c:v>
                </c:pt>
              </c:numCache>
            </c:numRef>
          </c:val>
          <c:smooth val="0"/>
          <c:extLst>
            <c:ext xmlns:c16="http://schemas.microsoft.com/office/drawing/2014/chart" uri="{C3380CC4-5D6E-409C-BE32-E72D297353CC}">
              <c16:uniqueId val="{00000001-4F0D-4FCC-8AA0-B6D9748C5B08}"/>
            </c:ext>
          </c:extLst>
        </c:ser>
        <c:ser>
          <c:idx val="2"/>
          <c:order val="2"/>
          <c:tx>
            <c:strRef>
              <c:f>Sheet1!$D$1</c:f>
              <c:strCache>
                <c:ptCount val="1"/>
                <c:pt idx="0">
                  <c:v>NV</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strRef>
              <c:f>Sheet1!$A$2:$A$11</c:f>
              <c:strCache>
                <c:ptCount val="10"/>
                <c:pt idx="0">
                  <c:v>2017Q1</c:v>
                </c:pt>
                <c:pt idx="1">
                  <c:v>2017Q2</c:v>
                </c:pt>
                <c:pt idx="2">
                  <c:v>2017Q4</c:v>
                </c:pt>
                <c:pt idx="3">
                  <c:v>2018Q1</c:v>
                </c:pt>
                <c:pt idx="4">
                  <c:v>2018Q2</c:v>
                </c:pt>
                <c:pt idx="5">
                  <c:v>2018Q3</c:v>
                </c:pt>
                <c:pt idx="6">
                  <c:v>2018Q4</c:v>
                </c:pt>
                <c:pt idx="7">
                  <c:v>2019Q1</c:v>
                </c:pt>
                <c:pt idx="8">
                  <c:v>2019Q2</c:v>
                </c:pt>
                <c:pt idx="9">
                  <c:v>2019Q3</c:v>
                </c:pt>
              </c:strCache>
            </c:strRef>
          </c:cat>
          <c:val>
            <c:numRef>
              <c:f>Sheet1!$D$2:$D$11</c:f>
              <c:numCache>
                <c:formatCode>General</c:formatCode>
                <c:ptCount val="10"/>
                <c:pt idx="2">
                  <c:v>84</c:v>
                </c:pt>
                <c:pt idx="3">
                  <c:v>93</c:v>
                </c:pt>
                <c:pt idx="4">
                  <c:v>96</c:v>
                </c:pt>
                <c:pt idx="5">
                  <c:v>100</c:v>
                </c:pt>
                <c:pt idx="6">
                  <c:v>108</c:v>
                </c:pt>
                <c:pt idx="7">
                  <c:v>117</c:v>
                </c:pt>
                <c:pt idx="8">
                  <c:v>120</c:v>
                </c:pt>
                <c:pt idx="9">
                  <c:v>104</c:v>
                </c:pt>
              </c:numCache>
            </c:numRef>
          </c:val>
          <c:smooth val="0"/>
          <c:extLst>
            <c:ext xmlns:c16="http://schemas.microsoft.com/office/drawing/2014/chart" uri="{C3380CC4-5D6E-409C-BE32-E72D297353CC}">
              <c16:uniqueId val="{00000002-4F0D-4FCC-8AA0-B6D9748C5B08}"/>
            </c:ext>
          </c:extLst>
        </c:ser>
        <c:dLbls>
          <c:showLegendKey val="0"/>
          <c:showVal val="0"/>
          <c:showCatName val="0"/>
          <c:showSerName val="0"/>
          <c:showPercent val="0"/>
          <c:showBubbleSize val="0"/>
        </c:dLbls>
        <c:marker val="1"/>
        <c:smooth val="0"/>
        <c:axId val="389567384"/>
        <c:axId val="389568040"/>
      </c:lineChart>
      <c:catAx>
        <c:axId val="3895673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89568040"/>
        <c:crosses val="autoZero"/>
        <c:auto val="1"/>
        <c:lblAlgn val="ctr"/>
        <c:lblOffset val="100"/>
        <c:noMultiLvlLbl val="0"/>
      </c:catAx>
      <c:valAx>
        <c:axId val="38956804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8956738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7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b="1"/>
              <a:t># of Alerts per Quarter</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Sheet2!$A$2</c:f>
              <c:strCache>
                <c:ptCount val="1"/>
                <c:pt idx="0">
                  <c:v># of Alerts</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Sheet2!$B$1:$D$1</c:f>
              <c:strCache>
                <c:ptCount val="3"/>
                <c:pt idx="0">
                  <c:v>AK</c:v>
                </c:pt>
                <c:pt idx="1">
                  <c:v>KY</c:v>
                </c:pt>
                <c:pt idx="2">
                  <c:v>NV</c:v>
                </c:pt>
              </c:strCache>
            </c:strRef>
          </c:cat>
          <c:val>
            <c:numRef>
              <c:f>Sheet2!$B$2:$D$2</c:f>
              <c:numCache>
                <c:formatCode>General</c:formatCode>
                <c:ptCount val="3"/>
                <c:pt idx="0">
                  <c:v>2069</c:v>
                </c:pt>
                <c:pt idx="1">
                  <c:v>1542</c:v>
                </c:pt>
                <c:pt idx="2">
                  <c:v>2999</c:v>
                </c:pt>
              </c:numCache>
            </c:numRef>
          </c:val>
          <c:extLst>
            <c:ext xmlns:c16="http://schemas.microsoft.com/office/drawing/2014/chart" uri="{C3380CC4-5D6E-409C-BE32-E72D297353CC}">
              <c16:uniqueId val="{00000000-CC2A-45D2-B16C-6933E2C63CBA}"/>
            </c:ext>
          </c:extLst>
        </c:ser>
        <c:dLbls>
          <c:showLegendKey val="0"/>
          <c:showVal val="0"/>
          <c:showCatName val="0"/>
          <c:showSerName val="0"/>
          <c:showPercent val="0"/>
          <c:showBubbleSize val="0"/>
        </c:dLbls>
        <c:gapWidth val="219"/>
        <c:overlap val="-27"/>
        <c:axId val="551822792"/>
        <c:axId val="551819512"/>
      </c:barChart>
      <c:catAx>
        <c:axId val="5518227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51819512"/>
        <c:crosses val="autoZero"/>
        <c:auto val="1"/>
        <c:lblAlgn val="ctr"/>
        <c:lblOffset val="100"/>
        <c:noMultiLvlLbl val="0"/>
      </c:catAx>
      <c:valAx>
        <c:axId val="55181951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5182279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7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b="1"/>
              <a:t># of Clients Processed per Quarter</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clustered"/>
        <c:varyColors val="0"/>
        <c:ser>
          <c:idx val="0"/>
          <c:order val="0"/>
          <c:tx>
            <c:strRef>
              <c:f>Sheet3!$A$2</c:f>
              <c:strCache>
                <c:ptCount val="1"/>
                <c:pt idx="0">
                  <c:v># of Clients Processed</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Sheet3!$B$1:$D$1</c:f>
              <c:strCache>
                <c:ptCount val="3"/>
                <c:pt idx="0">
                  <c:v>AK</c:v>
                </c:pt>
                <c:pt idx="1">
                  <c:v>KY</c:v>
                </c:pt>
                <c:pt idx="2">
                  <c:v>NV</c:v>
                </c:pt>
              </c:strCache>
            </c:strRef>
          </c:cat>
          <c:val>
            <c:numRef>
              <c:f>Sheet3!$B$2:$D$2</c:f>
              <c:numCache>
                <c:formatCode>#,##0</c:formatCode>
                <c:ptCount val="3"/>
                <c:pt idx="0">
                  <c:v>4488</c:v>
                </c:pt>
                <c:pt idx="1">
                  <c:v>3041</c:v>
                </c:pt>
                <c:pt idx="2">
                  <c:v>12736</c:v>
                </c:pt>
              </c:numCache>
            </c:numRef>
          </c:val>
          <c:extLst>
            <c:ext xmlns:c16="http://schemas.microsoft.com/office/drawing/2014/chart" uri="{C3380CC4-5D6E-409C-BE32-E72D297353CC}">
              <c16:uniqueId val="{00000000-6F6A-4D8A-A3D0-E4B59911C102}"/>
            </c:ext>
          </c:extLst>
        </c:ser>
        <c:dLbls>
          <c:dLblPos val="inEnd"/>
          <c:showLegendKey val="0"/>
          <c:showVal val="1"/>
          <c:showCatName val="0"/>
          <c:showSerName val="0"/>
          <c:showPercent val="0"/>
          <c:showBubbleSize val="0"/>
        </c:dLbls>
        <c:gapWidth val="182"/>
        <c:axId val="398029816"/>
        <c:axId val="398028176"/>
      </c:barChart>
      <c:catAx>
        <c:axId val="39802981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98028176"/>
        <c:crosses val="autoZero"/>
        <c:auto val="1"/>
        <c:lblAlgn val="ctr"/>
        <c:lblOffset val="100"/>
        <c:noMultiLvlLbl val="0"/>
      </c:catAx>
      <c:valAx>
        <c:axId val="398028176"/>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9802981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7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b="1"/>
              <a:t>SARA Communications - Quarterly Averages</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clustered"/>
        <c:varyColors val="0"/>
        <c:ser>
          <c:idx val="0"/>
          <c:order val="0"/>
          <c:tx>
            <c:strRef>
              <c:f>Sheet4!$A$2</c:f>
              <c:strCache>
                <c:ptCount val="1"/>
                <c:pt idx="0">
                  <c:v>CLIENT Initiated Contacts</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Sheet4!$B$1:$D$1</c:f>
              <c:strCache>
                <c:ptCount val="3"/>
                <c:pt idx="0">
                  <c:v>AK</c:v>
                </c:pt>
                <c:pt idx="1">
                  <c:v>KY</c:v>
                </c:pt>
                <c:pt idx="2">
                  <c:v>NV</c:v>
                </c:pt>
              </c:strCache>
            </c:strRef>
          </c:cat>
          <c:val>
            <c:numRef>
              <c:f>Sheet4!$B$2:$D$2</c:f>
              <c:numCache>
                <c:formatCode>General</c:formatCode>
                <c:ptCount val="3"/>
                <c:pt idx="0" formatCode="#,##0">
                  <c:v>1037</c:v>
                </c:pt>
                <c:pt idx="1">
                  <c:v>204</c:v>
                </c:pt>
                <c:pt idx="2" formatCode="#,##0">
                  <c:v>1800</c:v>
                </c:pt>
              </c:numCache>
            </c:numRef>
          </c:val>
          <c:extLst>
            <c:ext xmlns:c16="http://schemas.microsoft.com/office/drawing/2014/chart" uri="{C3380CC4-5D6E-409C-BE32-E72D297353CC}">
              <c16:uniqueId val="{00000000-48C6-4CA1-9583-BC8B1DF85BA7}"/>
            </c:ext>
          </c:extLst>
        </c:ser>
        <c:ser>
          <c:idx val="1"/>
          <c:order val="1"/>
          <c:tx>
            <c:strRef>
              <c:f>Sheet4!$A$3</c:f>
              <c:strCache>
                <c:ptCount val="1"/>
                <c:pt idx="0">
                  <c:v>VRC Initiated Contacts</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Sheet4!$B$1:$D$1</c:f>
              <c:strCache>
                <c:ptCount val="3"/>
                <c:pt idx="0">
                  <c:v>AK</c:v>
                </c:pt>
                <c:pt idx="1">
                  <c:v>KY</c:v>
                </c:pt>
                <c:pt idx="2">
                  <c:v>NV</c:v>
                </c:pt>
              </c:strCache>
            </c:strRef>
          </c:cat>
          <c:val>
            <c:numRef>
              <c:f>Sheet4!$B$3:$D$3</c:f>
              <c:numCache>
                <c:formatCode>General</c:formatCode>
                <c:ptCount val="3"/>
                <c:pt idx="0" formatCode="#,##0">
                  <c:v>2449</c:v>
                </c:pt>
                <c:pt idx="1">
                  <c:v>784</c:v>
                </c:pt>
                <c:pt idx="2" formatCode="#,##0">
                  <c:v>3444</c:v>
                </c:pt>
              </c:numCache>
            </c:numRef>
          </c:val>
          <c:extLst>
            <c:ext xmlns:c16="http://schemas.microsoft.com/office/drawing/2014/chart" uri="{C3380CC4-5D6E-409C-BE32-E72D297353CC}">
              <c16:uniqueId val="{00000001-48C6-4CA1-9583-BC8B1DF85BA7}"/>
            </c:ext>
          </c:extLst>
        </c:ser>
        <c:ser>
          <c:idx val="2"/>
          <c:order val="2"/>
          <c:tx>
            <c:strRef>
              <c:f>Sheet4!$A$4</c:f>
              <c:strCache>
                <c:ptCount val="1"/>
                <c:pt idx="0">
                  <c:v>SARA Initiated Contacts</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Sheet4!$B$1:$D$1</c:f>
              <c:strCache>
                <c:ptCount val="3"/>
                <c:pt idx="0">
                  <c:v>AK</c:v>
                </c:pt>
                <c:pt idx="1">
                  <c:v>KY</c:v>
                </c:pt>
                <c:pt idx="2">
                  <c:v>NV</c:v>
                </c:pt>
              </c:strCache>
            </c:strRef>
          </c:cat>
          <c:val>
            <c:numRef>
              <c:f>Sheet4!$B$4:$D$4</c:f>
              <c:numCache>
                <c:formatCode>#,##0</c:formatCode>
                <c:ptCount val="3"/>
                <c:pt idx="0">
                  <c:v>2857</c:v>
                </c:pt>
                <c:pt idx="1">
                  <c:v>1835</c:v>
                </c:pt>
                <c:pt idx="2">
                  <c:v>17953</c:v>
                </c:pt>
              </c:numCache>
            </c:numRef>
          </c:val>
          <c:extLst>
            <c:ext xmlns:c16="http://schemas.microsoft.com/office/drawing/2014/chart" uri="{C3380CC4-5D6E-409C-BE32-E72D297353CC}">
              <c16:uniqueId val="{00000002-48C6-4CA1-9583-BC8B1DF85BA7}"/>
            </c:ext>
          </c:extLst>
        </c:ser>
        <c:dLbls>
          <c:showLegendKey val="0"/>
          <c:showVal val="0"/>
          <c:showCatName val="0"/>
          <c:showSerName val="0"/>
          <c:showPercent val="0"/>
          <c:showBubbleSize val="0"/>
        </c:dLbls>
        <c:gapWidth val="182"/>
        <c:axId val="396079144"/>
        <c:axId val="396080128"/>
      </c:barChart>
      <c:catAx>
        <c:axId val="39607914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96080128"/>
        <c:crosses val="autoZero"/>
        <c:auto val="1"/>
        <c:lblAlgn val="ctr"/>
        <c:lblOffset val="100"/>
        <c:noMultiLvlLbl val="0"/>
      </c:catAx>
      <c:valAx>
        <c:axId val="396080128"/>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960791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4"/>
    </mc:Choice>
    <mc:Fallback>
      <c:style val="4"/>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Topic Area - Pre-ETS </a:t>
            </a:r>
            <a:br>
              <a:rPr lang="en-US"/>
            </a:br>
            <a:r>
              <a:rPr lang="en-US"/>
              <a:t>Activity #1</a:t>
            </a:r>
          </a:p>
        </c:rich>
      </c:tx>
      <c:layout>
        <c:manualLayout>
          <c:xMode val="edge"/>
          <c:yMode val="edge"/>
          <c:x val="0.15852625564661557"/>
          <c:y val="1.4306151645207439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6017916604892113"/>
          <c:y val="0.23265365094271845"/>
          <c:w val="0.78942722632790041"/>
          <c:h val="0.66602748393145406"/>
        </c:manualLayout>
      </c:layout>
      <c:barChart>
        <c:barDir val="col"/>
        <c:grouping val="percentStacked"/>
        <c:varyColors val="0"/>
        <c:ser>
          <c:idx val="3"/>
          <c:order val="3"/>
          <c:tx>
            <c:strRef>
              <c:f>'individual-chart-pre-ets'!$F$2</c:f>
              <c:strCache>
                <c:ptCount val="1"/>
                <c:pt idx="0">
                  <c:v>Completed</c:v>
                </c:pt>
              </c:strCache>
            </c:strRef>
          </c:tx>
          <c:spPr>
            <a:solidFill>
              <a:srgbClr val="99221F"/>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800" b="0"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'individual-chart-pre-ets'!$B$3:$B$10</c:f>
              <c:strCache>
                <c:ptCount val="2"/>
                <c:pt idx="0">
                  <c:v>Activity</c:v>
                </c:pt>
                <c:pt idx="1">
                  <c:v>Outputs</c:v>
                </c:pt>
              </c:strCache>
              <c:extLst/>
            </c:strRef>
          </c:cat>
          <c:val>
            <c:numRef>
              <c:f>'individual-chart-pre-ets'!$F$3:$F$10</c:f>
              <c:numCache>
                <c:formatCode>0%</c:formatCode>
                <c:ptCount val="2"/>
                <c:pt idx="0">
                  <c:v>0.84375</c:v>
                </c:pt>
                <c:pt idx="1">
                  <c:v>0.84375</c:v>
                </c:pt>
              </c:numCache>
              <c:extLst/>
            </c:numRef>
          </c:val>
          <c:extLst>
            <c:ext xmlns:c16="http://schemas.microsoft.com/office/drawing/2014/chart" uri="{C3380CC4-5D6E-409C-BE32-E72D297353CC}">
              <c16:uniqueId val="{00000000-3C3E-415C-B1AD-39B37709A0D8}"/>
            </c:ext>
          </c:extLst>
        </c:ser>
        <c:ser>
          <c:idx val="4"/>
          <c:order val="4"/>
          <c:tx>
            <c:strRef>
              <c:f>'individual-chart-pre-ets'!$G$2</c:f>
              <c:strCache>
                <c:ptCount val="1"/>
                <c:pt idx="0">
                  <c:v>90%</c:v>
                </c:pt>
              </c:strCache>
            </c:strRef>
          </c:tx>
          <c:spPr>
            <a:solidFill>
              <a:srgbClr val="D73D39"/>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'individual-chart-pre-ets'!$B$3:$B$10</c:f>
              <c:strCache>
                <c:ptCount val="2"/>
                <c:pt idx="0">
                  <c:v>Activity</c:v>
                </c:pt>
                <c:pt idx="1">
                  <c:v>Outputs</c:v>
                </c:pt>
              </c:strCache>
              <c:extLst/>
            </c:strRef>
          </c:cat>
          <c:val>
            <c:numRef>
              <c:f>'individual-chart-pre-ets'!$G$3:$G$10</c:f>
              <c:numCache>
                <c:formatCode>General</c:formatCode>
                <c:ptCount val="2"/>
              </c:numCache>
              <c:extLst/>
            </c:numRef>
          </c:val>
          <c:extLst>
            <c:ext xmlns:c16="http://schemas.microsoft.com/office/drawing/2014/chart" uri="{C3380CC4-5D6E-409C-BE32-E72D297353CC}">
              <c16:uniqueId val="{00000001-3C3E-415C-B1AD-39B37709A0D8}"/>
            </c:ext>
          </c:extLst>
        </c:ser>
        <c:ser>
          <c:idx val="5"/>
          <c:order val="5"/>
          <c:tx>
            <c:strRef>
              <c:f>'individual-chart-pre-ets'!$H$2</c:f>
              <c:strCache>
                <c:ptCount val="1"/>
                <c:pt idx="0">
                  <c:v>75%</c:v>
                </c:pt>
              </c:strCache>
            </c:strRef>
          </c:tx>
          <c:spPr>
            <a:solidFill>
              <a:srgbClr val="DC5350"/>
            </a:solidFill>
            <a:ln>
              <a:noFill/>
            </a:ln>
            <a:effectLst/>
          </c:spPr>
          <c:invertIfNegative val="0"/>
          <c:dLbls>
            <c:dLbl>
              <c:idx val="0"/>
              <c:layout>
                <c:manualLayout>
                  <c:x val="-7.5656167979003047E-3"/>
                  <c:y val="5.397366585800545E-3"/>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3C3E-415C-B1AD-39B37709A0D8}"/>
                </c:ext>
              </c:extLst>
            </c:dLbl>
            <c:dLbl>
              <c:idx val="1"/>
              <c:layout>
                <c:manualLayout>
                  <c:x val="1.5970399533389963E-3"/>
                  <c:y val="2.523340903355997E-3"/>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3C3E-415C-B1AD-39B37709A0D8}"/>
                </c:ext>
              </c:extLst>
            </c:dLbl>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'individual-chart-pre-ets'!$B$3:$B$10</c:f>
              <c:strCache>
                <c:ptCount val="2"/>
                <c:pt idx="0">
                  <c:v>Activity</c:v>
                </c:pt>
                <c:pt idx="1">
                  <c:v>Outputs</c:v>
                </c:pt>
              </c:strCache>
              <c:extLst/>
            </c:strRef>
          </c:cat>
          <c:val>
            <c:numRef>
              <c:f>'individual-chart-pre-ets'!$H$3:$H$10</c:f>
              <c:numCache>
                <c:formatCode>0%</c:formatCode>
                <c:ptCount val="2"/>
                <c:pt idx="0">
                  <c:v>6.25E-2</c:v>
                </c:pt>
                <c:pt idx="1">
                  <c:v>6.25E-2</c:v>
                </c:pt>
              </c:numCache>
              <c:extLst/>
            </c:numRef>
          </c:val>
          <c:extLst>
            <c:ext xmlns:c16="http://schemas.microsoft.com/office/drawing/2014/chart" uri="{C3380CC4-5D6E-409C-BE32-E72D297353CC}">
              <c16:uniqueId val="{00000004-3C3E-415C-B1AD-39B37709A0D8}"/>
            </c:ext>
          </c:extLst>
        </c:ser>
        <c:ser>
          <c:idx val="6"/>
          <c:order val="6"/>
          <c:tx>
            <c:strRef>
              <c:f>'individual-chart-pre-ets'!$I$2</c:f>
              <c:strCache>
                <c:ptCount val="1"/>
                <c:pt idx="0">
                  <c:v>50%</c:v>
                </c:pt>
              </c:strCache>
            </c:strRef>
          </c:tx>
          <c:spPr>
            <a:solidFill>
              <a:srgbClr val="EBA19F"/>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'individual-chart-pre-ets'!$B$3:$B$10</c:f>
              <c:strCache>
                <c:ptCount val="2"/>
                <c:pt idx="0">
                  <c:v>Activity</c:v>
                </c:pt>
                <c:pt idx="1">
                  <c:v>Outputs</c:v>
                </c:pt>
              </c:strCache>
              <c:extLst/>
            </c:strRef>
          </c:cat>
          <c:val>
            <c:numRef>
              <c:f>'individual-chart-pre-ets'!$I$3:$I$10</c:f>
              <c:numCache>
                <c:formatCode>General</c:formatCode>
                <c:ptCount val="2"/>
              </c:numCache>
              <c:extLst/>
            </c:numRef>
          </c:val>
          <c:extLst>
            <c:ext xmlns:c16="http://schemas.microsoft.com/office/drawing/2014/chart" uri="{C3380CC4-5D6E-409C-BE32-E72D297353CC}">
              <c16:uniqueId val="{00000005-3C3E-415C-B1AD-39B37709A0D8}"/>
            </c:ext>
          </c:extLst>
        </c:ser>
        <c:ser>
          <c:idx val="7"/>
          <c:order val="7"/>
          <c:tx>
            <c:strRef>
              <c:f>'individual-chart-pre-ets'!$J$2</c:f>
              <c:strCache>
                <c:ptCount val="1"/>
                <c:pt idx="0">
                  <c:v>25%</c:v>
                </c:pt>
              </c:strCache>
            </c:strRef>
          </c:tx>
          <c:spPr>
            <a:solidFill>
              <a:srgbClr val="F3C6C5"/>
            </a:solidFill>
            <a:ln>
              <a:noFill/>
            </a:ln>
            <a:effectLst/>
          </c:spPr>
          <c:invertIfNegative val="0"/>
          <c:dLbls>
            <c:dLbl>
              <c:idx val="0"/>
              <c:layout>
                <c:manualLayout>
                  <c:x val="-7.4201662292213049E-3"/>
                  <c:y val="-4.6260715487127907E-17"/>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3C3E-415C-B1AD-39B37709A0D8}"/>
                </c:ext>
              </c:extLst>
            </c:dLbl>
            <c:dLbl>
              <c:idx val="1"/>
              <c:layout>
                <c:manualLayout>
                  <c:x val="-7.5656167979001772E-3"/>
                  <c:y val="-4.6260715487127907E-17"/>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3C3E-415C-B1AD-39B37709A0D8}"/>
                </c:ext>
              </c:extLst>
            </c:dLbl>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'individual-chart-pre-ets'!$B$3:$B$10</c:f>
              <c:strCache>
                <c:ptCount val="2"/>
                <c:pt idx="0">
                  <c:v>Activity</c:v>
                </c:pt>
                <c:pt idx="1">
                  <c:v>Outputs</c:v>
                </c:pt>
              </c:strCache>
              <c:extLst/>
            </c:strRef>
          </c:cat>
          <c:val>
            <c:numRef>
              <c:f>'individual-chart-pre-ets'!$J$3:$J$10</c:f>
              <c:numCache>
                <c:formatCode>0%</c:formatCode>
                <c:ptCount val="2"/>
                <c:pt idx="0">
                  <c:v>9.375E-2</c:v>
                </c:pt>
                <c:pt idx="1">
                  <c:v>6.25E-2</c:v>
                </c:pt>
              </c:numCache>
              <c:extLst/>
            </c:numRef>
          </c:val>
          <c:extLst>
            <c:ext xmlns:c16="http://schemas.microsoft.com/office/drawing/2014/chart" uri="{C3380CC4-5D6E-409C-BE32-E72D297353CC}">
              <c16:uniqueId val="{00000008-3C3E-415C-B1AD-39B37709A0D8}"/>
            </c:ext>
          </c:extLst>
        </c:ser>
        <c:ser>
          <c:idx val="8"/>
          <c:order val="8"/>
          <c:tx>
            <c:strRef>
              <c:f>'individual-chart-pre-ets'!$K$2</c:f>
              <c:strCache>
                <c:ptCount val="1"/>
                <c:pt idx="0">
                  <c:v>10%</c:v>
                </c:pt>
              </c:strCache>
            </c:strRef>
          </c:tx>
          <c:spPr>
            <a:solidFill>
              <a:schemeClr val="accent2">
                <a:tint val="56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'individual-chart-pre-ets'!$B$3:$B$10</c:f>
              <c:strCache>
                <c:ptCount val="2"/>
                <c:pt idx="0">
                  <c:v>Activity</c:v>
                </c:pt>
                <c:pt idx="1">
                  <c:v>Outputs</c:v>
                </c:pt>
              </c:strCache>
              <c:extLst/>
            </c:strRef>
          </c:cat>
          <c:val>
            <c:numRef>
              <c:f>'individual-chart-pre-ets'!$K$3:$K$10</c:f>
              <c:numCache>
                <c:formatCode>General</c:formatCode>
                <c:ptCount val="2"/>
              </c:numCache>
              <c:extLst/>
            </c:numRef>
          </c:val>
          <c:extLst>
            <c:ext xmlns:c16="http://schemas.microsoft.com/office/drawing/2014/chart" uri="{C3380CC4-5D6E-409C-BE32-E72D297353CC}">
              <c16:uniqueId val="{00000009-3C3E-415C-B1AD-39B37709A0D8}"/>
            </c:ext>
          </c:extLst>
        </c:ser>
        <c:ser>
          <c:idx val="9"/>
          <c:order val="9"/>
          <c:tx>
            <c:strRef>
              <c:f>'individual-chart-pre-ets'!$L$2</c:f>
              <c:strCache>
                <c:ptCount val="1"/>
                <c:pt idx="0">
                  <c:v>Not Started</c:v>
                </c:pt>
              </c:strCache>
            </c:strRef>
          </c:tx>
          <c:spPr>
            <a:solidFill>
              <a:srgbClr val="FCF2F2"/>
            </a:solidFill>
            <a:ln>
              <a:noFill/>
            </a:ln>
            <a:effectLst/>
          </c:spPr>
          <c:invertIfNegative val="0"/>
          <c:dLbls>
            <c:dLbl>
              <c:idx val="1"/>
              <c:layout>
                <c:manualLayout>
                  <c:x val="1.5485564304462791E-3"/>
                  <c:y val="0"/>
                </c:manualLayout>
              </c:layout>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3C3E-415C-B1AD-39B37709A0D8}"/>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'individual-chart-pre-ets'!$B$3:$B$10</c:f>
              <c:strCache>
                <c:ptCount val="2"/>
                <c:pt idx="0">
                  <c:v>Activity</c:v>
                </c:pt>
                <c:pt idx="1">
                  <c:v>Outputs</c:v>
                </c:pt>
              </c:strCache>
              <c:extLst/>
            </c:strRef>
          </c:cat>
          <c:val>
            <c:numRef>
              <c:f>'individual-chart-pre-ets'!$L$3:$L$10</c:f>
              <c:numCache>
                <c:formatCode>0%</c:formatCode>
                <c:ptCount val="2"/>
                <c:pt idx="1">
                  <c:v>3.125E-2</c:v>
                </c:pt>
              </c:numCache>
              <c:extLst/>
            </c:numRef>
          </c:val>
          <c:extLst>
            <c:ext xmlns:c16="http://schemas.microsoft.com/office/drawing/2014/chart" uri="{C3380CC4-5D6E-409C-BE32-E72D297353CC}">
              <c16:uniqueId val="{0000000B-3C3E-415C-B1AD-39B37709A0D8}"/>
            </c:ext>
          </c:extLst>
        </c:ser>
        <c:dLbls>
          <c:dLblPos val="ctr"/>
          <c:showLegendKey val="0"/>
          <c:showVal val="1"/>
          <c:showCatName val="0"/>
          <c:showSerName val="0"/>
          <c:showPercent val="0"/>
          <c:showBubbleSize val="0"/>
        </c:dLbls>
        <c:gapWidth val="150"/>
        <c:overlap val="100"/>
        <c:axId val="790958128"/>
        <c:axId val="790961408"/>
        <c:extLst>
          <c:ext xmlns:c15="http://schemas.microsoft.com/office/drawing/2012/chart" uri="{02D57815-91ED-43cb-92C2-25804820EDAC}">
            <c15:filteredBarSeries>
              <c15:ser>
                <c:idx val="0"/>
                <c:order val="0"/>
                <c:tx>
                  <c:strRef>
                    <c:extLst>
                      <c:ext uri="{02D57815-91ED-43cb-92C2-25804820EDAC}">
                        <c15:formulaRef>
                          <c15:sqref>'individual-chart-pre-ets'!$C$2</c15:sqref>
                        </c15:formulaRef>
                      </c:ext>
                    </c:extLst>
                    <c:strCache>
                      <c:ptCount val="1"/>
                      <c:pt idx="0">
                        <c:v>Completed</c:v>
                      </c:pt>
                    </c:strCache>
                  </c:strRef>
                </c:tx>
                <c:spPr>
                  <a:solidFill>
                    <a:schemeClr val="accent2">
                      <a:shade val="42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c:ext uri="{02D57815-91ED-43cb-92C2-25804820EDAC}">
                        <c15:formulaRef>
                          <c15:sqref>'individual-chart-pre-ets'!$B$3:$B$10</c15:sqref>
                        </c15:formulaRef>
                      </c:ext>
                    </c:extLst>
                    <c:strCache>
                      <c:ptCount val="2"/>
                      <c:pt idx="0">
                        <c:v>Activity</c:v>
                      </c:pt>
                      <c:pt idx="1">
                        <c:v>Outputs</c:v>
                      </c:pt>
                    </c:strCache>
                  </c:strRef>
                </c:cat>
                <c:val>
                  <c:numRef>
                    <c:extLst>
                      <c:ext uri="{02D57815-91ED-43cb-92C2-25804820EDAC}">
                        <c15:formulaRef>
                          <c15:sqref>'individual-chart-pre-ets'!$C$3:$C$10</c15:sqref>
                        </c15:formulaRef>
                      </c:ext>
                    </c:extLst>
                    <c:numCache>
                      <c:formatCode>0%</c:formatCode>
                      <c:ptCount val="2"/>
                      <c:pt idx="0">
                        <c:v>0.84375</c:v>
                      </c:pt>
                      <c:pt idx="1">
                        <c:v>0.84375</c:v>
                      </c:pt>
                    </c:numCache>
                  </c:numRef>
                </c:val>
                <c:extLst>
                  <c:ext xmlns:c16="http://schemas.microsoft.com/office/drawing/2014/chart" uri="{C3380CC4-5D6E-409C-BE32-E72D297353CC}">
                    <c16:uniqueId val="{0000000C-3C3E-415C-B1AD-39B37709A0D8}"/>
                  </c:ext>
                </c:extLst>
              </c15:ser>
            </c15:filteredBarSeries>
            <c15:filteredBarSeries>
              <c15:ser>
                <c:idx val="1"/>
                <c:order val="1"/>
                <c:tx>
                  <c:strRef>
                    <c:extLst xmlns:c15="http://schemas.microsoft.com/office/drawing/2012/chart">
                      <c:ext xmlns:c15="http://schemas.microsoft.com/office/drawing/2012/chart" uri="{02D57815-91ED-43cb-92C2-25804820EDAC}">
                        <c15:formulaRef>
                          <c15:sqref>'individual-chart-pre-ets'!$D$2</c15:sqref>
                        </c15:formulaRef>
                      </c:ext>
                    </c:extLst>
                    <c:strCache>
                      <c:ptCount val="1"/>
                      <c:pt idx="0">
                        <c:v>In progress</c:v>
                      </c:pt>
                    </c:strCache>
                  </c:strRef>
                </c:tx>
                <c:spPr>
                  <a:solidFill>
                    <a:schemeClr val="accent2">
                      <a:shade val="5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'individual-chart-pre-ets'!$B$3:$B$10</c15:sqref>
                        </c15:formulaRef>
                      </c:ext>
                    </c:extLst>
                    <c:strCache>
                      <c:ptCount val="2"/>
                      <c:pt idx="0">
                        <c:v>Activity</c:v>
                      </c:pt>
                      <c:pt idx="1">
                        <c:v>Outputs</c:v>
                      </c:pt>
                    </c:strCache>
                  </c:strRef>
                </c:cat>
                <c:val>
                  <c:numRef>
                    <c:extLst xmlns:c15="http://schemas.microsoft.com/office/drawing/2012/chart">
                      <c:ext xmlns:c15="http://schemas.microsoft.com/office/drawing/2012/chart" uri="{02D57815-91ED-43cb-92C2-25804820EDAC}">
                        <c15:formulaRef>
                          <c15:sqref>'individual-chart-pre-ets'!$D$3:$D$10</c15:sqref>
                        </c15:formulaRef>
                      </c:ext>
                    </c:extLst>
                    <c:numCache>
                      <c:formatCode>0%</c:formatCode>
                      <c:ptCount val="2"/>
                      <c:pt idx="0">
                        <c:v>0.15625</c:v>
                      </c:pt>
                      <c:pt idx="1">
                        <c:v>0.125</c:v>
                      </c:pt>
                    </c:numCache>
                  </c:numRef>
                </c:val>
                <c:extLst xmlns:c15="http://schemas.microsoft.com/office/drawing/2012/chart">
                  <c:ext xmlns:c16="http://schemas.microsoft.com/office/drawing/2014/chart" uri="{C3380CC4-5D6E-409C-BE32-E72D297353CC}">
                    <c16:uniqueId val="{0000000D-3C3E-415C-B1AD-39B37709A0D8}"/>
                  </c:ext>
                </c:extLst>
              </c15:ser>
            </c15:filteredBarSeries>
            <c15:filteredBarSeries>
              <c15:ser>
                <c:idx val="2"/>
                <c:order val="2"/>
                <c:tx>
                  <c:strRef>
                    <c:extLst xmlns:c15="http://schemas.microsoft.com/office/drawing/2012/chart">
                      <c:ext xmlns:c15="http://schemas.microsoft.com/office/drawing/2012/chart" uri="{02D57815-91ED-43cb-92C2-25804820EDAC}">
                        <c15:formulaRef>
                          <c15:sqref>'individual-chart-pre-ets'!$E$2</c15:sqref>
                        </c15:formulaRef>
                      </c:ext>
                    </c:extLst>
                    <c:strCache>
                      <c:ptCount val="1"/>
                      <c:pt idx="0">
                        <c:v>Not started</c:v>
                      </c:pt>
                    </c:strCache>
                  </c:strRef>
                </c:tx>
                <c:spPr>
                  <a:solidFill>
                    <a:schemeClr val="accent2">
                      <a:shade val="68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'individual-chart-pre-ets'!$B$3:$B$10</c15:sqref>
                        </c15:formulaRef>
                      </c:ext>
                    </c:extLst>
                    <c:strCache>
                      <c:ptCount val="2"/>
                      <c:pt idx="0">
                        <c:v>Activity</c:v>
                      </c:pt>
                      <c:pt idx="1">
                        <c:v>Outputs</c:v>
                      </c:pt>
                    </c:strCache>
                  </c:strRef>
                </c:cat>
                <c:val>
                  <c:numRef>
                    <c:extLst xmlns:c15="http://schemas.microsoft.com/office/drawing/2012/chart">
                      <c:ext xmlns:c15="http://schemas.microsoft.com/office/drawing/2012/chart" uri="{02D57815-91ED-43cb-92C2-25804820EDAC}">
                        <c15:formulaRef>
                          <c15:sqref>'individual-chart-pre-ets'!$E$3:$E$10</c15:sqref>
                        </c15:formulaRef>
                      </c:ext>
                    </c:extLst>
                    <c:numCache>
                      <c:formatCode>0%</c:formatCode>
                      <c:ptCount val="2"/>
                      <c:pt idx="1">
                        <c:v>3.125E-2</c:v>
                      </c:pt>
                    </c:numCache>
                  </c:numRef>
                </c:val>
                <c:extLst xmlns:c15="http://schemas.microsoft.com/office/drawing/2012/chart">
                  <c:ext xmlns:c16="http://schemas.microsoft.com/office/drawing/2014/chart" uri="{C3380CC4-5D6E-409C-BE32-E72D297353CC}">
                    <c16:uniqueId val="{0000000E-3C3E-415C-B1AD-39B37709A0D8}"/>
                  </c:ext>
                </c:extLst>
              </c15:ser>
            </c15:filteredBarSeries>
          </c:ext>
        </c:extLst>
      </c:barChart>
      <c:catAx>
        <c:axId val="7909581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n-US"/>
          </a:p>
        </c:txPr>
        <c:crossAx val="790961408"/>
        <c:crosses val="autoZero"/>
        <c:auto val="1"/>
        <c:lblAlgn val="ctr"/>
        <c:lblOffset val="100"/>
        <c:noMultiLvlLbl val="0"/>
      </c:catAx>
      <c:valAx>
        <c:axId val="790961408"/>
        <c:scaling>
          <c:orientation val="minMax"/>
          <c:min val="0"/>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90958128"/>
        <c:crossesAt val="1"/>
        <c:crossBetween val="between"/>
      </c:valAx>
      <c:spPr>
        <a:noFill/>
        <a:ln>
          <a:noFill/>
        </a:ln>
        <a:effectLst/>
      </c:spPr>
    </c:plotArea>
    <c:legend>
      <c:legendPos val="t"/>
      <c:layout>
        <c:manualLayout>
          <c:xMode val="edge"/>
          <c:yMode val="edge"/>
          <c:x val="0.16878354491402861"/>
          <c:y val="0.14071530758226036"/>
          <c:w val="0.78488188976377948"/>
          <c:h val="8.3691663005643596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userShapes r:id="rId5"/>
</c:chartSpace>
</file>

<file path=word/charts/chart8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b="1"/>
              <a:t>SARA Capture of</a:t>
            </a:r>
            <a:r>
              <a:rPr lang="en-US" b="1" baseline="0"/>
              <a:t> CPM 4 and CPM 5</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Sheet5!$B$1</c:f>
              <c:strCache>
                <c:ptCount val="1"/>
                <c:pt idx="0">
                  <c:v>AK</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Sheet5!$A$2:$A$3</c:f>
              <c:strCache>
                <c:ptCount val="2"/>
                <c:pt idx="0">
                  <c:v>CPM4 - Credentials1</c:v>
                </c:pt>
                <c:pt idx="1">
                  <c:v>CPM5 - Measurable Skills Gain2</c:v>
                </c:pt>
              </c:strCache>
            </c:strRef>
          </c:cat>
          <c:val>
            <c:numRef>
              <c:f>Sheet5!$B$2:$B$3</c:f>
              <c:numCache>
                <c:formatCode>General</c:formatCode>
                <c:ptCount val="2"/>
                <c:pt idx="0">
                  <c:v>112</c:v>
                </c:pt>
                <c:pt idx="1">
                  <c:v>9</c:v>
                </c:pt>
              </c:numCache>
            </c:numRef>
          </c:val>
          <c:extLst>
            <c:ext xmlns:c16="http://schemas.microsoft.com/office/drawing/2014/chart" uri="{C3380CC4-5D6E-409C-BE32-E72D297353CC}">
              <c16:uniqueId val="{00000000-C77E-4E9D-9F6B-06A6D118CA7C}"/>
            </c:ext>
          </c:extLst>
        </c:ser>
        <c:ser>
          <c:idx val="1"/>
          <c:order val="1"/>
          <c:tx>
            <c:strRef>
              <c:f>Sheet5!$C$1</c:f>
              <c:strCache>
                <c:ptCount val="1"/>
                <c:pt idx="0">
                  <c:v>KY</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Sheet5!$A$2:$A$3</c:f>
              <c:strCache>
                <c:ptCount val="2"/>
                <c:pt idx="0">
                  <c:v>CPM4 - Credentials1</c:v>
                </c:pt>
                <c:pt idx="1">
                  <c:v>CPM5 - Measurable Skills Gain2</c:v>
                </c:pt>
              </c:strCache>
            </c:strRef>
          </c:cat>
          <c:val>
            <c:numRef>
              <c:f>Sheet5!$C$2:$C$3</c:f>
              <c:numCache>
                <c:formatCode>General</c:formatCode>
                <c:ptCount val="2"/>
                <c:pt idx="0">
                  <c:v>179</c:v>
                </c:pt>
                <c:pt idx="1">
                  <c:v>68</c:v>
                </c:pt>
              </c:numCache>
            </c:numRef>
          </c:val>
          <c:extLst>
            <c:ext xmlns:c16="http://schemas.microsoft.com/office/drawing/2014/chart" uri="{C3380CC4-5D6E-409C-BE32-E72D297353CC}">
              <c16:uniqueId val="{00000001-C77E-4E9D-9F6B-06A6D118CA7C}"/>
            </c:ext>
          </c:extLst>
        </c:ser>
        <c:ser>
          <c:idx val="2"/>
          <c:order val="2"/>
          <c:tx>
            <c:strRef>
              <c:f>Sheet5!$D$1</c:f>
              <c:strCache>
                <c:ptCount val="1"/>
                <c:pt idx="0">
                  <c:v>NV</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Sheet5!$A$2:$A$3</c:f>
              <c:strCache>
                <c:ptCount val="2"/>
                <c:pt idx="0">
                  <c:v>CPM4 - Credentials1</c:v>
                </c:pt>
                <c:pt idx="1">
                  <c:v>CPM5 - Measurable Skills Gain2</c:v>
                </c:pt>
              </c:strCache>
            </c:strRef>
          </c:cat>
          <c:val>
            <c:numRef>
              <c:f>Sheet5!$D$2:$D$3</c:f>
              <c:numCache>
                <c:formatCode>General</c:formatCode>
                <c:ptCount val="2"/>
                <c:pt idx="0">
                  <c:v>264</c:v>
                </c:pt>
                <c:pt idx="1">
                  <c:v>50</c:v>
                </c:pt>
              </c:numCache>
            </c:numRef>
          </c:val>
          <c:extLst>
            <c:ext xmlns:c16="http://schemas.microsoft.com/office/drawing/2014/chart" uri="{C3380CC4-5D6E-409C-BE32-E72D297353CC}">
              <c16:uniqueId val="{00000002-C77E-4E9D-9F6B-06A6D118CA7C}"/>
            </c:ext>
          </c:extLst>
        </c:ser>
        <c:dLbls>
          <c:showLegendKey val="0"/>
          <c:showVal val="0"/>
          <c:showCatName val="0"/>
          <c:showSerName val="0"/>
          <c:showPercent val="0"/>
          <c:showBubbleSize val="0"/>
        </c:dLbls>
        <c:gapWidth val="219"/>
        <c:overlap val="-27"/>
        <c:axId val="396090296"/>
        <c:axId val="396098168"/>
      </c:barChart>
      <c:catAx>
        <c:axId val="3960902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96098168"/>
        <c:crosses val="autoZero"/>
        <c:auto val="1"/>
        <c:lblAlgn val="ctr"/>
        <c:lblOffset val="100"/>
        <c:noMultiLvlLbl val="0"/>
      </c:catAx>
      <c:valAx>
        <c:axId val="39609816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9609029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8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b="1"/>
              <a:t>SARA</a:t>
            </a:r>
            <a:r>
              <a:rPr lang="en-US" b="1" baseline="0"/>
              <a:t> Capture of CPM 6: Employer Data</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clustered"/>
        <c:varyColors val="0"/>
        <c:ser>
          <c:idx val="0"/>
          <c:order val="0"/>
          <c:tx>
            <c:strRef>
              <c:f>Sheet6!$A$2</c:f>
              <c:strCache>
                <c:ptCount val="1"/>
                <c:pt idx="0">
                  <c:v>Total # of Employers</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Sheet6!$B$1:$D$1</c:f>
              <c:strCache>
                <c:ptCount val="3"/>
                <c:pt idx="0">
                  <c:v>AK</c:v>
                </c:pt>
                <c:pt idx="1">
                  <c:v>KY</c:v>
                </c:pt>
                <c:pt idx="2">
                  <c:v>NV</c:v>
                </c:pt>
              </c:strCache>
            </c:strRef>
          </c:cat>
          <c:val>
            <c:numRef>
              <c:f>Sheet6!$B$2:$D$2</c:f>
              <c:numCache>
                <c:formatCode>General</c:formatCode>
                <c:ptCount val="3"/>
                <c:pt idx="0">
                  <c:v>73</c:v>
                </c:pt>
                <c:pt idx="1">
                  <c:v>133</c:v>
                </c:pt>
                <c:pt idx="2">
                  <c:v>261</c:v>
                </c:pt>
              </c:numCache>
            </c:numRef>
          </c:val>
          <c:extLst>
            <c:ext xmlns:c16="http://schemas.microsoft.com/office/drawing/2014/chart" uri="{C3380CC4-5D6E-409C-BE32-E72D297353CC}">
              <c16:uniqueId val="{00000000-A3CF-42BE-A2E3-748238E4829F}"/>
            </c:ext>
          </c:extLst>
        </c:ser>
        <c:ser>
          <c:idx val="1"/>
          <c:order val="1"/>
          <c:tx>
            <c:strRef>
              <c:f>Sheet6!$A$3</c:f>
              <c:strCache>
                <c:ptCount val="1"/>
                <c:pt idx="0">
                  <c:v># of Repeat Employers</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Sheet6!$B$1:$D$1</c:f>
              <c:strCache>
                <c:ptCount val="3"/>
                <c:pt idx="0">
                  <c:v>AK</c:v>
                </c:pt>
                <c:pt idx="1">
                  <c:v>KY</c:v>
                </c:pt>
                <c:pt idx="2">
                  <c:v>NV</c:v>
                </c:pt>
              </c:strCache>
            </c:strRef>
          </c:cat>
          <c:val>
            <c:numRef>
              <c:f>Sheet6!$B$3:$D$3</c:f>
              <c:numCache>
                <c:formatCode>General</c:formatCode>
                <c:ptCount val="3"/>
                <c:pt idx="0">
                  <c:v>5</c:v>
                </c:pt>
                <c:pt idx="1">
                  <c:v>9</c:v>
                </c:pt>
                <c:pt idx="2">
                  <c:v>35</c:v>
                </c:pt>
              </c:numCache>
            </c:numRef>
          </c:val>
          <c:extLst>
            <c:ext xmlns:c16="http://schemas.microsoft.com/office/drawing/2014/chart" uri="{C3380CC4-5D6E-409C-BE32-E72D297353CC}">
              <c16:uniqueId val="{00000001-A3CF-42BE-A2E3-748238E4829F}"/>
            </c:ext>
          </c:extLst>
        </c:ser>
        <c:dLbls>
          <c:showLegendKey val="0"/>
          <c:showVal val="0"/>
          <c:showCatName val="0"/>
          <c:showSerName val="0"/>
          <c:showPercent val="0"/>
          <c:showBubbleSize val="0"/>
        </c:dLbls>
        <c:gapWidth val="182"/>
        <c:axId val="619954584"/>
        <c:axId val="619956880"/>
      </c:barChart>
      <c:catAx>
        <c:axId val="61995458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19956880"/>
        <c:crosses val="autoZero"/>
        <c:auto val="1"/>
        <c:lblAlgn val="ctr"/>
        <c:lblOffset val="100"/>
        <c:noMultiLvlLbl val="0"/>
      </c:catAx>
      <c:valAx>
        <c:axId val="619956880"/>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1995458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8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b="1"/>
              <a:t>SARA Capture</a:t>
            </a:r>
            <a:r>
              <a:rPr lang="en-US" b="1" baseline="0"/>
              <a:t> of </a:t>
            </a:r>
            <a:r>
              <a:rPr lang="en-US" b="1"/>
              <a:t>Co-Enrollment Data</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cked"/>
        <c:varyColors val="0"/>
        <c:ser>
          <c:idx val="0"/>
          <c:order val="0"/>
          <c:tx>
            <c:strRef>
              <c:f>Sheet7!$A$2</c:f>
              <c:strCache>
                <c:ptCount val="1"/>
                <c:pt idx="0">
                  <c:v>Co-Enrollment</c:v>
                </c:pt>
              </c:strCache>
            </c:strRef>
          </c:tx>
          <c:spPr>
            <a:solidFill>
              <a:schemeClr val="accent1"/>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1400" b="0"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Sheet7!$B$1:$D$1</c:f>
              <c:strCache>
                <c:ptCount val="3"/>
                <c:pt idx="0">
                  <c:v>AK</c:v>
                </c:pt>
                <c:pt idx="1">
                  <c:v>KY</c:v>
                </c:pt>
                <c:pt idx="2">
                  <c:v>NV*</c:v>
                </c:pt>
              </c:strCache>
            </c:strRef>
          </c:cat>
          <c:val>
            <c:numRef>
              <c:f>Sheet7!$B$2:$D$2</c:f>
              <c:numCache>
                <c:formatCode>General</c:formatCode>
                <c:ptCount val="3"/>
                <c:pt idx="0">
                  <c:v>38</c:v>
                </c:pt>
                <c:pt idx="1">
                  <c:v>54</c:v>
                </c:pt>
              </c:numCache>
            </c:numRef>
          </c:val>
          <c:extLst>
            <c:ext xmlns:c16="http://schemas.microsoft.com/office/drawing/2014/chart" uri="{C3380CC4-5D6E-409C-BE32-E72D297353CC}">
              <c16:uniqueId val="{00000000-1FE8-4184-A792-296ED8754E45}"/>
            </c:ext>
          </c:extLst>
        </c:ser>
        <c:dLbls>
          <c:showLegendKey val="0"/>
          <c:showVal val="0"/>
          <c:showCatName val="0"/>
          <c:showSerName val="0"/>
          <c:showPercent val="0"/>
          <c:showBubbleSize val="0"/>
        </c:dLbls>
        <c:gapWidth val="150"/>
        <c:shape val="box"/>
        <c:axId val="396075864"/>
        <c:axId val="396072584"/>
        <c:axId val="0"/>
      </c:bar3DChart>
      <c:catAx>
        <c:axId val="396075864"/>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96072584"/>
        <c:crosses val="autoZero"/>
        <c:auto val="1"/>
        <c:lblAlgn val="ctr"/>
        <c:lblOffset val="100"/>
        <c:noMultiLvlLbl val="0"/>
      </c:catAx>
      <c:valAx>
        <c:axId val="39607258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96075864"/>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8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all" spc="120" normalizeH="0" baseline="0">
                <a:solidFill>
                  <a:schemeClr val="tx1">
                    <a:lumMod val="65000"/>
                    <a:lumOff val="35000"/>
                  </a:schemeClr>
                </a:solidFill>
                <a:latin typeface="+mn-lt"/>
                <a:ea typeface="+mn-ea"/>
                <a:cs typeface="+mn-cs"/>
              </a:defRPr>
            </a:pPr>
            <a:r>
              <a:rPr lang="en-US"/>
              <a:t>Progress </a:t>
            </a:r>
            <a:r>
              <a:rPr lang="en-US" sz="1600" b="1" i="0" u="none" strike="noStrike" cap="all" normalizeH="0" baseline="0">
                <a:effectLst/>
              </a:rPr>
              <a:t>The Career Index Plus (TCI+) and LMI Activities </a:t>
            </a:r>
            <a:endParaRPr lang="en-US"/>
          </a:p>
        </c:rich>
      </c:tx>
      <c:layout>
        <c:manualLayout>
          <c:xMode val="edge"/>
          <c:yMode val="edge"/>
          <c:x val="0.11936570428696415"/>
          <c:y val="1.966085033177685E-2"/>
        </c:manualLayout>
      </c:layout>
      <c:overlay val="0"/>
      <c:spPr>
        <a:noFill/>
        <a:ln>
          <a:noFill/>
        </a:ln>
        <a:effectLst/>
      </c:spPr>
      <c:txPr>
        <a:bodyPr rot="0" spcFirstLastPara="1" vertOverflow="ellipsis" vert="horz" wrap="square" anchor="ctr" anchorCtr="1"/>
        <a:lstStyle/>
        <a:p>
          <a:pPr>
            <a:defRPr sz="1600" b="1" i="0" u="none" strike="noStrike" kern="1200" cap="all" spc="120" normalizeH="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2.9171624380285796E-2"/>
          <c:y val="0.19990827516675924"/>
          <c:w val="0.94109226599161167"/>
          <c:h val="0.62853727315905772"/>
        </c:manualLayout>
      </c:layout>
      <c:barChart>
        <c:barDir val="bar"/>
        <c:grouping val="stacked"/>
        <c:varyColors val="0"/>
        <c:ser>
          <c:idx val="2"/>
          <c:order val="2"/>
          <c:tx>
            <c:strRef>
              <c:f>'activities-percent-completed'!$D$3</c:f>
              <c:strCache>
                <c:ptCount val="1"/>
                <c:pt idx="0">
                  <c:v>Completed</c:v>
                </c:pt>
              </c:strCache>
            </c:strRef>
          </c:tx>
          <c:spPr>
            <a:solidFill>
              <a:srgbClr val="B22724"/>
            </a:solidFill>
            <a:ln>
              <a:noFill/>
            </a:ln>
            <a:effectLst/>
          </c:spPr>
          <c:invertIfNegative val="0"/>
          <c:dLbls>
            <c:dLbl>
              <c:idx val="0"/>
              <c:layout>
                <c:manualLayout>
                  <c:x val="-6.2742959140748098E-3"/>
                  <c:y val="0.23312216197860133"/>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2E5A-4FA7-8AFA-D03AFC4DF7AB}"/>
                </c:ext>
              </c:extLst>
            </c:dLbl>
            <c:spPr>
              <a:noFill/>
              <a:ln>
                <a:noFill/>
              </a:ln>
              <a:effectLst/>
            </c:spPr>
            <c:txPr>
              <a:bodyPr rot="0" spcFirstLastPara="1" vertOverflow="ellipsis" vert="horz" wrap="square" lIns="38100" tIns="19050" rIns="38100" bIns="19050" anchor="ctr" anchorCtr="1">
                <a:spAutoFit/>
              </a:bodyPr>
              <a:lstStyle/>
              <a:p>
                <a:pPr>
                  <a:defRPr sz="16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'activities-percent-completed'!$A$4:$A$15</c:f>
              <c:strCache>
                <c:ptCount val="1"/>
                <c:pt idx="0">
                  <c:v>The Career Index Plus (TCI+) and LMI</c:v>
                </c:pt>
              </c:strCache>
              <c:extLst/>
            </c:strRef>
          </c:cat>
          <c:val>
            <c:numRef>
              <c:f>'activities-percent-completed'!$D$4:$D$15</c:f>
              <c:numCache>
                <c:formatCode>0%</c:formatCode>
                <c:ptCount val="1"/>
                <c:pt idx="0">
                  <c:v>0.60869565217391308</c:v>
                </c:pt>
              </c:numCache>
              <c:extLst/>
            </c:numRef>
          </c:val>
          <c:extLst>
            <c:ext xmlns:c16="http://schemas.microsoft.com/office/drawing/2014/chart" uri="{C3380CC4-5D6E-409C-BE32-E72D297353CC}">
              <c16:uniqueId val="{00000001-2E5A-4FA7-8AFA-D03AFC4DF7AB}"/>
            </c:ext>
          </c:extLst>
        </c:ser>
        <c:ser>
          <c:idx val="3"/>
          <c:order val="3"/>
          <c:tx>
            <c:strRef>
              <c:f>'activities-percent-completed'!$E$3</c:f>
              <c:strCache>
                <c:ptCount val="1"/>
                <c:pt idx="0">
                  <c:v>90%</c:v>
                </c:pt>
              </c:strCache>
            </c:strRef>
          </c:tx>
          <c:spPr>
            <a:solidFill>
              <a:schemeClr val="accent4"/>
            </a:solidFill>
            <a:ln>
              <a:noFill/>
            </a:ln>
            <a:effectLst/>
          </c:spPr>
          <c:invertIfNegative val="0"/>
          <c:dLbls>
            <c:dLbl>
              <c:idx val="0"/>
              <c:layout>
                <c:manualLayout>
                  <c:x val="0"/>
                  <c:y val="0.23994326219175907"/>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2E5A-4FA7-8AFA-D03AFC4DF7AB}"/>
                </c:ext>
              </c:extLst>
            </c:dLbl>
            <c:spPr>
              <a:noFill/>
              <a:ln>
                <a:noFill/>
              </a:ln>
              <a:effectLst/>
            </c:spPr>
            <c:txPr>
              <a:bodyPr rot="0" spcFirstLastPara="1" vertOverflow="ellipsis" vert="horz" wrap="square" lIns="38100" tIns="19050" rIns="38100" bIns="19050" anchor="ctr" anchorCtr="1">
                <a:spAutoFit/>
              </a:bodyPr>
              <a:lstStyle/>
              <a:p>
                <a:pPr>
                  <a:defRPr sz="16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'activities-percent-completed'!$A$4:$A$15</c:f>
              <c:strCache>
                <c:ptCount val="1"/>
                <c:pt idx="0">
                  <c:v>The Career Index Plus (TCI+) and LMI</c:v>
                </c:pt>
              </c:strCache>
              <c:extLst/>
            </c:strRef>
          </c:cat>
          <c:val>
            <c:numRef>
              <c:f>'activities-percent-completed'!$E$4:$E$15</c:f>
              <c:numCache>
                <c:formatCode>0%</c:formatCode>
                <c:ptCount val="1"/>
                <c:pt idx="0">
                  <c:v>4.3478260869565216E-2</c:v>
                </c:pt>
              </c:numCache>
              <c:extLst/>
            </c:numRef>
          </c:val>
          <c:extLst>
            <c:ext xmlns:c16="http://schemas.microsoft.com/office/drawing/2014/chart" uri="{C3380CC4-5D6E-409C-BE32-E72D297353CC}">
              <c16:uniqueId val="{00000003-2E5A-4FA7-8AFA-D03AFC4DF7AB}"/>
            </c:ext>
          </c:extLst>
        </c:ser>
        <c:ser>
          <c:idx val="4"/>
          <c:order val="4"/>
          <c:tx>
            <c:strRef>
              <c:f>'activities-percent-completed'!$F$3</c:f>
              <c:strCache>
                <c:ptCount val="1"/>
                <c:pt idx="0">
                  <c:v>75%</c:v>
                </c:pt>
              </c:strCache>
            </c:strRef>
          </c:tx>
          <c:spPr>
            <a:solidFill>
              <a:srgbClr val="FFFF66"/>
            </a:solidFill>
            <a:ln>
              <a:noFill/>
            </a:ln>
            <a:effectLst/>
          </c:spPr>
          <c:invertIfNegative val="0"/>
          <c:dLbls>
            <c:delete val="1"/>
          </c:dLbls>
          <c:cat>
            <c:strRef>
              <c:f>'activities-percent-completed'!$A$4:$A$15</c:f>
              <c:strCache>
                <c:ptCount val="1"/>
                <c:pt idx="0">
                  <c:v>The Career Index Plus (TCI+) and LMI</c:v>
                </c:pt>
              </c:strCache>
              <c:extLst/>
            </c:strRef>
          </c:cat>
          <c:val>
            <c:numRef>
              <c:f>'activities-percent-completed'!$F$4:$F$15</c:f>
              <c:numCache>
                <c:formatCode>0%</c:formatCode>
                <c:ptCount val="1"/>
                <c:pt idx="0">
                  <c:v>0</c:v>
                </c:pt>
              </c:numCache>
              <c:extLst/>
            </c:numRef>
          </c:val>
          <c:extLst>
            <c:ext xmlns:c16="http://schemas.microsoft.com/office/drawing/2014/chart" uri="{C3380CC4-5D6E-409C-BE32-E72D297353CC}">
              <c16:uniqueId val="{00000004-2E5A-4FA7-8AFA-D03AFC4DF7AB}"/>
            </c:ext>
          </c:extLst>
        </c:ser>
        <c:ser>
          <c:idx val="5"/>
          <c:order val="5"/>
          <c:tx>
            <c:strRef>
              <c:f>'activities-percent-completed'!$G$3</c:f>
              <c:strCache>
                <c:ptCount val="1"/>
                <c:pt idx="0">
                  <c:v>50%</c:v>
                </c:pt>
              </c:strCache>
            </c:strRef>
          </c:tx>
          <c:spPr>
            <a:solidFill>
              <a:schemeClr val="accent6"/>
            </a:solidFill>
            <a:ln>
              <a:noFill/>
            </a:ln>
            <a:effectLst/>
          </c:spPr>
          <c:invertIfNegative val="0"/>
          <c:dLbls>
            <c:dLbl>
              <c:idx val="0"/>
              <c:layout>
                <c:manualLayout>
                  <c:x val="-3.1371479570373763E-3"/>
                  <c:y val="0.24561084922745496"/>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2E5A-4FA7-8AFA-D03AFC4DF7AB}"/>
                </c:ext>
              </c:extLst>
            </c:dLbl>
            <c:spPr>
              <a:noFill/>
              <a:ln>
                <a:noFill/>
              </a:ln>
              <a:effectLst/>
            </c:spPr>
            <c:txPr>
              <a:bodyPr rot="0" spcFirstLastPara="1" vertOverflow="ellipsis" vert="horz" wrap="square" lIns="38100" tIns="19050" rIns="38100" bIns="19050" anchor="ctr" anchorCtr="1">
                <a:spAutoFit/>
              </a:bodyPr>
              <a:lstStyle/>
              <a:p>
                <a:pPr>
                  <a:defRPr sz="16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'activities-percent-completed'!$A$4:$A$15</c:f>
              <c:strCache>
                <c:ptCount val="1"/>
                <c:pt idx="0">
                  <c:v>The Career Index Plus (TCI+) and LMI</c:v>
                </c:pt>
              </c:strCache>
              <c:extLst/>
            </c:strRef>
          </c:cat>
          <c:val>
            <c:numRef>
              <c:f>'activities-percent-completed'!$G$4:$G$15</c:f>
              <c:numCache>
                <c:formatCode>0%</c:formatCode>
                <c:ptCount val="1"/>
                <c:pt idx="0">
                  <c:v>8.6956521739130432E-2</c:v>
                </c:pt>
              </c:numCache>
              <c:extLst/>
            </c:numRef>
          </c:val>
          <c:extLst>
            <c:ext xmlns:c16="http://schemas.microsoft.com/office/drawing/2014/chart" uri="{C3380CC4-5D6E-409C-BE32-E72D297353CC}">
              <c16:uniqueId val="{00000006-2E5A-4FA7-8AFA-D03AFC4DF7AB}"/>
            </c:ext>
          </c:extLst>
        </c:ser>
        <c:ser>
          <c:idx val="6"/>
          <c:order val="6"/>
          <c:tx>
            <c:strRef>
              <c:f>'activities-percent-completed'!$H$3</c:f>
              <c:strCache>
                <c:ptCount val="1"/>
                <c:pt idx="0">
                  <c:v>25%</c:v>
                </c:pt>
              </c:strCache>
            </c:strRef>
          </c:tx>
          <c:spPr>
            <a:solidFill>
              <a:srgbClr val="15FFFF"/>
            </a:solidFill>
            <a:ln>
              <a:noFill/>
            </a:ln>
            <a:effectLst/>
          </c:spPr>
          <c:invertIfNegative val="0"/>
          <c:dLbls>
            <c:dLbl>
              <c:idx val="0"/>
              <c:layout>
                <c:manualLayout>
                  <c:x val="-1.5685739785186881E-3"/>
                  <c:y val="0.2372850577282192"/>
                </c:manualLayout>
              </c:layout>
              <c:spPr>
                <a:noFill/>
                <a:ln>
                  <a:noFill/>
                </a:ln>
                <a:effectLst/>
              </c:spPr>
              <c:txPr>
                <a:bodyPr rot="0" spcFirstLastPara="1" vertOverflow="ellipsis" vert="horz" wrap="square" lIns="38100" tIns="19050" rIns="38100" bIns="19050" anchor="ctr" anchorCtr="1">
                  <a:spAutoFit/>
                </a:bodyPr>
                <a:lstStyle/>
                <a:p>
                  <a:pPr>
                    <a:defRPr sz="16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2E5A-4FA7-8AFA-D03AFC4DF7AB}"/>
                </c:ext>
              </c:extLst>
            </c:dLbl>
            <c:spPr>
              <a:noFill/>
              <a:ln>
                <a:noFill/>
              </a:ln>
              <a:effectLst/>
            </c:spPr>
            <c:txPr>
              <a:bodyPr rot="0" spcFirstLastPara="1" vertOverflow="ellipsis" vert="horz" wrap="square" lIns="38100" tIns="19050" rIns="38100" bIns="19050" anchor="ctr" anchorCtr="1">
                <a:spAutoFit/>
              </a:bodyPr>
              <a:lstStyle/>
              <a:p>
                <a:pPr>
                  <a:defRPr sz="14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'activities-percent-completed'!$A$4:$A$15</c:f>
              <c:strCache>
                <c:ptCount val="1"/>
                <c:pt idx="0">
                  <c:v>The Career Index Plus (TCI+) and LMI</c:v>
                </c:pt>
              </c:strCache>
              <c:extLst/>
            </c:strRef>
          </c:cat>
          <c:val>
            <c:numRef>
              <c:f>'activities-percent-completed'!$H$4:$H$15</c:f>
              <c:numCache>
                <c:formatCode>0%</c:formatCode>
                <c:ptCount val="1"/>
                <c:pt idx="0">
                  <c:v>8.6956521739130432E-2</c:v>
                </c:pt>
              </c:numCache>
              <c:extLst/>
            </c:numRef>
          </c:val>
          <c:extLst>
            <c:ext xmlns:c16="http://schemas.microsoft.com/office/drawing/2014/chart" uri="{C3380CC4-5D6E-409C-BE32-E72D297353CC}">
              <c16:uniqueId val="{00000008-2E5A-4FA7-8AFA-D03AFC4DF7AB}"/>
            </c:ext>
          </c:extLst>
        </c:ser>
        <c:ser>
          <c:idx val="7"/>
          <c:order val="7"/>
          <c:tx>
            <c:strRef>
              <c:f>'activities-percent-completed'!$I$3</c:f>
              <c:strCache>
                <c:ptCount val="1"/>
                <c:pt idx="0">
                  <c:v>10%</c:v>
                </c:pt>
              </c:strCache>
            </c:strRef>
          </c:tx>
          <c:spPr>
            <a:solidFill>
              <a:srgbClr val="3399FF"/>
            </a:solidFill>
            <a:ln>
              <a:noFill/>
            </a:ln>
            <a:effectLst/>
          </c:spPr>
          <c:invertIfNegative val="0"/>
          <c:dLbls>
            <c:delete val="1"/>
          </c:dLbls>
          <c:cat>
            <c:strRef>
              <c:f>'activities-percent-completed'!$A$4:$A$15</c:f>
              <c:strCache>
                <c:ptCount val="1"/>
                <c:pt idx="0">
                  <c:v>The Career Index Plus (TCI+) and LMI</c:v>
                </c:pt>
              </c:strCache>
              <c:extLst/>
            </c:strRef>
          </c:cat>
          <c:val>
            <c:numRef>
              <c:f>'activities-percent-completed'!$I$4:$I$15</c:f>
              <c:numCache>
                <c:formatCode>0%</c:formatCode>
                <c:ptCount val="1"/>
                <c:pt idx="0">
                  <c:v>0</c:v>
                </c:pt>
              </c:numCache>
              <c:extLst/>
            </c:numRef>
          </c:val>
          <c:extLst xmlns:c15="http://schemas.microsoft.com/office/drawing/2012/chart">
            <c:ext xmlns:c16="http://schemas.microsoft.com/office/drawing/2014/chart" uri="{C3380CC4-5D6E-409C-BE32-E72D297353CC}">
              <c16:uniqueId val="{00000009-2E5A-4FA7-8AFA-D03AFC4DF7AB}"/>
            </c:ext>
          </c:extLst>
        </c:ser>
        <c:ser>
          <c:idx val="8"/>
          <c:order val="8"/>
          <c:tx>
            <c:strRef>
              <c:f>'activities-percent-completed'!$J$3</c:f>
              <c:strCache>
                <c:ptCount val="1"/>
                <c:pt idx="0">
                  <c:v>Not started</c:v>
                </c:pt>
              </c:strCache>
            </c:strRef>
          </c:tx>
          <c:spPr>
            <a:solidFill>
              <a:srgbClr val="7030A0"/>
            </a:solidFill>
            <a:ln>
              <a:noFill/>
            </a:ln>
            <a:effectLst/>
          </c:spPr>
          <c:invertIfNegative val="0"/>
          <c:dLbls>
            <c:dLbl>
              <c:idx val="0"/>
              <c:layout>
                <c:manualLayout>
                  <c:x val="-9.4114438711122433E-3"/>
                  <c:y val="0.23312216197860133"/>
                </c:manualLayout>
              </c:layout>
              <c:spPr>
                <a:noFill/>
                <a:ln>
                  <a:noFill/>
                </a:ln>
                <a:effectLst/>
              </c:spPr>
              <c:txPr>
                <a:bodyPr rot="0" spcFirstLastPara="1" vertOverflow="ellipsis" vert="horz" wrap="square" lIns="38100" tIns="19050" rIns="38100" bIns="19050" anchor="ctr" anchorCtr="1">
                  <a:spAutoFit/>
                </a:bodyPr>
                <a:lstStyle/>
                <a:p>
                  <a:pPr>
                    <a:defRPr sz="1600" b="0" i="0" u="none" strike="noStrike" kern="1200" baseline="0">
                      <a:solidFill>
                        <a:sysClr val="windowText" lastClr="000000"/>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2E5A-4FA7-8AFA-D03AFC4DF7AB}"/>
                </c:ext>
              </c:extLst>
            </c:dLbl>
            <c:spPr>
              <a:noFill/>
              <a:ln>
                <a:noFill/>
              </a:ln>
              <a:effectLst/>
            </c:spPr>
            <c:txPr>
              <a:bodyPr rot="0" spcFirstLastPara="1" vertOverflow="ellipsis" vert="horz" wrap="square" lIns="38100" tIns="19050" rIns="38100" bIns="19050" anchor="ctr" anchorCtr="1">
                <a:spAutoFit/>
              </a:bodyPr>
              <a:lstStyle/>
              <a:p>
                <a:pPr>
                  <a:defRPr sz="1400" b="0" i="0" u="none" strike="noStrike" kern="1200" baseline="0">
                    <a:solidFill>
                      <a:sysClr val="windowText" lastClr="000000"/>
                    </a:solidFill>
                    <a:latin typeface="+mn-lt"/>
                    <a:ea typeface="+mn-ea"/>
                    <a:cs typeface="+mn-cs"/>
                  </a:defRPr>
                </a:pPr>
                <a:endParaRPr lang="en-US"/>
              </a:p>
            </c:txPr>
            <c:dLblPos val="ct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'activities-percent-completed'!$A$4:$A$15</c:f>
              <c:strCache>
                <c:ptCount val="1"/>
                <c:pt idx="0">
                  <c:v>The Career Index Plus (TCI+) and LMI</c:v>
                </c:pt>
              </c:strCache>
              <c:extLst/>
            </c:strRef>
          </c:cat>
          <c:val>
            <c:numRef>
              <c:f>'activities-percent-completed'!$J$4:$J$15</c:f>
              <c:numCache>
                <c:formatCode>0%</c:formatCode>
                <c:ptCount val="1"/>
                <c:pt idx="0">
                  <c:v>0.17391304347826086</c:v>
                </c:pt>
              </c:numCache>
              <c:extLst/>
            </c:numRef>
          </c:val>
          <c:extLst xmlns:c15="http://schemas.microsoft.com/office/drawing/2012/chart">
            <c:ext xmlns:c16="http://schemas.microsoft.com/office/drawing/2014/chart" uri="{C3380CC4-5D6E-409C-BE32-E72D297353CC}">
              <c16:uniqueId val="{0000000B-2E5A-4FA7-8AFA-D03AFC4DF7AB}"/>
            </c:ext>
          </c:extLst>
        </c:ser>
        <c:dLbls>
          <c:dLblPos val="ctr"/>
          <c:showLegendKey val="0"/>
          <c:showVal val="1"/>
          <c:showCatName val="0"/>
          <c:showSerName val="0"/>
          <c:showPercent val="0"/>
          <c:showBubbleSize val="0"/>
        </c:dLbls>
        <c:gapWidth val="79"/>
        <c:overlap val="100"/>
        <c:axId val="610520992"/>
        <c:axId val="610522632"/>
        <c:extLst>
          <c:ext xmlns:c15="http://schemas.microsoft.com/office/drawing/2012/chart" uri="{02D57815-91ED-43cb-92C2-25804820EDAC}">
            <c15:filteredBarSeries>
              <c15:ser>
                <c:idx val="0"/>
                <c:order val="0"/>
                <c:tx>
                  <c:strRef>
                    <c:extLst>
                      <c:ext uri="{02D57815-91ED-43cb-92C2-25804820EDAC}">
                        <c15:formulaRef>
                          <c15:sqref>'activities-percent-completed'!$B$3</c15:sqref>
                        </c15:formulaRef>
                      </c:ext>
                    </c:extLst>
                    <c:strCache>
                      <c:ptCount val="1"/>
                      <c:pt idx="0">
                        <c:v># of Total Activities</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showLeaderLines val="0"/>
                  <c:extLst>
                    <c:ext uri="{CE6537A1-D6FC-4f65-9D91-7224C49458BB}">
                      <c15:showLeaderLines val="1"/>
                      <c15:leaderLines>
                        <c:spPr>
                          <a:ln w="9525">
                            <a:solidFill>
                              <a:schemeClr val="tx1">
                                <a:lumMod val="35000"/>
                                <a:lumOff val="65000"/>
                              </a:schemeClr>
                            </a:solidFill>
                          </a:ln>
                          <a:effectLst/>
                        </c:spPr>
                      </c15:leaderLines>
                    </c:ext>
                  </c:extLst>
                </c:dLbls>
                <c:cat>
                  <c:strRef>
                    <c:extLst>
                      <c:ext uri="{02D57815-91ED-43cb-92C2-25804820EDAC}">
                        <c15:formulaRef>
                          <c15:sqref>'activities-percent-completed'!$A$4:$A$15</c15:sqref>
                        </c15:formulaRef>
                      </c:ext>
                    </c:extLst>
                    <c:strCache>
                      <c:ptCount val="1"/>
                      <c:pt idx="0">
                        <c:v>The Career Index Plus (TCI+) and LMI</c:v>
                      </c:pt>
                    </c:strCache>
                  </c:strRef>
                </c:cat>
                <c:val>
                  <c:numRef>
                    <c:extLst>
                      <c:ext uri="{02D57815-91ED-43cb-92C2-25804820EDAC}">
                        <c15:formulaRef>
                          <c15:sqref>'activities-percent-completed'!$B$4:$B$15</c15:sqref>
                        </c15:formulaRef>
                      </c:ext>
                    </c:extLst>
                    <c:numCache>
                      <c:formatCode>0</c:formatCode>
                      <c:ptCount val="1"/>
                      <c:pt idx="0">
                        <c:v>23</c:v>
                      </c:pt>
                    </c:numCache>
                  </c:numRef>
                </c:val>
                <c:extLst>
                  <c:ext xmlns:c16="http://schemas.microsoft.com/office/drawing/2014/chart" uri="{C3380CC4-5D6E-409C-BE32-E72D297353CC}">
                    <c16:uniqueId val="{0000000C-2E5A-4FA7-8AFA-D03AFC4DF7AB}"/>
                  </c:ext>
                </c:extLst>
              </c15:ser>
            </c15:filteredBarSeries>
            <c15:filteredBarSeries>
              <c15:ser>
                <c:idx val="1"/>
                <c:order val="1"/>
                <c:tx>
                  <c:strRef>
                    <c:extLst xmlns:c15="http://schemas.microsoft.com/office/drawing/2012/chart">
                      <c:ext xmlns:c15="http://schemas.microsoft.com/office/drawing/2012/chart" uri="{02D57815-91ED-43cb-92C2-25804820EDAC}">
                        <c15:formulaRef>
                          <c15:sqref>'activities-percent-completed'!$C$3</c15:sqref>
                        </c15:formulaRef>
                      </c:ext>
                    </c:extLst>
                    <c:strCache>
                      <c:ptCount val="1"/>
                      <c:pt idx="0">
                        <c:v>Average Progress on Activities (%)</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extLst xmlns:c15="http://schemas.microsoft.com/office/drawing/2012/chart">
                      <c:ext xmlns:c15="http://schemas.microsoft.com/office/drawing/2012/chart" uri="{02D57815-91ED-43cb-92C2-25804820EDAC}">
                        <c15:formulaRef>
                          <c15:sqref>'activities-percent-completed'!$A$4:$A$15</c15:sqref>
                        </c15:formulaRef>
                      </c:ext>
                    </c:extLst>
                    <c:strCache>
                      <c:ptCount val="1"/>
                      <c:pt idx="0">
                        <c:v>The Career Index Plus (TCI+) and LMI</c:v>
                      </c:pt>
                    </c:strCache>
                  </c:strRef>
                </c:cat>
                <c:val>
                  <c:numRef>
                    <c:extLst xmlns:c15="http://schemas.microsoft.com/office/drawing/2012/chart">
                      <c:ext xmlns:c15="http://schemas.microsoft.com/office/drawing/2012/chart" uri="{02D57815-91ED-43cb-92C2-25804820EDAC}">
                        <c15:formulaRef>
                          <c15:sqref>'activities-percent-completed'!$C$4:$C$15</c15:sqref>
                        </c15:formulaRef>
                      </c:ext>
                    </c:extLst>
                    <c:numCache>
                      <c:formatCode>0%</c:formatCode>
                      <c:ptCount val="1"/>
                      <c:pt idx="0">
                        <c:v>0.71304347826086956</c:v>
                      </c:pt>
                    </c:numCache>
                  </c:numRef>
                </c:val>
                <c:extLst xmlns:c15="http://schemas.microsoft.com/office/drawing/2012/chart">
                  <c:ext xmlns:c16="http://schemas.microsoft.com/office/drawing/2014/chart" uri="{C3380CC4-5D6E-409C-BE32-E72D297353CC}">
                    <c16:uniqueId val="{0000000D-2E5A-4FA7-8AFA-D03AFC4DF7AB}"/>
                  </c:ext>
                </c:extLst>
              </c15:ser>
            </c15:filteredBarSeries>
            <c15:filteredBarSeries>
              <c15:ser>
                <c:idx val="9"/>
                <c:order val="9"/>
                <c:tx>
                  <c:strRef>
                    <c:extLst xmlns:c15="http://schemas.microsoft.com/office/drawing/2012/chart">
                      <c:ext xmlns:c15="http://schemas.microsoft.com/office/drawing/2012/chart" uri="{02D57815-91ED-43cb-92C2-25804820EDAC}">
                        <c15:formulaRef>
                          <c15:sqref>'activities-percent-completed'!$K$3</c15:sqref>
                        </c15:formulaRef>
                      </c:ext>
                    </c:extLst>
                    <c:strCache>
                      <c:ptCount val="1"/>
                      <c:pt idx="0">
                        <c:v>In Progress</c:v>
                      </c:pt>
                    </c:strCache>
                  </c:strRef>
                </c:tx>
                <c:spPr>
                  <a:solidFill>
                    <a:schemeClr val="accent4">
                      <a:lumMod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en-US"/>
                    </a:p>
                  </c:txPr>
                  <c:dLblPos val="ct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extLst xmlns:c15="http://schemas.microsoft.com/office/drawing/2012/chart">
                      <c:ext xmlns:c15="http://schemas.microsoft.com/office/drawing/2012/chart" uri="{02D57815-91ED-43cb-92C2-25804820EDAC}">
                        <c15:formulaRef>
                          <c15:sqref>'activities-percent-completed'!$A$4:$A$15</c15:sqref>
                        </c15:formulaRef>
                      </c:ext>
                    </c:extLst>
                    <c:strCache>
                      <c:ptCount val="1"/>
                      <c:pt idx="0">
                        <c:v>The Career Index Plus (TCI+) and LMI</c:v>
                      </c:pt>
                    </c:strCache>
                  </c:strRef>
                </c:cat>
                <c:val>
                  <c:numRef>
                    <c:extLst xmlns:c15="http://schemas.microsoft.com/office/drawing/2012/chart">
                      <c:ext xmlns:c15="http://schemas.microsoft.com/office/drawing/2012/chart" uri="{02D57815-91ED-43cb-92C2-25804820EDAC}">
                        <c15:formulaRef>
                          <c15:sqref>'activities-percent-completed'!$K$4:$K$15</c15:sqref>
                        </c15:formulaRef>
                      </c:ext>
                    </c:extLst>
                    <c:numCache>
                      <c:formatCode>0%</c:formatCode>
                      <c:ptCount val="1"/>
                      <c:pt idx="0">
                        <c:v>0.21739130434782608</c:v>
                      </c:pt>
                    </c:numCache>
                  </c:numRef>
                </c:val>
                <c:extLst xmlns:c15="http://schemas.microsoft.com/office/drawing/2012/chart">
                  <c:ext xmlns:c16="http://schemas.microsoft.com/office/drawing/2014/chart" uri="{C3380CC4-5D6E-409C-BE32-E72D297353CC}">
                    <c16:uniqueId val="{0000000E-2E5A-4FA7-8AFA-D03AFC4DF7AB}"/>
                  </c:ext>
                </c:extLst>
              </c15:ser>
            </c15:filteredBarSeries>
          </c:ext>
        </c:extLst>
      </c:barChart>
      <c:catAx>
        <c:axId val="610520992"/>
        <c:scaling>
          <c:orientation val="minMax"/>
        </c:scaling>
        <c:delete val="1"/>
        <c:axPos val="l"/>
        <c:majorGridlines>
          <c:spPr>
            <a:ln w="9525" cap="flat" cmpd="sng" algn="ctr">
              <a:solidFill>
                <a:schemeClr val="tx1">
                  <a:lumMod val="15000"/>
                  <a:lumOff val="85000"/>
                </a:schemeClr>
              </a:solidFill>
              <a:round/>
            </a:ln>
            <a:effectLst/>
          </c:spPr>
        </c:majorGridlines>
        <c:minorGridlines>
          <c:spPr>
            <a:ln>
              <a:solidFill>
                <a:schemeClr val="tx1">
                  <a:lumMod val="5000"/>
                  <a:lumOff val="95000"/>
                </a:schemeClr>
              </a:solidFill>
            </a:ln>
            <a:effectLst/>
          </c:spPr>
        </c:minorGridlines>
        <c:numFmt formatCode="General" sourceLinked="1"/>
        <c:majorTickMark val="out"/>
        <c:minorTickMark val="none"/>
        <c:tickLblPos val="nextTo"/>
        <c:crossAx val="610522632"/>
        <c:crosses val="autoZero"/>
        <c:auto val="1"/>
        <c:lblAlgn val="ctr"/>
        <c:lblOffset val="100"/>
        <c:noMultiLvlLbl val="0"/>
      </c:catAx>
      <c:valAx>
        <c:axId val="610522632"/>
        <c:scaling>
          <c:orientation val="minMax"/>
          <c:max val="1"/>
        </c:scaling>
        <c:delete val="0"/>
        <c:axPos val="b"/>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10520992"/>
        <c:crosses val="autoZero"/>
        <c:crossBetween val="between"/>
      </c:valAx>
      <c:spPr>
        <a:noFill/>
        <a:ln w="25400">
          <a:noFill/>
        </a:ln>
        <a:effectLst/>
      </c:spPr>
    </c:plotArea>
    <c:legend>
      <c:legendPos val="t"/>
      <c:layout>
        <c:manualLayout>
          <c:xMode val="edge"/>
          <c:yMode val="edge"/>
          <c:x val="0.20219145523476231"/>
          <c:y val="0.88928425603226235"/>
          <c:w val="0.57483332975155021"/>
          <c:h val="8.5354113285177044E-2"/>
        </c:manualLayout>
      </c:layout>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8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4"/>
    </mc:Choice>
    <mc:Fallback>
      <c:style val="4"/>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Topic Area - The Career Index Plus (TCI+) and LMI</a:t>
            </a:r>
            <a:br>
              <a:rPr lang="en-US"/>
            </a:br>
            <a:r>
              <a:rPr lang="en-US"/>
              <a:t>Activity #1</a:t>
            </a:r>
          </a:p>
        </c:rich>
      </c:tx>
      <c:layout>
        <c:manualLayout>
          <c:xMode val="edge"/>
          <c:yMode val="edge"/>
          <c:x val="0.13402931006325372"/>
          <c:y val="1.4284984218377742E-3"/>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3773248222116805"/>
          <c:y val="0.25325772269284524"/>
          <c:w val="0.78942722632790041"/>
          <c:h val="0.66602748393145406"/>
        </c:manualLayout>
      </c:layout>
      <c:barChart>
        <c:barDir val="col"/>
        <c:grouping val="percentStacked"/>
        <c:varyColors val="0"/>
        <c:ser>
          <c:idx val="3"/>
          <c:order val="3"/>
          <c:tx>
            <c:strRef>
              <c:f>'individual-chart-career'!$F$2</c:f>
              <c:strCache>
                <c:ptCount val="1"/>
                <c:pt idx="0">
                  <c:v>Completed</c:v>
                </c:pt>
              </c:strCache>
            </c:strRef>
          </c:tx>
          <c:spPr>
            <a:solidFill>
              <a:srgbClr val="99221F"/>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600" b="0"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'individual-chart-career'!$B$3:$B$21</c:f>
              <c:strCache>
                <c:ptCount val="2"/>
                <c:pt idx="0">
                  <c:v>Activity</c:v>
                </c:pt>
                <c:pt idx="1">
                  <c:v>Outputs</c:v>
                </c:pt>
              </c:strCache>
              <c:extLst/>
            </c:strRef>
          </c:cat>
          <c:val>
            <c:numRef>
              <c:f>'individual-chart-career'!$F$3:$F$21</c:f>
              <c:numCache>
                <c:formatCode>0%</c:formatCode>
                <c:ptCount val="2"/>
                <c:pt idx="0">
                  <c:v>0.75</c:v>
                </c:pt>
                <c:pt idx="1">
                  <c:v>0.75</c:v>
                </c:pt>
              </c:numCache>
              <c:extLst/>
            </c:numRef>
          </c:val>
          <c:extLst>
            <c:ext xmlns:c16="http://schemas.microsoft.com/office/drawing/2014/chart" uri="{C3380CC4-5D6E-409C-BE32-E72D297353CC}">
              <c16:uniqueId val="{00000000-8FD4-4399-A1F1-4239D92D223F}"/>
            </c:ext>
          </c:extLst>
        </c:ser>
        <c:ser>
          <c:idx val="4"/>
          <c:order val="4"/>
          <c:tx>
            <c:strRef>
              <c:f>'individual-chart-career'!$G$2</c:f>
              <c:strCache>
                <c:ptCount val="1"/>
                <c:pt idx="0">
                  <c:v>90%</c:v>
                </c:pt>
              </c:strCache>
            </c:strRef>
          </c:tx>
          <c:spPr>
            <a:solidFill>
              <a:srgbClr val="D73D39"/>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'individual-chart-career'!$B$3:$B$21</c:f>
              <c:strCache>
                <c:ptCount val="2"/>
                <c:pt idx="0">
                  <c:v>Activity</c:v>
                </c:pt>
                <c:pt idx="1">
                  <c:v>Outputs</c:v>
                </c:pt>
              </c:strCache>
              <c:extLst/>
            </c:strRef>
          </c:cat>
          <c:val>
            <c:numRef>
              <c:f>'individual-chart-career'!$G$3:$G$21</c:f>
              <c:numCache>
                <c:formatCode>General</c:formatCode>
                <c:ptCount val="2"/>
              </c:numCache>
              <c:extLst/>
            </c:numRef>
          </c:val>
          <c:extLst>
            <c:ext xmlns:c16="http://schemas.microsoft.com/office/drawing/2014/chart" uri="{C3380CC4-5D6E-409C-BE32-E72D297353CC}">
              <c16:uniqueId val="{00000001-8FD4-4399-A1F1-4239D92D223F}"/>
            </c:ext>
          </c:extLst>
        </c:ser>
        <c:ser>
          <c:idx val="5"/>
          <c:order val="5"/>
          <c:tx>
            <c:strRef>
              <c:f>'individual-chart-career'!$H$2</c:f>
              <c:strCache>
                <c:ptCount val="1"/>
                <c:pt idx="0">
                  <c:v>75%</c:v>
                </c:pt>
              </c:strCache>
            </c:strRef>
          </c:tx>
          <c:spPr>
            <a:solidFill>
              <a:srgbClr val="DC535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'individual-chart-career'!$B$3:$B$21</c:f>
              <c:strCache>
                <c:ptCount val="2"/>
                <c:pt idx="0">
                  <c:v>Activity</c:v>
                </c:pt>
                <c:pt idx="1">
                  <c:v>Outputs</c:v>
                </c:pt>
              </c:strCache>
              <c:extLst/>
            </c:strRef>
          </c:cat>
          <c:val>
            <c:numRef>
              <c:f>'individual-chart-career'!$H$3:$H$21</c:f>
              <c:numCache>
                <c:formatCode>General</c:formatCode>
                <c:ptCount val="2"/>
              </c:numCache>
              <c:extLst/>
            </c:numRef>
          </c:val>
          <c:extLst>
            <c:ext xmlns:c16="http://schemas.microsoft.com/office/drawing/2014/chart" uri="{C3380CC4-5D6E-409C-BE32-E72D297353CC}">
              <c16:uniqueId val="{00000002-8FD4-4399-A1F1-4239D92D223F}"/>
            </c:ext>
          </c:extLst>
        </c:ser>
        <c:ser>
          <c:idx val="6"/>
          <c:order val="6"/>
          <c:tx>
            <c:strRef>
              <c:f>'individual-chart-career'!$I$2</c:f>
              <c:strCache>
                <c:ptCount val="1"/>
                <c:pt idx="0">
                  <c:v>50%</c:v>
                </c:pt>
              </c:strCache>
            </c:strRef>
          </c:tx>
          <c:spPr>
            <a:solidFill>
              <a:srgbClr val="EBA19F"/>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'individual-chart-career'!$B$3:$B$21</c:f>
              <c:strCache>
                <c:ptCount val="2"/>
                <c:pt idx="0">
                  <c:v>Activity</c:v>
                </c:pt>
                <c:pt idx="1">
                  <c:v>Outputs</c:v>
                </c:pt>
              </c:strCache>
              <c:extLst/>
            </c:strRef>
          </c:cat>
          <c:val>
            <c:numRef>
              <c:f>'individual-chart-career'!$I$3:$I$21</c:f>
              <c:numCache>
                <c:formatCode>General</c:formatCode>
                <c:ptCount val="2"/>
              </c:numCache>
              <c:extLst/>
            </c:numRef>
          </c:val>
          <c:extLst>
            <c:ext xmlns:c16="http://schemas.microsoft.com/office/drawing/2014/chart" uri="{C3380CC4-5D6E-409C-BE32-E72D297353CC}">
              <c16:uniqueId val="{00000003-8FD4-4399-A1F1-4239D92D223F}"/>
            </c:ext>
          </c:extLst>
        </c:ser>
        <c:ser>
          <c:idx val="7"/>
          <c:order val="7"/>
          <c:tx>
            <c:strRef>
              <c:f>'individual-chart-career'!$J$2</c:f>
              <c:strCache>
                <c:ptCount val="1"/>
                <c:pt idx="0">
                  <c:v>25%</c:v>
                </c:pt>
              </c:strCache>
            </c:strRef>
          </c:tx>
          <c:spPr>
            <a:solidFill>
              <a:srgbClr val="F3C6C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'individual-chart-career'!$B$3:$B$21</c:f>
              <c:strCache>
                <c:ptCount val="2"/>
                <c:pt idx="0">
                  <c:v>Activity</c:v>
                </c:pt>
                <c:pt idx="1">
                  <c:v>Outputs</c:v>
                </c:pt>
              </c:strCache>
              <c:extLst/>
            </c:strRef>
          </c:cat>
          <c:val>
            <c:numRef>
              <c:f>'individual-chart-career'!$J$3:$J$21</c:f>
              <c:numCache>
                <c:formatCode>General</c:formatCode>
                <c:ptCount val="2"/>
              </c:numCache>
              <c:extLst/>
            </c:numRef>
          </c:val>
          <c:extLst>
            <c:ext xmlns:c16="http://schemas.microsoft.com/office/drawing/2014/chart" uri="{C3380CC4-5D6E-409C-BE32-E72D297353CC}">
              <c16:uniqueId val="{00000004-8FD4-4399-A1F1-4239D92D223F}"/>
            </c:ext>
          </c:extLst>
        </c:ser>
        <c:ser>
          <c:idx val="8"/>
          <c:order val="8"/>
          <c:tx>
            <c:strRef>
              <c:f>'individual-chart-career'!$K$2</c:f>
              <c:strCache>
                <c:ptCount val="1"/>
                <c:pt idx="0">
                  <c:v>10%</c:v>
                </c:pt>
              </c:strCache>
            </c:strRef>
          </c:tx>
          <c:spPr>
            <a:solidFill>
              <a:schemeClr val="accent2">
                <a:tint val="56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'individual-chart-career'!$B$3:$B$21</c:f>
              <c:strCache>
                <c:ptCount val="2"/>
                <c:pt idx="0">
                  <c:v>Activity</c:v>
                </c:pt>
                <c:pt idx="1">
                  <c:v>Outputs</c:v>
                </c:pt>
              </c:strCache>
              <c:extLst/>
            </c:strRef>
          </c:cat>
          <c:val>
            <c:numRef>
              <c:f>'individual-chart-career'!$K$3:$K$21</c:f>
              <c:numCache>
                <c:formatCode>General</c:formatCode>
                <c:ptCount val="2"/>
              </c:numCache>
              <c:extLst/>
            </c:numRef>
          </c:val>
          <c:extLst>
            <c:ext xmlns:c16="http://schemas.microsoft.com/office/drawing/2014/chart" uri="{C3380CC4-5D6E-409C-BE32-E72D297353CC}">
              <c16:uniqueId val="{00000005-8FD4-4399-A1F1-4239D92D223F}"/>
            </c:ext>
          </c:extLst>
        </c:ser>
        <c:ser>
          <c:idx val="9"/>
          <c:order val="9"/>
          <c:tx>
            <c:strRef>
              <c:f>'individual-chart-career'!$L$2</c:f>
              <c:strCache>
                <c:ptCount val="1"/>
                <c:pt idx="0">
                  <c:v>Not Started</c:v>
                </c:pt>
              </c:strCache>
            </c:strRef>
          </c:tx>
          <c:spPr>
            <a:solidFill>
              <a:srgbClr val="FCF2F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'individual-chart-career'!$B$3:$B$21</c:f>
              <c:strCache>
                <c:ptCount val="2"/>
                <c:pt idx="0">
                  <c:v>Activity</c:v>
                </c:pt>
                <c:pt idx="1">
                  <c:v>Outputs</c:v>
                </c:pt>
              </c:strCache>
              <c:extLst/>
            </c:strRef>
          </c:cat>
          <c:val>
            <c:numRef>
              <c:f>'individual-chart-career'!$L$3:$L$21</c:f>
              <c:numCache>
                <c:formatCode>0%</c:formatCode>
                <c:ptCount val="2"/>
                <c:pt idx="0">
                  <c:v>0.25</c:v>
                </c:pt>
                <c:pt idx="1">
                  <c:v>0.25</c:v>
                </c:pt>
              </c:numCache>
              <c:extLst/>
            </c:numRef>
          </c:val>
          <c:extLst>
            <c:ext xmlns:c16="http://schemas.microsoft.com/office/drawing/2014/chart" uri="{C3380CC4-5D6E-409C-BE32-E72D297353CC}">
              <c16:uniqueId val="{00000006-8FD4-4399-A1F1-4239D92D223F}"/>
            </c:ext>
          </c:extLst>
        </c:ser>
        <c:dLbls>
          <c:dLblPos val="ctr"/>
          <c:showLegendKey val="0"/>
          <c:showVal val="1"/>
          <c:showCatName val="0"/>
          <c:showSerName val="0"/>
          <c:showPercent val="0"/>
          <c:showBubbleSize val="0"/>
        </c:dLbls>
        <c:gapWidth val="150"/>
        <c:overlap val="100"/>
        <c:axId val="790958128"/>
        <c:axId val="790961408"/>
        <c:extLst>
          <c:ext xmlns:c15="http://schemas.microsoft.com/office/drawing/2012/chart" uri="{02D57815-91ED-43cb-92C2-25804820EDAC}">
            <c15:filteredBarSeries>
              <c15:ser>
                <c:idx val="0"/>
                <c:order val="0"/>
                <c:tx>
                  <c:strRef>
                    <c:extLst>
                      <c:ext uri="{02D57815-91ED-43cb-92C2-25804820EDAC}">
                        <c15:formulaRef>
                          <c15:sqref>'individual-chart-career'!$C$2</c15:sqref>
                        </c15:formulaRef>
                      </c:ext>
                    </c:extLst>
                    <c:strCache>
                      <c:ptCount val="1"/>
                      <c:pt idx="0">
                        <c:v>Completed</c:v>
                      </c:pt>
                    </c:strCache>
                  </c:strRef>
                </c:tx>
                <c:spPr>
                  <a:solidFill>
                    <a:schemeClr val="accent2">
                      <a:shade val="42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c:ext uri="{02D57815-91ED-43cb-92C2-25804820EDAC}">
                        <c15:formulaRef>
                          <c15:sqref>'individual-chart-career'!$B$3:$B$21</c15:sqref>
                        </c15:formulaRef>
                      </c:ext>
                    </c:extLst>
                    <c:strCache>
                      <c:ptCount val="2"/>
                      <c:pt idx="0">
                        <c:v>Activity</c:v>
                      </c:pt>
                      <c:pt idx="1">
                        <c:v>Outputs</c:v>
                      </c:pt>
                    </c:strCache>
                  </c:strRef>
                </c:cat>
                <c:val>
                  <c:numRef>
                    <c:extLst>
                      <c:ext uri="{02D57815-91ED-43cb-92C2-25804820EDAC}">
                        <c15:formulaRef>
                          <c15:sqref>'individual-chart-career'!$C$3:$C$21</c15:sqref>
                        </c15:formulaRef>
                      </c:ext>
                    </c:extLst>
                    <c:numCache>
                      <c:formatCode>0%</c:formatCode>
                      <c:ptCount val="2"/>
                      <c:pt idx="0">
                        <c:v>0.75</c:v>
                      </c:pt>
                      <c:pt idx="1">
                        <c:v>0.75</c:v>
                      </c:pt>
                    </c:numCache>
                  </c:numRef>
                </c:val>
                <c:extLst>
                  <c:ext xmlns:c16="http://schemas.microsoft.com/office/drawing/2014/chart" uri="{C3380CC4-5D6E-409C-BE32-E72D297353CC}">
                    <c16:uniqueId val="{00000007-8FD4-4399-A1F1-4239D92D223F}"/>
                  </c:ext>
                </c:extLst>
              </c15:ser>
            </c15:filteredBarSeries>
            <c15:filteredBarSeries>
              <c15:ser>
                <c:idx val="1"/>
                <c:order val="1"/>
                <c:tx>
                  <c:strRef>
                    <c:extLst xmlns:c15="http://schemas.microsoft.com/office/drawing/2012/chart">
                      <c:ext xmlns:c15="http://schemas.microsoft.com/office/drawing/2012/chart" uri="{02D57815-91ED-43cb-92C2-25804820EDAC}">
                        <c15:formulaRef>
                          <c15:sqref>'individual-chart-career'!$D$2</c15:sqref>
                        </c15:formulaRef>
                      </c:ext>
                    </c:extLst>
                    <c:strCache>
                      <c:ptCount val="1"/>
                      <c:pt idx="0">
                        <c:v>In progress</c:v>
                      </c:pt>
                    </c:strCache>
                  </c:strRef>
                </c:tx>
                <c:spPr>
                  <a:solidFill>
                    <a:schemeClr val="accent2">
                      <a:shade val="5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'individual-chart-career'!$B$3:$B$21</c15:sqref>
                        </c15:formulaRef>
                      </c:ext>
                    </c:extLst>
                    <c:strCache>
                      <c:ptCount val="2"/>
                      <c:pt idx="0">
                        <c:v>Activity</c:v>
                      </c:pt>
                      <c:pt idx="1">
                        <c:v>Outputs</c:v>
                      </c:pt>
                    </c:strCache>
                  </c:strRef>
                </c:cat>
                <c:val>
                  <c:numRef>
                    <c:extLst xmlns:c15="http://schemas.microsoft.com/office/drawing/2012/chart">
                      <c:ext xmlns:c15="http://schemas.microsoft.com/office/drawing/2012/chart" uri="{02D57815-91ED-43cb-92C2-25804820EDAC}">
                        <c15:formulaRef>
                          <c15:sqref>'individual-chart-career'!$D$3:$D$21</c15:sqref>
                        </c15:formulaRef>
                      </c:ext>
                    </c:extLst>
                    <c:numCache>
                      <c:formatCode>General</c:formatCode>
                      <c:ptCount val="2"/>
                    </c:numCache>
                  </c:numRef>
                </c:val>
                <c:extLst xmlns:c15="http://schemas.microsoft.com/office/drawing/2012/chart">
                  <c:ext xmlns:c16="http://schemas.microsoft.com/office/drawing/2014/chart" uri="{C3380CC4-5D6E-409C-BE32-E72D297353CC}">
                    <c16:uniqueId val="{00000008-8FD4-4399-A1F1-4239D92D223F}"/>
                  </c:ext>
                </c:extLst>
              </c15:ser>
            </c15:filteredBarSeries>
            <c15:filteredBarSeries>
              <c15:ser>
                <c:idx val="2"/>
                <c:order val="2"/>
                <c:tx>
                  <c:strRef>
                    <c:extLst xmlns:c15="http://schemas.microsoft.com/office/drawing/2012/chart">
                      <c:ext xmlns:c15="http://schemas.microsoft.com/office/drawing/2012/chart" uri="{02D57815-91ED-43cb-92C2-25804820EDAC}">
                        <c15:formulaRef>
                          <c15:sqref>'individual-chart-career'!$E$2</c15:sqref>
                        </c15:formulaRef>
                      </c:ext>
                    </c:extLst>
                    <c:strCache>
                      <c:ptCount val="1"/>
                      <c:pt idx="0">
                        <c:v>Not started</c:v>
                      </c:pt>
                    </c:strCache>
                  </c:strRef>
                </c:tx>
                <c:spPr>
                  <a:solidFill>
                    <a:schemeClr val="accent2">
                      <a:shade val="68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'individual-chart-career'!$B$3:$B$21</c15:sqref>
                        </c15:formulaRef>
                      </c:ext>
                    </c:extLst>
                    <c:strCache>
                      <c:ptCount val="2"/>
                      <c:pt idx="0">
                        <c:v>Activity</c:v>
                      </c:pt>
                      <c:pt idx="1">
                        <c:v>Outputs</c:v>
                      </c:pt>
                    </c:strCache>
                  </c:strRef>
                </c:cat>
                <c:val>
                  <c:numRef>
                    <c:extLst xmlns:c15="http://schemas.microsoft.com/office/drawing/2012/chart">
                      <c:ext xmlns:c15="http://schemas.microsoft.com/office/drawing/2012/chart" uri="{02D57815-91ED-43cb-92C2-25804820EDAC}">
                        <c15:formulaRef>
                          <c15:sqref>'individual-chart-career'!$E$3:$E$21</c15:sqref>
                        </c15:formulaRef>
                      </c:ext>
                    </c:extLst>
                    <c:numCache>
                      <c:formatCode>0%</c:formatCode>
                      <c:ptCount val="2"/>
                      <c:pt idx="0">
                        <c:v>0.25</c:v>
                      </c:pt>
                      <c:pt idx="1">
                        <c:v>0.25</c:v>
                      </c:pt>
                    </c:numCache>
                  </c:numRef>
                </c:val>
                <c:extLst xmlns:c15="http://schemas.microsoft.com/office/drawing/2012/chart">
                  <c:ext xmlns:c16="http://schemas.microsoft.com/office/drawing/2014/chart" uri="{C3380CC4-5D6E-409C-BE32-E72D297353CC}">
                    <c16:uniqueId val="{00000009-8FD4-4399-A1F1-4239D92D223F}"/>
                  </c:ext>
                </c:extLst>
              </c15:ser>
            </c15:filteredBarSeries>
          </c:ext>
        </c:extLst>
      </c:barChart>
      <c:catAx>
        <c:axId val="7909581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n-US"/>
          </a:p>
        </c:txPr>
        <c:crossAx val="790961408"/>
        <c:crosses val="autoZero"/>
        <c:auto val="1"/>
        <c:lblAlgn val="ctr"/>
        <c:lblOffset val="100"/>
        <c:noMultiLvlLbl val="0"/>
      </c:catAx>
      <c:valAx>
        <c:axId val="790961408"/>
        <c:scaling>
          <c:orientation val="minMax"/>
          <c:min val="0"/>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90958128"/>
        <c:crossesAt val="1"/>
        <c:crossBetween val="between"/>
      </c:valAx>
      <c:spPr>
        <a:noFill/>
        <a:ln>
          <a:noFill/>
        </a:ln>
        <a:effectLst/>
      </c:spPr>
    </c:plotArea>
    <c:legend>
      <c:legendPos val="t"/>
      <c:layout>
        <c:manualLayout>
          <c:xMode val="edge"/>
          <c:yMode val="edge"/>
          <c:x val="0.16878348885760888"/>
          <c:y val="0.13041314510575025"/>
          <c:w val="0.70460273616206281"/>
          <c:h val="0.12652310298086494"/>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userShapes r:id="rId5"/>
</c:chartSpace>
</file>

<file path=word/charts/chart8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4"/>
    </mc:Choice>
    <mc:Fallback>
      <c:style val="4"/>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Topic Area - The Career Index Plus (TCI+) and LMI</a:t>
            </a:r>
            <a:br>
              <a:rPr lang="en-US"/>
            </a:br>
            <a:r>
              <a:rPr lang="en-US"/>
              <a:t>Activity #2</a:t>
            </a:r>
          </a:p>
        </c:rich>
      </c:tx>
      <c:layout>
        <c:manualLayout>
          <c:xMode val="edge"/>
          <c:yMode val="edge"/>
          <c:x val="0.13402931006325372"/>
          <c:y val="1.4284984218377742E-3"/>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3773248222116805"/>
          <c:y val="0.25325772269284524"/>
          <c:w val="0.78942722632790041"/>
          <c:h val="0.66602748393145406"/>
        </c:manualLayout>
      </c:layout>
      <c:barChart>
        <c:barDir val="col"/>
        <c:grouping val="percentStacked"/>
        <c:varyColors val="0"/>
        <c:ser>
          <c:idx val="3"/>
          <c:order val="3"/>
          <c:tx>
            <c:strRef>
              <c:f>'individual-chart-career'!$F$2</c:f>
              <c:strCache>
                <c:ptCount val="1"/>
                <c:pt idx="0">
                  <c:v>Completed</c:v>
                </c:pt>
              </c:strCache>
            </c:strRef>
          </c:tx>
          <c:spPr>
            <a:solidFill>
              <a:srgbClr val="99221F"/>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600" b="0"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'individual-chart-career'!$B$3:$B$21</c:f>
              <c:strCache>
                <c:ptCount val="2"/>
                <c:pt idx="0">
                  <c:v>Activity</c:v>
                </c:pt>
                <c:pt idx="1">
                  <c:v>Outputs</c:v>
                </c:pt>
              </c:strCache>
              <c:extLst/>
            </c:strRef>
          </c:cat>
          <c:val>
            <c:numRef>
              <c:f>'individual-chart-career'!$F$3:$F$21</c:f>
              <c:numCache>
                <c:formatCode>0%</c:formatCode>
                <c:ptCount val="2"/>
                <c:pt idx="0">
                  <c:v>0.4</c:v>
                </c:pt>
                <c:pt idx="1">
                  <c:v>0.4</c:v>
                </c:pt>
              </c:numCache>
              <c:extLst/>
            </c:numRef>
          </c:val>
          <c:extLst>
            <c:ext xmlns:c16="http://schemas.microsoft.com/office/drawing/2014/chart" uri="{C3380CC4-5D6E-409C-BE32-E72D297353CC}">
              <c16:uniqueId val="{00000000-D07E-4EAC-8309-22BACBC82237}"/>
            </c:ext>
          </c:extLst>
        </c:ser>
        <c:ser>
          <c:idx val="4"/>
          <c:order val="4"/>
          <c:tx>
            <c:strRef>
              <c:f>'individual-chart-career'!$G$2</c:f>
              <c:strCache>
                <c:ptCount val="1"/>
                <c:pt idx="0">
                  <c:v>90%</c:v>
                </c:pt>
              </c:strCache>
            </c:strRef>
          </c:tx>
          <c:spPr>
            <a:solidFill>
              <a:srgbClr val="D73D39"/>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'individual-chart-career'!$B$3:$B$21</c:f>
              <c:strCache>
                <c:ptCount val="2"/>
                <c:pt idx="0">
                  <c:v>Activity</c:v>
                </c:pt>
                <c:pt idx="1">
                  <c:v>Outputs</c:v>
                </c:pt>
              </c:strCache>
              <c:extLst/>
            </c:strRef>
          </c:cat>
          <c:val>
            <c:numRef>
              <c:f>'individual-chart-career'!$G$3:$G$21</c:f>
              <c:numCache>
                <c:formatCode>0%</c:formatCode>
                <c:ptCount val="2"/>
                <c:pt idx="0">
                  <c:v>0.2</c:v>
                </c:pt>
                <c:pt idx="1">
                  <c:v>0.2</c:v>
                </c:pt>
              </c:numCache>
              <c:extLst/>
            </c:numRef>
          </c:val>
          <c:extLst>
            <c:ext xmlns:c16="http://schemas.microsoft.com/office/drawing/2014/chart" uri="{C3380CC4-5D6E-409C-BE32-E72D297353CC}">
              <c16:uniqueId val="{00000001-D07E-4EAC-8309-22BACBC82237}"/>
            </c:ext>
          </c:extLst>
        </c:ser>
        <c:ser>
          <c:idx val="5"/>
          <c:order val="5"/>
          <c:tx>
            <c:strRef>
              <c:f>'individual-chart-career'!$H$2</c:f>
              <c:strCache>
                <c:ptCount val="1"/>
                <c:pt idx="0">
                  <c:v>75%</c:v>
                </c:pt>
              </c:strCache>
            </c:strRef>
          </c:tx>
          <c:spPr>
            <a:solidFill>
              <a:srgbClr val="DC535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'individual-chart-career'!$B$3:$B$21</c:f>
              <c:strCache>
                <c:ptCount val="2"/>
                <c:pt idx="0">
                  <c:v>Activity</c:v>
                </c:pt>
                <c:pt idx="1">
                  <c:v>Outputs</c:v>
                </c:pt>
              </c:strCache>
              <c:extLst/>
            </c:strRef>
          </c:cat>
          <c:val>
            <c:numRef>
              <c:f>'individual-chart-career'!$H$3:$H$21</c:f>
              <c:numCache>
                <c:formatCode>General</c:formatCode>
                <c:ptCount val="2"/>
              </c:numCache>
              <c:extLst/>
            </c:numRef>
          </c:val>
          <c:extLst>
            <c:ext xmlns:c16="http://schemas.microsoft.com/office/drawing/2014/chart" uri="{C3380CC4-5D6E-409C-BE32-E72D297353CC}">
              <c16:uniqueId val="{00000002-D07E-4EAC-8309-22BACBC82237}"/>
            </c:ext>
          </c:extLst>
        </c:ser>
        <c:ser>
          <c:idx val="6"/>
          <c:order val="6"/>
          <c:tx>
            <c:strRef>
              <c:f>'individual-chart-career'!$I$2</c:f>
              <c:strCache>
                <c:ptCount val="1"/>
                <c:pt idx="0">
                  <c:v>50%</c:v>
                </c:pt>
              </c:strCache>
            </c:strRef>
          </c:tx>
          <c:spPr>
            <a:solidFill>
              <a:srgbClr val="EBA19F"/>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'individual-chart-career'!$B$3:$B$21</c:f>
              <c:strCache>
                <c:ptCount val="2"/>
                <c:pt idx="0">
                  <c:v>Activity</c:v>
                </c:pt>
                <c:pt idx="1">
                  <c:v>Outputs</c:v>
                </c:pt>
              </c:strCache>
              <c:extLst/>
            </c:strRef>
          </c:cat>
          <c:val>
            <c:numRef>
              <c:f>'individual-chart-career'!$I$3:$I$21</c:f>
              <c:numCache>
                <c:formatCode>0%</c:formatCode>
                <c:ptCount val="2"/>
                <c:pt idx="0">
                  <c:v>0.4</c:v>
                </c:pt>
                <c:pt idx="1">
                  <c:v>0.2</c:v>
                </c:pt>
              </c:numCache>
              <c:extLst/>
            </c:numRef>
          </c:val>
          <c:extLst>
            <c:ext xmlns:c16="http://schemas.microsoft.com/office/drawing/2014/chart" uri="{C3380CC4-5D6E-409C-BE32-E72D297353CC}">
              <c16:uniqueId val="{00000003-D07E-4EAC-8309-22BACBC82237}"/>
            </c:ext>
          </c:extLst>
        </c:ser>
        <c:ser>
          <c:idx val="7"/>
          <c:order val="7"/>
          <c:tx>
            <c:strRef>
              <c:f>'individual-chart-career'!$J$2</c:f>
              <c:strCache>
                <c:ptCount val="1"/>
                <c:pt idx="0">
                  <c:v>25%</c:v>
                </c:pt>
              </c:strCache>
            </c:strRef>
          </c:tx>
          <c:spPr>
            <a:solidFill>
              <a:srgbClr val="F3C6C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'individual-chart-career'!$B$3:$B$21</c:f>
              <c:strCache>
                <c:ptCount val="2"/>
                <c:pt idx="0">
                  <c:v>Activity</c:v>
                </c:pt>
                <c:pt idx="1">
                  <c:v>Outputs</c:v>
                </c:pt>
              </c:strCache>
              <c:extLst/>
            </c:strRef>
          </c:cat>
          <c:val>
            <c:numRef>
              <c:f>'individual-chart-career'!$J$3:$J$21</c:f>
              <c:numCache>
                <c:formatCode>0%</c:formatCode>
                <c:ptCount val="2"/>
                <c:pt idx="1">
                  <c:v>0.2</c:v>
                </c:pt>
              </c:numCache>
              <c:extLst/>
            </c:numRef>
          </c:val>
          <c:extLst>
            <c:ext xmlns:c16="http://schemas.microsoft.com/office/drawing/2014/chart" uri="{C3380CC4-5D6E-409C-BE32-E72D297353CC}">
              <c16:uniqueId val="{00000004-D07E-4EAC-8309-22BACBC82237}"/>
            </c:ext>
          </c:extLst>
        </c:ser>
        <c:ser>
          <c:idx val="8"/>
          <c:order val="8"/>
          <c:tx>
            <c:strRef>
              <c:f>'individual-chart-career'!$K$2</c:f>
              <c:strCache>
                <c:ptCount val="1"/>
                <c:pt idx="0">
                  <c:v>10%</c:v>
                </c:pt>
              </c:strCache>
            </c:strRef>
          </c:tx>
          <c:spPr>
            <a:solidFill>
              <a:schemeClr val="accent2">
                <a:tint val="56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'individual-chart-career'!$B$3:$B$21</c:f>
              <c:strCache>
                <c:ptCount val="2"/>
                <c:pt idx="0">
                  <c:v>Activity</c:v>
                </c:pt>
                <c:pt idx="1">
                  <c:v>Outputs</c:v>
                </c:pt>
              </c:strCache>
              <c:extLst/>
            </c:strRef>
          </c:cat>
          <c:val>
            <c:numRef>
              <c:f>'individual-chart-career'!$K$3:$K$21</c:f>
              <c:numCache>
                <c:formatCode>General</c:formatCode>
                <c:ptCount val="2"/>
              </c:numCache>
              <c:extLst/>
            </c:numRef>
          </c:val>
          <c:extLst>
            <c:ext xmlns:c16="http://schemas.microsoft.com/office/drawing/2014/chart" uri="{C3380CC4-5D6E-409C-BE32-E72D297353CC}">
              <c16:uniqueId val="{00000005-D07E-4EAC-8309-22BACBC82237}"/>
            </c:ext>
          </c:extLst>
        </c:ser>
        <c:ser>
          <c:idx val="9"/>
          <c:order val="9"/>
          <c:tx>
            <c:strRef>
              <c:f>'individual-chart-career'!$L$2</c:f>
              <c:strCache>
                <c:ptCount val="1"/>
                <c:pt idx="0">
                  <c:v>Not Started</c:v>
                </c:pt>
              </c:strCache>
            </c:strRef>
          </c:tx>
          <c:spPr>
            <a:solidFill>
              <a:srgbClr val="FCF2F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'individual-chart-career'!$B$3:$B$21</c:f>
              <c:strCache>
                <c:ptCount val="2"/>
                <c:pt idx="0">
                  <c:v>Activity</c:v>
                </c:pt>
                <c:pt idx="1">
                  <c:v>Outputs</c:v>
                </c:pt>
              </c:strCache>
              <c:extLst/>
            </c:strRef>
          </c:cat>
          <c:val>
            <c:numRef>
              <c:f>'individual-chart-career'!$L$3:$L$21</c:f>
              <c:numCache>
                <c:formatCode>General</c:formatCode>
                <c:ptCount val="2"/>
              </c:numCache>
              <c:extLst/>
            </c:numRef>
          </c:val>
          <c:extLst>
            <c:ext xmlns:c16="http://schemas.microsoft.com/office/drawing/2014/chart" uri="{C3380CC4-5D6E-409C-BE32-E72D297353CC}">
              <c16:uniqueId val="{00000006-D07E-4EAC-8309-22BACBC82237}"/>
            </c:ext>
          </c:extLst>
        </c:ser>
        <c:dLbls>
          <c:dLblPos val="ctr"/>
          <c:showLegendKey val="0"/>
          <c:showVal val="1"/>
          <c:showCatName val="0"/>
          <c:showSerName val="0"/>
          <c:showPercent val="0"/>
          <c:showBubbleSize val="0"/>
        </c:dLbls>
        <c:gapWidth val="150"/>
        <c:overlap val="100"/>
        <c:axId val="790958128"/>
        <c:axId val="790961408"/>
        <c:extLst>
          <c:ext xmlns:c15="http://schemas.microsoft.com/office/drawing/2012/chart" uri="{02D57815-91ED-43cb-92C2-25804820EDAC}">
            <c15:filteredBarSeries>
              <c15:ser>
                <c:idx val="0"/>
                <c:order val="0"/>
                <c:tx>
                  <c:strRef>
                    <c:extLst>
                      <c:ext uri="{02D57815-91ED-43cb-92C2-25804820EDAC}">
                        <c15:formulaRef>
                          <c15:sqref>'individual-chart-career'!$C$2</c15:sqref>
                        </c15:formulaRef>
                      </c:ext>
                    </c:extLst>
                    <c:strCache>
                      <c:ptCount val="1"/>
                      <c:pt idx="0">
                        <c:v>Completed</c:v>
                      </c:pt>
                    </c:strCache>
                  </c:strRef>
                </c:tx>
                <c:spPr>
                  <a:solidFill>
                    <a:schemeClr val="accent2">
                      <a:shade val="42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c:ext uri="{02D57815-91ED-43cb-92C2-25804820EDAC}">
                        <c15:formulaRef>
                          <c15:sqref>'individual-chart-career'!$B$3:$B$21</c15:sqref>
                        </c15:formulaRef>
                      </c:ext>
                    </c:extLst>
                    <c:strCache>
                      <c:ptCount val="2"/>
                      <c:pt idx="0">
                        <c:v>Activity</c:v>
                      </c:pt>
                      <c:pt idx="1">
                        <c:v>Outputs</c:v>
                      </c:pt>
                    </c:strCache>
                  </c:strRef>
                </c:cat>
                <c:val>
                  <c:numRef>
                    <c:extLst>
                      <c:ext uri="{02D57815-91ED-43cb-92C2-25804820EDAC}">
                        <c15:formulaRef>
                          <c15:sqref>'individual-chart-career'!$C$3:$C$21</c15:sqref>
                        </c15:formulaRef>
                      </c:ext>
                    </c:extLst>
                    <c:numCache>
                      <c:formatCode>0%</c:formatCode>
                      <c:ptCount val="2"/>
                      <c:pt idx="0">
                        <c:v>0.4</c:v>
                      </c:pt>
                      <c:pt idx="1">
                        <c:v>0.4</c:v>
                      </c:pt>
                    </c:numCache>
                  </c:numRef>
                </c:val>
                <c:extLst>
                  <c:ext xmlns:c16="http://schemas.microsoft.com/office/drawing/2014/chart" uri="{C3380CC4-5D6E-409C-BE32-E72D297353CC}">
                    <c16:uniqueId val="{00000007-D07E-4EAC-8309-22BACBC82237}"/>
                  </c:ext>
                </c:extLst>
              </c15:ser>
            </c15:filteredBarSeries>
            <c15:filteredBarSeries>
              <c15:ser>
                <c:idx val="1"/>
                <c:order val="1"/>
                <c:tx>
                  <c:strRef>
                    <c:extLst xmlns:c15="http://schemas.microsoft.com/office/drawing/2012/chart">
                      <c:ext xmlns:c15="http://schemas.microsoft.com/office/drawing/2012/chart" uri="{02D57815-91ED-43cb-92C2-25804820EDAC}">
                        <c15:formulaRef>
                          <c15:sqref>'individual-chart-career'!$D$2</c15:sqref>
                        </c15:formulaRef>
                      </c:ext>
                    </c:extLst>
                    <c:strCache>
                      <c:ptCount val="1"/>
                      <c:pt idx="0">
                        <c:v>In progress</c:v>
                      </c:pt>
                    </c:strCache>
                  </c:strRef>
                </c:tx>
                <c:spPr>
                  <a:solidFill>
                    <a:schemeClr val="accent2">
                      <a:shade val="5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'individual-chart-career'!$B$3:$B$21</c15:sqref>
                        </c15:formulaRef>
                      </c:ext>
                    </c:extLst>
                    <c:strCache>
                      <c:ptCount val="2"/>
                      <c:pt idx="0">
                        <c:v>Activity</c:v>
                      </c:pt>
                      <c:pt idx="1">
                        <c:v>Outputs</c:v>
                      </c:pt>
                    </c:strCache>
                  </c:strRef>
                </c:cat>
                <c:val>
                  <c:numRef>
                    <c:extLst xmlns:c15="http://schemas.microsoft.com/office/drawing/2012/chart">
                      <c:ext xmlns:c15="http://schemas.microsoft.com/office/drawing/2012/chart" uri="{02D57815-91ED-43cb-92C2-25804820EDAC}">
                        <c15:formulaRef>
                          <c15:sqref>'individual-chart-career'!$D$3:$D$21</c15:sqref>
                        </c15:formulaRef>
                      </c:ext>
                    </c:extLst>
                    <c:numCache>
                      <c:formatCode>0%</c:formatCode>
                      <c:ptCount val="2"/>
                      <c:pt idx="0">
                        <c:v>0.6</c:v>
                      </c:pt>
                      <c:pt idx="1">
                        <c:v>0.6</c:v>
                      </c:pt>
                    </c:numCache>
                  </c:numRef>
                </c:val>
                <c:extLst xmlns:c15="http://schemas.microsoft.com/office/drawing/2012/chart">
                  <c:ext xmlns:c16="http://schemas.microsoft.com/office/drawing/2014/chart" uri="{C3380CC4-5D6E-409C-BE32-E72D297353CC}">
                    <c16:uniqueId val="{00000008-D07E-4EAC-8309-22BACBC82237}"/>
                  </c:ext>
                </c:extLst>
              </c15:ser>
            </c15:filteredBarSeries>
            <c15:filteredBarSeries>
              <c15:ser>
                <c:idx val="2"/>
                <c:order val="2"/>
                <c:tx>
                  <c:strRef>
                    <c:extLst xmlns:c15="http://schemas.microsoft.com/office/drawing/2012/chart">
                      <c:ext xmlns:c15="http://schemas.microsoft.com/office/drawing/2012/chart" uri="{02D57815-91ED-43cb-92C2-25804820EDAC}">
                        <c15:formulaRef>
                          <c15:sqref>'individual-chart-career'!$E$2</c15:sqref>
                        </c15:formulaRef>
                      </c:ext>
                    </c:extLst>
                    <c:strCache>
                      <c:ptCount val="1"/>
                      <c:pt idx="0">
                        <c:v>Not started</c:v>
                      </c:pt>
                    </c:strCache>
                  </c:strRef>
                </c:tx>
                <c:spPr>
                  <a:solidFill>
                    <a:schemeClr val="accent2">
                      <a:shade val="68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'individual-chart-career'!$B$3:$B$21</c15:sqref>
                        </c15:formulaRef>
                      </c:ext>
                    </c:extLst>
                    <c:strCache>
                      <c:ptCount val="2"/>
                      <c:pt idx="0">
                        <c:v>Activity</c:v>
                      </c:pt>
                      <c:pt idx="1">
                        <c:v>Outputs</c:v>
                      </c:pt>
                    </c:strCache>
                  </c:strRef>
                </c:cat>
                <c:val>
                  <c:numRef>
                    <c:extLst xmlns:c15="http://schemas.microsoft.com/office/drawing/2012/chart">
                      <c:ext xmlns:c15="http://schemas.microsoft.com/office/drawing/2012/chart" uri="{02D57815-91ED-43cb-92C2-25804820EDAC}">
                        <c15:formulaRef>
                          <c15:sqref>'individual-chart-career'!$E$3:$E$21</c15:sqref>
                        </c15:formulaRef>
                      </c:ext>
                    </c:extLst>
                    <c:numCache>
                      <c:formatCode>General</c:formatCode>
                      <c:ptCount val="2"/>
                    </c:numCache>
                  </c:numRef>
                </c:val>
                <c:extLst xmlns:c15="http://schemas.microsoft.com/office/drawing/2012/chart">
                  <c:ext xmlns:c16="http://schemas.microsoft.com/office/drawing/2014/chart" uri="{C3380CC4-5D6E-409C-BE32-E72D297353CC}">
                    <c16:uniqueId val="{00000009-D07E-4EAC-8309-22BACBC82237}"/>
                  </c:ext>
                </c:extLst>
              </c15:ser>
            </c15:filteredBarSeries>
          </c:ext>
        </c:extLst>
      </c:barChart>
      <c:catAx>
        <c:axId val="7909581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n-US"/>
          </a:p>
        </c:txPr>
        <c:crossAx val="790961408"/>
        <c:crosses val="autoZero"/>
        <c:auto val="1"/>
        <c:lblAlgn val="ctr"/>
        <c:lblOffset val="100"/>
        <c:noMultiLvlLbl val="0"/>
      </c:catAx>
      <c:valAx>
        <c:axId val="790961408"/>
        <c:scaling>
          <c:orientation val="minMax"/>
          <c:min val="0"/>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90958128"/>
        <c:crossesAt val="1"/>
        <c:crossBetween val="between"/>
      </c:valAx>
      <c:spPr>
        <a:noFill/>
        <a:ln>
          <a:noFill/>
        </a:ln>
        <a:effectLst/>
      </c:spPr>
    </c:plotArea>
    <c:legend>
      <c:legendPos val="t"/>
      <c:layout>
        <c:manualLayout>
          <c:xMode val="edge"/>
          <c:yMode val="edge"/>
          <c:x val="0.16878348885760888"/>
          <c:y val="0.13041314510575025"/>
          <c:w val="0.70460273616206281"/>
          <c:h val="0.12652310298086494"/>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userShapes r:id="rId5"/>
</c:chartSpace>
</file>

<file path=word/charts/chart8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4"/>
    </mc:Choice>
    <mc:Fallback>
      <c:style val="4"/>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Topic Area - The Career Index Plus (TCI+) and LMI</a:t>
            </a:r>
            <a:br>
              <a:rPr lang="en-US"/>
            </a:br>
            <a:r>
              <a:rPr lang="en-US"/>
              <a:t>Activity #3</a:t>
            </a:r>
          </a:p>
        </c:rich>
      </c:tx>
      <c:layout>
        <c:manualLayout>
          <c:xMode val="edge"/>
          <c:yMode val="edge"/>
          <c:x val="0.13402931006325372"/>
          <c:y val="1.4284984218377742E-3"/>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3773248222116805"/>
          <c:y val="0.25325772269284524"/>
          <c:w val="0.78942722632790041"/>
          <c:h val="0.66602748393145406"/>
        </c:manualLayout>
      </c:layout>
      <c:barChart>
        <c:barDir val="col"/>
        <c:grouping val="percentStacked"/>
        <c:varyColors val="0"/>
        <c:ser>
          <c:idx val="3"/>
          <c:order val="3"/>
          <c:tx>
            <c:strRef>
              <c:f>'individual-chart-career'!$F$2</c:f>
              <c:strCache>
                <c:ptCount val="1"/>
                <c:pt idx="0">
                  <c:v>Completed</c:v>
                </c:pt>
              </c:strCache>
            </c:strRef>
          </c:tx>
          <c:spPr>
            <a:solidFill>
              <a:srgbClr val="99221F"/>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600" b="0"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'individual-chart-career'!$B$3:$B$21</c:f>
              <c:strCache>
                <c:ptCount val="2"/>
                <c:pt idx="0">
                  <c:v>Activity</c:v>
                </c:pt>
                <c:pt idx="1">
                  <c:v>Outputs</c:v>
                </c:pt>
              </c:strCache>
              <c:extLst/>
            </c:strRef>
          </c:cat>
          <c:val>
            <c:numRef>
              <c:f>'individual-chart-career'!$F$3:$F$21</c:f>
              <c:numCache>
                <c:formatCode>0%</c:formatCode>
                <c:ptCount val="2"/>
                <c:pt idx="0">
                  <c:v>0.5</c:v>
                </c:pt>
                <c:pt idx="1">
                  <c:v>0.5</c:v>
                </c:pt>
              </c:numCache>
              <c:extLst/>
            </c:numRef>
          </c:val>
          <c:extLst>
            <c:ext xmlns:c16="http://schemas.microsoft.com/office/drawing/2014/chart" uri="{C3380CC4-5D6E-409C-BE32-E72D297353CC}">
              <c16:uniqueId val="{00000000-3D53-496B-B526-97EF50FB882B}"/>
            </c:ext>
          </c:extLst>
        </c:ser>
        <c:ser>
          <c:idx val="4"/>
          <c:order val="4"/>
          <c:tx>
            <c:strRef>
              <c:f>'individual-chart-career'!$G$2</c:f>
              <c:strCache>
                <c:ptCount val="1"/>
                <c:pt idx="0">
                  <c:v>90%</c:v>
                </c:pt>
              </c:strCache>
            </c:strRef>
          </c:tx>
          <c:spPr>
            <a:solidFill>
              <a:srgbClr val="D73D39"/>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'individual-chart-career'!$B$3:$B$21</c:f>
              <c:strCache>
                <c:ptCount val="2"/>
                <c:pt idx="0">
                  <c:v>Activity</c:v>
                </c:pt>
                <c:pt idx="1">
                  <c:v>Outputs</c:v>
                </c:pt>
              </c:strCache>
              <c:extLst/>
            </c:strRef>
          </c:cat>
          <c:val>
            <c:numRef>
              <c:f>'individual-chart-career'!$G$3:$G$21</c:f>
              <c:numCache>
                <c:formatCode>General</c:formatCode>
                <c:ptCount val="2"/>
              </c:numCache>
              <c:extLst/>
            </c:numRef>
          </c:val>
          <c:extLst>
            <c:ext xmlns:c16="http://schemas.microsoft.com/office/drawing/2014/chart" uri="{C3380CC4-5D6E-409C-BE32-E72D297353CC}">
              <c16:uniqueId val="{00000001-3D53-496B-B526-97EF50FB882B}"/>
            </c:ext>
          </c:extLst>
        </c:ser>
        <c:ser>
          <c:idx val="5"/>
          <c:order val="5"/>
          <c:tx>
            <c:strRef>
              <c:f>'individual-chart-career'!$H$2</c:f>
              <c:strCache>
                <c:ptCount val="1"/>
                <c:pt idx="0">
                  <c:v>75%</c:v>
                </c:pt>
              </c:strCache>
            </c:strRef>
          </c:tx>
          <c:spPr>
            <a:solidFill>
              <a:srgbClr val="DC535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'individual-chart-career'!$B$3:$B$21</c:f>
              <c:strCache>
                <c:ptCount val="2"/>
                <c:pt idx="0">
                  <c:v>Activity</c:v>
                </c:pt>
                <c:pt idx="1">
                  <c:v>Outputs</c:v>
                </c:pt>
              </c:strCache>
              <c:extLst/>
            </c:strRef>
          </c:cat>
          <c:val>
            <c:numRef>
              <c:f>'individual-chart-career'!$H$3:$H$21</c:f>
              <c:numCache>
                <c:formatCode>General</c:formatCode>
                <c:ptCount val="2"/>
              </c:numCache>
              <c:extLst/>
            </c:numRef>
          </c:val>
          <c:extLst>
            <c:ext xmlns:c16="http://schemas.microsoft.com/office/drawing/2014/chart" uri="{C3380CC4-5D6E-409C-BE32-E72D297353CC}">
              <c16:uniqueId val="{00000002-3D53-496B-B526-97EF50FB882B}"/>
            </c:ext>
          </c:extLst>
        </c:ser>
        <c:ser>
          <c:idx val="6"/>
          <c:order val="6"/>
          <c:tx>
            <c:strRef>
              <c:f>'individual-chart-career'!$I$2</c:f>
              <c:strCache>
                <c:ptCount val="1"/>
                <c:pt idx="0">
                  <c:v>50%</c:v>
                </c:pt>
              </c:strCache>
            </c:strRef>
          </c:tx>
          <c:spPr>
            <a:solidFill>
              <a:srgbClr val="EBA19F"/>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'individual-chart-career'!$B$3:$B$21</c:f>
              <c:strCache>
                <c:ptCount val="2"/>
                <c:pt idx="0">
                  <c:v>Activity</c:v>
                </c:pt>
                <c:pt idx="1">
                  <c:v>Outputs</c:v>
                </c:pt>
              </c:strCache>
              <c:extLst/>
            </c:strRef>
          </c:cat>
          <c:val>
            <c:numRef>
              <c:f>'individual-chart-career'!$I$3:$I$21</c:f>
              <c:numCache>
                <c:formatCode>General</c:formatCode>
                <c:ptCount val="2"/>
              </c:numCache>
              <c:extLst/>
            </c:numRef>
          </c:val>
          <c:extLst>
            <c:ext xmlns:c16="http://schemas.microsoft.com/office/drawing/2014/chart" uri="{C3380CC4-5D6E-409C-BE32-E72D297353CC}">
              <c16:uniqueId val="{00000003-3D53-496B-B526-97EF50FB882B}"/>
            </c:ext>
          </c:extLst>
        </c:ser>
        <c:ser>
          <c:idx val="7"/>
          <c:order val="7"/>
          <c:tx>
            <c:strRef>
              <c:f>'individual-chart-career'!$J$2</c:f>
              <c:strCache>
                <c:ptCount val="1"/>
                <c:pt idx="0">
                  <c:v>25%</c:v>
                </c:pt>
              </c:strCache>
            </c:strRef>
          </c:tx>
          <c:spPr>
            <a:solidFill>
              <a:srgbClr val="F3C6C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'individual-chart-career'!$B$3:$B$21</c:f>
              <c:strCache>
                <c:ptCount val="2"/>
                <c:pt idx="0">
                  <c:v>Activity</c:v>
                </c:pt>
                <c:pt idx="1">
                  <c:v>Outputs</c:v>
                </c:pt>
              </c:strCache>
              <c:extLst/>
            </c:strRef>
          </c:cat>
          <c:val>
            <c:numRef>
              <c:f>'individual-chart-career'!$J$3:$J$21</c:f>
              <c:numCache>
                <c:formatCode>General</c:formatCode>
                <c:ptCount val="2"/>
              </c:numCache>
              <c:extLst/>
            </c:numRef>
          </c:val>
          <c:extLst>
            <c:ext xmlns:c16="http://schemas.microsoft.com/office/drawing/2014/chart" uri="{C3380CC4-5D6E-409C-BE32-E72D297353CC}">
              <c16:uniqueId val="{00000004-3D53-496B-B526-97EF50FB882B}"/>
            </c:ext>
          </c:extLst>
        </c:ser>
        <c:ser>
          <c:idx val="8"/>
          <c:order val="8"/>
          <c:tx>
            <c:strRef>
              <c:f>'individual-chart-career'!$K$2</c:f>
              <c:strCache>
                <c:ptCount val="1"/>
                <c:pt idx="0">
                  <c:v>10%</c:v>
                </c:pt>
              </c:strCache>
            </c:strRef>
          </c:tx>
          <c:spPr>
            <a:solidFill>
              <a:schemeClr val="accent2">
                <a:tint val="56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'individual-chart-career'!$B$3:$B$21</c:f>
              <c:strCache>
                <c:ptCount val="2"/>
                <c:pt idx="0">
                  <c:v>Activity</c:v>
                </c:pt>
                <c:pt idx="1">
                  <c:v>Outputs</c:v>
                </c:pt>
              </c:strCache>
              <c:extLst/>
            </c:strRef>
          </c:cat>
          <c:val>
            <c:numRef>
              <c:f>'individual-chart-career'!$K$3:$K$21</c:f>
              <c:numCache>
                <c:formatCode>General</c:formatCode>
                <c:ptCount val="2"/>
              </c:numCache>
              <c:extLst/>
            </c:numRef>
          </c:val>
          <c:extLst>
            <c:ext xmlns:c16="http://schemas.microsoft.com/office/drawing/2014/chart" uri="{C3380CC4-5D6E-409C-BE32-E72D297353CC}">
              <c16:uniqueId val="{00000005-3D53-496B-B526-97EF50FB882B}"/>
            </c:ext>
          </c:extLst>
        </c:ser>
        <c:ser>
          <c:idx val="9"/>
          <c:order val="9"/>
          <c:tx>
            <c:strRef>
              <c:f>'individual-chart-career'!$L$2</c:f>
              <c:strCache>
                <c:ptCount val="1"/>
                <c:pt idx="0">
                  <c:v>Not Started</c:v>
                </c:pt>
              </c:strCache>
            </c:strRef>
          </c:tx>
          <c:spPr>
            <a:solidFill>
              <a:srgbClr val="FCF2F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'individual-chart-career'!$B$3:$B$21</c:f>
              <c:strCache>
                <c:ptCount val="2"/>
                <c:pt idx="0">
                  <c:v>Activity</c:v>
                </c:pt>
                <c:pt idx="1">
                  <c:v>Outputs</c:v>
                </c:pt>
              </c:strCache>
              <c:extLst/>
            </c:strRef>
          </c:cat>
          <c:val>
            <c:numRef>
              <c:f>'individual-chart-career'!$L$3:$L$21</c:f>
              <c:numCache>
                <c:formatCode>0%</c:formatCode>
                <c:ptCount val="2"/>
                <c:pt idx="0">
                  <c:v>0.5</c:v>
                </c:pt>
                <c:pt idx="1">
                  <c:v>0.5</c:v>
                </c:pt>
              </c:numCache>
              <c:extLst/>
            </c:numRef>
          </c:val>
          <c:extLst>
            <c:ext xmlns:c16="http://schemas.microsoft.com/office/drawing/2014/chart" uri="{C3380CC4-5D6E-409C-BE32-E72D297353CC}">
              <c16:uniqueId val="{00000006-3D53-496B-B526-97EF50FB882B}"/>
            </c:ext>
          </c:extLst>
        </c:ser>
        <c:dLbls>
          <c:dLblPos val="ctr"/>
          <c:showLegendKey val="0"/>
          <c:showVal val="1"/>
          <c:showCatName val="0"/>
          <c:showSerName val="0"/>
          <c:showPercent val="0"/>
          <c:showBubbleSize val="0"/>
        </c:dLbls>
        <c:gapWidth val="150"/>
        <c:overlap val="100"/>
        <c:axId val="790958128"/>
        <c:axId val="790961408"/>
        <c:extLst>
          <c:ext xmlns:c15="http://schemas.microsoft.com/office/drawing/2012/chart" uri="{02D57815-91ED-43cb-92C2-25804820EDAC}">
            <c15:filteredBarSeries>
              <c15:ser>
                <c:idx val="0"/>
                <c:order val="0"/>
                <c:tx>
                  <c:strRef>
                    <c:extLst>
                      <c:ext uri="{02D57815-91ED-43cb-92C2-25804820EDAC}">
                        <c15:formulaRef>
                          <c15:sqref>'individual-chart-career'!$C$2</c15:sqref>
                        </c15:formulaRef>
                      </c:ext>
                    </c:extLst>
                    <c:strCache>
                      <c:ptCount val="1"/>
                      <c:pt idx="0">
                        <c:v>Completed</c:v>
                      </c:pt>
                    </c:strCache>
                  </c:strRef>
                </c:tx>
                <c:spPr>
                  <a:solidFill>
                    <a:schemeClr val="accent2">
                      <a:shade val="42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c:ext uri="{02D57815-91ED-43cb-92C2-25804820EDAC}">
                        <c15:formulaRef>
                          <c15:sqref>'individual-chart-career'!$B$3:$B$21</c15:sqref>
                        </c15:formulaRef>
                      </c:ext>
                    </c:extLst>
                    <c:strCache>
                      <c:ptCount val="2"/>
                      <c:pt idx="0">
                        <c:v>Activity</c:v>
                      </c:pt>
                      <c:pt idx="1">
                        <c:v>Outputs</c:v>
                      </c:pt>
                    </c:strCache>
                  </c:strRef>
                </c:cat>
                <c:val>
                  <c:numRef>
                    <c:extLst>
                      <c:ext uri="{02D57815-91ED-43cb-92C2-25804820EDAC}">
                        <c15:formulaRef>
                          <c15:sqref>'individual-chart-career'!$C$3:$C$21</c15:sqref>
                        </c15:formulaRef>
                      </c:ext>
                    </c:extLst>
                    <c:numCache>
                      <c:formatCode>0%</c:formatCode>
                      <c:ptCount val="2"/>
                      <c:pt idx="0">
                        <c:v>0.5</c:v>
                      </c:pt>
                      <c:pt idx="1">
                        <c:v>0.5</c:v>
                      </c:pt>
                    </c:numCache>
                  </c:numRef>
                </c:val>
                <c:extLst>
                  <c:ext xmlns:c16="http://schemas.microsoft.com/office/drawing/2014/chart" uri="{C3380CC4-5D6E-409C-BE32-E72D297353CC}">
                    <c16:uniqueId val="{00000007-3D53-496B-B526-97EF50FB882B}"/>
                  </c:ext>
                </c:extLst>
              </c15:ser>
            </c15:filteredBarSeries>
            <c15:filteredBarSeries>
              <c15:ser>
                <c:idx val="1"/>
                <c:order val="1"/>
                <c:tx>
                  <c:strRef>
                    <c:extLst xmlns:c15="http://schemas.microsoft.com/office/drawing/2012/chart">
                      <c:ext xmlns:c15="http://schemas.microsoft.com/office/drawing/2012/chart" uri="{02D57815-91ED-43cb-92C2-25804820EDAC}">
                        <c15:formulaRef>
                          <c15:sqref>'individual-chart-career'!$D$2</c15:sqref>
                        </c15:formulaRef>
                      </c:ext>
                    </c:extLst>
                    <c:strCache>
                      <c:ptCount val="1"/>
                      <c:pt idx="0">
                        <c:v>In progress</c:v>
                      </c:pt>
                    </c:strCache>
                  </c:strRef>
                </c:tx>
                <c:spPr>
                  <a:solidFill>
                    <a:schemeClr val="accent2">
                      <a:shade val="5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'individual-chart-career'!$B$3:$B$21</c15:sqref>
                        </c15:formulaRef>
                      </c:ext>
                    </c:extLst>
                    <c:strCache>
                      <c:ptCount val="2"/>
                      <c:pt idx="0">
                        <c:v>Activity</c:v>
                      </c:pt>
                      <c:pt idx="1">
                        <c:v>Outputs</c:v>
                      </c:pt>
                    </c:strCache>
                  </c:strRef>
                </c:cat>
                <c:val>
                  <c:numRef>
                    <c:extLst xmlns:c15="http://schemas.microsoft.com/office/drawing/2012/chart">
                      <c:ext xmlns:c15="http://schemas.microsoft.com/office/drawing/2012/chart" uri="{02D57815-91ED-43cb-92C2-25804820EDAC}">
                        <c15:formulaRef>
                          <c15:sqref>'individual-chart-career'!$D$3:$D$21</c15:sqref>
                        </c15:formulaRef>
                      </c:ext>
                    </c:extLst>
                    <c:numCache>
                      <c:formatCode>General</c:formatCode>
                      <c:ptCount val="2"/>
                    </c:numCache>
                  </c:numRef>
                </c:val>
                <c:extLst xmlns:c15="http://schemas.microsoft.com/office/drawing/2012/chart">
                  <c:ext xmlns:c16="http://schemas.microsoft.com/office/drawing/2014/chart" uri="{C3380CC4-5D6E-409C-BE32-E72D297353CC}">
                    <c16:uniqueId val="{00000008-3D53-496B-B526-97EF50FB882B}"/>
                  </c:ext>
                </c:extLst>
              </c15:ser>
            </c15:filteredBarSeries>
            <c15:filteredBarSeries>
              <c15:ser>
                <c:idx val="2"/>
                <c:order val="2"/>
                <c:tx>
                  <c:strRef>
                    <c:extLst xmlns:c15="http://schemas.microsoft.com/office/drawing/2012/chart">
                      <c:ext xmlns:c15="http://schemas.microsoft.com/office/drawing/2012/chart" uri="{02D57815-91ED-43cb-92C2-25804820EDAC}">
                        <c15:formulaRef>
                          <c15:sqref>'individual-chart-career'!$E$2</c15:sqref>
                        </c15:formulaRef>
                      </c:ext>
                    </c:extLst>
                    <c:strCache>
                      <c:ptCount val="1"/>
                      <c:pt idx="0">
                        <c:v>Not started</c:v>
                      </c:pt>
                    </c:strCache>
                  </c:strRef>
                </c:tx>
                <c:spPr>
                  <a:solidFill>
                    <a:schemeClr val="accent2">
                      <a:shade val="68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'individual-chart-career'!$B$3:$B$21</c15:sqref>
                        </c15:formulaRef>
                      </c:ext>
                    </c:extLst>
                    <c:strCache>
                      <c:ptCount val="2"/>
                      <c:pt idx="0">
                        <c:v>Activity</c:v>
                      </c:pt>
                      <c:pt idx="1">
                        <c:v>Outputs</c:v>
                      </c:pt>
                    </c:strCache>
                  </c:strRef>
                </c:cat>
                <c:val>
                  <c:numRef>
                    <c:extLst xmlns:c15="http://schemas.microsoft.com/office/drawing/2012/chart">
                      <c:ext xmlns:c15="http://schemas.microsoft.com/office/drawing/2012/chart" uri="{02D57815-91ED-43cb-92C2-25804820EDAC}">
                        <c15:formulaRef>
                          <c15:sqref>'individual-chart-career'!$E$3:$E$21</c15:sqref>
                        </c15:formulaRef>
                      </c:ext>
                    </c:extLst>
                    <c:numCache>
                      <c:formatCode>0%</c:formatCode>
                      <c:ptCount val="2"/>
                      <c:pt idx="0">
                        <c:v>0.5</c:v>
                      </c:pt>
                      <c:pt idx="1">
                        <c:v>0.5</c:v>
                      </c:pt>
                    </c:numCache>
                  </c:numRef>
                </c:val>
                <c:extLst xmlns:c15="http://schemas.microsoft.com/office/drawing/2012/chart">
                  <c:ext xmlns:c16="http://schemas.microsoft.com/office/drawing/2014/chart" uri="{C3380CC4-5D6E-409C-BE32-E72D297353CC}">
                    <c16:uniqueId val="{00000009-3D53-496B-B526-97EF50FB882B}"/>
                  </c:ext>
                </c:extLst>
              </c15:ser>
            </c15:filteredBarSeries>
          </c:ext>
        </c:extLst>
      </c:barChart>
      <c:catAx>
        <c:axId val="7909581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n-US"/>
          </a:p>
        </c:txPr>
        <c:crossAx val="790961408"/>
        <c:crosses val="autoZero"/>
        <c:auto val="1"/>
        <c:lblAlgn val="ctr"/>
        <c:lblOffset val="100"/>
        <c:noMultiLvlLbl val="0"/>
      </c:catAx>
      <c:valAx>
        <c:axId val="790961408"/>
        <c:scaling>
          <c:orientation val="minMax"/>
          <c:min val="0"/>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90958128"/>
        <c:crossesAt val="1"/>
        <c:crossBetween val="between"/>
      </c:valAx>
      <c:spPr>
        <a:noFill/>
        <a:ln>
          <a:noFill/>
        </a:ln>
        <a:effectLst/>
      </c:spPr>
    </c:plotArea>
    <c:legend>
      <c:legendPos val="t"/>
      <c:layout>
        <c:manualLayout>
          <c:xMode val="edge"/>
          <c:yMode val="edge"/>
          <c:x val="0.16878348885760888"/>
          <c:y val="0.13041314510575025"/>
          <c:w val="0.70460273616206281"/>
          <c:h val="0.12652310298086494"/>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userShapes r:id="rId5"/>
</c:chartSpace>
</file>

<file path=word/charts/chart8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4"/>
    </mc:Choice>
    <mc:Fallback>
      <c:style val="4"/>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Topic Area - The Career Index Plus (TCI+) and LMI</a:t>
            </a:r>
            <a:br>
              <a:rPr lang="en-US"/>
            </a:br>
            <a:r>
              <a:rPr lang="en-US"/>
              <a:t>Activity #4</a:t>
            </a:r>
          </a:p>
        </c:rich>
      </c:tx>
      <c:layout>
        <c:manualLayout>
          <c:xMode val="edge"/>
          <c:yMode val="edge"/>
          <c:x val="0.13402931006325372"/>
          <c:y val="1.4284984218377742E-3"/>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3773248222116805"/>
          <c:y val="0.25325772269284524"/>
          <c:w val="0.78942722632790041"/>
          <c:h val="0.66602748393145406"/>
        </c:manualLayout>
      </c:layout>
      <c:barChart>
        <c:barDir val="col"/>
        <c:grouping val="percentStacked"/>
        <c:varyColors val="0"/>
        <c:ser>
          <c:idx val="3"/>
          <c:order val="3"/>
          <c:tx>
            <c:strRef>
              <c:f>'individual-chart-career'!$F$2</c:f>
              <c:strCache>
                <c:ptCount val="1"/>
                <c:pt idx="0">
                  <c:v>Completed</c:v>
                </c:pt>
              </c:strCache>
            </c:strRef>
          </c:tx>
          <c:spPr>
            <a:solidFill>
              <a:srgbClr val="99221F"/>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600" b="0"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'individual-chart-career'!$B$3:$B$22</c:f>
              <c:strCache>
                <c:ptCount val="2"/>
                <c:pt idx="0">
                  <c:v>Activity</c:v>
                </c:pt>
                <c:pt idx="1">
                  <c:v>Outputs</c:v>
                </c:pt>
              </c:strCache>
              <c:extLst/>
            </c:strRef>
          </c:cat>
          <c:val>
            <c:numRef>
              <c:f>'individual-chart-career'!$F$3:$F$22</c:f>
              <c:numCache>
                <c:formatCode>0%</c:formatCode>
                <c:ptCount val="2"/>
                <c:pt idx="0">
                  <c:v>0.66666666666666663</c:v>
                </c:pt>
                <c:pt idx="1">
                  <c:v>0.66666666666666663</c:v>
                </c:pt>
              </c:numCache>
              <c:extLst/>
            </c:numRef>
          </c:val>
          <c:extLst>
            <c:ext xmlns:c16="http://schemas.microsoft.com/office/drawing/2014/chart" uri="{C3380CC4-5D6E-409C-BE32-E72D297353CC}">
              <c16:uniqueId val="{00000000-1692-4389-AEC4-C00103246BB9}"/>
            </c:ext>
          </c:extLst>
        </c:ser>
        <c:ser>
          <c:idx val="4"/>
          <c:order val="4"/>
          <c:tx>
            <c:strRef>
              <c:f>'individual-chart-career'!$G$2</c:f>
              <c:strCache>
                <c:ptCount val="1"/>
                <c:pt idx="0">
                  <c:v>90%</c:v>
                </c:pt>
              </c:strCache>
            </c:strRef>
          </c:tx>
          <c:spPr>
            <a:solidFill>
              <a:srgbClr val="D73D39"/>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'individual-chart-career'!$B$3:$B$22</c:f>
              <c:strCache>
                <c:ptCount val="2"/>
                <c:pt idx="0">
                  <c:v>Activity</c:v>
                </c:pt>
                <c:pt idx="1">
                  <c:v>Outputs</c:v>
                </c:pt>
              </c:strCache>
              <c:extLst/>
            </c:strRef>
          </c:cat>
          <c:val>
            <c:numRef>
              <c:f>'individual-chart-career'!$G$3:$G$22</c:f>
              <c:numCache>
                <c:formatCode>General</c:formatCode>
                <c:ptCount val="2"/>
              </c:numCache>
              <c:extLst/>
            </c:numRef>
          </c:val>
          <c:extLst>
            <c:ext xmlns:c16="http://schemas.microsoft.com/office/drawing/2014/chart" uri="{C3380CC4-5D6E-409C-BE32-E72D297353CC}">
              <c16:uniqueId val="{00000001-1692-4389-AEC4-C00103246BB9}"/>
            </c:ext>
          </c:extLst>
        </c:ser>
        <c:ser>
          <c:idx val="5"/>
          <c:order val="5"/>
          <c:tx>
            <c:strRef>
              <c:f>'individual-chart-career'!$H$2</c:f>
              <c:strCache>
                <c:ptCount val="1"/>
                <c:pt idx="0">
                  <c:v>75%</c:v>
                </c:pt>
              </c:strCache>
            </c:strRef>
          </c:tx>
          <c:spPr>
            <a:solidFill>
              <a:srgbClr val="DC535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'individual-chart-career'!$B$3:$B$22</c:f>
              <c:strCache>
                <c:ptCount val="2"/>
                <c:pt idx="0">
                  <c:v>Activity</c:v>
                </c:pt>
                <c:pt idx="1">
                  <c:v>Outputs</c:v>
                </c:pt>
              </c:strCache>
              <c:extLst/>
            </c:strRef>
          </c:cat>
          <c:val>
            <c:numRef>
              <c:f>'individual-chart-career'!$H$3:$H$22</c:f>
              <c:numCache>
                <c:formatCode>General</c:formatCode>
                <c:ptCount val="2"/>
              </c:numCache>
              <c:extLst/>
            </c:numRef>
          </c:val>
          <c:extLst>
            <c:ext xmlns:c16="http://schemas.microsoft.com/office/drawing/2014/chart" uri="{C3380CC4-5D6E-409C-BE32-E72D297353CC}">
              <c16:uniqueId val="{00000002-1692-4389-AEC4-C00103246BB9}"/>
            </c:ext>
          </c:extLst>
        </c:ser>
        <c:ser>
          <c:idx val="6"/>
          <c:order val="6"/>
          <c:tx>
            <c:strRef>
              <c:f>'individual-chart-career'!$I$2</c:f>
              <c:strCache>
                <c:ptCount val="1"/>
                <c:pt idx="0">
                  <c:v>50%</c:v>
                </c:pt>
              </c:strCache>
            </c:strRef>
          </c:tx>
          <c:spPr>
            <a:solidFill>
              <a:srgbClr val="EBA19F"/>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'individual-chart-career'!$B$3:$B$22</c:f>
              <c:strCache>
                <c:ptCount val="2"/>
                <c:pt idx="0">
                  <c:v>Activity</c:v>
                </c:pt>
                <c:pt idx="1">
                  <c:v>Outputs</c:v>
                </c:pt>
              </c:strCache>
              <c:extLst/>
            </c:strRef>
          </c:cat>
          <c:val>
            <c:numRef>
              <c:f>'individual-chart-career'!$I$3:$I$22</c:f>
              <c:numCache>
                <c:formatCode>General</c:formatCode>
                <c:ptCount val="2"/>
              </c:numCache>
              <c:extLst/>
            </c:numRef>
          </c:val>
          <c:extLst>
            <c:ext xmlns:c16="http://schemas.microsoft.com/office/drawing/2014/chart" uri="{C3380CC4-5D6E-409C-BE32-E72D297353CC}">
              <c16:uniqueId val="{00000003-1692-4389-AEC4-C00103246BB9}"/>
            </c:ext>
          </c:extLst>
        </c:ser>
        <c:ser>
          <c:idx val="7"/>
          <c:order val="7"/>
          <c:tx>
            <c:strRef>
              <c:f>'individual-chart-career'!$J$2</c:f>
              <c:strCache>
                <c:ptCount val="1"/>
                <c:pt idx="0">
                  <c:v>25%</c:v>
                </c:pt>
              </c:strCache>
            </c:strRef>
          </c:tx>
          <c:spPr>
            <a:solidFill>
              <a:srgbClr val="F3C6C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'individual-chart-career'!$B$3:$B$22</c:f>
              <c:strCache>
                <c:ptCount val="2"/>
                <c:pt idx="0">
                  <c:v>Activity</c:v>
                </c:pt>
                <c:pt idx="1">
                  <c:v>Outputs</c:v>
                </c:pt>
              </c:strCache>
              <c:extLst/>
            </c:strRef>
          </c:cat>
          <c:val>
            <c:numRef>
              <c:f>'individual-chart-career'!$J$3:$J$22</c:f>
              <c:numCache>
                <c:formatCode>0%</c:formatCode>
                <c:ptCount val="2"/>
                <c:pt idx="0">
                  <c:v>0.22222222222222221</c:v>
                </c:pt>
                <c:pt idx="1">
                  <c:v>0.1111111111111111</c:v>
                </c:pt>
              </c:numCache>
              <c:extLst/>
            </c:numRef>
          </c:val>
          <c:extLst>
            <c:ext xmlns:c16="http://schemas.microsoft.com/office/drawing/2014/chart" uri="{C3380CC4-5D6E-409C-BE32-E72D297353CC}">
              <c16:uniqueId val="{00000004-1692-4389-AEC4-C00103246BB9}"/>
            </c:ext>
          </c:extLst>
        </c:ser>
        <c:ser>
          <c:idx val="8"/>
          <c:order val="8"/>
          <c:tx>
            <c:strRef>
              <c:f>'individual-chart-career'!$K$2</c:f>
              <c:strCache>
                <c:ptCount val="1"/>
                <c:pt idx="0">
                  <c:v>10%</c:v>
                </c:pt>
              </c:strCache>
            </c:strRef>
          </c:tx>
          <c:spPr>
            <a:solidFill>
              <a:schemeClr val="accent2">
                <a:tint val="56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'individual-chart-career'!$B$3:$B$22</c:f>
              <c:strCache>
                <c:ptCount val="2"/>
                <c:pt idx="0">
                  <c:v>Activity</c:v>
                </c:pt>
                <c:pt idx="1">
                  <c:v>Outputs</c:v>
                </c:pt>
              </c:strCache>
              <c:extLst/>
            </c:strRef>
          </c:cat>
          <c:val>
            <c:numRef>
              <c:f>'individual-chart-career'!$K$3:$K$22</c:f>
              <c:numCache>
                <c:formatCode>General</c:formatCode>
                <c:ptCount val="2"/>
              </c:numCache>
              <c:extLst/>
            </c:numRef>
          </c:val>
          <c:extLst>
            <c:ext xmlns:c16="http://schemas.microsoft.com/office/drawing/2014/chart" uri="{C3380CC4-5D6E-409C-BE32-E72D297353CC}">
              <c16:uniqueId val="{00000005-1692-4389-AEC4-C00103246BB9}"/>
            </c:ext>
          </c:extLst>
        </c:ser>
        <c:ser>
          <c:idx val="9"/>
          <c:order val="9"/>
          <c:tx>
            <c:strRef>
              <c:f>'individual-chart-career'!$L$2</c:f>
              <c:strCache>
                <c:ptCount val="1"/>
                <c:pt idx="0">
                  <c:v>Not Started</c:v>
                </c:pt>
              </c:strCache>
            </c:strRef>
          </c:tx>
          <c:spPr>
            <a:solidFill>
              <a:srgbClr val="FCF2F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'individual-chart-career'!$B$3:$B$22</c:f>
              <c:strCache>
                <c:ptCount val="2"/>
                <c:pt idx="0">
                  <c:v>Activity</c:v>
                </c:pt>
                <c:pt idx="1">
                  <c:v>Outputs</c:v>
                </c:pt>
              </c:strCache>
              <c:extLst/>
            </c:strRef>
          </c:cat>
          <c:val>
            <c:numRef>
              <c:f>'individual-chart-career'!$L$3:$L$22</c:f>
              <c:numCache>
                <c:formatCode>0%</c:formatCode>
                <c:ptCount val="2"/>
                <c:pt idx="0">
                  <c:v>0.1111111111111111</c:v>
                </c:pt>
                <c:pt idx="1">
                  <c:v>0.22222222222222221</c:v>
                </c:pt>
              </c:numCache>
              <c:extLst/>
            </c:numRef>
          </c:val>
          <c:extLst>
            <c:ext xmlns:c16="http://schemas.microsoft.com/office/drawing/2014/chart" uri="{C3380CC4-5D6E-409C-BE32-E72D297353CC}">
              <c16:uniqueId val="{00000006-1692-4389-AEC4-C00103246BB9}"/>
            </c:ext>
          </c:extLst>
        </c:ser>
        <c:dLbls>
          <c:dLblPos val="ctr"/>
          <c:showLegendKey val="0"/>
          <c:showVal val="1"/>
          <c:showCatName val="0"/>
          <c:showSerName val="0"/>
          <c:showPercent val="0"/>
          <c:showBubbleSize val="0"/>
        </c:dLbls>
        <c:gapWidth val="150"/>
        <c:overlap val="100"/>
        <c:axId val="790958128"/>
        <c:axId val="790961408"/>
        <c:extLst>
          <c:ext xmlns:c15="http://schemas.microsoft.com/office/drawing/2012/chart" uri="{02D57815-91ED-43cb-92C2-25804820EDAC}">
            <c15:filteredBarSeries>
              <c15:ser>
                <c:idx val="0"/>
                <c:order val="0"/>
                <c:tx>
                  <c:strRef>
                    <c:extLst>
                      <c:ext uri="{02D57815-91ED-43cb-92C2-25804820EDAC}">
                        <c15:formulaRef>
                          <c15:sqref>'individual-chart-career'!$C$2</c15:sqref>
                        </c15:formulaRef>
                      </c:ext>
                    </c:extLst>
                    <c:strCache>
                      <c:ptCount val="1"/>
                      <c:pt idx="0">
                        <c:v>Completed</c:v>
                      </c:pt>
                    </c:strCache>
                  </c:strRef>
                </c:tx>
                <c:spPr>
                  <a:solidFill>
                    <a:schemeClr val="accent2">
                      <a:shade val="42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c:ext uri="{02D57815-91ED-43cb-92C2-25804820EDAC}">
                        <c15:formulaRef>
                          <c15:sqref>'individual-chart-career'!$B$3:$B$22</c15:sqref>
                        </c15:formulaRef>
                      </c:ext>
                    </c:extLst>
                    <c:strCache>
                      <c:ptCount val="2"/>
                      <c:pt idx="0">
                        <c:v>Activity</c:v>
                      </c:pt>
                      <c:pt idx="1">
                        <c:v>Outputs</c:v>
                      </c:pt>
                    </c:strCache>
                  </c:strRef>
                </c:cat>
                <c:val>
                  <c:numRef>
                    <c:extLst>
                      <c:ext uri="{02D57815-91ED-43cb-92C2-25804820EDAC}">
                        <c15:formulaRef>
                          <c15:sqref>'individual-chart-career'!$C$3:$C$22</c15:sqref>
                        </c15:formulaRef>
                      </c:ext>
                    </c:extLst>
                    <c:numCache>
                      <c:formatCode>0%</c:formatCode>
                      <c:ptCount val="2"/>
                      <c:pt idx="0">
                        <c:v>0.66666666666666663</c:v>
                      </c:pt>
                      <c:pt idx="1">
                        <c:v>0.66666666666666663</c:v>
                      </c:pt>
                    </c:numCache>
                  </c:numRef>
                </c:val>
                <c:extLst>
                  <c:ext xmlns:c16="http://schemas.microsoft.com/office/drawing/2014/chart" uri="{C3380CC4-5D6E-409C-BE32-E72D297353CC}">
                    <c16:uniqueId val="{00000007-1692-4389-AEC4-C00103246BB9}"/>
                  </c:ext>
                </c:extLst>
              </c15:ser>
            </c15:filteredBarSeries>
            <c15:filteredBarSeries>
              <c15:ser>
                <c:idx val="1"/>
                <c:order val="1"/>
                <c:tx>
                  <c:strRef>
                    <c:extLst xmlns:c15="http://schemas.microsoft.com/office/drawing/2012/chart">
                      <c:ext xmlns:c15="http://schemas.microsoft.com/office/drawing/2012/chart" uri="{02D57815-91ED-43cb-92C2-25804820EDAC}">
                        <c15:formulaRef>
                          <c15:sqref>'individual-chart-career'!$D$2</c15:sqref>
                        </c15:formulaRef>
                      </c:ext>
                    </c:extLst>
                    <c:strCache>
                      <c:ptCount val="1"/>
                      <c:pt idx="0">
                        <c:v>In progress</c:v>
                      </c:pt>
                    </c:strCache>
                  </c:strRef>
                </c:tx>
                <c:spPr>
                  <a:solidFill>
                    <a:schemeClr val="accent2">
                      <a:shade val="5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'individual-chart-career'!$B$3:$B$22</c15:sqref>
                        </c15:formulaRef>
                      </c:ext>
                    </c:extLst>
                    <c:strCache>
                      <c:ptCount val="2"/>
                      <c:pt idx="0">
                        <c:v>Activity</c:v>
                      </c:pt>
                      <c:pt idx="1">
                        <c:v>Outputs</c:v>
                      </c:pt>
                    </c:strCache>
                  </c:strRef>
                </c:cat>
                <c:val>
                  <c:numRef>
                    <c:extLst xmlns:c15="http://schemas.microsoft.com/office/drawing/2012/chart">
                      <c:ext xmlns:c15="http://schemas.microsoft.com/office/drawing/2012/chart" uri="{02D57815-91ED-43cb-92C2-25804820EDAC}">
                        <c15:formulaRef>
                          <c15:sqref>'individual-chart-career'!$D$3:$D$22</c15:sqref>
                        </c15:formulaRef>
                      </c:ext>
                    </c:extLst>
                    <c:numCache>
                      <c:formatCode>0%</c:formatCode>
                      <c:ptCount val="2"/>
                      <c:pt idx="0">
                        <c:v>0.22222222222222221</c:v>
                      </c:pt>
                      <c:pt idx="1">
                        <c:v>0.1111111111111111</c:v>
                      </c:pt>
                    </c:numCache>
                  </c:numRef>
                </c:val>
                <c:extLst xmlns:c15="http://schemas.microsoft.com/office/drawing/2012/chart">
                  <c:ext xmlns:c16="http://schemas.microsoft.com/office/drawing/2014/chart" uri="{C3380CC4-5D6E-409C-BE32-E72D297353CC}">
                    <c16:uniqueId val="{00000008-1692-4389-AEC4-C00103246BB9}"/>
                  </c:ext>
                </c:extLst>
              </c15:ser>
            </c15:filteredBarSeries>
            <c15:filteredBarSeries>
              <c15:ser>
                <c:idx val="2"/>
                <c:order val="2"/>
                <c:tx>
                  <c:strRef>
                    <c:extLst xmlns:c15="http://schemas.microsoft.com/office/drawing/2012/chart">
                      <c:ext xmlns:c15="http://schemas.microsoft.com/office/drawing/2012/chart" uri="{02D57815-91ED-43cb-92C2-25804820EDAC}">
                        <c15:formulaRef>
                          <c15:sqref>'individual-chart-career'!$E$2</c15:sqref>
                        </c15:formulaRef>
                      </c:ext>
                    </c:extLst>
                    <c:strCache>
                      <c:ptCount val="1"/>
                      <c:pt idx="0">
                        <c:v>Not started</c:v>
                      </c:pt>
                    </c:strCache>
                  </c:strRef>
                </c:tx>
                <c:spPr>
                  <a:solidFill>
                    <a:schemeClr val="accent2">
                      <a:shade val="68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'individual-chart-career'!$B$3:$B$22</c15:sqref>
                        </c15:formulaRef>
                      </c:ext>
                    </c:extLst>
                    <c:strCache>
                      <c:ptCount val="2"/>
                      <c:pt idx="0">
                        <c:v>Activity</c:v>
                      </c:pt>
                      <c:pt idx="1">
                        <c:v>Outputs</c:v>
                      </c:pt>
                    </c:strCache>
                  </c:strRef>
                </c:cat>
                <c:val>
                  <c:numRef>
                    <c:extLst xmlns:c15="http://schemas.microsoft.com/office/drawing/2012/chart">
                      <c:ext xmlns:c15="http://schemas.microsoft.com/office/drawing/2012/chart" uri="{02D57815-91ED-43cb-92C2-25804820EDAC}">
                        <c15:formulaRef>
                          <c15:sqref>'individual-chart-career'!$E$3:$E$22</c15:sqref>
                        </c15:formulaRef>
                      </c:ext>
                    </c:extLst>
                    <c:numCache>
                      <c:formatCode>0%</c:formatCode>
                      <c:ptCount val="2"/>
                      <c:pt idx="0">
                        <c:v>0.1111111111111111</c:v>
                      </c:pt>
                      <c:pt idx="1">
                        <c:v>0.22222222222222221</c:v>
                      </c:pt>
                    </c:numCache>
                  </c:numRef>
                </c:val>
                <c:extLst xmlns:c15="http://schemas.microsoft.com/office/drawing/2012/chart">
                  <c:ext xmlns:c16="http://schemas.microsoft.com/office/drawing/2014/chart" uri="{C3380CC4-5D6E-409C-BE32-E72D297353CC}">
                    <c16:uniqueId val="{00000009-1692-4389-AEC4-C00103246BB9}"/>
                  </c:ext>
                </c:extLst>
              </c15:ser>
            </c15:filteredBarSeries>
          </c:ext>
        </c:extLst>
      </c:barChart>
      <c:catAx>
        <c:axId val="7909581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n-US"/>
          </a:p>
        </c:txPr>
        <c:crossAx val="790961408"/>
        <c:crosses val="autoZero"/>
        <c:auto val="1"/>
        <c:lblAlgn val="ctr"/>
        <c:lblOffset val="100"/>
        <c:noMultiLvlLbl val="0"/>
      </c:catAx>
      <c:valAx>
        <c:axId val="790961408"/>
        <c:scaling>
          <c:orientation val="minMax"/>
          <c:min val="0"/>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90958128"/>
        <c:crossesAt val="1"/>
        <c:crossBetween val="between"/>
      </c:valAx>
      <c:spPr>
        <a:noFill/>
        <a:ln>
          <a:noFill/>
        </a:ln>
        <a:effectLst/>
      </c:spPr>
    </c:plotArea>
    <c:legend>
      <c:legendPos val="t"/>
      <c:layout>
        <c:manualLayout>
          <c:xMode val="edge"/>
          <c:yMode val="edge"/>
          <c:x val="0.16878348885760888"/>
          <c:y val="0.13041314510575025"/>
          <c:w val="0.70460273616206281"/>
          <c:h val="0.12652310298086494"/>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userShapes r:id="rId5"/>
</c:chartSpace>
</file>

<file path=word/charts/chart8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4"/>
    </mc:Choice>
    <mc:Fallback>
      <c:style val="4"/>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Topic Area - The Career Index Plus (TCI+) and LMI</a:t>
            </a:r>
            <a:br>
              <a:rPr lang="en-US"/>
            </a:br>
            <a:r>
              <a:rPr lang="en-US"/>
              <a:t>Activity #5</a:t>
            </a:r>
          </a:p>
        </c:rich>
      </c:tx>
      <c:layout>
        <c:manualLayout>
          <c:xMode val="edge"/>
          <c:yMode val="edge"/>
          <c:x val="0.13402931006325372"/>
          <c:y val="1.4284984218377742E-3"/>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3773248222116805"/>
          <c:y val="0.25325772269284524"/>
          <c:w val="0.78942722632790041"/>
          <c:h val="0.66602748393145406"/>
        </c:manualLayout>
      </c:layout>
      <c:barChart>
        <c:barDir val="col"/>
        <c:grouping val="percentStacked"/>
        <c:varyColors val="0"/>
        <c:ser>
          <c:idx val="3"/>
          <c:order val="3"/>
          <c:tx>
            <c:strRef>
              <c:f>'individual-chart-career'!$F$2</c:f>
              <c:strCache>
                <c:ptCount val="1"/>
                <c:pt idx="0">
                  <c:v>Completed</c:v>
                </c:pt>
              </c:strCache>
            </c:strRef>
          </c:tx>
          <c:spPr>
            <a:solidFill>
              <a:srgbClr val="99221F"/>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600" b="0"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'individual-chart-career'!$B$3:$B$22</c:f>
              <c:strCache>
                <c:ptCount val="2"/>
                <c:pt idx="0">
                  <c:v>Activity</c:v>
                </c:pt>
                <c:pt idx="1">
                  <c:v>Outputs</c:v>
                </c:pt>
              </c:strCache>
              <c:extLst/>
            </c:strRef>
          </c:cat>
          <c:val>
            <c:numRef>
              <c:f>'individual-chart-career'!$F$3:$F$22</c:f>
              <c:numCache>
                <c:formatCode>0%</c:formatCode>
                <c:ptCount val="2"/>
                <c:pt idx="0">
                  <c:v>1</c:v>
                </c:pt>
                <c:pt idx="1">
                  <c:v>1</c:v>
                </c:pt>
              </c:numCache>
              <c:extLst/>
            </c:numRef>
          </c:val>
          <c:extLst>
            <c:ext xmlns:c16="http://schemas.microsoft.com/office/drawing/2014/chart" uri="{C3380CC4-5D6E-409C-BE32-E72D297353CC}">
              <c16:uniqueId val="{00000000-8ED7-4E51-90E1-41422CA6F981}"/>
            </c:ext>
          </c:extLst>
        </c:ser>
        <c:ser>
          <c:idx val="4"/>
          <c:order val="4"/>
          <c:tx>
            <c:strRef>
              <c:f>'individual-chart-career'!$G$2</c:f>
              <c:strCache>
                <c:ptCount val="1"/>
                <c:pt idx="0">
                  <c:v>90%</c:v>
                </c:pt>
              </c:strCache>
            </c:strRef>
          </c:tx>
          <c:spPr>
            <a:solidFill>
              <a:srgbClr val="D73D39"/>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'individual-chart-career'!$B$3:$B$22</c:f>
              <c:strCache>
                <c:ptCount val="2"/>
                <c:pt idx="0">
                  <c:v>Activity</c:v>
                </c:pt>
                <c:pt idx="1">
                  <c:v>Outputs</c:v>
                </c:pt>
              </c:strCache>
              <c:extLst/>
            </c:strRef>
          </c:cat>
          <c:val>
            <c:numRef>
              <c:f>'individual-chart-career'!$G$3:$G$22</c:f>
              <c:numCache>
                <c:formatCode>General</c:formatCode>
                <c:ptCount val="2"/>
              </c:numCache>
              <c:extLst/>
            </c:numRef>
          </c:val>
          <c:extLst>
            <c:ext xmlns:c16="http://schemas.microsoft.com/office/drawing/2014/chart" uri="{C3380CC4-5D6E-409C-BE32-E72D297353CC}">
              <c16:uniqueId val="{00000001-8ED7-4E51-90E1-41422CA6F981}"/>
            </c:ext>
          </c:extLst>
        </c:ser>
        <c:ser>
          <c:idx val="5"/>
          <c:order val="5"/>
          <c:tx>
            <c:strRef>
              <c:f>'individual-chart-career'!$H$2</c:f>
              <c:strCache>
                <c:ptCount val="1"/>
                <c:pt idx="0">
                  <c:v>75%</c:v>
                </c:pt>
              </c:strCache>
            </c:strRef>
          </c:tx>
          <c:spPr>
            <a:solidFill>
              <a:srgbClr val="DC535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'individual-chart-career'!$B$3:$B$22</c:f>
              <c:strCache>
                <c:ptCount val="2"/>
                <c:pt idx="0">
                  <c:v>Activity</c:v>
                </c:pt>
                <c:pt idx="1">
                  <c:v>Outputs</c:v>
                </c:pt>
              </c:strCache>
              <c:extLst/>
            </c:strRef>
          </c:cat>
          <c:val>
            <c:numRef>
              <c:f>'individual-chart-career'!$H$3:$H$22</c:f>
              <c:numCache>
                <c:formatCode>General</c:formatCode>
                <c:ptCount val="2"/>
              </c:numCache>
              <c:extLst/>
            </c:numRef>
          </c:val>
          <c:extLst>
            <c:ext xmlns:c16="http://schemas.microsoft.com/office/drawing/2014/chart" uri="{C3380CC4-5D6E-409C-BE32-E72D297353CC}">
              <c16:uniqueId val="{00000002-8ED7-4E51-90E1-41422CA6F981}"/>
            </c:ext>
          </c:extLst>
        </c:ser>
        <c:ser>
          <c:idx val="6"/>
          <c:order val="6"/>
          <c:tx>
            <c:strRef>
              <c:f>'individual-chart-career'!$I$2</c:f>
              <c:strCache>
                <c:ptCount val="1"/>
                <c:pt idx="0">
                  <c:v>50%</c:v>
                </c:pt>
              </c:strCache>
            </c:strRef>
          </c:tx>
          <c:spPr>
            <a:solidFill>
              <a:srgbClr val="EBA19F"/>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'individual-chart-career'!$B$3:$B$22</c:f>
              <c:strCache>
                <c:ptCount val="2"/>
                <c:pt idx="0">
                  <c:v>Activity</c:v>
                </c:pt>
                <c:pt idx="1">
                  <c:v>Outputs</c:v>
                </c:pt>
              </c:strCache>
              <c:extLst/>
            </c:strRef>
          </c:cat>
          <c:val>
            <c:numRef>
              <c:f>'individual-chart-career'!$I$3:$I$22</c:f>
              <c:numCache>
                <c:formatCode>General</c:formatCode>
                <c:ptCount val="2"/>
              </c:numCache>
              <c:extLst/>
            </c:numRef>
          </c:val>
          <c:extLst>
            <c:ext xmlns:c16="http://schemas.microsoft.com/office/drawing/2014/chart" uri="{C3380CC4-5D6E-409C-BE32-E72D297353CC}">
              <c16:uniqueId val="{00000003-8ED7-4E51-90E1-41422CA6F981}"/>
            </c:ext>
          </c:extLst>
        </c:ser>
        <c:ser>
          <c:idx val="7"/>
          <c:order val="7"/>
          <c:tx>
            <c:strRef>
              <c:f>'individual-chart-career'!$J$2</c:f>
              <c:strCache>
                <c:ptCount val="1"/>
                <c:pt idx="0">
                  <c:v>25%</c:v>
                </c:pt>
              </c:strCache>
            </c:strRef>
          </c:tx>
          <c:spPr>
            <a:solidFill>
              <a:srgbClr val="F3C6C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'individual-chart-career'!$B$3:$B$22</c:f>
              <c:strCache>
                <c:ptCount val="2"/>
                <c:pt idx="0">
                  <c:v>Activity</c:v>
                </c:pt>
                <c:pt idx="1">
                  <c:v>Outputs</c:v>
                </c:pt>
              </c:strCache>
              <c:extLst/>
            </c:strRef>
          </c:cat>
          <c:val>
            <c:numRef>
              <c:f>'individual-chart-career'!$J$3:$J$22</c:f>
              <c:numCache>
                <c:formatCode>General</c:formatCode>
                <c:ptCount val="2"/>
              </c:numCache>
              <c:extLst/>
            </c:numRef>
          </c:val>
          <c:extLst>
            <c:ext xmlns:c16="http://schemas.microsoft.com/office/drawing/2014/chart" uri="{C3380CC4-5D6E-409C-BE32-E72D297353CC}">
              <c16:uniqueId val="{00000004-8ED7-4E51-90E1-41422CA6F981}"/>
            </c:ext>
          </c:extLst>
        </c:ser>
        <c:ser>
          <c:idx val="8"/>
          <c:order val="8"/>
          <c:tx>
            <c:strRef>
              <c:f>'individual-chart-career'!$K$2</c:f>
              <c:strCache>
                <c:ptCount val="1"/>
                <c:pt idx="0">
                  <c:v>10%</c:v>
                </c:pt>
              </c:strCache>
            </c:strRef>
          </c:tx>
          <c:spPr>
            <a:solidFill>
              <a:schemeClr val="accent2">
                <a:tint val="56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'individual-chart-career'!$B$3:$B$22</c:f>
              <c:strCache>
                <c:ptCount val="2"/>
                <c:pt idx="0">
                  <c:v>Activity</c:v>
                </c:pt>
                <c:pt idx="1">
                  <c:v>Outputs</c:v>
                </c:pt>
              </c:strCache>
              <c:extLst/>
            </c:strRef>
          </c:cat>
          <c:val>
            <c:numRef>
              <c:f>'individual-chart-career'!$K$3:$K$22</c:f>
              <c:numCache>
                <c:formatCode>General</c:formatCode>
                <c:ptCount val="2"/>
              </c:numCache>
              <c:extLst/>
            </c:numRef>
          </c:val>
          <c:extLst>
            <c:ext xmlns:c16="http://schemas.microsoft.com/office/drawing/2014/chart" uri="{C3380CC4-5D6E-409C-BE32-E72D297353CC}">
              <c16:uniqueId val="{00000005-8ED7-4E51-90E1-41422CA6F981}"/>
            </c:ext>
          </c:extLst>
        </c:ser>
        <c:ser>
          <c:idx val="9"/>
          <c:order val="9"/>
          <c:tx>
            <c:strRef>
              <c:f>'individual-chart-career'!$L$2</c:f>
              <c:strCache>
                <c:ptCount val="1"/>
                <c:pt idx="0">
                  <c:v>Not Started</c:v>
                </c:pt>
              </c:strCache>
            </c:strRef>
          </c:tx>
          <c:spPr>
            <a:solidFill>
              <a:srgbClr val="FCF2F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'individual-chart-career'!$B$3:$B$22</c:f>
              <c:strCache>
                <c:ptCount val="2"/>
                <c:pt idx="0">
                  <c:v>Activity</c:v>
                </c:pt>
                <c:pt idx="1">
                  <c:v>Outputs</c:v>
                </c:pt>
              </c:strCache>
              <c:extLst/>
            </c:strRef>
          </c:cat>
          <c:val>
            <c:numRef>
              <c:f>'individual-chart-career'!$L$3:$L$22</c:f>
              <c:numCache>
                <c:formatCode>General</c:formatCode>
                <c:ptCount val="2"/>
              </c:numCache>
              <c:extLst/>
            </c:numRef>
          </c:val>
          <c:extLst>
            <c:ext xmlns:c16="http://schemas.microsoft.com/office/drawing/2014/chart" uri="{C3380CC4-5D6E-409C-BE32-E72D297353CC}">
              <c16:uniqueId val="{00000006-8ED7-4E51-90E1-41422CA6F981}"/>
            </c:ext>
          </c:extLst>
        </c:ser>
        <c:dLbls>
          <c:dLblPos val="ctr"/>
          <c:showLegendKey val="0"/>
          <c:showVal val="1"/>
          <c:showCatName val="0"/>
          <c:showSerName val="0"/>
          <c:showPercent val="0"/>
          <c:showBubbleSize val="0"/>
        </c:dLbls>
        <c:gapWidth val="150"/>
        <c:overlap val="100"/>
        <c:axId val="790958128"/>
        <c:axId val="790961408"/>
        <c:extLst>
          <c:ext xmlns:c15="http://schemas.microsoft.com/office/drawing/2012/chart" uri="{02D57815-91ED-43cb-92C2-25804820EDAC}">
            <c15:filteredBarSeries>
              <c15:ser>
                <c:idx val="0"/>
                <c:order val="0"/>
                <c:tx>
                  <c:strRef>
                    <c:extLst>
                      <c:ext uri="{02D57815-91ED-43cb-92C2-25804820EDAC}">
                        <c15:formulaRef>
                          <c15:sqref>'individual-chart-career'!$C$2</c15:sqref>
                        </c15:formulaRef>
                      </c:ext>
                    </c:extLst>
                    <c:strCache>
                      <c:ptCount val="1"/>
                      <c:pt idx="0">
                        <c:v>Completed</c:v>
                      </c:pt>
                    </c:strCache>
                  </c:strRef>
                </c:tx>
                <c:spPr>
                  <a:solidFill>
                    <a:schemeClr val="accent2">
                      <a:shade val="42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c:ext uri="{02D57815-91ED-43cb-92C2-25804820EDAC}">
                        <c15:formulaRef>
                          <c15:sqref>'individual-chart-career'!$B$3:$B$22</c15:sqref>
                        </c15:formulaRef>
                      </c:ext>
                    </c:extLst>
                    <c:strCache>
                      <c:ptCount val="2"/>
                      <c:pt idx="0">
                        <c:v>Activity</c:v>
                      </c:pt>
                      <c:pt idx="1">
                        <c:v>Outputs</c:v>
                      </c:pt>
                    </c:strCache>
                  </c:strRef>
                </c:cat>
                <c:val>
                  <c:numRef>
                    <c:extLst>
                      <c:ext uri="{02D57815-91ED-43cb-92C2-25804820EDAC}">
                        <c15:formulaRef>
                          <c15:sqref>'individual-chart-career'!$C$3:$C$22</c15:sqref>
                        </c15:formulaRef>
                      </c:ext>
                    </c:extLst>
                    <c:numCache>
                      <c:formatCode>0%</c:formatCode>
                      <c:ptCount val="2"/>
                      <c:pt idx="0">
                        <c:v>1</c:v>
                      </c:pt>
                      <c:pt idx="1">
                        <c:v>1</c:v>
                      </c:pt>
                    </c:numCache>
                  </c:numRef>
                </c:val>
                <c:extLst>
                  <c:ext xmlns:c16="http://schemas.microsoft.com/office/drawing/2014/chart" uri="{C3380CC4-5D6E-409C-BE32-E72D297353CC}">
                    <c16:uniqueId val="{00000007-8ED7-4E51-90E1-41422CA6F981}"/>
                  </c:ext>
                </c:extLst>
              </c15:ser>
            </c15:filteredBarSeries>
            <c15:filteredBarSeries>
              <c15:ser>
                <c:idx val="1"/>
                <c:order val="1"/>
                <c:tx>
                  <c:strRef>
                    <c:extLst xmlns:c15="http://schemas.microsoft.com/office/drawing/2012/chart">
                      <c:ext xmlns:c15="http://schemas.microsoft.com/office/drawing/2012/chart" uri="{02D57815-91ED-43cb-92C2-25804820EDAC}">
                        <c15:formulaRef>
                          <c15:sqref>'individual-chart-career'!$D$2</c15:sqref>
                        </c15:formulaRef>
                      </c:ext>
                    </c:extLst>
                    <c:strCache>
                      <c:ptCount val="1"/>
                      <c:pt idx="0">
                        <c:v>In progress</c:v>
                      </c:pt>
                    </c:strCache>
                  </c:strRef>
                </c:tx>
                <c:spPr>
                  <a:solidFill>
                    <a:schemeClr val="accent2">
                      <a:shade val="5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'individual-chart-career'!$B$3:$B$22</c15:sqref>
                        </c15:formulaRef>
                      </c:ext>
                    </c:extLst>
                    <c:strCache>
                      <c:ptCount val="2"/>
                      <c:pt idx="0">
                        <c:v>Activity</c:v>
                      </c:pt>
                      <c:pt idx="1">
                        <c:v>Outputs</c:v>
                      </c:pt>
                    </c:strCache>
                  </c:strRef>
                </c:cat>
                <c:val>
                  <c:numRef>
                    <c:extLst xmlns:c15="http://schemas.microsoft.com/office/drawing/2012/chart">
                      <c:ext xmlns:c15="http://schemas.microsoft.com/office/drawing/2012/chart" uri="{02D57815-91ED-43cb-92C2-25804820EDAC}">
                        <c15:formulaRef>
                          <c15:sqref>'individual-chart-career'!$D$3:$D$22</c15:sqref>
                        </c15:formulaRef>
                      </c:ext>
                    </c:extLst>
                    <c:numCache>
                      <c:formatCode>General</c:formatCode>
                      <c:ptCount val="2"/>
                    </c:numCache>
                  </c:numRef>
                </c:val>
                <c:extLst xmlns:c15="http://schemas.microsoft.com/office/drawing/2012/chart">
                  <c:ext xmlns:c16="http://schemas.microsoft.com/office/drawing/2014/chart" uri="{C3380CC4-5D6E-409C-BE32-E72D297353CC}">
                    <c16:uniqueId val="{00000008-8ED7-4E51-90E1-41422CA6F981}"/>
                  </c:ext>
                </c:extLst>
              </c15:ser>
            </c15:filteredBarSeries>
            <c15:filteredBarSeries>
              <c15:ser>
                <c:idx val="2"/>
                <c:order val="2"/>
                <c:tx>
                  <c:strRef>
                    <c:extLst xmlns:c15="http://schemas.microsoft.com/office/drawing/2012/chart">
                      <c:ext xmlns:c15="http://schemas.microsoft.com/office/drawing/2012/chart" uri="{02D57815-91ED-43cb-92C2-25804820EDAC}">
                        <c15:formulaRef>
                          <c15:sqref>'individual-chart-career'!$E$2</c15:sqref>
                        </c15:formulaRef>
                      </c:ext>
                    </c:extLst>
                    <c:strCache>
                      <c:ptCount val="1"/>
                      <c:pt idx="0">
                        <c:v>Not started</c:v>
                      </c:pt>
                    </c:strCache>
                  </c:strRef>
                </c:tx>
                <c:spPr>
                  <a:solidFill>
                    <a:schemeClr val="accent2">
                      <a:shade val="68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'individual-chart-career'!$B$3:$B$22</c15:sqref>
                        </c15:formulaRef>
                      </c:ext>
                    </c:extLst>
                    <c:strCache>
                      <c:ptCount val="2"/>
                      <c:pt idx="0">
                        <c:v>Activity</c:v>
                      </c:pt>
                      <c:pt idx="1">
                        <c:v>Outputs</c:v>
                      </c:pt>
                    </c:strCache>
                  </c:strRef>
                </c:cat>
                <c:val>
                  <c:numRef>
                    <c:extLst xmlns:c15="http://schemas.microsoft.com/office/drawing/2012/chart">
                      <c:ext xmlns:c15="http://schemas.microsoft.com/office/drawing/2012/chart" uri="{02D57815-91ED-43cb-92C2-25804820EDAC}">
                        <c15:formulaRef>
                          <c15:sqref>'individual-chart-career'!$E$3:$E$22</c15:sqref>
                        </c15:formulaRef>
                      </c:ext>
                    </c:extLst>
                    <c:numCache>
                      <c:formatCode>General</c:formatCode>
                      <c:ptCount val="2"/>
                    </c:numCache>
                  </c:numRef>
                </c:val>
                <c:extLst xmlns:c15="http://schemas.microsoft.com/office/drawing/2012/chart">
                  <c:ext xmlns:c16="http://schemas.microsoft.com/office/drawing/2014/chart" uri="{C3380CC4-5D6E-409C-BE32-E72D297353CC}">
                    <c16:uniqueId val="{00000009-8ED7-4E51-90E1-41422CA6F981}"/>
                  </c:ext>
                </c:extLst>
              </c15:ser>
            </c15:filteredBarSeries>
          </c:ext>
        </c:extLst>
      </c:barChart>
      <c:catAx>
        <c:axId val="7909581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n-US"/>
          </a:p>
        </c:txPr>
        <c:crossAx val="790961408"/>
        <c:crosses val="autoZero"/>
        <c:auto val="1"/>
        <c:lblAlgn val="ctr"/>
        <c:lblOffset val="100"/>
        <c:noMultiLvlLbl val="0"/>
      </c:catAx>
      <c:valAx>
        <c:axId val="790961408"/>
        <c:scaling>
          <c:orientation val="minMax"/>
          <c:min val="0"/>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90958128"/>
        <c:crossesAt val="1"/>
        <c:crossBetween val="between"/>
      </c:valAx>
      <c:spPr>
        <a:noFill/>
        <a:ln>
          <a:noFill/>
        </a:ln>
        <a:effectLst/>
      </c:spPr>
    </c:plotArea>
    <c:legend>
      <c:legendPos val="t"/>
      <c:layout>
        <c:manualLayout>
          <c:xMode val="edge"/>
          <c:yMode val="edge"/>
          <c:x val="0.16878348885760888"/>
          <c:y val="0.13041314510575025"/>
          <c:w val="0.70460273616206281"/>
          <c:h val="0.12652310298086494"/>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userShapes r:id="rId5"/>
</c:chartSpace>
</file>

<file path=word/charts/chart8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r>
              <a:rPr lang="en-US"/>
              <a:t>Unique Users</a:t>
            </a: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endParaRPr lang="en-US"/>
        </a:p>
      </c:txPr>
    </c:title>
    <c:autoTitleDeleted val="0"/>
    <c:plotArea>
      <c:layout/>
      <c:barChart>
        <c:barDir val="col"/>
        <c:grouping val="clustered"/>
        <c:varyColors val="0"/>
        <c:ser>
          <c:idx val="0"/>
          <c:order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Sheet6!$A$2:$A$13</c:f>
              <c:strCache>
                <c:ptCount val="12"/>
                <c:pt idx="0">
                  <c:v>2016Q4</c:v>
                </c:pt>
                <c:pt idx="1">
                  <c:v>2017Q1</c:v>
                </c:pt>
                <c:pt idx="2">
                  <c:v>2017Q2</c:v>
                </c:pt>
                <c:pt idx="3">
                  <c:v>2017Q3</c:v>
                </c:pt>
                <c:pt idx="4">
                  <c:v>2017Q4</c:v>
                </c:pt>
                <c:pt idx="5">
                  <c:v>2018Q1</c:v>
                </c:pt>
                <c:pt idx="6">
                  <c:v>2018Q2</c:v>
                </c:pt>
                <c:pt idx="7">
                  <c:v>2018Q3</c:v>
                </c:pt>
                <c:pt idx="8">
                  <c:v>2018Q4</c:v>
                </c:pt>
                <c:pt idx="9">
                  <c:v>2019Q1</c:v>
                </c:pt>
                <c:pt idx="10">
                  <c:v>2019Q2</c:v>
                </c:pt>
                <c:pt idx="11">
                  <c:v>2019Q3</c:v>
                </c:pt>
              </c:strCache>
            </c:strRef>
          </c:cat>
          <c:val>
            <c:numRef>
              <c:f>Sheet6!$B$2:$B$13</c:f>
              <c:numCache>
                <c:formatCode>General</c:formatCode>
                <c:ptCount val="12"/>
                <c:pt idx="0">
                  <c:v>12</c:v>
                </c:pt>
                <c:pt idx="1">
                  <c:v>55</c:v>
                </c:pt>
                <c:pt idx="2">
                  <c:v>33</c:v>
                </c:pt>
                <c:pt idx="3">
                  <c:v>37</c:v>
                </c:pt>
                <c:pt idx="4">
                  <c:v>36</c:v>
                </c:pt>
                <c:pt idx="5">
                  <c:v>59</c:v>
                </c:pt>
                <c:pt idx="6">
                  <c:v>89</c:v>
                </c:pt>
                <c:pt idx="7">
                  <c:v>129</c:v>
                </c:pt>
                <c:pt idx="8">
                  <c:v>104</c:v>
                </c:pt>
                <c:pt idx="9">
                  <c:v>98</c:v>
                </c:pt>
                <c:pt idx="10">
                  <c:v>204</c:v>
                </c:pt>
                <c:pt idx="11">
                  <c:v>263</c:v>
                </c:pt>
              </c:numCache>
            </c:numRef>
          </c:val>
          <c:extLst>
            <c:ext xmlns:c16="http://schemas.microsoft.com/office/drawing/2014/chart" uri="{C3380CC4-5D6E-409C-BE32-E72D297353CC}">
              <c16:uniqueId val="{00000000-BFE5-4547-B8D2-33E066EF5F8A}"/>
            </c:ext>
          </c:extLst>
        </c:ser>
        <c:dLbls>
          <c:showLegendKey val="0"/>
          <c:showVal val="0"/>
          <c:showCatName val="0"/>
          <c:showSerName val="0"/>
          <c:showPercent val="0"/>
          <c:showBubbleSize val="0"/>
        </c:dLbls>
        <c:gapWidth val="100"/>
        <c:overlap val="-24"/>
        <c:axId val="523441520"/>
        <c:axId val="523437256"/>
      </c:barChart>
      <c:catAx>
        <c:axId val="523441520"/>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523437256"/>
        <c:crosses val="autoZero"/>
        <c:auto val="1"/>
        <c:lblAlgn val="ctr"/>
        <c:lblOffset val="100"/>
        <c:noMultiLvlLbl val="0"/>
      </c:catAx>
      <c:valAx>
        <c:axId val="523437256"/>
        <c:scaling>
          <c:orientation val="minMax"/>
        </c:scaling>
        <c:delete val="0"/>
        <c:axPos val="l"/>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52344152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n-US"/>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4"/>
    </mc:Choice>
    <mc:Fallback>
      <c:style val="4"/>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Topic Area - Pre-ETS </a:t>
            </a:r>
            <a:br>
              <a:rPr lang="en-US"/>
            </a:br>
            <a:r>
              <a:rPr lang="en-US"/>
              <a:t>Activity #2</a:t>
            </a:r>
          </a:p>
        </c:rich>
      </c:tx>
      <c:layout>
        <c:manualLayout>
          <c:xMode val="edge"/>
          <c:yMode val="edge"/>
          <c:x val="0.15852625564661557"/>
          <c:y val="1.4306151645207439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6017916604892113"/>
          <c:y val="0.23265365094271845"/>
          <c:w val="0.78942722632790041"/>
          <c:h val="0.66602748393145406"/>
        </c:manualLayout>
      </c:layout>
      <c:barChart>
        <c:barDir val="col"/>
        <c:grouping val="percentStacked"/>
        <c:varyColors val="0"/>
        <c:ser>
          <c:idx val="3"/>
          <c:order val="3"/>
          <c:tx>
            <c:strRef>
              <c:f>'individual-chart-pre-ets'!$F$2</c:f>
              <c:strCache>
                <c:ptCount val="1"/>
                <c:pt idx="0">
                  <c:v>Completed</c:v>
                </c:pt>
              </c:strCache>
            </c:strRef>
          </c:tx>
          <c:spPr>
            <a:solidFill>
              <a:srgbClr val="99221F"/>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800" b="0"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'individual-chart-pre-ets'!$B$3:$B$10</c:f>
              <c:strCache>
                <c:ptCount val="2"/>
                <c:pt idx="0">
                  <c:v>Activity</c:v>
                </c:pt>
                <c:pt idx="1">
                  <c:v>Outputs</c:v>
                </c:pt>
              </c:strCache>
              <c:extLst/>
            </c:strRef>
          </c:cat>
          <c:val>
            <c:numRef>
              <c:f>'individual-chart-pre-ets'!$F$3:$F$10</c:f>
              <c:numCache>
                <c:formatCode>0%</c:formatCode>
                <c:ptCount val="2"/>
                <c:pt idx="0">
                  <c:v>0.6</c:v>
                </c:pt>
                <c:pt idx="1">
                  <c:v>0.5714285714285714</c:v>
                </c:pt>
              </c:numCache>
              <c:extLst/>
            </c:numRef>
          </c:val>
          <c:extLst>
            <c:ext xmlns:c16="http://schemas.microsoft.com/office/drawing/2014/chart" uri="{C3380CC4-5D6E-409C-BE32-E72D297353CC}">
              <c16:uniqueId val="{00000000-D5F1-47E6-8F3F-01BCF6A8FA8F}"/>
            </c:ext>
          </c:extLst>
        </c:ser>
        <c:ser>
          <c:idx val="4"/>
          <c:order val="4"/>
          <c:tx>
            <c:strRef>
              <c:f>'individual-chart-pre-ets'!$G$2</c:f>
              <c:strCache>
                <c:ptCount val="1"/>
                <c:pt idx="0">
                  <c:v>90%</c:v>
                </c:pt>
              </c:strCache>
            </c:strRef>
          </c:tx>
          <c:spPr>
            <a:solidFill>
              <a:srgbClr val="D73D39"/>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'individual-chart-pre-ets'!$B$3:$B$10</c:f>
              <c:strCache>
                <c:ptCount val="2"/>
                <c:pt idx="0">
                  <c:v>Activity</c:v>
                </c:pt>
                <c:pt idx="1">
                  <c:v>Outputs</c:v>
                </c:pt>
              </c:strCache>
              <c:extLst/>
            </c:strRef>
          </c:cat>
          <c:val>
            <c:numRef>
              <c:f>'individual-chart-pre-ets'!$G$3:$G$10</c:f>
              <c:numCache>
                <c:formatCode>0%</c:formatCode>
                <c:ptCount val="2"/>
                <c:pt idx="0">
                  <c:v>2.8571428571428571E-2</c:v>
                </c:pt>
                <c:pt idx="1">
                  <c:v>2.8571428571428571E-2</c:v>
                </c:pt>
              </c:numCache>
              <c:extLst/>
            </c:numRef>
          </c:val>
          <c:extLst>
            <c:ext xmlns:c16="http://schemas.microsoft.com/office/drawing/2014/chart" uri="{C3380CC4-5D6E-409C-BE32-E72D297353CC}">
              <c16:uniqueId val="{00000001-D5F1-47E6-8F3F-01BCF6A8FA8F}"/>
            </c:ext>
          </c:extLst>
        </c:ser>
        <c:ser>
          <c:idx val="5"/>
          <c:order val="5"/>
          <c:tx>
            <c:strRef>
              <c:f>'individual-chart-pre-ets'!$H$2</c:f>
              <c:strCache>
                <c:ptCount val="1"/>
                <c:pt idx="0">
                  <c:v>75%</c:v>
                </c:pt>
              </c:strCache>
            </c:strRef>
          </c:tx>
          <c:spPr>
            <a:solidFill>
              <a:srgbClr val="DC535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'individual-chart-pre-ets'!$B$3:$B$10</c:f>
              <c:strCache>
                <c:ptCount val="2"/>
                <c:pt idx="0">
                  <c:v>Activity</c:v>
                </c:pt>
                <c:pt idx="1">
                  <c:v>Outputs</c:v>
                </c:pt>
              </c:strCache>
              <c:extLst/>
            </c:strRef>
          </c:cat>
          <c:val>
            <c:numRef>
              <c:f>'individual-chart-pre-ets'!$H$3:$H$10</c:f>
              <c:numCache>
                <c:formatCode>0%</c:formatCode>
                <c:ptCount val="2"/>
                <c:pt idx="0">
                  <c:v>0.11428571428571428</c:v>
                </c:pt>
                <c:pt idx="1">
                  <c:v>0.14285714285714285</c:v>
                </c:pt>
              </c:numCache>
              <c:extLst/>
            </c:numRef>
          </c:val>
          <c:extLst>
            <c:ext xmlns:c16="http://schemas.microsoft.com/office/drawing/2014/chart" uri="{C3380CC4-5D6E-409C-BE32-E72D297353CC}">
              <c16:uniqueId val="{00000002-D5F1-47E6-8F3F-01BCF6A8FA8F}"/>
            </c:ext>
          </c:extLst>
        </c:ser>
        <c:ser>
          <c:idx val="6"/>
          <c:order val="6"/>
          <c:tx>
            <c:strRef>
              <c:f>'individual-chart-pre-ets'!$I$2</c:f>
              <c:strCache>
                <c:ptCount val="1"/>
                <c:pt idx="0">
                  <c:v>50%</c:v>
                </c:pt>
              </c:strCache>
            </c:strRef>
          </c:tx>
          <c:spPr>
            <a:solidFill>
              <a:srgbClr val="EBA19F"/>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'individual-chart-pre-ets'!$B$3:$B$10</c:f>
              <c:strCache>
                <c:ptCount val="2"/>
                <c:pt idx="0">
                  <c:v>Activity</c:v>
                </c:pt>
                <c:pt idx="1">
                  <c:v>Outputs</c:v>
                </c:pt>
              </c:strCache>
              <c:extLst/>
            </c:strRef>
          </c:cat>
          <c:val>
            <c:numRef>
              <c:f>'individual-chart-pre-ets'!$I$3:$I$10</c:f>
              <c:numCache>
                <c:formatCode>General</c:formatCode>
                <c:ptCount val="2"/>
                <c:pt idx="0" formatCode="0%">
                  <c:v>8.5714285714285715E-2</c:v>
                </c:pt>
              </c:numCache>
              <c:extLst/>
            </c:numRef>
          </c:val>
          <c:extLst>
            <c:ext xmlns:c16="http://schemas.microsoft.com/office/drawing/2014/chart" uri="{C3380CC4-5D6E-409C-BE32-E72D297353CC}">
              <c16:uniqueId val="{00000003-D5F1-47E6-8F3F-01BCF6A8FA8F}"/>
            </c:ext>
          </c:extLst>
        </c:ser>
        <c:ser>
          <c:idx val="7"/>
          <c:order val="7"/>
          <c:tx>
            <c:strRef>
              <c:f>'individual-chart-pre-ets'!$J$2</c:f>
              <c:strCache>
                <c:ptCount val="1"/>
                <c:pt idx="0">
                  <c:v>25%</c:v>
                </c:pt>
              </c:strCache>
            </c:strRef>
          </c:tx>
          <c:spPr>
            <a:solidFill>
              <a:srgbClr val="F3C6C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'individual-chart-pre-ets'!$B$3:$B$10</c:f>
              <c:strCache>
                <c:ptCount val="2"/>
                <c:pt idx="0">
                  <c:v>Activity</c:v>
                </c:pt>
                <c:pt idx="1">
                  <c:v>Outputs</c:v>
                </c:pt>
              </c:strCache>
              <c:extLst/>
            </c:strRef>
          </c:cat>
          <c:val>
            <c:numRef>
              <c:f>'individual-chart-pre-ets'!$J$3:$J$10</c:f>
              <c:numCache>
                <c:formatCode>0%</c:formatCode>
                <c:ptCount val="2"/>
                <c:pt idx="0">
                  <c:v>8.5714285714285715E-2</c:v>
                </c:pt>
                <c:pt idx="1">
                  <c:v>0.14285714285714285</c:v>
                </c:pt>
              </c:numCache>
              <c:extLst/>
            </c:numRef>
          </c:val>
          <c:extLst>
            <c:ext xmlns:c16="http://schemas.microsoft.com/office/drawing/2014/chart" uri="{C3380CC4-5D6E-409C-BE32-E72D297353CC}">
              <c16:uniqueId val="{00000004-D5F1-47E6-8F3F-01BCF6A8FA8F}"/>
            </c:ext>
          </c:extLst>
        </c:ser>
        <c:ser>
          <c:idx val="8"/>
          <c:order val="8"/>
          <c:tx>
            <c:strRef>
              <c:f>'individual-chart-pre-ets'!$K$2</c:f>
              <c:strCache>
                <c:ptCount val="1"/>
                <c:pt idx="0">
                  <c:v>10%</c:v>
                </c:pt>
              </c:strCache>
            </c:strRef>
          </c:tx>
          <c:spPr>
            <a:solidFill>
              <a:schemeClr val="accent2">
                <a:tint val="56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'individual-chart-pre-ets'!$B$3:$B$10</c:f>
              <c:strCache>
                <c:ptCount val="2"/>
                <c:pt idx="0">
                  <c:v>Activity</c:v>
                </c:pt>
                <c:pt idx="1">
                  <c:v>Outputs</c:v>
                </c:pt>
              </c:strCache>
              <c:extLst/>
            </c:strRef>
          </c:cat>
          <c:val>
            <c:numRef>
              <c:f>'individual-chart-pre-ets'!$K$3:$K$10</c:f>
              <c:numCache>
                <c:formatCode>General</c:formatCode>
                <c:ptCount val="2"/>
              </c:numCache>
              <c:extLst/>
            </c:numRef>
          </c:val>
          <c:extLst>
            <c:ext xmlns:c16="http://schemas.microsoft.com/office/drawing/2014/chart" uri="{C3380CC4-5D6E-409C-BE32-E72D297353CC}">
              <c16:uniqueId val="{00000005-D5F1-47E6-8F3F-01BCF6A8FA8F}"/>
            </c:ext>
          </c:extLst>
        </c:ser>
        <c:ser>
          <c:idx val="9"/>
          <c:order val="9"/>
          <c:tx>
            <c:strRef>
              <c:f>'individual-chart-pre-ets'!$L$2</c:f>
              <c:strCache>
                <c:ptCount val="1"/>
                <c:pt idx="0">
                  <c:v>Not Started</c:v>
                </c:pt>
              </c:strCache>
            </c:strRef>
          </c:tx>
          <c:spPr>
            <a:solidFill>
              <a:srgbClr val="FCF2F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'individual-chart-pre-ets'!$B$3:$B$10</c:f>
              <c:strCache>
                <c:ptCount val="2"/>
                <c:pt idx="0">
                  <c:v>Activity</c:v>
                </c:pt>
                <c:pt idx="1">
                  <c:v>Outputs</c:v>
                </c:pt>
              </c:strCache>
              <c:extLst/>
            </c:strRef>
          </c:cat>
          <c:val>
            <c:numRef>
              <c:f>'individual-chart-pre-ets'!$L$3:$L$10</c:f>
              <c:numCache>
                <c:formatCode>0%</c:formatCode>
                <c:ptCount val="2"/>
                <c:pt idx="0">
                  <c:v>8.5714285714285715E-2</c:v>
                </c:pt>
                <c:pt idx="1">
                  <c:v>0.11428571428571428</c:v>
                </c:pt>
              </c:numCache>
              <c:extLst/>
            </c:numRef>
          </c:val>
          <c:extLst>
            <c:ext xmlns:c16="http://schemas.microsoft.com/office/drawing/2014/chart" uri="{C3380CC4-5D6E-409C-BE32-E72D297353CC}">
              <c16:uniqueId val="{00000006-D5F1-47E6-8F3F-01BCF6A8FA8F}"/>
            </c:ext>
          </c:extLst>
        </c:ser>
        <c:dLbls>
          <c:dLblPos val="ctr"/>
          <c:showLegendKey val="0"/>
          <c:showVal val="1"/>
          <c:showCatName val="0"/>
          <c:showSerName val="0"/>
          <c:showPercent val="0"/>
          <c:showBubbleSize val="0"/>
        </c:dLbls>
        <c:gapWidth val="150"/>
        <c:overlap val="100"/>
        <c:axId val="790958128"/>
        <c:axId val="790961408"/>
        <c:extLst>
          <c:ext xmlns:c15="http://schemas.microsoft.com/office/drawing/2012/chart" uri="{02D57815-91ED-43cb-92C2-25804820EDAC}">
            <c15:filteredBarSeries>
              <c15:ser>
                <c:idx val="0"/>
                <c:order val="0"/>
                <c:tx>
                  <c:strRef>
                    <c:extLst>
                      <c:ext uri="{02D57815-91ED-43cb-92C2-25804820EDAC}">
                        <c15:formulaRef>
                          <c15:sqref>'individual-chart-pre-ets'!$C$2</c15:sqref>
                        </c15:formulaRef>
                      </c:ext>
                    </c:extLst>
                    <c:strCache>
                      <c:ptCount val="1"/>
                      <c:pt idx="0">
                        <c:v>Completed</c:v>
                      </c:pt>
                    </c:strCache>
                  </c:strRef>
                </c:tx>
                <c:spPr>
                  <a:solidFill>
                    <a:schemeClr val="accent2">
                      <a:shade val="42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c:ext uri="{02D57815-91ED-43cb-92C2-25804820EDAC}">
                        <c15:formulaRef>
                          <c15:sqref>'individual-chart-pre-ets'!$B$3:$B$10</c15:sqref>
                        </c15:formulaRef>
                      </c:ext>
                    </c:extLst>
                    <c:strCache>
                      <c:ptCount val="2"/>
                      <c:pt idx="0">
                        <c:v>Activity</c:v>
                      </c:pt>
                      <c:pt idx="1">
                        <c:v>Outputs</c:v>
                      </c:pt>
                    </c:strCache>
                  </c:strRef>
                </c:cat>
                <c:val>
                  <c:numRef>
                    <c:extLst>
                      <c:ext uri="{02D57815-91ED-43cb-92C2-25804820EDAC}">
                        <c15:formulaRef>
                          <c15:sqref>'individual-chart-pre-ets'!$C$3:$C$10</c15:sqref>
                        </c15:formulaRef>
                      </c:ext>
                    </c:extLst>
                    <c:numCache>
                      <c:formatCode>0%</c:formatCode>
                      <c:ptCount val="2"/>
                      <c:pt idx="0">
                        <c:v>0.6</c:v>
                      </c:pt>
                      <c:pt idx="1">
                        <c:v>0.5714285714285714</c:v>
                      </c:pt>
                    </c:numCache>
                  </c:numRef>
                </c:val>
                <c:extLst>
                  <c:ext xmlns:c16="http://schemas.microsoft.com/office/drawing/2014/chart" uri="{C3380CC4-5D6E-409C-BE32-E72D297353CC}">
                    <c16:uniqueId val="{00000007-D5F1-47E6-8F3F-01BCF6A8FA8F}"/>
                  </c:ext>
                </c:extLst>
              </c15:ser>
            </c15:filteredBarSeries>
            <c15:filteredBarSeries>
              <c15:ser>
                <c:idx val="1"/>
                <c:order val="1"/>
                <c:tx>
                  <c:strRef>
                    <c:extLst xmlns:c15="http://schemas.microsoft.com/office/drawing/2012/chart">
                      <c:ext xmlns:c15="http://schemas.microsoft.com/office/drawing/2012/chart" uri="{02D57815-91ED-43cb-92C2-25804820EDAC}">
                        <c15:formulaRef>
                          <c15:sqref>'individual-chart-pre-ets'!$D$2</c15:sqref>
                        </c15:formulaRef>
                      </c:ext>
                    </c:extLst>
                    <c:strCache>
                      <c:ptCount val="1"/>
                      <c:pt idx="0">
                        <c:v>In progress</c:v>
                      </c:pt>
                    </c:strCache>
                  </c:strRef>
                </c:tx>
                <c:spPr>
                  <a:solidFill>
                    <a:schemeClr val="accent2">
                      <a:shade val="5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'individual-chart-pre-ets'!$B$3:$B$10</c15:sqref>
                        </c15:formulaRef>
                      </c:ext>
                    </c:extLst>
                    <c:strCache>
                      <c:ptCount val="2"/>
                      <c:pt idx="0">
                        <c:v>Activity</c:v>
                      </c:pt>
                      <c:pt idx="1">
                        <c:v>Outputs</c:v>
                      </c:pt>
                    </c:strCache>
                  </c:strRef>
                </c:cat>
                <c:val>
                  <c:numRef>
                    <c:extLst xmlns:c15="http://schemas.microsoft.com/office/drawing/2012/chart">
                      <c:ext xmlns:c15="http://schemas.microsoft.com/office/drawing/2012/chart" uri="{02D57815-91ED-43cb-92C2-25804820EDAC}">
                        <c15:formulaRef>
                          <c15:sqref>'individual-chart-pre-ets'!$D$3:$D$10</c15:sqref>
                        </c15:formulaRef>
                      </c:ext>
                    </c:extLst>
                    <c:numCache>
                      <c:formatCode>0%</c:formatCode>
                      <c:ptCount val="2"/>
                      <c:pt idx="0">
                        <c:v>0.31428571428571428</c:v>
                      </c:pt>
                      <c:pt idx="1">
                        <c:v>0.31428571428571428</c:v>
                      </c:pt>
                    </c:numCache>
                  </c:numRef>
                </c:val>
                <c:extLst xmlns:c15="http://schemas.microsoft.com/office/drawing/2012/chart">
                  <c:ext xmlns:c16="http://schemas.microsoft.com/office/drawing/2014/chart" uri="{C3380CC4-5D6E-409C-BE32-E72D297353CC}">
                    <c16:uniqueId val="{00000008-D5F1-47E6-8F3F-01BCF6A8FA8F}"/>
                  </c:ext>
                </c:extLst>
              </c15:ser>
            </c15:filteredBarSeries>
            <c15:filteredBarSeries>
              <c15:ser>
                <c:idx val="2"/>
                <c:order val="2"/>
                <c:tx>
                  <c:strRef>
                    <c:extLst xmlns:c15="http://schemas.microsoft.com/office/drawing/2012/chart">
                      <c:ext xmlns:c15="http://schemas.microsoft.com/office/drawing/2012/chart" uri="{02D57815-91ED-43cb-92C2-25804820EDAC}">
                        <c15:formulaRef>
                          <c15:sqref>'individual-chart-pre-ets'!$E$2</c15:sqref>
                        </c15:formulaRef>
                      </c:ext>
                    </c:extLst>
                    <c:strCache>
                      <c:ptCount val="1"/>
                      <c:pt idx="0">
                        <c:v>Not started</c:v>
                      </c:pt>
                    </c:strCache>
                  </c:strRef>
                </c:tx>
                <c:spPr>
                  <a:solidFill>
                    <a:schemeClr val="accent2">
                      <a:shade val="68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'individual-chart-pre-ets'!$B$3:$B$10</c15:sqref>
                        </c15:formulaRef>
                      </c:ext>
                    </c:extLst>
                    <c:strCache>
                      <c:ptCount val="2"/>
                      <c:pt idx="0">
                        <c:v>Activity</c:v>
                      </c:pt>
                      <c:pt idx="1">
                        <c:v>Outputs</c:v>
                      </c:pt>
                    </c:strCache>
                  </c:strRef>
                </c:cat>
                <c:val>
                  <c:numRef>
                    <c:extLst xmlns:c15="http://schemas.microsoft.com/office/drawing/2012/chart">
                      <c:ext xmlns:c15="http://schemas.microsoft.com/office/drawing/2012/chart" uri="{02D57815-91ED-43cb-92C2-25804820EDAC}">
                        <c15:formulaRef>
                          <c15:sqref>'individual-chart-pre-ets'!$E$3:$E$10</c15:sqref>
                        </c15:formulaRef>
                      </c:ext>
                    </c:extLst>
                    <c:numCache>
                      <c:formatCode>0%</c:formatCode>
                      <c:ptCount val="2"/>
                      <c:pt idx="0">
                        <c:v>8.5714285714285715E-2</c:v>
                      </c:pt>
                      <c:pt idx="1">
                        <c:v>0.11428571428571428</c:v>
                      </c:pt>
                    </c:numCache>
                  </c:numRef>
                </c:val>
                <c:extLst xmlns:c15="http://schemas.microsoft.com/office/drawing/2012/chart">
                  <c:ext xmlns:c16="http://schemas.microsoft.com/office/drawing/2014/chart" uri="{C3380CC4-5D6E-409C-BE32-E72D297353CC}">
                    <c16:uniqueId val="{00000009-D5F1-47E6-8F3F-01BCF6A8FA8F}"/>
                  </c:ext>
                </c:extLst>
              </c15:ser>
            </c15:filteredBarSeries>
          </c:ext>
        </c:extLst>
      </c:barChart>
      <c:catAx>
        <c:axId val="7909581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n-US"/>
          </a:p>
        </c:txPr>
        <c:crossAx val="790961408"/>
        <c:crosses val="autoZero"/>
        <c:auto val="1"/>
        <c:lblAlgn val="ctr"/>
        <c:lblOffset val="100"/>
        <c:noMultiLvlLbl val="0"/>
      </c:catAx>
      <c:valAx>
        <c:axId val="790961408"/>
        <c:scaling>
          <c:orientation val="minMax"/>
          <c:min val="0"/>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90958128"/>
        <c:crossesAt val="1"/>
        <c:crossBetween val="between"/>
      </c:valAx>
      <c:spPr>
        <a:noFill/>
        <a:ln>
          <a:noFill/>
        </a:ln>
        <a:effectLst/>
      </c:spPr>
    </c:plotArea>
    <c:legend>
      <c:legendPos val="t"/>
      <c:layout>
        <c:manualLayout>
          <c:xMode val="edge"/>
          <c:yMode val="edge"/>
          <c:x val="0.16878354491402861"/>
          <c:y val="0.14071530758226036"/>
          <c:w val="0.78488188976377948"/>
          <c:h val="8.3691663005643596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userShapes r:id="rId5"/>
</c:chartSpace>
</file>

<file path=word/charts/chart9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b="1"/>
              <a:t>LMI Reviewed</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Sheet6!$F$1</c:f>
              <c:strCache>
                <c:ptCount val="1"/>
                <c:pt idx="0">
                  <c:v>LMI Reviewed</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dLbl>
              <c:idx val="2"/>
              <c:layout>
                <c:manualLayout>
                  <c:x val="-7.3188345618644887E-2"/>
                  <c:y val="-0.14413052487432215"/>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B414-4C77-B892-94F50DF1A096}"/>
                </c:ext>
              </c:extLst>
            </c:dLbl>
            <c:dLbl>
              <c:idx val="3"/>
              <c:layout>
                <c:manualLayout>
                  <c:x val="-6.4750844580566513E-2"/>
                  <c:y val="-6.632732121299499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B414-4C77-B892-94F50DF1A096}"/>
                </c:ext>
              </c:extLst>
            </c:dLbl>
            <c:dLbl>
              <c:idx val="4"/>
              <c:layout>
                <c:manualLayout>
                  <c:x val="-6.7563344926592633E-2"/>
                  <c:y val="-0.14413052487432207"/>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B414-4C77-B892-94F50DF1A096}"/>
                </c:ext>
              </c:extLst>
            </c:dLbl>
            <c:dLbl>
              <c:idx val="6"/>
              <c:layout>
                <c:manualLayout>
                  <c:x val="-7.1163345369506067E-2"/>
                  <c:y val="-8.9210616407502927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B414-4C77-B892-94F50DF1A096}"/>
                </c:ext>
              </c:extLst>
            </c:dLbl>
            <c:dLbl>
              <c:idx val="8"/>
              <c:layout>
                <c:manualLayout>
                  <c:x val="-7.9600846407584455E-2"/>
                  <c:y val="-0.10294059352420773"/>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B414-4C77-B892-94F50DF1A096}"/>
                </c:ext>
              </c:extLst>
            </c:dLbl>
            <c:dLbl>
              <c:idx val="9"/>
              <c:layout>
                <c:manualLayout>
                  <c:x val="-7.9600846407584552E-2"/>
                  <c:y val="-5.717400313519162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B414-4C77-B892-94F50DF1A096}"/>
                </c:ext>
              </c:extLst>
            </c:dLbl>
            <c:dLbl>
              <c:idx val="10"/>
              <c:layout>
                <c:manualLayout>
                  <c:x val="-0.12178835159797632"/>
                  <c:y val="-0.10294059352420765"/>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B414-4C77-B892-94F50DF1A096}"/>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Sheet6!$E$2:$E$13</c:f>
              <c:strCache>
                <c:ptCount val="12"/>
                <c:pt idx="0">
                  <c:v>2016Q4</c:v>
                </c:pt>
                <c:pt idx="1">
                  <c:v>2017Q1</c:v>
                </c:pt>
                <c:pt idx="2">
                  <c:v>2017Q2</c:v>
                </c:pt>
                <c:pt idx="3">
                  <c:v>2017Q3</c:v>
                </c:pt>
                <c:pt idx="4">
                  <c:v>2017Q4</c:v>
                </c:pt>
                <c:pt idx="5">
                  <c:v>2018Q1</c:v>
                </c:pt>
                <c:pt idx="6">
                  <c:v>2018Q2</c:v>
                </c:pt>
                <c:pt idx="7">
                  <c:v>2018Q3</c:v>
                </c:pt>
                <c:pt idx="8">
                  <c:v>2018Q4</c:v>
                </c:pt>
                <c:pt idx="9">
                  <c:v>2019Q1</c:v>
                </c:pt>
                <c:pt idx="10">
                  <c:v>2019Q2</c:v>
                </c:pt>
                <c:pt idx="11">
                  <c:v>2019Q3</c:v>
                </c:pt>
              </c:strCache>
            </c:strRef>
          </c:cat>
          <c:val>
            <c:numRef>
              <c:f>Sheet6!$F$2:$F$13</c:f>
              <c:numCache>
                <c:formatCode>#,##0</c:formatCode>
                <c:ptCount val="12"/>
                <c:pt idx="0">
                  <c:v>2273</c:v>
                </c:pt>
                <c:pt idx="1">
                  <c:v>4447</c:v>
                </c:pt>
                <c:pt idx="2">
                  <c:v>10179</c:v>
                </c:pt>
                <c:pt idx="3">
                  <c:v>12747</c:v>
                </c:pt>
                <c:pt idx="4">
                  <c:v>55268</c:v>
                </c:pt>
                <c:pt idx="5">
                  <c:v>13632</c:v>
                </c:pt>
                <c:pt idx="6">
                  <c:v>122826</c:v>
                </c:pt>
                <c:pt idx="7">
                  <c:v>81983</c:v>
                </c:pt>
                <c:pt idx="8">
                  <c:v>178727</c:v>
                </c:pt>
                <c:pt idx="9">
                  <c:v>149399</c:v>
                </c:pt>
                <c:pt idx="10">
                  <c:v>445292</c:v>
                </c:pt>
                <c:pt idx="11">
                  <c:v>1405222</c:v>
                </c:pt>
              </c:numCache>
            </c:numRef>
          </c:val>
          <c:smooth val="0"/>
          <c:extLst>
            <c:ext xmlns:c16="http://schemas.microsoft.com/office/drawing/2014/chart" uri="{C3380CC4-5D6E-409C-BE32-E72D297353CC}">
              <c16:uniqueId val="{00000007-B414-4C77-B892-94F50DF1A096}"/>
            </c:ext>
          </c:extLst>
        </c:ser>
        <c:dLbls>
          <c:dLblPos val="t"/>
          <c:showLegendKey val="0"/>
          <c:showVal val="1"/>
          <c:showCatName val="0"/>
          <c:showSerName val="0"/>
          <c:showPercent val="0"/>
          <c:showBubbleSize val="0"/>
        </c:dLbls>
        <c:marker val="1"/>
        <c:smooth val="0"/>
        <c:axId val="523445128"/>
        <c:axId val="523446112"/>
      </c:lineChart>
      <c:catAx>
        <c:axId val="5234451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23446112"/>
        <c:crosses val="autoZero"/>
        <c:auto val="1"/>
        <c:lblAlgn val="ctr"/>
        <c:lblOffset val="100"/>
        <c:noMultiLvlLbl val="0"/>
      </c:catAx>
      <c:valAx>
        <c:axId val="52344611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23445128"/>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9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cap="all" spc="120" normalizeH="0" baseline="0">
                <a:solidFill>
                  <a:schemeClr val="tx1">
                    <a:lumMod val="65000"/>
                    <a:lumOff val="35000"/>
                  </a:schemeClr>
                </a:solidFill>
                <a:latin typeface="+mn-lt"/>
                <a:ea typeface="+mn-ea"/>
                <a:cs typeface="+mn-cs"/>
              </a:defRPr>
            </a:pPr>
            <a:r>
              <a:rPr lang="en-US"/>
              <a:t>Progress: </a:t>
            </a:r>
            <a:r>
              <a:rPr lang="en-US" sz="1600" b="1" i="0" u="none" strike="noStrike" cap="all" normalizeH="0" baseline="0">
                <a:effectLst/>
              </a:rPr>
              <a:t>Peer Mentoring Activities</a:t>
            </a:r>
            <a:endParaRPr lang="en-US"/>
          </a:p>
        </c:rich>
      </c:tx>
      <c:overlay val="0"/>
      <c:spPr>
        <a:noFill/>
        <a:ln>
          <a:noFill/>
        </a:ln>
        <a:effectLst/>
      </c:spPr>
      <c:txPr>
        <a:bodyPr rot="0" spcFirstLastPara="1" vertOverflow="ellipsis" vert="horz" wrap="square" anchor="ctr" anchorCtr="1"/>
        <a:lstStyle/>
        <a:p>
          <a:pPr>
            <a:defRPr sz="1600" b="1" i="0" u="none" strike="noStrike" kern="1200" cap="all" spc="120" normalizeH="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3.3720388225764973E-2"/>
          <c:y val="0.14584098852712488"/>
          <c:w val="0.94109226599161167"/>
          <c:h val="0.62853727315905772"/>
        </c:manualLayout>
      </c:layout>
      <c:barChart>
        <c:barDir val="bar"/>
        <c:grouping val="stacked"/>
        <c:varyColors val="0"/>
        <c:ser>
          <c:idx val="2"/>
          <c:order val="2"/>
          <c:tx>
            <c:strRef>
              <c:f>'activities-percent-completed'!$D$3</c:f>
              <c:strCache>
                <c:ptCount val="1"/>
                <c:pt idx="0">
                  <c:v>Completed</c:v>
                </c:pt>
              </c:strCache>
            </c:strRef>
          </c:tx>
          <c:spPr>
            <a:solidFill>
              <a:srgbClr val="B22724"/>
            </a:solidFill>
            <a:ln>
              <a:noFill/>
            </a:ln>
            <a:effectLst/>
          </c:spPr>
          <c:invertIfNegative val="0"/>
          <c:dLbls>
            <c:dLbl>
              <c:idx val="0"/>
              <c:layout>
                <c:manualLayout>
                  <c:x val="-6.2742959140748098E-3"/>
                  <c:y val="0.2414479534778371"/>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E4E2-4FAE-84A0-D9C2EB4CA9CF}"/>
                </c:ext>
              </c:extLst>
            </c:dLbl>
            <c:spPr>
              <a:noFill/>
              <a:ln>
                <a:noFill/>
              </a:ln>
              <a:effectLst/>
            </c:spPr>
            <c:txPr>
              <a:bodyPr rot="0" spcFirstLastPara="1" vertOverflow="ellipsis" vert="horz" wrap="square" lIns="38100" tIns="19050" rIns="38100" bIns="19050" anchor="ctr" anchorCtr="1">
                <a:spAutoFit/>
              </a:bodyPr>
              <a:lstStyle/>
              <a:p>
                <a:pPr>
                  <a:defRPr sz="16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'activities-percent-completed'!$A$4:$A$15</c:f>
              <c:strCache>
                <c:ptCount val="1"/>
                <c:pt idx="0">
                  <c:v>Peer Mentoring</c:v>
                </c:pt>
              </c:strCache>
              <c:extLst/>
            </c:strRef>
          </c:cat>
          <c:val>
            <c:numRef>
              <c:f>'activities-percent-completed'!$D$4:$D$15</c:f>
              <c:numCache>
                <c:formatCode>0%</c:formatCode>
                <c:ptCount val="1"/>
                <c:pt idx="0">
                  <c:v>0.61111111111111116</c:v>
                </c:pt>
              </c:numCache>
              <c:extLst/>
            </c:numRef>
          </c:val>
          <c:extLst>
            <c:ext xmlns:c16="http://schemas.microsoft.com/office/drawing/2014/chart" uri="{C3380CC4-5D6E-409C-BE32-E72D297353CC}">
              <c16:uniqueId val="{00000001-E4E2-4FAE-84A0-D9C2EB4CA9CF}"/>
            </c:ext>
          </c:extLst>
        </c:ser>
        <c:ser>
          <c:idx val="3"/>
          <c:order val="3"/>
          <c:tx>
            <c:strRef>
              <c:f>'activities-percent-completed'!$E$3</c:f>
              <c:strCache>
                <c:ptCount val="1"/>
                <c:pt idx="0">
                  <c:v>90%</c:v>
                </c:pt>
              </c:strCache>
            </c:strRef>
          </c:tx>
          <c:spPr>
            <a:solidFill>
              <a:schemeClr val="accent4"/>
            </a:solidFill>
            <a:ln>
              <a:noFill/>
            </a:ln>
            <a:effectLst/>
          </c:spPr>
          <c:invertIfNegative val="0"/>
          <c:dLbls>
            <c:dLbl>
              <c:idx val="0"/>
              <c:layout>
                <c:manualLayout>
                  <c:x val="0"/>
                  <c:y val="0.237285057728219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E4E2-4FAE-84A0-D9C2EB4CA9CF}"/>
                </c:ext>
              </c:extLst>
            </c:dLbl>
            <c:spPr>
              <a:noFill/>
              <a:ln>
                <a:noFill/>
              </a:ln>
              <a:effectLst/>
            </c:spPr>
            <c:txPr>
              <a:bodyPr rot="0" spcFirstLastPara="1" vertOverflow="ellipsis" vert="horz" wrap="square" lIns="38100" tIns="19050" rIns="38100" bIns="19050" anchor="ctr" anchorCtr="1">
                <a:spAutoFit/>
              </a:bodyPr>
              <a:lstStyle/>
              <a:p>
                <a:pPr>
                  <a:defRPr sz="16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'activities-percent-completed'!$A$4:$A$15</c:f>
              <c:strCache>
                <c:ptCount val="1"/>
                <c:pt idx="0">
                  <c:v>Peer Mentoring</c:v>
                </c:pt>
              </c:strCache>
              <c:extLst/>
            </c:strRef>
          </c:cat>
          <c:val>
            <c:numRef>
              <c:f>'activities-percent-completed'!$E$4:$E$15</c:f>
              <c:numCache>
                <c:formatCode>0%</c:formatCode>
                <c:ptCount val="1"/>
                <c:pt idx="0">
                  <c:v>0.1111111111111111</c:v>
                </c:pt>
              </c:numCache>
              <c:extLst/>
            </c:numRef>
          </c:val>
          <c:extLst>
            <c:ext xmlns:c16="http://schemas.microsoft.com/office/drawing/2014/chart" uri="{C3380CC4-5D6E-409C-BE32-E72D297353CC}">
              <c16:uniqueId val="{00000003-E4E2-4FAE-84A0-D9C2EB4CA9CF}"/>
            </c:ext>
          </c:extLst>
        </c:ser>
        <c:ser>
          <c:idx val="4"/>
          <c:order val="4"/>
          <c:tx>
            <c:strRef>
              <c:f>'activities-percent-completed'!$F$3</c:f>
              <c:strCache>
                <c:ptCount val="1"/>
                <c:pt idx="0">
                  <c:v>75%</c:v>
                </c:pt>
              </c:strCache>
            </c:strRef>
          </c:tx>
          <c:spPr>
            <a:solidFill>
              <a:srgbClr val="FFFF66"/>
            </a:solidFill>
            <a:ln>
              <a:noFill/>
            </a:ln>
            <a:effectLst/>
          </c:spPr>
          <c:invertIfNegative val="0"/>
          <c:dLbls>
            <c:dLbl>
              <c:idx val="0"/>
              <c:layout>
                <c:manualLayout>
                  <c:x val="-1.1502742961802119E-16"/>
                  <c:y val="0.2414479534778371"/>
                </c:manualLayout>
              </c:layout>
              <c:spPr>
                <a:noFill/>
                <a:ln>
                  <a:noFill/>
                </a:ln>
                <a:effectLst/>
              </c:spPr>
              <c:txPr>
                <a:bodyPr rot="0" spcFirstLastPara="1" vertOverflow="ellipsis" vert="horz" wrap="square" lIns="38100" tIns="19050" rIns="38100" bIns="19050" anchor="ctr" anchorCtr="1">
                  <a:spAutoFit/>
                </a:bodyPr>
                <a:lstStyle/>
                <a:p>
                  <a:pPr>
                    <a:defRPr sz="16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E4E2-4FAE-84A0-D9C2EB4CA9CF}"/>
                </c:ext>
              </c:extLst>
            </c:dLbl>
            <c:spPr>
              <a:solidFill>
                <a:srgbClr val="FFFF66"/>
              </a:solidFill>
              <a:ln>
                <a:noFill/>
              </a:ln>
              <a:effectLst/>
            </c:spPr>
            <c:txPr>
              <a:bodyPr rot="0" spcFirstLastPara="1" vertOverflow="ellipsis" vert="horz" wrap="square" lIns="38100" tIns="19050" rIns="38100" bIns="19050" anchor="ctr" anchorCtr="1">
                <a:spAutoFit/>
              </a:bodyPr>
              <a:lstStyle/>
              <a:p>
                <a:pPr>
                  <a:defRPr sz="16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'activities-percent-completed'!$A$4:$A$15</c:f>
              <c:strCache>
                <c:ptCount val="1"/>
                <c:pt idx="0">
                  <c:v>Peer Mentoring</c:v>
                </c:pt>
              </c:strCache>
              <c:extLst/>
            </c:strRef>
          </c:cat>
          <c:val>
            <c:numRef>
              <c:f>'activities-percent-completed'!$F$4:$F$15</c:f>
              <c:numCache>
                <c:formatCode>0%</c:formatCode>
                <c:ptCount val="1"/>
                <c:pt idx="0">
                  <c:v>5.5555555555555552E-2</c:v>
                </c:pt>
              </c:numCache>
              <c:extLst/>
            </c:numRef>
          </c:val>
          <c:extLst>
            <c:ext xmlns:c16="http://schemas.microsoft.com/office/drawing/2014/chart" uri="{C3380CC4-5D6E-409C-BE32-E72D297353CC}">
              <c16:uniqueId val="{00000005-E4E2-4FAE-84A0-D9C2EB4CA9CF}"/>
            </c:ext>
          </c:extLst>
        </c:ser>
        <c:ser>
          <c:idx val="5"/>
          <c:order val="5"/>
          <c:tx>
            <c:strRef>
              <c:f>'activities-percent-completed'!$G$3</c:f>
              <c:strCache>
                <c:ptCount val="1"/>
                <c:pt idx="0">
                  <c:v>50%</c:v>
                </c:pt>
              </c:strCache>
            </c:strRef>
          </c:tx>
          <c:spPr>
            <a:solidFill>
              <a:schemeClr val="accent6"/>
            </a:solidFill>
            <a:ln>
              <a:noFill/>
            </a:ln>
            <a:effectLst/>
          </c:spPr>
          <c:invertIfNegative val="0"/>
          <c:dLbls>
            <c:dLbl>
              <c:idx val="0"/>
              <c:layout>
                <c:manualLayout>
                  <c:x val="0"/>
                  <c:y val="0.22063347472974776"/>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E4E2-4FAE-84A0-D9C2EB4CA9CF}"/>
                </c:ext>
              </c:extLst>
            </c:dLbl>
            <c:spPr>
              <a:noFill/>
              <a:ln>
                <a:noFill/>
              </a:ln>
              <a:effectLst/>
            </c:spPr>
            <c:txPr>
              <a:bodyPr rot="0" spcFirstLastPara="1" vertOverflow="ellipsis" vert="horz" wrap="square" lIns="38100" tIns="19050" rIns="38100" bIns="19050" anchor="ctr" anchorCtr="1">
                <a:spAutoFit/>
              </a:bodyPr>
              <a:lstStyle/>
              <a:p>
                <a:pPr>
                  <a:defRPr sz="16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'activities-percent-completed'!$A$4:$A$15</c:f>
              <c:strCache>
                <c:ptCount val="1"/>
                <c:pt idx="0">
                  <c:v>Peer Mentoring</c:v>
                </c:pt>
              </c:strCache>
              <c:extLst/>
            </c:strRef>
          </c:cat>
          <c:val>
            <c:numRef>
              <c:f>'activities-percent-completed'!$G$4:$G$15</c:f>
              <c:numCache>
                <c:formatCode>0%</c:formatCode>
                <c:ptCount val="1"/>
                <c:pt idx="0">
                  <c:v>0.22222222222222221</c:v>
                </c:pt>
              </c:numCache>
              <c:extLst/>
            </c:numRef>
          </c:val>
          <c:extLst>
            <c:ext xmlns:c16="http://schemas.microsoft.com/office/drawing/2014/chart" uri="{C3380CC4-5D6E-409C-BE32-E72D297353CC}">
              <c16:uniqueId val="{00000007-E4E2-4FAE-84A0-D9C2EB4CA9CF}"/>
            </c:ext>
          </c:extLst>
        </c:ser>
        <c:ser>
          <c:idx val="6"/>
          <c:order val="6"/>
          <c:tx>
            <c:strRef>
              <c:f>'activities-percent-completed'!$H$3</c:f>
              <c:strCache>
                <c:ptCount val="1"/>
                <c:pt idx="0">
                  <c:v>25%</c:v>
                </c:pt>
              </c:strCache>
            </c:strRef>
          </c:tx>
          <c:spPr>
            <a:solidFill>
              <a:srgbClr val="15FFFF"/>
            </a:solidFill>
            <a:ln>
              <a:noFill/>
            </a:ln>
            <a:effectLst/>
          </c:spPr>
          <c:invertIfNegative val="0"/>
          <c:dLbls>
            <c:delete val="1"/>
          </c:dLbls>
          <c:cat>
            <c:strRef>
              <c:f>'activities-percent-completed'!$A$4:$A$15</c:f>
              <c:strCache>
                <c:ptCount val="1"/>
                <c:pt idx="0">
                  <c:v>Peer Mentoring</c:v>
                </c:pt>
              </c:strCache>
              <c:extLst/>
            </c:strRef>
          </c:cat>
          <c:val>
            <c:numRef>
              <c:f>'activities-percent-completed'!$H$4:$H$15</c:f>
              <c:numCache>
                <c:formatCode>0%</c:formatCode>
                <c:ptCount val="1"/>
                <c:pt idx="0">
                  <c:v>0</c:v>
                </c:pt>
              </c:numCache>
              <c:extLst/>
            </c:numRef>
          </c:val>
          <c:extLst>
            <c:ext xmlns:c16="http://schemas.microsoft.com/office/drawing/2014/chart" uri="{C3380CC4-5D6E-409C-BE32-E72D297353CC}">
              <c16:uniqueId val="{00000008-E4E2-4FAE-84A0-D9C2EB4CA9CF}"/>
            </c:ext>
          </c:extLst>
        </c:ser>
        <c:ser>
          <c:idx val="7"/>
          <c:order val="7"/>
          <c:tx>
            <c:strRef>
              <c:f>'activities-percent-completed'!$I$3</c:f>
              <c:strCache>
                <c:ptCount val="1"/>
                <c:pt idx="0">
                  <c:v>10%</c:v>
                </c:pt>
              </c:strCache>
            </c:strRef>
          </c:tx>
          <c:spPr>
            <a:solidFill>
              <a:srgbClr val="3399FF"/>
            </a:solidFill>
            <a:ln>
              <a:noFill/>
            </a:ln>
            <a:effectLst/>
          </c:spPr>
          <c:invertIfNegative val="0"/>
          <c:dLbls>
            <c:delete val="1"/>
          </c:dLbls>
          <c:cat>
            <c:strRef>
              <c:f>'activities-percent-completed'!$A$4:$A$15</c:f>
              <c:strCache>
                <c:ptCount val="1"/>
                <c:pt idx="0">
                  <c:v>Peer Mentoring</c:v>
                </c:pt>
              </c:strCache>
              <c:extLst/>
            </c:strRef>
          </c:cat>
          <c:val>
            <c:numRef>
              <c:f>'activities-percent-completed'!$I$4:$I$15</c:f>
              <c:numCache>
                <c:formatCode>0%</c:formatCode>
                <c:ptCount val="1"/>
                <c:pt idx="0">
                  <c:v>0</c:v>
                </c:pt>
              </c:numCache>
              <c:extLst/>
            </c:numRef>
          </c:val>
          <c:extLst xmlns:c15="http://schemas.microsoft.com/office/drawing/2012/chart">
            <c:ext xmlns:c16="http://schemas.microsoft.com/office/drawing/2014/chart" uri="{C3380CC4-5D6E-409C-BE32-E72D297353CC}">
              <c16:uniqueId val="{00000009-E4E2-4FAE-84A0-D9C2EB4CA9CF}"/>
            </c:ext>
          </c:extLst>
        </c:ser>
        <c:ser>
          <c:idx val="8"/>
          <c:order val="8"/>
          <c:tx>
            <c:strRef>
              <c:f>'activities-percent-completed'!$J$3</c:f>
              <c:strCache>
                <c:ptCount val="1"/>
                <c:pt idx="0">
                  <c:v>Not started</c:v>
                </c:pt>
              </c:strCache>
            </c:strRef>
          </c:tx>
          <c:spPr>
            <a:solidFill>
              <a:srgbClr val="7030A0"/>
            </a:solidFill>
            <a:ln>
              <a:noFill/>
            </a:ln>
            <a:effectLst/>
          </c:spPr>
          <c:invertIfNegative val="0"/>
          <c:dLbls>
            <c:delete val="1"/>
          </c:dLbls>
          <c:cat>
            <c:strRef>
              <c:f>'activities-percent-completed'!$A$4:$A$15</c:f>
              <c:strCache>
                <c:ptCount val="1"/>
                <c:pt idx="0">
                  <c:v>Peer Mentoring</c:v>
                </c:pt>
              </c:strCache>
              <c:extLst/>
            </c:strRef>
          </c:cat>
          <c:val>
            <c:numRef>
              <c:f>'activities-percent-completed'!$J$4:$J$15</c:f>
              <c:numCache>
                <c:formatCode>0%</c:formatCode>
                <c:ptCount val="1"/>
                <c:pt idx="0">
                  <c:v>0</c:v>
                </c:pt>
              </c:numCache>
              <c:extLst/>
            </c:numRef>
          </c:val>
          <c:extLst xmlns:c15="http://schemas.microsoft.com/office/drawing/2012/chart">
            <c:ext xmlns:c16="http://schemas.microsoft.com/office/drawing/2014/chart" uri="{C3380CC4-5D6E-409C-BE32-E72D297353CC}">
              <c16:uniqueId val="{0000000A-E4E2-4FAE-84A0-D9C2EB4CA9CF}"/>
            </c:ext>
          </c:extLst>
        </c:ser>
        <c:dLbls>
          <c:dLblPos val="ctr"/>
          <c:showLegendKey val="0"/>
          <c:showVal val="1"/>
          <c:showCatName val="0"/>
          <c:showSerName val="0"/>
          <c:showPercent val="0"/>
          <c:showBubbleSize val="0"/>
        </c:dLbls>
        <c:gapWidth val="79"/>
        <c:overlap val="100"/>
        <c:axId val="610520992"/>
        <c:axId val="610522632"/>
        <c:extLst>
          <c:ext xmlns:c15="http://schemas.microsoft.com/office/drawing/2012/chart" uri="{02D57815-91ED-43cb-92C2-25804820EDAC}">
            <c15:filteredBarSeries>
              <c15:ser>
                <c:idx val="0"/>
                <c:order val="0"/>
                <c:tx>
                  <c:strRef>
                    <c:extLst>
                      <c:ext uri="{02D57815-91ED-43cb-92C2-25804820EDAC}">
                        <c15:formulaRef>
                          <c15:sqref>'activities-percent-completed'!$B$3</c15:sqref>
                        </c15:formulaRef>
                      </c:ext>
                    </c:extLst>
                    <c:strCache>
                      <c:ptCount val="1"/>
                      <c:pt idx="0">
                        <c:v># of Total Activities</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showLeaderLines val="0"/>
                  <c:extLst>
                    <c:ext uri="{CE6537A1-D6FC-4f65-9D91-7224C49458BB}">
                      <c15:showLeaderLines val="1"/>
                      <c15:leaderLines>
                        <c:spPr>
                          <a:ln w="9525">
                            <a:solidFill>
                              <a:schemeClr val="tx1">
                                <a:lumMod val="35000"/>
                                <a:lumOff val="65000"/>
                              </a:schemeClr>
                            </a:solidFill>
                          </a:ln>
                          <a:effectLst/>
                        </c:spPr>
                      </c15:leaderLines>
                    </c:ext>
                  </c:extLst>
                </c:dLbls>
                <c:cat>
                  <c:strRef>
                    <c:extLst>
                      <c:ext uri="{02D57815-91ED-43cb-92C2-25804820EDAC}">
                        <c15:formulaRef>
                          <c15:sqref>'activities-percent-completed'!$A$4:$A$15</c15:sqref>
                        </c15:formulaRef>
                      </c:ext>
                    </c:extLst>
                    <c:strCache>
                      <c:ptCount val="1"/>
                      <c:pt idx="0">
                        <c:v>Peer Mentoring</c:v>
                      </c:pt>
                    </c:strCache>
                  </c:strRef>
                </c:cat>
                <c:val>
                  <c:numRef>
                    <c:extLst>
                      <c:ext uri="{02D57815-91ED-43cb-92C2-25804820EDAC}">
                        <c15:formulaRef>
                          <c15:sqref>'activities-percent-completed'!$B$4:$B$15</c15:sqref>
                        </c15:formulaRef>
                      </c:ext>
                    </c:extLst>
                    <c:numCache>
                      <c:formatCode>0</c:formatCode>
                      <c:ptCount val="1"/>
                      <c:pt idx="0">
                        <c:v>18</c:v>
                      </c:pt>
                    </c:numCache>
                  </c:numRef>
                </c:val>
                <c:extLst>
                  <c:ext xmlns:c16="http://schemas.microsoft.com/office/drawing/2014/chart" uri="{C3380CC4-5D6E-409C-BE32-E72D297353CC}">
                    <c16:uniqueId val="{0000000B-E4E2-4FAE-84A0-D9C2EB4CA9CF}"/>
                  </c:ext>
                </c:extLst>
              </c15:ser>
            </c15:filteredBarSeries>
            <c15:filteredBarSeries>
              <c15:ser>
                <c:idx val="1"/>
                <c:order val="1"/>
                <c:tx>
                  <c:strRef>
                    <c:extLst xmlns:c15="http://schemas.microsoft.com/office/drawing/2012/chart">
                      <c:ext xmlns:c15="http://schemas.microsoft.com/office/drawing/2012/chart" uri="{02D57815-91ED-43cb-92C2-25804820EDAC}">
                        <c15:formulaRef>
                          <c15:sqref>'activities-percent-completed'!$C$3</c15:sqref>
                        </c15:formulaRef>
                      </c:ext>
                    </c:extLst>
                    <c:strCache>
                      <c:ptCount val="1"/>
                      <c:pt idx="0">
                        <c:v>Average Progress on Activities (%)</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extLst xmlns:c15="http://schemas.microsoft.com/office/drawing/2012/chart">
                      <c:ext xmlns:c15="http://schemas.microsoft.com/office/drawing/2012/chart" uri="{02D57815-91ED-43cb-92C2-25804820EDAC}">
                        <c15:formulaRef>
                          <c15:sqref>'activities-percent-completed'!$A$4:$A$15</c15:sqref>
                        </c15:formulaRef>
                      </c:ext>
                    </c:extLst>
                    <c:strCache>
                      <c:ptCount val="1"/>
                      <c:pt idx="0">
                        <c:v>Peer Mentoring</c:v>
                      </c:pt>
                    </c:strCache>
                  </c:strRef>
                </c:cat>
                <c:val>
                  <c:numRef>
                    <c:extLst xmlns:c15="http://schemas.microsoft.com/office/drawing/2012/chart">
                      <c:ext xmlns:c15="http://schemas.microsoft.com/office/drawing/2012/chart" uri="{02D57815-91ED-43cb-92C2-25804820EDAC}">
                        <c15:formulaRef>
                          <c15:sqref>'activities-percent-completed'!$C$4:$C$15</c15:sqref>
                        </c15:formulaRef>
                      </c:ext>
                    </c:extLst>
                    <c:numCache>
                      <c:formatCode>0%</c:formatCode>
                      <c:ptCount val="1"/>
                      <c:pt idx="0">
                        <c:v>0.86388888888888882</c:v>
                      </c:pt>
                    </c:numCache>
                  </c:numRef>
                </c:val>
                <c:extLst xmlns:c15="http://schemas.microsoft.com/office/drawing/2012/chart">
                  <c:ext xmlns:c16="http://schemas.microsoft.com/office/drawing/2014/chart" uri="{C3380CC4-5D6E-409C-BE32-E72D297353CC}">
                    <c16:uniqueId val="{0000000C-E4E2-4FAE-84A0-D9C2EB4CA9CF}"/>
                  </c:ext>
                </c:extLst>
              </c15:ser>
            </c15:filteredBarSeries>
            <c15:filteredBarSeries>
              <c15:ser>
                <c:idx val="9"/>
                <c:order val="9"/>
                <c:tx>
                  <c:strRef>
                    <c:extLst xmlns:c15="http://schemas.microsoft.com/office/drawing/2012/chart">
                      <c:ext xmlns:c15="http://schemas.microsoft.com/office/drawing/2012/chart" uri="{02D57815-91ED-43cb-92C2-25804820EDAC}">
                        <c15:formulaRef>
                          <c15:sqref>'activities-percent-completed'!$K$3</c15:sqref>
                        </c15:formulaRef>
                      </c:ext>
                    </c:extLst>
                    <c:strCache>
                      <c:ptCount val="1"/>
                      <c:pt idx="0">
                        <c:v>In Progress</c:v>
                      </c:pt>
                    </c:strCache>
                  </c:strRef>
                </c:tx>
                <c:spPr>
                  <a:solidFill>
                    <a:schemeClr val="accent4">
                      <a:lumMod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en-US"/>
                    </a:p>
                  </c:txPr>
                  <c:dLblPos val="ct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extLst xmlns:c15="http://schemas.microsoft.com/office/drawing/2012/chart">
                      <c:ext xmlns:c15="http://schemas.microsoft.com/office/drawing/2012/chart" uri="{02D57815-91ED-43cb-92C2-25804820EDAC}">
                        <c15:formulaRef>
                          <c15:sqref>'activities-percent-completed'!$A$4:$A$15</c15:sqref>
                        </c15:formulaRef>
                      </c:ext>
                    </c:extLst>
                    <c:strCache>
                      <c:ptCount val="1"/>
                      <c:pt idx="0">
                        <c:v>Peer Mentoring</c:v>
                      </c:pt>
                    </c:strCache>
                  </c:strRef>
                </c:cat>
                <c:val>
                  <c:numRef>
                    <c:extLst xmlns:c15="http://schemas.microsoft.com/office/drawing/2012/chart">
                      <c:ext xmlns:c15="http://schemas.microsoft.com/office/drawing/2012/chart" uri="{02D57815-91ED-43cb-92C2-25804820EDAC}">
                        <c15:formulaRef>
                          <c15:sqref>'activities-percent-completed'!$K$4:$K$15</c15:sqref>
                        </c15:formulaRef>
                      </c:ext>
                    </c:extLst>
                    <c:numCache>
                      <c:formatCode>0%</c:formatCode>
                      <c:ptCount val="1"/>
                      <c:pt idx="0">
                        <c:v>0.3888888888888889</c:v>
                      </c:pt>
                    </c:numCache>
                  </c:numRef>
                </c:val>
                <c:extLst xmlns:c15="http://schemas.microsoft.com/office/drawing/2012/chart">
                  <c:ext xmlns:c16="http://schemas.microsoft.com/office/drawing/2014/chart" uri="{C3380CC4-5D6E-409C-BE32-E72D297353CC}">
                    <c16:uniqueId val="{0000000D-E4E2-4FAE-84A0-D9C2EB4CA9CF}"/>
                  </c:ext>
                </c:extLst>
              </c15:ser>
            </c15:filteredBarSeries>
          </c:ext>
        </c:extLst>
      </c:barChart>
      <c:catAx>
        <c:axId val="610520992"/>
        <c:scaling>
          <c:orientation val="minMax"/>
        </c:scaling>
        <c:delete val="1"/>
        <c:axPos val="l"/>
        <c:majorGridlines>
          <c:spPr>
            <a:ln w="9525" cap="flat" cmpd="sng" algn="ctr">
              <a:solidFill>
                <a:schemeClr val="tx1">
                  <a:lumMod val="15000"/>
                  <a:lumOff val="85000"/>
                </a:schemeClr>
              </a:solidFill>
              <a:round/>
            </a:ln>
            <a:effectLst/>
          </c:spPr>
        </c:majorGridlines>
        <c:minorGridlines>
          <c:spPr>
            <a:ln>
              <a:solidFill>
                <a:schemeClr val="tx1">
                  <a:lumMod val="5000"/>
                  <a:lumOff val="95000"/>
                </a:schemeClr>
              </a:solidFill>
            </a:ln>
            <a:effectLst/>
          </c:spPr>
        </c:minorGridlines>
        <c:numFmt formatCode="General" sourceLinked="1"/>
        <c:majorTickMark val="out"/>
        <c:minorTickMark val="none"/>
        <c:tickLblPos val="nextTo"/>
        <c:crossAx val="610522632"/>
        <c:crosses val="autoZero"/>
        <c:auto val="1"/>
        <c:lblAlgn val="ctr"/>
        <c:lblOffset val="100"/>
        <c:noMultiLvlLbl val="0"/>
      </c:catAx>
      <c:valAx>
        <c:axId val="610522632"/>
        <c:scaling>
          <c:orientation val="minMax"/>
          <c:max val="1"/>
        </c:scaling>
        <c:delete val="0"/>
        <c:axPos val="b"/>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10520992"/>
        <c:crosses val="autoZero"/>
        <c:crossBetween val="between"/>
      </c:valAx>
      <c:spPr>
        <a:noFill/>
        <a:ln>
          <a:noFill/>
        </a:ln>
        <a:effectLst/>
      </c:spPr>
    </c:plotArea>
    <c:legend>
      <c:legendPos val="t"/>
      <c:layout>
        <c:manualLayout>
          <c:xMode val="edge"/>
          <c:yMode val="edge"/>
          <c:x val="0.12241940911232252"/>
          <c:y val="0.87453874703552015"/>
          <c:w val="0.75004694124772864"/>
          <c:h val="0.12505928959674142"/>
        </c:manualLayout>
      </c:layout>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9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4"/>
    </mc:Choice>
    <mc:Fallback>
      <c:style val="4"/>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Topic Area - Peer Mentoring</a:t>
            </a:r>
            <a:br>
              <a:rPr lang="en-US"/>
            </a:br>
            <a:r>
              <a:rPr lang="en-US"/>
              <a:t>Activity #1</a:t>
            </a:r>
          </a:p>
        </c:rich>
      </c:tx>
      <c:layout>
        <c:manualLayout>
          <c:xMode val="edge"/>
          <c:yMode val="edge"/>
          <c:x val="0.15852625564661557"/>
          <c:y val="1.4306151645207439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6017916604892113"/>
          <c:y val="0.23265365094271845"/>
          <c:w val="0.78942722632790041"/>
          <c:h val="0.66602748393145406"/>
        </c:manualLayout>
      </c:layout>
      <c:barChart>
        <c:barDir val="col"/>
        <c:grouping val="percentStacked"/>
        <c:varyColors val="0"/>
        <c:ser>
          <c:idx val="3"/>
          <c:order val="3"/>
          <c:tx>
            <c:strRef>
              <c:f>'individual-chart-peer-mentoring'!$F$2</c:f>
              <c:strCache>
                <c:ptCount val="1"/>
                <c:pt idx="0">
                  <c:v>Completed</c:v>
                </c:pt>
              </c:strCache>
            </c:strRef>
          </c:tx>
          <c:spPr>
            <a:solidFill>
              <a:srgbClr val="99221F"/>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800" b="0"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'individual-chart-peer-mentoring'!$B$3:$B$34</c:f>
              <c:strCache>
                <c:ptCount val="2"/>
                <c:pt idx="0">
                  <c:v>Activity</c:v>
                </c:pt>
                <c:pt idx="1">
                  <c:v>Outputs</c:v>
                </c:pt>
              </c:strCache>
              <c:extLst/>
            </c:strRef>
          </c:cat>
          <c:val>
            <c:numRef>
              <c:f>'individual-chart-peer-mentoring'!$F$3:$F$34</c:f>
              <c:numCache>
                <c:formatCode>0%</c:formatCode>
                <c:ptCount val="2"/>
                <c:pt idx="0">
                  <c:v>0.75</c:v>
                </c:pt>
                <c:pt idx="1">
                  <c:v>0.5</c:v>
                </c:pt>
              </c:numCache>
              <c:extLst/>
            </c:numRef>
          </c:val>
          <c:extLst>
            <c:ext xmlns:c16="http://schemas.microsoft.com/office/drawing/2014/chart" uri="{C3380CC4-5D6E-409C-BE32-E72D297353CC}">
              <c16:uniqueId val="{00000000-E18F-492F-93F7-BA2ACAD08884}"/>
            </c:ext>
          </c:extLst>
        </c:ser>
        <c:ser>
          <c:idx val="4"/>
          <c:order val="4"/>
          <c:tx>
            <c:strRef>
              <c:f>'individual-chart-peer-mentoring'!$G$2</c:f>
              <c:strCache>
                <c:ptCount val="1"/>
                <c:pt idx="0">
                  <c:v>90%</c:v>
                </c:pt>
              </c:strCache>
            </c:strRef>
          </c:tx>
          <c:spPr>
            <a:solidFill>
              <a:srgbClr val="D73D39"/>
            </a:solidFill>
            <a:ln>
              <a:noFill/>
            </a:ln>
            <a:effectLst/>
          </c:spPr>
          <c:invertIfNegative val="0"/>
          <c:dLbls>
            <c:dLbl>
              <c:idx val="1"/>
              <c:layout>
                <c:manualLayout>
                  <c:x val="-4.5270217019051798E-3"/>
                  <c:y val="-1.2342242704727325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E18F-492F-93F7-BA2ACAD08884}"/>
                </c:ext>
              </c:extLst>
            </c:dLbl>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'individual-chart-peer-mentoring'!$B$3:$B$34</c:f>
              <c:strCache>
                <c:ptCount val="2"/>
                <c:pt idx="0">
                  <c:v>Activity</c:v>
                </c:pt>
                <c:pt idx="1">
                  <c:v>Outputs</c:v>
                </c:pt>
              </c:strCache>
              <c:extLst/>
            </c:strRef>
          </c:cat>
          <c:val>
            <c:numRef>
              <c:f>'individual-chart-peer-mentoring'!$G$3:$G$34</c:f>
              <c:numCache>
                <c:formatCode>0%</c:formatCode>
                <c:ptCount val="2"/>
                <c:pt idx="1">
                  <c:v>0.25</c:v>
                </c:pt>
              </c:numCache>
              <c:extLst/>
            </c:numRef>
          </c:val>
          <c:extLst>
            <c:ext xmlns:c16="http://schemas.microsoft.com/office/drawing/2014/chart" uri="{C3380CC4-5D6E-409C-BE32-E72D297353CC}">
              <c16:uniqueId val="{00000002-E18F-492F-93F7-BA2ACAD08884}"/>
            </c:ext>
          </c:extLst>
        </c:ser>
        <c:ser>
          <c:idx val="5"/>
          <c:order val="5"/>
          <c:tx>
            <c:strRef>
              <c:f>'individual-chart-peer-mentoring'!$H$2</c:f>
              <c:strCache>
                <c:ptCount val="1"/>
                <c:pt idx="0">
                  <c:v>75%</c:v>
                </c:pt>
              </c:strCache>
            </c:strRef>
          </c:tx>
          <c:spPr>
            <a:solidFill>
              <a:srgbClr val="DC5350"/>
            </a:solidFill>
            <a:ln>
              <a:noFill/>
            </a:ln>
            <a:effectLst/>
          </c:spPr>
          <c:invertIfNegative val="0"/>
          <c:dLbls>
            <c:dLbl>
              <c:idx val="0"/>
              <c:layout>
                <c:manualLayout>
                  <c:x val="-5.6572546266111644E-3"/>
                  <c:y val="-1.9532457233267957E-3"/>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E18F-492F-93F7-BA2ACAD08884}"/>
                </c:ext>
              </c:extLst>
            </c:dLbl>
            <c:dLbl>
              <c:idx val="1"/>
              <c:layout>
                <c:manualLayout>
                  <c:x val="-0.15118082286953546"/>
                  <c:y val="-4.840428131366017E-17"/>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E18F-492F-93F7-BA2ACAD08884}"/>
                </c:ext>
              </c:extLst>
            </c:dLbl>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'individual-chart-peer-mentoring'!$B$3:$B$34</c:f>
              <c:strCache>
                <c:ptCount val="2"/>
                <c:pt idx="0">
                  <c:v>Activity</c:v>
                </c:pt>
                <c:pt idx="1">
                  <c:v>Outputs</c:v>
                </c:pt>
              </c:strCache>
              <c:extLst/>
            </c:strRef>
          </c:cat>
          <c:val>
            <c:numRef>
              <c:f>'individual-chart-peer-mentoring'!$H$3:$H$34</c:f>
              <c:numCache>
                <c:formatCode>General</c:formatCode>
                <c:ptCount val="2"/>
                <c:pt idx="0" formatCode="0%">
                  <c:v>0.25</c:v>
                </c:pt>
              </c:numCache>
              <c:extLst/>
            </c:numRef>
          </c:val>
          <c:extLst>
            <c:ext xmlns:c16="http://schemas.microsoft.com/office/drawing/2014/chart" uri="{C3380CC4-5D6E-409C-BE32-E72D297353CC}">
              <c16:uniqueId val="{00000005-E18F-492F-93F7-BA2ACAD08884}"/>
            </c:ext>
          </c:extLst>
        </c:ser>
        <c:ser>
          <c:idx val="6"/>
          <c:order val="6"/>
          <c:tx>
            <c:strRef>
              <c:f>'individual-chart-peer-mentoring'!$I$2</c:f>
              <c:strCache>
                <c:ptCount val="1"/>
                <c:pt idx="0">
                  <c:v>50%</c:v>
                </c:pt>
              </c:strCache>
            </c:strRef>
          </c:tx>
          <c:spPr>
            <a:solidFill>
              <a:srgbClr val="EBA19F"/>
            </a:solidFill>
            <a:ln>
              <a:noFill/>
            </a:ln>
            <a:effectLst/>
          </c:spPr>
          <c:invertIfNegative val="0"/>
          <c:dLbls>
            <c:dLbl>
              <c:idx val="1"/>
              <c:layout>
                <c:manualLayout>
                  <c:x val="-9.0762540032814365E-3"/>
                  <c:y val="7.4046070086709413E-3"/>
                </c:manualLayout>
              </c:layout>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E18F-492F-93F7-BA2ACAD08884}"/>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'individual-chart-peer-mentoring'!$B$3:$B$34</c:f>
              <c:strCache>
                <c:ptCount val="2"/>
                <c:pt idx="0">
                  <c:v>Activity</c:v>
                </c:pt>
                <c:pt idx="1">
                  <c:v>Outputs</c:v>
                </c:pt>
              </c:strCache>
              <c:extLst/>
            </c:strRef>
          </c:cat>
          <c:val>
            <c:numRef>
              <c:f>'individual-chart-peer-mentoring'!$I$3:$I$34</c:f>
              <c:numCache>
                <c:formatCode>0%</c:formatCode>
                <c:ptCount val="2"/>
                <c:pt idx="1">
                  <c:v>0.25</c:v>
                </c:pt>
              </c:numCache>
              <c:extLst/>
            </c:numRef>
          </c:val>
          <c:extLst>
            <c:ext xmlns:c16="http://schemas.microsoft.com/office/drawing/2014/chart" uri="{C3380CC4-5D6E-409C-BE32-E72D297353CC}">
              <c16:uniqueId val="{00000007-E18F-492F-93F7-BA2ACAD08884}"/>
            </c:ext>
          </c:extLst>
        </c:ser>
        <c:ser>
          <c:idx val="7"/>
          <c:order val="7"/>
          <c:tx>
            <c:strRef>
              <c:f>'individual-chart-peer-mentoring'!$J$2</c:f>
              <c:strCache>
                <c:ptCount val="1"/>
                <c:pt idx="0">
                  <c:v>25%</c:v>
                </c:pt>
              </c:strCache>
            </c:strRef>
          </c:tx>
          <c:spPr>
            <a:solidFill>
              <a:srgbClr val="F3C6C5"/>
            </a:solidFill>
            <a:ln>
              <a:noFill/>
            </a:ln>
            <a:effectLst/>
          </c:spPr>
          <c:invertIfNegative val="0"/>
          <c:dLbls>
            <c:dLbl>
              <c:idx val="0"/>
              <c:layout>
                <c:manualLayout>
                  <c:x val="-0.17408700815279832"/>
                  <c:y val="0"/>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E18F-492F-93F7-BA2ACAD08884}"/>
                </c:ext>
              </c:extLst>
            </c:dLbl>
            <c:dLbl>
              <c:idx val="1"/>
              <c:layout>
                <c:manualLayout>
                  <c:x val="-0.16034329698284064"/>
                  <c:y val="0"/>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E18F-492F-93F7-BA2ACAD08884}"/>
                </c:ext>
              </c:extLst>
            </c:dLbl>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'individual-chart-peer-mentoring'!$B$3:$B$34</c:f>
              <c:strCache>
                <c:ptCount val="2"/>
                <c:pt idx="0">
                  <c:v>Activity</c:v>
                </c:pt>
                <c:pt idx="1">
                  <c:v>Outputs</c:v>
                </c:pt>
              </c:strCache>
              <c:extLst/>
            </c:strRef>
          </c:cat>
          <c:val>
            <c:numRef>
              <c:f>'individual-chart-peer-mentoring'!$J$3:$J$34</c:f>
              <c:numCache>
                <c:formatCode>General</c:formatCode>
                <c:ptCount val="2"/>
              </c:numCache>
              <c:extLst/>
            </c:numRef>
          </c:val>
          <c:extLst>
            <c:ext xmlns:c16="http://schemas.microsoft.com/office/drawing/2014/chart" uri="{C3380CC4-5D6E-409C-BE32-E72D297353CC}">
              <c16:uniqueId val="{0000000A-E18F-492F-93F7-BA2ACAD08884}"/>
            </c:ext>
          </c:extLst>
        </c:ser>
        <c:ser>
          <c:idx val="8"/>
          <c:order val="8"/>
          <c:tx>
            <c:strRef>
              <c:f>'individual-chart-peer-mentoring'!$K$2</c:f>
              <c:strCache>
                <c:ptCount val="1"/>
                <c:pt idx="0">
                  <c:v>10%</c:v>
                </c:pt>
              </c:strCache>
            </c:strRef>
          </c:tx>
          <c:spPr>
            <a:solidFill>
              <a:schemeClr val="accent2">
                <a:tint val="56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'individual-chart-peer-mentoring'!$B$3:$B$34</c:f>
              <c:strCache>
                <c:ptCount val="2"/>
                <c:pt idx="0">
                  <c:v>Activity</c:v>
                </c:pt>
                <c:pt idx="1">
                  <c:v>Outputs</c:v>
                </c:pt>
              </c:strCache>
              <c:extLst/>
            </c:strRef>
          </c:cat>
          <c:val>
            <c:numRef>
              <c:f>'individual-chart-peer-mentoring'!$K$3:$K$34</c:f>
              <c:numCache>
                <c:formatCode>General</c:formatCode>
                <c:ptCount val="2"/>
              </c:numCache>
              <c:extLst/>
            </c:numRef>
          </c:val>
          <c:extLst>
            <c:ext xmlns:c16="http://schemas.microsoft.com/office/drawing/2014/chart" uri="{C3380CC4-5D6E-409C-BE32-E72D297353CC}">
              <c16:uniqueId val="{0000000B-E18F-492F-93F7-BA2ACAD08884}"/>
            </c:ext>
          </c:extLst>
        </c:ser>
        <c:ser>
          <c:idx val="9"/>
          <c:order val="9"/>
          <c:tx>
            <c:strRef>
              <c:f>'individual-chart-peer-mentoring'!$L$2</c:f>
              <c:strCache>
                <c:ptCount val="1"/>
                <c:pt idx="0">
                  <c:v>Not Started</c:v>
                </c:pt>
              </c:strCache>
            </c:strRef>
          </c:tx>
          <c:spPr>
            <a:solidFill>
              <a:srgbClr val="FCF2F2"/>
            </a:solidFill>
            <a:ln>
              <a:noFill/>
            </a:ln>
            <a:effectLst/>
          </c:spPr>
          <c:invertIfNegative val="0"/>
          <c:dLbls>
            <c:dLbl>
              <c:idx val="1"/>
              <c:layout>
                <c:manualLayout>
                  <c:x val="-0.14659958581288288"/>
                  <c:y val="0"/>
                </c:manualLayout>
              </c:layout>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E18F-492F-93F7-BA2ACAD08884}"/>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'individual-chart-peer-mentoring'!$B$3:$B$34</c:f>
              <c:strCache>
                <c:ptCount val="2"/>
                <c:pt idx="0">
                  <c:v>Activity</c:v>
                </c:pt>
                <c:pt idx="1">
                  <c:v>Outputs</c:v>
                </c:pt>
              </c:strCache>
              <c:extLst/>
            </c:strRef>
          </c:cat>
          <c:val>
            <c:numRef>
              <c:f>'individual-chart-peer-mentoring'!$L$3:$L$34</c:f>
              <c:numCache>
                <c:formatCode>General</c:formatCode>
                <c:ptCount val="2"/>
              </c:numCache>
              <c:extLst/>
            </c:numRef>
          </c:val>
          <c:extLst>
            <c:ext xmlns:c16="http://schemas.microsoft.com/office/drawing/2014/chart" uri="{C3380CC4-5D6E-409C-BE32-E72D297353CC}">
              <c16:uniqueId val="{0000000D-E18F-492F-93F7-BA2ACAD08884}"/>
            </c:ext>
          </c:extLst>
        </c:ser>
        <c:dLbls>
          <c:dLblPos val="ctr"/>
          <c:showLegendKey val="0"/>
          <c:showVal val="1"/>
          <c:showCatName val="0"/>
          <c:showSerName val="0"/>
          <c:showPercent val="0"/>
          <c:showBubbleSize val="0"/>
        </c:dLbls>
        <c:gapWidth val="150"/>
        <c:overlap val="100"/>
        <c:axId val="790958128"/>
        <c:axId val="790961408"/>
        <c:extLst>
          <c:ext xmlns:c15="http://schemas.microsoft.com/office/drawing/2012/chart" uri="{02D57815-91ED-43cb-92C2-25804820EDAC}">
            <c15:filteredBarSeries>
              <c15:ser>
                <c:idx val="0"/>
                <c:order val="0"/>
                <c:tx>
                  <c:strRef>
                    <c:extLst>
                      <c:ext uri="{02D57815-91ED-43cb-92C2-25804820EDAC}">
                        <c15:formulaRef>
                          <c15:sqref>'individual-chart-peer-mentoring'!$C$2</c15:sqref>
                        </c15:formulaRef>
                      </c:ext>
                    </c:extLst>
                    <c:strCache>
                      <c:ptCount val="1"/>
                      <c:pt idx="0">
                        <c:v>Completed</c:v>
                      </c:pt>
                    </c:strCache>
                  </c:strRef>
                </c:tx>
                <c:spPr>
                  <a:solidFill>
                    <a:schemeClr val="accent2">
                      <a:shade val="42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c:ext uri="{02D57815-91ED-43cb-92C2-25804820EDAC}">
                        <c15:formulaRef>
                          <c15:sqref>'individual-chart-peer-mentoring'!$B$3:$B$34</c15:sqref>
                        </c15:formulaRef>
                      </c:ext>
                    </c:extLst>
                    <c:strCache>
                      <c:ptCount val="2"/>
                      <c:pt idx="0">
                        <c:v>Activity</c:v>
                      </c:pt>
                      <c:pt idx="1">
                        <c:v>Outputs</c:v>
                      </c:pt>
                    </c:strCache>
                  </c:strRef>
                </c:cat>
                <c:val>
                  <c:numRef>
                    <c:extLst>
                      <c:ext uri="{02D57815-91ED-43cb-92C2-25804820EDAC}">
                        <c15:formulaRef>
                          <c15:sqref>'individual-chart-peer-mentoring'!$C$3:$C$34</c15:sqref>
                        </c15:formulaRef>
                      </c:ext>
                    </c:extLst>
                    <c:numCache>
                      <c:formatCode>0%</c:formatCode>
                      <c:ptCount val="2"/>
                      <c:pt idx="0">
                        <c:v>0.75</c:v>
                      </c:pt>
                      <c:pt idx="1">
                        <c:v>0.5</c:v>
                      </c:pt>
                    </c:numCache>
                  </c:numRef>
                </c:val>
                <c:extLst>
                  <c:ext xmlns:c16="http://schemas.microsoft.com/office/drawing/2014/chart" uri="{C3380CC4-5D6E-409C-BE32-E72D297353CC}">
                    <c16:uniqueId val="{0000000E-E18F-492F-93F7-BA2ACAD08884}"/>
                  </c:ext>
                </c:extLst>
              </c15:ser>
            </c15:filteredBarSeries>
            <c15:filteredBarSeries>
              <c15:ser>
                <c:idx val="1"/>
                <c:order val="1"/>
                <c:tx>
                  <c:strRef>
                    <c:extLst xmlns:c15="http://schemas.microsoft.com/office/drawing/2012/chart">
                      <c:ext xmlns:c15="http://schemas.microsoft.com/office/drawing/2012/chart" uri="{02D57815-91ED-43cb-92C2-25804820EDAC}">
                        <c15:formulaRef>
                          <c15:sqref>'individual-chart-peer-mentoring'!$D$2</c15:sqref>
                        </c15:formulaRef>
                      </c:ext>
                    </c:extLst>
                    <c:strCache>
                      <c:ptCount val="1"/>
                      <c:pt idx="0">
                        <c:v>In progress</c:v>
                      </c:pt>
                    </c:strCache>
                  </c:strRef>
                </c:tx>
                <c:spPr>
                  <a:solidFill>
                    <a:schemeClr val="accent2">
                      <a:shade val="5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'individual-chart-peer-mentoring'!$B$3:$B$34</c15:sqref>
                        </c15:formulaRef>
                      </c:ext>
                    </c:extLst>
                    <c:strCache>
                      <c:ptCount val="2"/>
                      <c:pt idx="0">
                        <c:v>Activity</c:v>
                      </c:pt>
                      <c:pt idx="1">
                        <c:v>Outputs</c:v>
                      </c:pt>
                    </c:strCache>
                  </c:strRef>
                </c:cat>
                <c:val>
                  <c:numRef>
                    <c:extLst xmlns:c15="http://schemas.microsoft.com/office/drawing/2012/chart">
                      <c:ext xmlns:c15="http://schemas.microsoft.com/office/drawing/2012/chart" uri="{02D57815-91ED-43cb-92C2-25804820EDAC}">
                        <c15:formulaRef>
                          <c15:sqref>'individual-chart-peer-mentoring'!$D$3:$D$34</c15:sqref>
                        </c15:formulaRef>
                      </c:ext>
                    </c:extLst>
                    <c:numCache>
                      <c:formatCode>0%</c:formatCode>
                      <c:ptCount val="2"/>
                      <c:pt idx="0">
                        <c:v>0.25</c:v>
                      </c:pt>
                      <c:pt idx="1">
                        <c:v>0.5</c:v>
                      </c:pt>
                    </c:numCache>
                  </c:numRef>
                </c:val>
                <c:extLst xmlns:c15="http://schemas.microsoft.com/office/drawing/2012/chart">
                  <c:ext xmlns:c16="http://schemas.microsoft.com/office/drawing/2014/chart" uri="{C3380CC4-5D6E-409C-BE32-E72D297353CC}">
                    <c16:uniqueId val="{0000000F-E18F-492F-93F7-BA2ACAD08884}"/>
                  </c:ext>
                </c:extLst>
              </c15:ser>
            </c15:filteredBarSeries>
            <c15:filteredBarSeries>
              <c15:ser>
                <c:idx val="2"/>
                <c:order val="2"/>
                <c:tx>
                  <c:strRef>
                    <c:extLst xmlns:c15="http://schemas.microsoft.com/office/drawing/2012/chart">
                      <c:ext xmlns:c15="http://schemas.microsoft.com/office/drawing/2012/chart" uri="{02D57815-91ED-43cb-92C2-25804820EDAC}">
                        <c15:formulaRef>
                          <c15:sqref>'individual-chart-peer-mentoring'!$E$2</c15:sqref>
                        </c15:formulaRef>
                      </c:ext>
                    </c:extLst>
                    <c:strCache>
                      <c:ptCount val="1"/>
                      <c:pt idx="0">
                        <c:v>Not started</c:v>
                      </c:pt>
                    </c:strCache>
                  </c:strRef>
                </c:tx>
                <c:spPr>
                  <a:solidFill>
                    <a:schemeClr val="accent2">
                      <a:shade val="68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'individual-chart-peer-mentoring'!$B$3:$B$34</c15:sqref>
                        </c15:formulaRef>
                      </c:ext>
                    </c:extLst>
                    <c:strCache>
                      <c:ptCount val="2"/>
                      <c:pt idx="0">
                        <c:v>Activity</c:v>
                      </c:pt>
                      <c:pt idx="1">
                        <c:v>Outputs</c:v>
                      </c:pt>
                    </c:strCache>
                  </c:strRef>
                </c:cat>
                <c:val>
                  <c:numRef>
                    <c:extLst xmlns:c15="http://schemas.microsoft.com/office/drawing/2012/chart">
                      <c:ext xmlns:c15="http://schemas.microsoft.com/office/drawing/2012/chart" uri="{02D57815-91ED-43cb-92C2-25804820EDAC}">
                        <c15:formulaRef>
                          <c15:sqref>'individual-chart-peer-mentoring'!$E$3:$E$34</c15:sqref>
                        </c15:formulaRef>
                      </c:ext>
                    </c:extLst>
                    <c:numCache>
                      <c:formatCode>General</c:formatCode>
                      <c:ptCount val="2"/>
                    </c:numCache>
                  </c:numRef>
                </c:val>
                <c:extLst xmlns:c15="http://schemas.microsoft.com/office/drawing/2012/chart">
                  <c:ext xmlns:c16="http://schemas.microsoft.com/office/drawing/2014/chart" uri="{C3380CC4-5D6E-409C-BE32-E72D297353CC}">
                    <c16:uniqueId val="{00000010-E18F-492F-93F7-BA2ACAD08884}"/>
                  </c:ext>
                </c:extLst>
              </c15:ser>
            </c15:filteredBarSeries>
          </c:ext>
        </c:extLst>
      </c:barChart>
      <c:catAx>
        <c:axId val="7909581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n-US"/>
          </a:p>
        </c:txPr>
        <c:crossAx val="790961408"/>
        <c:crosses val="autoZero"/>
        <c:auto val="1"/>
        <c:lblAlgn val="ctr"/>
        <c:lblOffset val="100"/>
        <c:noMultiLvlLbl val="0"/>
      </c:catAx>
      <c:valAx>
        <c:axId val="790961408"/>
        <c:scaling>
          <c:orientation val="minMax"/>
          <c:min val="0"/>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90958128"/>
        <c:crossesAt val="1"/>
        <c:crossBetween val="between"/>
      </c:valAx>
      <c:spPr>
        <a:noFill/>
        <a:ln>
          <a:noFill/>
        </a:ln>
        <a:effectLst/>
      </c:spPr>
    </c:plotArea>
    <c:legend>
      <c:legendPos val="t"/>
      <c:layout>
        <c:manualLayout>
          <c:xMode val="edge"/>
          <c:yMode val="edge"/>
          <c:x val="0.16878354491402861"/>
          <c:y val="0.14071530758226036"/>
          <c:w val="0.78488188976377948"/>
          <c:h val="8.3691663005643596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userShapes r:id="rId5"/>
</c:chartSpace>
</file>

<file path=word/charts/chart9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4"/>
    </mc:Choice>
    <mc:Fallback>
      <c:style val="4"/>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Topic Area - Peer Mentoring</a:t>
            </a:r>
            <a:br>
              <a:rPr lang="en-US"/>
            </a:br>
            <a:r>
              <a:rPr lang="en-US"/>
              <a:t>Activity #2</a:t>
            </a:r>
          </a:p>
        </c:rich>
      </c:tx>
      <c:layout>
        <c:manualLayout>
          <c:xMode val="edge"/>
          <c:yMode val="edge"/>
          <c:x val="0.15852625564661557"/>
          <c:y val="1.4306151645207439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6017916604892113"/>
          <c:y val="0.23265365094271845"/>
          <c:w val="0.78942722632790041"/>
          <c:h val="0.66602748393145406"/>
        </c:manualLayout>
      </c:layout>
      <c:barChart>
        <c:barDir val="col"/>
        <c:grouping val="percentStacked"/>
        <c:varyColors val="0"/>
        <c:ser>
          <c:idx val="3"/>
          <c:order val="3"/>
          <c:tx>
            <c:strRef>
              <c:f>'individual-chart-peer-mentoring'!$F$2</c:f>
              <c:strCache>
                <c:ptCount val="1"/>
                <c:pt idx="0">
                  <c:v>Completed</c:v>
                </c:pt>
              </c:strCache>
            </c:strRef>
          </c:tx>
          <c:spPr>
            <a:solidFill>
              <a:srgbClr val="99221F"/>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800" b="0"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'individual-chart-peer-mentoring'!$B$3:$B$34</c:f>
              <c:strCache>
                <c:ptCount val="2"/>
                <c:pt idx="0">
                  <c:v>Activity</c:v>
                </c:pt>
                <c:pt idx="1">
                  <c:v>Outputs</c:v>
                </c:pt>
              </c:strCache>
              <c:extLst/>
            </c:strRef>
          </c:cat>
          <c:val>
            <c:numRef>
              <c:f>'individual-chart-peer-mentoring'!$F$3:$F$34</c:f>
              <c:numCache>
                <c:formatCode>0%</c:formatCode>
                <c:ptCount val="2"/>
                <c:pt idx="0">
                  <c:v>0.66666666666666663</c:v>
                </c:pt>
                <c:pt idx="1">
                  <c:v>0.66666666666666663</c:v>
                </c:pt>
              </c:numCache>
              <c:extLst/>
            </c:numRef>
          </c:val>
          <c:extLst>
            <c:ext xmlns:c16="http://schemas.microsoft.com/office/drawing/2014/chart" uri="{C3380CC4-5D6E-409C-BE32-E72D297353CC}">
              <c16:uniqueId val="{00000000-BEDF-4606-8213-B8422768403D}"/>
            </c:ext>
          </c:extLst>
        </c:ser>
        <c:ser>
          <c:idx val="4"/>
          <c:order val="4"/>
          <c:tx>
            <c:strRef>
              <c:f>'individual-chart-peer-mentoring'!$G$2</c:f>
              <c:strCache>
                <c:ptCount val="1"/>
                <c:pt idx="0">
                  <c:v>90%</c:v>
                </c:pt>
              </c:strCache>
            </c:strRef>
          </c:tx>
          <c:spPr>
            <a:solidFill>
              <a:srgbClr val="D73D39"/>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'individual-chart-peer-mentoring'!$B$3:$B$34</c:f>
              <c:strCache>
                <c:ptCount val="2"/>
                <c:pt idx="0">
                  <c:v>Activity</c:v>
                </c:pt>
                <c:pt idx="1">
                  <c:v>Outputs</c:v>
                </c:pt>
              </c:strCache>
              <c:extLst/>
            </c:strRef>
          </c:cat>
          <c:val>
            <c:numRef>
              <c:f>'individual-chart-peer-mentoring'!$G$3:$G$34</c:f>
              <c:numCache>
                <c:formatCode>0%</c:formatCode>
                <c:ptCount val="2"/>
                <c:pt idx="0">
                  <c:v>0.33333333333333331</c:v>
                </c:pt>
                <c:pt idx="1">
                  <c:v>0.33333333333333331</c:v>
                </c:pt>
              </c:numCache>
              <c:extLst/>
            </c:numRef>
          </c:val>
          <c:extLst>
            <c:ext xmlns:c16="http://schemas.microsoft.com/office/drawing/2014/chart" uri="{C3380CC4-5D6E-409C-BE32-E72D297353CC}">
              <c16:uniqueId val="{00000001-BEDF-4606-8213-B8422768403D}"/>
            </c:ext>
          </c:extLst>
        </c:ser>
        <c:ser>
          <c:idx val="5"/>
          <c:order val="5"/>
          <c:tx>
            <c:strRef>
              <c:f>'individual-chart-peer-mentoring'!$H$2</c:f>
              <c:strCache>
                <c:ptCount val="1"/>
                <c:pt idx="0">
                  <c:v>75%</c:v>
                </c:pt>
              </c:strCache>
            </c:strRef>
          </c:tx>
          <c:spPr>
            <a:solidFill>
              <a:srgbClr val="DC535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'individual-chart-peer-mentoring'!$B$3:$B$34</c:f>
              <c:strCache>
                <c:ptCount val="2"/>
                <c:pt idx="0">
                  <c:v>Activity</c:v>
                </c:pt>
                <c:pt idx="1">
                  <c:v>Outputs</c:v>
                </c:pt>
              </c:strCache>
              <c:extLst/>
            </c:strRef>
          </c:cat>
          <c:val>
            <c:numRef>
              <c:f>'individual-chart-peer-mentoring'!$H$3:$H$34</c:f>
              <c:numCache>
                <c:formatCode>General</c:formatCode>
                <c:ptCount val="2"/>
              </c:numCache>
              <c:extLst/>
            </c:numRef>
          </c:val>
          <c:extLst>
            <c:ext xmlns:c16="http://schemas.microsoft.com/office/drawing/2014/chart" uri="{C3380CC4-5D6E-409C-BE32-E72D297353CC}">
              <c16:uniqueId val="{00000002-BEDF-4606-8213-B8422768403D}"/>
            </c:ext>
          </c:extLst>
        </c:ser>
        <c:ser>
          <c:idx val="6"/>
          <c:order val="6"/>
          <c:tx>
            <c:strRef>
              <c:f>'individual-chart-peer-mentoring'!$I$2</c:f>
              <c:strCache>
                <c:ptCount val="1"/>
                <c:pt idx="0">
                  <c:v>50%</c:v>
                </c:pt>
              </c:strCache>
            </c:strRef>
          </c:tx>
          <c:spPr>
            <a:solidFill>
              <a:srgbClr val="EBA19F"/>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'individual-chart-peer-mentoring'!$B$3:$B$34</c:f>
              <c:strCache>
                <c:ptCount val="2"/>
                <c:pt idx="0">
                  <c:v>Activity</c:v>
                </c:pt>
                <c:pt idx="1">
                  <c:v>Outputs</c:v>
                </c:pt>
              </c:strCache>
              <c:extLst/>
            </c:strRef>
          </c:cat>
          <c:val>
            <c:numRef>
              <c:f>'individual-chart-peer-mentoring'!$I$3:$I$34</c:f>
              <c:numCache>
                <c:formatCode>General</c:formatCode>
                <c:ptCount val="2"/>
              </c:numCache>
              <c:extLst/>
            </c:numRef>
          </c:val>
          <c:extLst>
            <c:ext xmlns:c16="http://schemas.microsoft.com/office/drawing/2014/chart" uri="{C3380CC4-5D6E-409C-BE32-E72D297353CC}">
              <c16:uniqueId val="{00000003-BEDF-4606-8213-B8422768403D}"/>
            </c:ext>
          </c:extLst>
        </c:ser>
        <c:ser>
          <c:idx val="7"/>
          <c:order val="7"/>
          <c:tx>
            <c:strRef>
              <c:f>'individual-chart-peer-mentoring'!$J$2</c:f>
              <c:strCache>
                <c:ptCount val="1"/>
                <c:pt idx="0">
                  <c:v>25%</c:v>
                </c:pt>
              </c:strCache>
            </c:strRef>
          </c:tx>
          <c:spPr>
            <a:solidFill>
              <a:srgbClr val="F3C6C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'individual-chart-peer-mentoring'!$B$3:$B$34</c:f>
              <c:strCache>
                <c:ptCount val="2"/>
                <c:pt idx="0">
                  <c:v>Activity</c:v>
                </c:pt>
                <c:pt idx="1">
                  <c:v>Outputs</c:v>
                </c:pt>
              </c:strCache>
              <c:extLst/>
            </c:strRef>
          </c:cat>
          <c:val>
            <c:numRef>
              <c:f>'individual-chart-peer-mentoring'!$J$3:$J$34</c:f>
              <c:numCache>
                <c:formatCode>General</c:formatCode>
                <c:ptCount val="2"/>
              </c:numCache>
              <c:extLst/>
            </c:numRef>
          </c:val>
          <c:extLst>
            <c:ext xmlns:c16="http://schemas.microsoft.com/office/drawing/2014/chart" uri="{C3380CC4-5D6E-409C-BE32-E72D297353CC}">
              <c16:uniqueId val="{00000004-BEDF-4606-8213-B8422768403D}"/>
            </c:ext>
          </c:extLst>
        </c:ser>
        <c:ser>
          <c:idx val="8"/>
          <c:order val="8"/>
          <c:tx>
            <c:strRef>
              <c:f>'individual-chart-peer-mentoring'!$K$2</c:f>
              <c:strCache>
                <c:ptCount val="1"/>
                <c:pt idx="0">
                  <c:v>10%</c:v>
                </c:pt>
              </c:strCache>
            </c:strRef>
          </c:tx>
          <c:spPr>
            <a:solidFill>
              <a:schemeClr val="accent2">
                <a:tint val="56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'individual-chart-peer-mentoring'!$B$3:$B$34</c:f>
              <c:strCache>
                <c:ptCount val="2"/>
                <c:pt idx="0">
                  <c:v>Activity</c:v>
                </c:pt>
                <c:pt idx="1">
                  <c:v>Outputs</c:v>
                </c:pt>
              </c:strCache>
              <c:extLst/>
            </c:strRef>
          </c:cat>
          <c:val>
            <c:numRef>
              <c:f>'individual-chart-peer-mentoring'!$K$3:$K$34</c:f>
              <c:numCache>
                <c:formatCode>General</c:formatCode>
                <c:ptCount val="2"/>
              </c:numCache>
              <c:extLst/>
            </c:numRef>
          </c:val>
          <c:extLst>
            <c:ext xmlns:c16="http://schemas.microsoft.com/office/drawing/2014/chart" uri="{C3380CC4-5D6E-409C-BE32-E72D297353CC}">
              <c16:uniqueId val="{00000005-BEDF-4606-8213-B8422768403D}"/>
            </c:ext>
          </c:extLst>
        </c:ser>
        <c:ser>
          <c:idx val="9"/>
          <c:order val="9"/>
          <c:tx>
            <c:strRef>
              <c:f>'individual-chart-peer-mentoring'!$L$2</c:f>
              <c:strCache>
                <c:ptCount val="1"/>
                <c:pt idx="0">
                  <c:v>Not Started</c:v>
                </c:pt>
              </c:strCache>
            </c:strRef>
          </c:tx>
          <c:spPr>
            <a:solidFill>
              <a:srgbClr val="FCF2F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'individual-chart-peer-mentoring'!$B$3:$B$34</c:f>
              <c:strCache>
                <c:ptCount val="2"/>
                <c:pt idx="0">
                  <c:v>Activity</c:v>
                </c:pt>
                <c:pt idx="1">
                  <c:v>Outputs</c:v>
                </c:pt>
              </c:strCache>
              <c:extLst/>
            </c:strRef>
          </c:cat>
          <c:val>
            <c:numRef>
              <c:f>'individual-chart-peer-mentoring'!$L$3:$L$34</c:f>
              <c:numCache>
                <c:formatCode>General</c:formatCode>
                <c:ptCount val="2"/>
              </c:numCache>
              <c:extLst/>
            </c:numRef>
          </c:val>
          <c:extLst>
            <c:ext xmlns:c16="http://schemas.microsoft.com/office/drawing/2014/chart" uri="{C3380CC4-5D6E-409C-BE32-E72D297353CC}">
              <c16:uniqueId val="{00000006-BEDF-4606-8213-B8422768403D}"/>
            </c:ext>
          </c:extLst>
        </c:ser>
        <c:dLbls>
          <c:dLblPos val="ctr"/>
          <c:showLegendKey val="0"/>
          <c:showVal val="1"/>
          <c:showCatName val="0"/>
          <c:showSerName val="0"/>
          <c:showPercent val="0"/>
          <c:showBubbleSize val="0"/>
        </c:dLbls>
        <c:gapWidth val="150"/>
        <c:overlap val="100"/>
        <c:axId val="790958128"/>
        <c:axId val="790961408"/>
        <c:extLst>
          <c:ext xmlns:c15="http://schemas.microsoft.com/office/drawing/2012/chart" uri="{02D57815-91ED-43cb-92C2-25804820EDAC}">
            <c15:filteredBarSeries>
              <c15:ser>
                <c:idx val="0"/>
                <c:order val="0"/>
                <c:tx>
                  <c:strRef>
                    <c:extLst>
                      <c:ext uri="{02D57815-91ED-43cb-92C2-25804820EDAC}">
                        <c15:formulaRef>
                          <c15:sqref>'individual-chart-peer-mentoring'!$C$2</c15:sqref>
                        </c15:formulaRef>
                      </c:ext>
                    </c:extLst>
                    <c:strCache>
                      <c:ptCount val="1"/>
                      <c:pt idx="0">
                        <c:v>Completed</c:v>
                      </c:pt>
                    </c:strCache>
                  </c:strRef>
                </c:tx>
                <c:spPr>
                  <a:solidFill>
                    <a:schemeClr val="accent2">
                      <a:shade val="42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c:ext uri="{02D57815-91ED-43cb-92C2-25804820EDAC}">
                        <c15:formulaRef>
                          <c15:sqref>'individual-chart-peer-mentoring'!$B$3:$B$34</c15:sqref>
                        </c15:formulaRef>
                      </c:ext>
                    </c:extLst>
                    <c:strCache>
                      <c:ptCount val="2"/>
                      <c:pt idx="0">
                        <c:v>Activity</c:v>
                      </c:pt>
                      <c:pt idx="1">
                        <c:v>Outputs</c:v>
                      </c:pt>
                    </c:strCache>
                  </c:strRef>
                </c:cat>
                <c:val>
                  <c:numRef>
                    <c:extLst>
                      <c:ext uri="{02D57815-91ED-43cb-92C2-25804820EDAC}">
                        <c15:formulaRef>
                          <c15:sqref>'individual-chart-peer-mentoring'!$C$3:$C$34</c15:sqref>
                        </c15:formulaRef>
                      </c:ext>
                    </c:extLst>
                    <c:numCache>
                      <c:formatCode>0%</c:formatCode>
                      <c:ptCount val="2"/>
                      <c:pt idx="0">
                        <c:v>0.66666666666666663</c:v>
                      </c:pt>
                      <c:pt idx="1">
                        <c:v>0.66666666666666663</c:v>
                      </c:pt>
                    </c:numCache>
                  </c:numRef>
                </c:val>
                <c:extLst>
                  <c:ext xmlns:c16="http://schemas.microsoft.com/office/drawing/2014/chart" uri="{C3380CC4-5D6E-409C-BE32-E72D297353CC}">
                    <c16:uniqueId val="{00000007-BEDF-4606-8213-B8422768403D}"/>
                  </c:ext>
                </c:extLst>
              </c15:ser>
            </c15:filteredBarSeries>
            <c15:filteredBarSeries>
              <c15:ser>
                <c:idx val="1"/>
                <c:order val="1"/>
                <c:tx>
                  <c:strRef>
                    <c:extLst xmlns:c15="http://schemas.microsoft.com/office/drawing/2012/chart">
                      <c:ext xmlns:c15="http://schemas.microsoft.com/office/drawing/2012/chart" uri="{02D57815-91ED-43cb-92C2-25804820EDAC}">
                        <c15:formulaRef>
                          <c15:sqref>'individual-chart-peer-mentoring'!$D$2</c15:sqref>
                        </c15:formulaRef>
                      </c:ext>
                    </c:extLst>
                    <c:strCache>
                      <c:ptCount val="1"/>
                      <c:pt idx="0">
                        <c:v>In progress</c:v>
                      </c:pt>
                    </c:strCache>
                  </c:strRef>
                </c:tx>
                <c:spPr>
                  <a:solidFill>
                    <a:schemeClr val="accent2">
                      <a:shade val="5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'individual-chart-peer-mentoring'!$B$3:$B$34</c15:sqref>
                        </c15:formulaRef>
                      </c:ext>
                    </c:extLst>
                    <c:strCache>
                      <c:ptCount val="2"/>
                      <c:pt idx="0">
                        <c:v>Activity</c:v>
                      </c:pt>
                      <c:pt idx="1">
                        <c:v>Outputs</c:v>
                      </c:pt>
                    </c:strCache>
                  </c:strRef>
                </c:cat>
                <c:val>
                  <c:numRef>
                    <c:extLst xmlns:c15="http://schemas.microsoft.com/office/drawing/2012/chart">
                      <c:ext xmlns:c15="http://schemas.microsoft.com/office/drawing/2012/chart" uri="{02D57815-91ED-43cb-92C2-25804820EDAC}">
                        <c15:formulaRef>
                          <c15:sqref>'individual-chart-peer-mentoring'!$D$3:$D$34</c15:sqref>
                        </c15:formulaRef>
                      </c:ext>
                    </c:extLst>
                    <c:numCache>
                      <c:formatCode>0%</c:formatCode>
                      <c:ptCount val="2"/>
                      <c:pt idx="0">
                        <c:v>0.33333333333333331</c:v>
                      </c:pt>
                      <c:pt idx="1">
                        <c:v>0.33333333333333331</c:v>
                      </c:pt>
                    </c:numCache>
                  </c:numRef>
                </c:val>
                <c:extLst xmlns:c15="http://schemas.microsoft.com/office/drawing/2012/chart">
                  <c:ext xmlns:c16="http://schemas.microsoft.com/office/drawing/2014/chart" uri="{C3380CC4-5D6E-409C-BE32-E72D297353CC}">
                    <c16:uniqueId val="{00000008-BEDF-4606-8213-B8422768403D}"/>
                  </c:ext>
                </c:extLst>
              </c15:ser>
            </c15:filteredBarSeries>
            <c15:filteredBarSeries>
              <c15:ser>
                <c:idx val="2"/>
                <c:order val="2"/>
                <c:tx>
                  <c:strRef>
                    <c:extLst xmlns:c15="http://schemas.microsoft.com/office/drawing/2012/chart">
                      <c:ext xmlns:c15="http://schemas.microsoft.com/office/drawing/2012/chart" uri="{02D57815-91ED-43cb-92C2-25804820EDAC}">
                        <c15:formulaRef>
                          <c15:sqref>'individual-chart-peer-mentoring'!$E$2</c15:sqref>
                        </c15:formulaRef>
                      </c:ext>
                    </c:extLst>
                    <c:strCache>
                      <c:ptCount val="1"/>
                      <c:pt idx="0">
                        <c:v>Not started</c:v>
                      </c:pt>
                    </c:strCache>
                  </c:strRef>
                </c:tx>
                <c:spPr>
                  <a:solidFill>
                    <a:schemeClr val="accent2">
                      <a:shade val="68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'individual-chart-peer-mentoring'!$B$3:$B$34</c15:sqref>
                        </c15:formulaRef>
                      </c:ext>
                    </c:extLst>
                    <c:strCache>
                      <c:ptCount val="2"/>
                      <c:pt idx="0">
                        <c:v>Activity</c:v>
                      </c:pt>
                      <c:pt idx="1">
                        <c:v>Outputs</c:v>
                      </c:pt>
                    </c:strCache>
                  </c:strRef>
                </c:cat>
                <c:val>
                  <c:numRef>
                    <c:extLst xmlns:c15="http://schemas.microsoft.com/office/drawing/2012/chart">
                      <c:ext xmlns:c15="http://schemas.microsoft.com/office/drawing/2012/chart" uri="{02D57815-91ED-43cb-92C2-25804820EDAC}">
                        <c15:formulaRef>
                          <c15:sqref>'individual-chart-peer-mentoring'!$E$3:$E$34</c15:sqref>
                        </c15:formulaRef>
                      </c:ext>
                    </c:extLst>
                    <c:numCache>
                      <c:formatCode>General</c:formatCode>
                      <c:ptCount val="2"/>
                    </c:numCache>
                  </c:numRef>
                </c:val>
                <c:extLst xmlns:c15="http://schemas.microsoft.com/office/drawing/2012/chart">
                  <c:ext xmlns:c16="http://schemas.microsoft.com/office/drawing/2014/chart" uri="{C3380CC4-5D6E-409C-BE32-E72D297353CC}">
                    <c16:uniqueId val="{00000009-BEDF-4606-8213-B8422768403D}"/>
                  </c:ext>
                </c:extLst>
              </c15:ser>
            </c15:filteredBarSeries>
          </c:ext>
        </c:extLst>
      </c:barChart>
      <c:catAx>
        <c:axId val="7909581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n-US"/>
          </a:p>
        </c:txPr>
        <c:crossAx val="790961408"/>
        <c:crosses val="autoZero"/>
        <c:auto val="1"/>
        <c:lblAlgn val="ctr"/>
        <c:lblOffset val="100"/>
        <c:noMultiLvlLbl val="0"/>
      </c:catAx>
      <c:valAx>
        <c:axId val="790961408"/>
        <c:scaling>
          <c:orientation val="minMax"/>
          <c:min val="0"/>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90958128"/>
        <c:crossesAt val="1"/>
        <c:crossBetween val="between"/>
      </c:valAx>
      <c:spPr>
        <a:noFill/>
        <a:ln>
          <a:noFill/>
        </a:ln>
        <a:effectLst/>
      </c:spPr>
    </c:plotArea>
    <c:legend>
      <c:legendPos val="t"/>
      <c:layout>
        <c:manualLayout>
          <c:xMode val="edge"/>
          <c:yMode val="edge"/>
          <c:x val="0.16878354491402861"/>
          <c:y val="0.14071530758226036"/>
          <c:w val="0.78488188976377948"/>
          <c:h val="8.3691663005643596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userShapes r:id="rId5"/>
</c:chartSpace>
</file>

<file path=word/charts/chart9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4"/>
    </mc:Choice>
    <mc:Fallback>
      <c:style val="4"/>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Topic Area - Peer Mentoring</a:t>
            </a:r>
            <a:br>
              <a:rPr lang="en-US"/>
            </a:br>
            <a:r>
              <a:rPr lang="en-US"/>
              <a:t>Activity #3</a:t>
            </a:r>
          </a:p>
        </c:rich>
      </c:tx>
      <c:layout>
        <c:manualLayout>
          <c:xMode val="edge"/>
          <c:yMode val="edge"/>
          <c:x val="0.15852625564661557"/>
          <c:y val="1.4306151645207439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6017916604892113"/>
          <c:y val="0.23265365094271845"/>
          <c:w val="0.78942722632790041"/>
          <c:h val="0.66602748393145406"/>
        </c:manualLayout>
      </c:layout>
      <c:barChart>
        <c:barDir val="col"/>
        <c:grouping val="percentStacked"/>
        <c:varyColors val="0"/>
        <c:ser>
          <c:idx val="3"/>
          <c:order val="3"/>
          <c:tx>
            <c:strRef>
              <c:f>'individual-chart-peer-mentoring'!$F$2</c:f>
              <c:strCache>
                <c:ptCount val="1"/>
                <c:pt idx="0">
                  <c:v>Completed</c:v>
                </c:pt>
              </c:strCache>
            </c:strRef>
          </c:tx>
          <c:spPr>
            <a:solidFill>
              <a:srgbClr val="99221F"/>
            </a:solidFill>
            <a:ln>
              <a:noFill/>
            </a:ln>
            <a:effectLst/>
          </c:spPr>
          <c:invertIfNegative val="0"/>
          <c:dLbls>
            <c:dLbl>
              <c:idx val="0"/>
              <c:layout>
                <c:manualLayout>
                  <c:x val="0"/>
                  <c:y val="-4.9365996779160148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8B1F-496E-AA29-F616E6701D85}"/>
                </c:ext>
              </c:extLst>
            </c:dLbl>
            <c:spPr>
              <a:noFill/>
              <a:ln>
                <a:noFill/>
              </a:ln>
              <a:effectLst/>
            </c:spPr>
            <c:txPr>
              <a:bodyPr rot="0" spcFirstLastPara="1" vertOverflow="ellipsis" vert="horz" wrap="square" lIns="38100" tIns="19050" rIns="38100" bIns="19050" anchor="ctr" anchorCtr="1">
                <a:spAutoFit/>
              </a:bodyPr>
              <a:lstStyle/>
              <a:p>
                <a:pPr>
                  <a:defRPr sz="1800" b="0"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'individual-chart-peer-mentoring'!$B$3:$B$34</c:f>
              <c:strCache>
                <c:ptCount val="2"/>
                <c:pt idx="0">
                  <c:v>Activity</c:v>
                </c:pt>
                <c:pt idx="1">
                  <c:v>Outputs</c:v>
                </c:pt>
              </c:strCache>
              <c:extLst/>
            </c:strRef>
          </c:cat>
          <c:val>
            <c:numRef>
              <c:f>'individual-chart-peer-mentoring'!$F$3:$F$34</c:f>
              <c:numCache>
                <c:formatCode>General</c:formatCode>
                <c:ptCount val="2"/>
                <c:pt idx="0" formatCode="0%">
                  <c:v>0.25</c:v>
                </c:pt>
              </c:numCache>
              <c:extLst/>
            </c:numRef>
          </c:val>
          <c:extLst>
            <c:ext xmlns:c16="http://schemas.microsoft.com/office/drawing/2014/chart" uri="{C3380CC4-5D6E-409C-BE32-E72D297353CC}">
              <c16:uniqueId val="{00000001-8B1F-496E-AA29-F616E6701D85}"/>
            </c:ext>
          </c:extLst>
        </c:ser>
        <c:ser>
          <c:idx val="4"/>
          <c:order val="4"/>
          <c:tx>
            <c:strRef>
              <c:f>'individual-chart-peer-mentoring'!$G$2</c:f>
              <c:strCache>
                <c:ptCount val="1"/>
                <c:pt idx="0">
                  <c:v>90%</c:v>
                </c:pt>
              </c:strCache>
            </c:strRef>
          </c:tx>
          <c:spPr>
            <a:solidFill>
              <a:srgbClr val="D73B33"/>
            </a:solidFill>
            <a:ln>
              <a:noFill/>
            </a:ln>
            <a:effectLst/>
          </c:spPr>
          <c:invertIfNegative val="0"/>
          <c:dLbls>
            <c:dLbl>
              <c:idx val="1"/>
              <c:layout>
                <c:manualLayout>
                  <c:x val="8.339678379144294E-17"/>
                  <c:y val="-6.1707495973950303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8B1F-496E-AA29-F616E6701D85}"/>
                </c:ext>
              </c:extLst>
            </c:dLbl>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'individual-chart-peer-mentoring'!$B$3:$B$34</c:f>
              <c:strCache>
                <c:ptCount val="2"/>
                <c:pt idx="0">
                  <c:v>Activity</c:v>
                </c:pt>
                <c:pt idx="1">
                  <c:v>Outputs</c:v>
                </c:pt>
              </c:strCache>
              <c:extLst/>
            </c:strRef>
          </c:cat>
          <c:val>
            <c:numRef>
              <c:f>'individual-chart-peer-mentoring'!$G$3:$G$34</c:f>
              <c:numCache>
                <c:formatCode>0%</c:formatCode>
                <c:ptCount val="2"/>
                <c:pt idx="1">
                  <c:v>0.25</c:v>
                </c:pt>
              </c:numCache>
              <c:extLst/>
            </c:numRef>
          </c:val>
          <c:extLst>
            <c:ext xmlns:c16="http://schemas.microsoft.com/office/drawing/2014/chart" uri="{C3380CC4-5D6E-409C-BE32-E72D297353CC}">
              <c16:uniqueId val="{00000003-8B1F-496E-AA29-F616E6701D85}"/>
            </c:ext>
          </c:extLst>
        </c:ser>
        <c:ser>
          <c:idx val="5"/>
          <c:order val="5"/>
          <c:tx>
            <c:strRef>
              <c:f>'individual-chart-peer-mentoring'!$H$2</c:f>
              <c:strCache>
                <c:ptCount val="1"/>
                <c:pt idx="0">
                  <c:v>75%</c:v>
                </c:pt>
              </c:strCache>
            </c:strRef>
          </c:tx>
          <c:spPr>
            <a:solidFill>
              <a:srgbClr val="DC535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'individual-chart-peer-mentoring'!$B$3:$B$34</c:f>
              <c:strCache>
                <c:ptCount val="2"/>
                <c:pt idx="0">
                  <c:v>Activity</c:v>
                </c:pt>
                <c:pt idx="1">
                  <c:v>Outputs</c:v>
                </c:pt>
              </c:strCache>
              <c:extLst/>
            </c:strRef>
          </c:cat>
          <c:val>
            <c:numRef>
              <c:f>'individual-chart-peer-mentoring'!$H$3:$H$34</c:f>
              <c:numCache>
                <c:formatCode>General</c:formatCode>
                <c:ptCount val="2"/>
              </c:numCache>
              <c:extLst/>
            </c:numRef>
          </c:val>
          <c:extLst>
            <c:ext xmlns:c16="http://schemas.microsoft.com/office/drawing/2014/chart" uri="{C3380CC4-5D6E-409C-BE32-E72D297353CC}">
              <c16:uniqueId val="{00000004-8B1F-496E-AA29-F616E6701D85}"/>
            </c:ext>
          </c:extLst>
        </c:ser>
        <c:ser>
          <c:idx val="6"/>
          <c:order val="6"/>
          <c:tx>
            <c:strRef>
              <c:f>'individual-chart-peer-mentoring'!$I$2</c:f>
              <c:strCache>
                <c:ptCount val="1"/>
                <c:pt idx="0">
                  <c:v>50%</c:v>
                </c:pt>
              </c:strCache>
            </c:strRef>
          </c:tx>
          <c:spPr>
            <a:solidFill>
              <a:srgbClr val="EBA19F"/>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ysClr val="windowText" lastClr="000000"/>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'individual-chart-peer-mentoring'!$B$3:$B$34</c:f>
              <c:strCache>
                <c:ptCount val="2"/>
                <c:pt idx="0">
                  <c:v>Activity</c:v>
                </c:pt>
                <c:pt idx="1">
                  <c:v>Outputs</c:v>
                </c:pt>
              </c:strCache>
              <c:extLst/>
            </c:strRef>
          </c:cat>
          <c:val>
            <c:numRef>
              <c:f>'individual-chart-peer-mentoring'!$I$3:$I$34</c:f>
              <c:numCache>
                <c:formatCode>0%</c:formatCode>
                <c:ptCount val="2"/>
                <c:pt idx="0">
                  <c:v>0.75</c:v>
                </c:pt>
                <c:pt idx="1">
                  <c:v>0.25</c:v>
                </c:pt>
              </c:numCache>
              <c:extLst/>
            </c:numRef>
          </c:val>
          <c:extLst>
            <c:ext xmlns:c16="http://schemas.microsoft.com/office/drawing/2014/chart" uri="{C3380CC4-5D6E-409C-BE32-E72D297353CC}">
              <c16:uniqueId val="{00000005-8B1F-496E-AA29-F616E6701D85}"/>
            </c:ext>
          </c:extLst>
        </c:ser>
        <c:ser>
          <c:idx val="7"/>
          <c:order val="7"/>
          <c:tx>
            <c:strRef>
              <c:f>'individual-chart-peer-mentoring'!$J$2</c:f>
              <c:strCache>
                <c:ptCount val="1"/>
                <c:pt idx="0">
                  <c:v>25%</c:v>
                </c:pt>
              </c:strCache>
            </c:strRef>
          </c:tx>
          <c:spPr>
            <a:solidFill>
              <a:srgbClr val="F3C6C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'individual-chart-peer-mentoring'!$B$3:$B$34</c:f>
              <c:strCache>
                <c:ptCount val="2"/>
                <c:pt idx="0">
                  <c:v>Activity</c:v>
                </c:pt>
                <c:pt idx="1">
                  <c:v>Outputs</c:v>
                </c:pt>
              </c:strCache>
              <c:extLst/>
            </c:strRef>
          </c:cat>
          <c:val>
            <c:numRef>
              <c:f>'individual-chart-peer-mentoring'!$J$3:$J$34</c:f>
              <c:numCache>
                <c:formatCode>0%</c:formatCode>
                <c:ptCount val="2"/>
                <c:pt idx="1">
                  <c:v>0.25</c:v>
                </c:pt>
              </c:numCache>
              <c:extLst/>
            </c:numRef>
          </c:val>
          <c:extLst>
            <c:ext xmlns:c16="http://schemas.microsoft.com/office/drawing/2014/chart" uri="{C3380CC4-5D6E-409C-BE32-E72D297353CC}">
              <c16:uniqueId val="{00000006-8B1F-496E-AA29-F616E6701D85}"/>
            </c:ext>
          </c:extLst>
        </c:ser>
        <c:ser>
          <c:idx val="8"/>
          <c:order val="8"/>
          <c:tx>
            <c:strRef>
              <c:f>'individual-chart-peer-mentoring'!$K$2</c:f>
              <c:strCache>
                <c:ptCount val="1"/>
                <c:pt idx="0">
                  <c:v>10%</c:v>
                </c:pt>
              </c:strCache>
            </c:strRef>
          </c:tx>
          <c:spPr>
            <a:solidFill>
              <a:schemeClr val="accent2">
                <a:tint val="56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'individual-chart-peer-mentoring'!$B$3:$B$34</c:f>
              <c:strCache>
                <c:ptCount val="2"/>
                <c:pt idx="0">
                  <c:v>Activity</c:v>
                </c:pt>
                <c:pt idx="1">
                  <c:v>Outputs</c:v>
                </c:pt>
              </c:strCache>
              <c:extLst/>
            </c:strRef>
          </c:cat>
          <c:val>
            <c:numRef>
              <c:f>'individual-chart-peer-mentoring'!$K$3:$K$34</c:f>
              <c:numCache>
                <c:formatCode>General</c:formatCode>
                <c:ptCount val="2"/>
              </c:numCache>
              <c:extLst/>
            </c:numRef>
          </c:val>
          <c:extLst>
            <c:ext xmlns:c16="http://schemas.microsoft.com/office/drawing/2014/chart" uri="{C3380CC4-5D6E-409C-BE32-E72D297353CC}">
              <c16:uniqueId val="{00000007-8B1F-496E-AA29-F616E6701D85}"/>
            </c:ext>
          </c:extLst>
        </c:ser>
        <c:ser>
          <c:idx val="9"/>
          <c:order val="9"/>
          <c:tx>
            <c:strRef>
              <c:f>'individual-chart-peer-mentoring'!$L$2</c:f>
              <c:strCache>
                <c:ptCount val="1"/>
                <c:pt idx="0">
                  <c:v>Not Started</c:v>
                </c:pt>
              </c:strCache>
            </c:strRef>
          </c:tx>
          <c:spPr>
            <a:solidFill>
              <a:srgbClr val="FCF2F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'individual-chart-peer-mentoring'!$B$3:$B$34</c:f>
              <c:strCache>
                <c:ptCount val="2"/>
                <c:pt idx="0">
                  <c:v>Activity</c:v>
                </c:pt>
                <c:pt idx="1">
                  <c:v>Outputs</c:v>
                </c:pt>
              </c:strCache>
              <c:extLst/>
            </c:strRef>
          </c:cat>
          <c:val>
            <c:numRef>
              <c:f>'individual-chart-peer-mentoring'!$L$3:$L$34</c:f>
              <c:numCache>
                <c:formatCode>0%</c:formatCode>
                <c:ptCount val="2"/>
                <c:pt idx="1">
                  <c:v>0.25</c:v>
                </c:pt>
              </c:numCache>
              <c:extLst/>
            </c:numRef>
          </c:val>
          <c:extLst>
            <c:ext xmlns:c16="http://schemas.microsoft.com/office/drawing/2014/chart" uri="{C3380CC4-5D6E-409C-BE32-E72D297353CC}">
              <c16:uniqueId val="{00000008-8B1F-496E-AA29-F616E6701D85}"/>
            </c:ext>
          </c:extLst>
        </c:ser>
        <c:dLbls>
          <c:dLblPos val="ctr"/>
          <c:showLegendKey val="0"/>
          <c:showVal val="1"/>
          <c:showCatName val="0"/>
          <c:showSerName val="0"/>
          <c:showPercent val="0"/>
          <c:showBubbleSize val="0"/>
        </c:dLbls>
        <c:gapWidth val="150"/>
        <c:overlap val="100"/>
        <c:axId val="790958128"/>
        <c:axId val="790961408"/>
        <c:extLst>
          <c:ext xmlns:c15="http://schemas.microsoft.com/office/drawing/2012/chart" uri="{02D57815-91ED-43cb-92C2-25804820EDAC}">
            <c15:filteredBarSeries>
              <c15:ser>
                <c:idx val="0"/>
                <c:order val="0"/>
                <c:tx>
                  <c:strRef>
                    <c:extLst>
                      <c:ext uri="{02D57815-91ED-43cb-92C2-25804820EDAC}">
                        <c15:formulaRef>
                          <c15:sqref>'individual-chart-peer-mentoring'!$C$2</c15:sqref>
                        </c15:formulaRef>
                      </c:ext>
                    </c:extLst>
                    <c:strCache>
                      <c:ptCount val="1"/>
                      <c:pt idx="0">
                        <c:v>Completed</c:v>
                      </c:pt>
                    </c:strCache>
                  </c:strRef>
                </c:tx>
                <c:spPr>
                  <a:solidFill>
                    <a:schemeClr val="accent2">
                      <a:shade val="42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c:ext uri="{02D57815-91ED-43cb-92C2-25804820EDAC}">
                        <c15:formulaRef>
                          <c15:sqref>'individual-chart-peer-mentoring'!$B$3:$B$34</c15:sqref>
                        </c15:formulaRef>
                      </c:ext>
                    </c:extLst>
                    <c:strCache>
                      <c:ptCount val="2"/>
                      <c:pt idx="0">
                        <c:v>Activity</c:v>
                      </c:pt>
                      <c:pt idx="1">
                        <c:v>Outputs</c:v>
                      </c:pt>
                    </c:strCache>
                  </c:strRef>
                </c:cat>
                <c:val>
                  <c:numRef>
                    <c:extLst>
                      <c:ext uri="{02D57815-91ED-43cb-92C2-25804820EDAC}">
                        <c15:formulaRef>
                          <c15:sqref>'individual-chart-peer-mentoring'!$C$3:$C$34</c15:sqref>
                        </c15:formulaRef>
                      </c:ext>
                    </c:extLst>
                    <c:numCache>
                      <c:formatCode>General</c:formatCode>
                      <c:ptCount val="2"/>
                      <c:pt idx="0" formatCode="0%">
                        <c:v>0.25</c:v>
                      </c:pt>
                    </c:numCache>
                  </c:numRef>
                </c:val>
                <c:extLst>
                  <c:ext xmlns:c16="http://schemas.microsoft.com/office/drawing/2014/chart" uri="{C3380CC4-5D6E-409C-BE32-E72D297353CC}">
                    <c16:uniqueId val="{00000009-8B1F-496E-AA29-F616E6701D85}"/>
                  </c:ext>
                </c:extLst>
              </c15:ser>
            </c15:filteredBarSeries>
            <c15:filteredBarSeries>
              <c15:ser>
                <c:idx val="1"/>
                <c:order val="1"/>
                <c:tx>
                  <c:strRef>
                    <c:extLst xmlns:c15="http://schemas.microsoft.com/office/drawing/2012/chart">
                      <c:ext xmlns:c15="http://schemas.microsoft.com/office/drawing/2012/chart" uri="{02D57815-91ED-43cb-92C2-25804820EDAC}">
                        <c15:formulaRef>
                          <c15:sqref>'individual-chart-peer-mentoring'!$D$2</c15:sqref>
                        </c15:formulaRef>
                      </c:ext>
                    </c:extLst>
                    <c:strCache>
                      <c:ptCount val="1"/>
                      <c:pt idx="0">
                        <c:v>In progress</c:v>
                      </c:pt>
                    </c:strCache>
                  </c:strRef>
                </c:tx>
                <c:spPr>
                  <a:solidFill>
                    <a:schemeClr val="accent2">
                      <a:shade val="5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'individual-chart-peer-mentoring'!$B$3:$B$34</c15:sqref>
                        </c15:formulaRef>
                      </c:ext>
                    </c:extLst>
                    <c:strCache>
                      <c:ptCount val="2"/>
                      <c:pt idx="0">
                        <c:v>Activity</c:v>
                      </c:pt>
                      <c:pt idx="1">
                        <c:v>Outputs</c:v>
                      </c:pt>
                    </c:strCache>
                  </c:strRef>
                </c:cat>
                <c:val>
                  <c:numRef>
                    <c:extLst xmlns:c15="http://schemas.microsoft.com/office/drawing/2012/chart">
                      <c:ext xmlns:c15="http://schemas.microsoft.com/office/drawing/2012/chart" uri="{02D57815-91ED-43cb-92C2-25804820EDAC}">
                        <c15:formulaRef>
                          <c15:sqref>'individual-chart-peer-mentoring'!$D$3:$D$34</c15:sqref>
                        </c15:formulaRef>
                      </c:ext>
                    </c:extLst>
                    <c:numCache>
                      <c:formatCode>0%</c:formatCode>
                      <c:ptCount val="2"/>
                      <c:pt idx="0">
                        <c:v>0.75</c:v>
                      </c:pt>
                      <c:pt idx="1">
                        <c:v>0.75</c:v>
                      </c:pt>
                    </c:numCache>
                  </c:numRef>
                </c:val>
                <c:extLst xmlns:c15="http://schemas.microsoft.com/office/drawing/2012/chart">
                  <c:ext xmlns:c16="http://schemas.microsoft.com/office/drawing/2014/chart" uri="{C3380CC4-5D6E-409C-BE32-E72D297353CC}">
                    <c16:uniqueId val="{0000000A-8B1F-496E-AA29-F616E6701D85}"/>
                  </c:ext>
                </c:extLst>
              </c15:ser>
            </c15:filteredBarSeries>
            <c15:filteredBarSeries>
              <c15:ser>
                <c:idx val="2"/>
                <c:order val="2"/>
                <c:tx>
                  <c:strRef>
                    <c:extLst xmlns:c15="http://schemas.microsoft.com/office/drawing/2012/chart">
                      <c:ext xmlns:c15="http://schemas.microsoft.com/office/drawing/2012/chart" uri="{02D57815-91ED-43cb-92C2-25804820EDAC}">
                        <c15:formulaRef>
                          <c15:sqref>'individual-chart-peer-mentoring'!$E$2</c15:sqref>
                        </c15:formulaRef>
                      </c:ext>
                    </c:extLst>
                    <c:strCache>
                      <c:ptCount val="1"/>
                      <c:pt idx="0">
                        <c:v>Not started</c:v>
                      </c:pt>
                    </c:strCache>
                  </c:strRef>
                </c:tx>
                <c:spPr>
                  <a:solidFill>
                    <a:schemeClr val="accent2">
                      <a:shade val="68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'individual-chart-peer-mentoring'!$B$3:$B$34</c15:sqref>
                        </c15:formulaRef>
                      </c:ext>
                    </c:extLst>
                    <c:strCache>
                      <c:ptCount val="2"/>
                      <c:pt idx="0">
                        <c:v>Activity</c:v>
                      </c:pt>
                      <c:pt idx="1">
                        <c:v>Outputs</c:v>
                      </c:pt>
                    </c:strCache>
                  </c:strRef>
                </c:cat>
                <c:val>
                  <c:numRef>
                    <c:extLst xmlns:c15="http://schemas.microsoft.com/office/drawing/2012/chart">
                      <c:ext xmlns:c15="http://schemas.microsoft.com/office/drawing/2012/chart" uri="{02D57815-91ED-43cb-92C2-25804820EDAC}">
                        <c15:formulaRef>
                          <c15:sqref>'individual-chart-peer-mentoring'!$E$3:$E$34</c15:sqref>
                        </c15:formulaRef>
                      </c:ext>
                    </c:extLst>
                    <c:numCache>
                      <c:formatCode>0%</c:formatCode>
                      <c:ptCount val="2"/>
                      <c:pt idx="1">
                        <c:v>0.25</c:v>
                      </c:pt>
                    </c:numCache>
                  </c:numRef>
                </c:val>
                <c:extLst xmlns:c15="http://schemas.microsoft.com/office/drawing/2012/chart">
                  <c:ext xmlns:c16="http://schemas.microsoft.com/office/drawing/2014/chart" uri="{C3380CC4-5D6E-409C-BE32-E72D297353CC}">
                    <c16:uniqueId val="{0000000B-8B1F-496E-AA29-F616E6701D85}"/>
                  </c:ext>
                </c:extLst>
              </c15:ser>
            </c15:filteredBarSeries>
          </c:ext>
        </c:extLst>
      </c:barChart>
      <c:catAx>
        <c:axId val="7909581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n-US"/>
          </a:p>
        </c:txPr>
        <c:crossAx val="790961408"/>
        <c:crosses val="autoZero"/>
        <c:auto val="1"/>
        <c:lblAlgn val="ctr"/>
        <c:lblOffset val="100"/>
        <c:noMultiLvlLbl val="0"/>
      </c:catAx>
      <c:valAx>
        <c:axId val="790961408"/>
        <c:scaling>
          <c:orientation val="minMax"/>
          <c:min val="0"/>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90958128"/>
        <c:crossesAt val="1"/>
        <c:crossBetween val="between"/>
      </c:valAx>
      <c:spPr>
        <a:noFill/>
        <a:ln>
          <a:noFill/>
        </a:ln>
        <a:effectLst/>
      </c:spPr>
    </c:plotArea>
    <c:legend>
      <c:legendPos val="t"/>
      <c:layout>
        <c:manualLayout>
          <c:xMode val="edge"/>
          <c:yMode val="edge"/>
          <c:x val="0.16878354491402861"/>
          <c:y val="0.14071530758226036"/>
          <c:w val="0.78488188976377948"/>
          <c:h val="8.3691663005643596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userShapes r:id="rId5"/>
</c:chartSpace>
</file>

<file path=word/charts/chart9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4"/>
    </mc:Choice>
    <mc:Fallback>
      <c:style val="4"/>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Topic Area - Peer Mentoring</a:t>
            </a:r>
            <a:br>
              <a:rPr lang="en-US"/>
            </a:br>
            <a:r>
              <a:rPr lang="en-US"/>
              <a:t>Activity #4</a:t>
            </a:r>
          </a:p>
        </c:rich>
      </c:tx>
      <c:layout>
        <c:manualLayout>
          <c:xMode val="edge"/>
          <c:yMode val="edge"/>
          <c:x val="0.15852625564661557"/>
          <c:y val="1.4306151645207439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6017916604892113"/>
          <c:y val="0.23265365094271845"/>
          <c:w val="0.78942722632790041"/>
          <c:h val="0.66602748393145406"/>
        </c:manualLayout>
      </c:layout>
      <c:barChart>
        <c:barDir val="col"/>
        <c:grouping val="percentStacked"/>
        <c:varyColors val="0"/>
        <c:ser>
          <c:idx val="3"/>
          <c:order val="3"/>
          <c:tx>
            <c:strRef>
              <c:f>'individual-chart-peer-mentoring'!$F$2</c:f>
              <c:strCache>
                <c:ptCount val="1"/>
                <c:pt idx="0">
                  <c:v>Completed</c:v>
                </c:pt>
              </c:strCache>
            </c:strRef>
          </c:tx>
          <c:spPr>
            <a:solidFill>
              <a:srgbClr val="99221F"/>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800" b="0"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'individual-chart-peer-mentoring'!$B$3:$B$34</c:f>
              <c:strCache>
                <c:ptCount val="2"/>
                <c:pt idx="0">
                  <c:v>Activity</c:v>
                </c:pt>
                <c:pt idx="1">
                  <c:v>Outputs</c:v>
                </c:pt>
              </c:strCache>
              <c:extLst/>
            </c:strRef>
          </c:cat>
          <c:val>
            <c:numRef>
              <c:f>'individual-chart-peer-mentoring'!$F$3:$F$34</c:f>
              <c:numCache>
                <c:formatCode>0%</c:formatCode>
                <c:ptCount val="2"/>
                <c:pt idx="0">
                  <c:v>0</c:v>
                </c:pt>
                <c:pt idx="1">
                  <c:v>0</c:v>
                </c:pt>
              </c:numCache>
              <c:extLst/>
            </c:numRef>
          </c:val>
          <c:extLst>
            <c:ext xmlns:c16="http://schemas.microsoft.com/office/drawing/2014/chart" uri="{C3380CC4-5D6E-409C-BE32-E72D297353CC}">
              <c16:uniqueId val="{00000000-78B9-4720-B149-73E38B4E0CC9}"/>
            </c:ext>
          </c:extLst>
        </c:ser>
        <c:ser>
          <c:idx val="4"/>
          <c:order val="4"/>
          <c:tx>
            <c:strRef>
              <c:f>'individual-chart-peer-mentoring'!$G$2</c:f>
              <c:strCache>
                <c:ptCount val="1"/>
                <c:pt idx="0">
                  <c:v>90%</c:v>
                </c:pt>
              </c:strCache>
            </c:strRef>
          </c:tx>
          <c:spPr>
            <a:solidFill>
              <a:srgbClr val="D73D39"/>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'individual-chart-peer-mentoring'!$B$3:$B$34</c:f>
              <c:strCache>
                <c:ptCount val="2"/>
                <c:pt idx="0">
                  <c:v>Activity</c:v>
                </c:pt>
                <c:pt idx="1">
                  <c:v>Outputs</c:v>
                </c:pt>
              </c:strCache>
              <c:extLst/>
            </c:strRef>
          </c:cat>
          <c:val>
            <c:numRef>
              <c:f>'individual-chart-peer-mentoring'!$G$3:$G$34</c:f>
              <c:numCache>
                <c:formatCode>0%</c:formatCode>
                <c:ptCount val="2"/>
                <c:pt idx="0">
                  <c:v>0</c:v>
                </c:pt>
                <c:pt idx="1">
                  <c:v>0</c:v>
                </c:pt>
              </c:numCache>
              <c:extLst/>
            </c:numRef>
          </c:val>
          <c:extLst>
            <c:ext xmlns:c16="http://schemas.microsoft.com/office/drawing/2014/chart" uri="{C3380CC4-5D6E-409C-BE32-E72D297353CC}">
              <c16:uniqueId val="{00000001-78B9-4720-B149-73E38B4E0CC9}"/>
            </c:ext>
          </c:extLst>
        </c:ser>
        <c:ser>
          <c:idx val="5"/>
          <c:order val="5"/>
          <c:tx>
            <c:strRef>
              <c:f>'individual-chart-peer-mentoring'!$H$2</c:f>
              <c:strCache>
                <c:ptCount val="1"/>
                <c:pt idx="0">
                  <c:v>75%</c:v>
                </c:pt>
              </c:strCache>
            </c:strRef>
          </c:tx>
          <c:spPr>
            <a:solidFill>
              <a:srgbClr val="DC535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'individual-chart-peer-mentoring'!$B$3:$B$34</c:f>
              <c:strCache>
                <c:ptCount val="2"/>
                <c:pt idx="0">
                  <c:v>Activity</c:v>
                </c:pt>
                <c:pt idx="1">
                  <c:v>Outputs</c:v>
                </c:pt>
              </c:strCache>
              <c:extLst/>
            </c:strRef>
          </c:cat>
          <c:val>
            <c:numRef>
              <c:f>'individual-chart-peer-mentoring'!$H$3:$H$34</c:f>
              <c:numCache>
                <c:formatCode>0%</c:formatCode>
                <c:ptCount val="2"/>
                <c:pt idx="0">
                  <c:v>0</c:v>
                </c:pt>
                <c:pt idx="1">
                  <c:v>0</c:v>
                </c:pt>
              </c:numCache>
              <c:extLst/>
            </c:numRef>
          </c:val>
          <c:extLst>
            <c:ext xmlns:c16="http://schemas.microsoft.com/office/drawing/2014/chart" uri="{C3380CC4-5D6E-409C-BE32-E72D297353CC}">
              <c16:uniqueId val="{00000002-78B9-4720-B149-73E38B4E0CC9}"/>
            </c:ext>
          </c:extLst>
        </c:ser>
        <c:ser>
          <c:idx val="6"/>
          <c:order val="6"/>
          <c:tx>
            <c:strRef>
              <c:f>'individual-chart-peer-mentoring'!$I$2</c:f>
              <c:strCache>
                <c:ptCount val="1"/>
                <c:pt idx="0">
                  <c:v>50%</c:v>
                </c:pt>
              </c:strCache>
            </c:strRef>
          </c:tx>
          <c:spPr>
            <a:solidFill>
              <a:srgbClr val="EBA19F"/>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'individual-chart-peer-mentoring'!$B$3:$B$34</c:f>
              <c:strCache>
                <c:ptCount val="2"/>
                <c:pt idx="0">
                  <c:v>Activity</c:v>
                </c:pt>
                <c:pt idx="1">
                  <c:v>Outputs</c:v>
                </c:pt>
              </c:strCache>
              <c:extLst/>
            </c:strRef>
          </c:cat>
          <c:val>
            <c:numRef>
              <c:f>'individual-chart-peer-mentoring'!$I$3:$I$34</c:f>
              <c:numCache>
                <c:formatCode>0%</c:formatCode>
                <c:ptCount val="2"/>
                <c:pt idx="0">
                  <c:v>0</c:v>
                </c:pt>
                <c:pt idx="1">
                  <c:v>0</c:v>
                </c:pt>
              </c:numCache>
              <c:extLst/>
            </c:numRef>
          </c:val>
          <c:extLst>
            <c:ext xmlns:c16="http://schemas.microsoft.com/office/drawing/2014/chart" uri="{C3380CC4-5D6E-409C-BE32-E72D297353CC}">
              <c16:uniqueId val="{00000003-78B9-4720-B149-73E38B4E0CC9}"/>
            </c:ext>
          </c:extLst>
        </c:ser>
        <c:ser>
          <c:idx val="7"/>
          <c:order val="7"/>
          <c:tx>
            <c:strRef>
              <c:f>'individual-chart-peer-mentoring'!$J$2</c:f>
              <c:strCache>
                <c:ptCount val="1"/>
                <c:pt idx="0">
                  <c:v>25%</c:v>
                </c:pt>
              </c:strCache>
            </c:strRef>
          </c:tx>
          <c:spPr>
            <a:solidFill>
              <a:srgbClr val="F3C6C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'individual-chart-peer-mentoring'!$B$3:$B$34</c:f>
              <c:strCache>
                <c:ptCount val="2"/>
                <c:pt idx="0">
                  <c:v>Activity</c:v>
                </c:pt>
                <c:pt idx="1">
                  <c:v>Outputs</c:v>
                </c:pt>
              </c:strCache>
              <c:extLst/>
            </c:strRef>
          </c:cat>
          <c:val>
            <c:numRef>
              <c:f>'individual-chart-peer-mentoring'!$J$3:$J$34</c:f>
              <c:numCache>
                <c:formatCode>0%</c:formatCode>
                <c:ptCount val="2"/>
                <c:pt idx="0">
                  <c:v>0</c:v>
                </c:pt>
                <c:pt idx="1">
                  <c:v>0</c:v>
                </c:pt>
              </c:numCache>
              <c:extLst/>
            </c:numRef>
          </c:val>
          <c:extLst>
            <c:ext xmlns:c16="http://schemas.microsoft.com/office/drawing/2014/chart" uri="{C3380CC4-5D6E-409C-BE32-E72D297353CC}">
              <c16:uniqueId val="{00000004-78B9-4720-B149-73E38B4E0CC9}"/>
            </c:ext>
          </c:extLst>
        </c:ser>
        <c:ser>
          <c:idx val="8"/>
          <c:order val="8"/>
          <c:tx>
            <c:strRef>
              <c:f>'individual-chart-peer-mentoring'!$K$2</c:f>
              <c:strCache>
                <c:ptCount val="1"/>
                <c:pt idx="0">
                  <c:v>10%</c:v>
                </c:pt>
              </c:strCache>
            </c:strRef>
          </c:tx>
          <c:spPr>
            <a:solidFill>
              <a:schemeClr val="accent2">
                <a:tint val="56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'individual-chart-peer-mentoring'!$B$3:$B$34</c:f>
              <c:strCache>
                <c:ptCount val="2"/>
                <c:pt idx="0">
                  <c:v>Activity</c:v>
                </c:pt>
                <c:pt idx="1">
                  <c:v>Outputs</c:v>
                </c:pt>
              </c:strCache>
              <c:extLst/>
            </c:strRef>
          </c:cat>
          <c:val>
            <c:numRef>
              <c:f>'individual-chart-peer-mentoring'!$K$3:$K$34</c:f>
              <c:numCache>
                <c:formatCode>0%</c:formatCode>
                <c:ptCount val="2"/>
                <c:pt idx="0">
                  <c:v>0</c:v>
                </c:pt>
                <c:pt idx="1">
                  <c:v>0</c:v>
                </c:pt>
              </c:numCache>
              <c:extLst/>
            </c:numRef>
          </c:val>
          <c:extLst>
            <c:ext xmlns:c16="http://schemas.microsoft.com/office/drawing/2014/chart" uri="{C3380CC4-5D6E-409C-BE32-E72D297353CC}">
              <c16:uniqueId val="{00000005-78B9-4720-B149-73E38B4E0CC9}"/>
            </c:ext>
          </c:extLst>
        </c:ser>
        <c:ser>
          <c:idx val="9"/>
          <c:order val="9"/>
          <c:tx>
            <c:strRef>
              <c:f>'individual-chart-peer-mentoring'!$L$2</c:f>
              <c:strCache>
                <c:ptCount val="1"/>
                <c:pt idx="0">
                  <c:v>Not Started</c:v>
                </c:pt>
              </c:strCache>
            </c:strRef>
          </c:tx>
          <c:spPr>
            <a:solidFill>
              <a:srgbClr val="FCF2F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'individual-chart-peer-mentoring'!$B$3:$B$34</c:f>
              <c:strCache>
                <c:ptCount val="2"/>
                <c:pt idx="0">
                  <c:v>Activity</c:v>
                </c:pt>
                <c:pt idx="1">
                  <c:v>Outputs</c:v>
                </c:pt>
              </c:strCache>
              <c:extLst/>
            </c:strRef>
          </c:cat>
          <c:val>
            <c:numRef>
              <c:f>'individual-chart-peer-mentoring'!$L$3:$L$34</c:f>
              <c:numCache>
                <c:formatCode>0%</c:formatCode>
                <c:ptCount val="2"/>
                <c:pt idx="0">
                  <c:v>0</c:v>
                </c:pt>
                <c:pt idx="1">
                  <c:v>0</c:v>
                </c:pt>
              </c:numCache>
              <c:extLst/>
            </c:numRef>
          </c:val>
          <c:extLst>
            <c:ext xmlns:c16="http://schemas.microsoft.com/office/drawing/2014/chart" uri="{C3380CC4-5D6E-409C-BE32-E72D297353CC}">
              <c16:uniqueId val="{00000006-78B9-4720-B149-73E38B4E0CC9}"/>
            </c:ext>
          </c:extLst>
        </c:ser>
        <c:dLbls>
          <c:dLblPos val="ctr"/>
          <c:showLegendKey val="0"/>
          <c:showVal val="1"/>
          <c:showCatName val="0"/>
          <c:showSerName val="0"/>
          <c:showPercent val="0"/>
          <c:showBubbleSize val="0"/>
        </c:dLbls>
        <c:gapWidth val="150"/>
        <c:overlap val="100"/>
        <c:axId val="790958128"/>
        <c:axId val="790961408"/>
        <c:extLst>
          <c:ext xmlns:c15="http://schemas.microsoft.com/office/drawing/2012/chart" uri="{02D57815-91ED-43cb-92C2-25804820EDAC}">
            <c15:filteredBarSeries>
              <c15:ser>
                <c:idx val="0"/>
                <c:order val="0"/>
                <c:tx>
                  <c:strRef>
                    <c:extLst>
                      <c:ext uri="{02D57815-91ED-43cb-92C2-25804820EDAC}">
                        <c15:formulaRef>
                          <c15:sqref>'individual-chart-peer-mentoring'!$C$2</c15:sqref>
                        </c15:formulaRef>
                      </c:ext>
                    </c:extLst>
                    <c:strCache>
                      <c:ptCount val="1"/>
                      <c:pt idx="0">
                        <c:v>Completed</c:v>
                      </c:pt>
                    </c:strCache>
                  </c:strRef>
                </c:tx>
                <c:spPr>
                  <a:solidFill>
                    <a:schemeClr val="accent2">
                      <a:shade val="42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c:ext uri="{02D57815-91ED-43cb-92C2-25804820EDAC}">
                        <c15:formulaRef>
                          <c15:sqref>'individual-chart-peer-mentoring'!$B$3:$B$34</c15:sqref>
                        </c15:formulaRef>
                      </c:ext>
                    </c:extLst>
                    <c:strCache>
                      <c:ptCount val="2"/>
                      <c:pt idx="0">
                        <c:v>Activity</c:v>
                      </c:pt>
                      <c:pt idx="1">
                        <c:v>Outputs</c:v>
                      </c:pt>
                    </c:strCache>
                  </c:strRef>
                </c:cat>
                <c:val>
                  <c:numRef>
                    <c:extLst>
                      <c:ext uri="{02D57815-91ED-43cb-92C2-25804820EDAC}">
                        <c15:formulaRef>
                          <c15:sqref>'individual-chart-peer-mentoring'!$C$3:$C$34</c15:sqref>
                        </c15:formulaRef>
                      </c:ext>
                    </c:extLst>
                    <c:numCache>
                      <c:formatCode>0%</c:formatCode>
                      <c:ptCount val="2"/>
                      <c:pt idx="0">
                        <c:v>0</c:v>
                      </c:pt>
                      <c:pt idx="1">
                        <c:v>0</c:v>
                      </c:pt>
                    </c:numCache>
                  </c:numRef>
                </c:val>
                <c:extLst>
                  <c:ext xmlns:c16="http://schemas.microsoft.com/office/drawing/2014/chart" uri="{C3380CC4-5D6E-409C-BE32-E72D297353CC}">
                    <c16:uniqueId val="{00000007-78B9-4720-B149-73E38B4E0CC9}"/>
                  </c:ext>
                </c:extLst>
              </c15:ser>
            </c15:filteredBarSeries>
            <c15:filteredBarSeries>
              <c15:ser>
                <c:idx val="1"/>
                <c:order val="1"/>
                <c:tx>
                  <c:strRef>
                    <c:extLst xmlns:c15="http://schemas.microsoft.com/office/drawing/2012/chart">
                      <c:ext xmlns:c15="http://schemas.microsoft.com/office/drawing/2012/chart" uri="{02D57815-91ED-43cb-92C2-25804820EDAC}">
                        <c15:formulaRef>
                          <c15:sqref>'individual-chart-peer-mentoring'!$D$2</c15:sqref>
                        </c15:formulaRef>
                      </c:ext>
                    </c:extLst>
                    <c:strCache>
                      <c:ptCount val="1"/>
                      <c:pt idx="0">
                        <c:v>In progress</c:v>
                      </c:pt>
                    </c:strCache>
                  </c:strRef>
                </c:tx>
                <c:spPr>
                  <a:solidFill>
                    <a:schemeClr val="accent2">
                      <a:shade val="5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'individual-chart-peer-mentoring'!$B$3:$B$34</c15:sqref>
                        </c15:formulaRef>
                      </c:ext>
                    </c:extLst>
                    <c:strCache>
                      <c:ptCount val="2"/>
                      <c:pt idx="0">
                        <c:v>Activity</c:v>
                      </c:pt>
                      <c:pt idx="1">
                        <c:v>Outputs</c:v>
                      </c:pt>
                    </c:strCache>
                  </c:strRef>
                </c:cat>
                <c:val>
                  <c:numRef>
                    <c:extLst xmlns:c15="http://schemas.microsoft.com/office/drawing/2012/chart">
                      <c:ext xmlns:c15="http://schemas.microsoft.com/office/drawing/2012/chart" uri="{02D57815-91ED-43cb-92C2-25804820EDAC}">
                        <c15:formulaRef>
                          <c15:sqref>'individual-chart-peer-mentoring'!$D$3:$D$34</c15:sqref>
                        </c15:formulaRef>
                      </c:ext>
                    </c:extLst>
                    <c:numCache>
                      <c:formatCode>0%</c:formatCode>
                      <c:ptCount val="2"/>
                      <c:pt idx="0">
                        <c:v>0</c:v>
                      </c:pt>
                      <c:pt idx="1">
                        <c:v>0</c:v>
                      </c:pt>
                    </c:numCache>
                  </c:numRef>
                </c:val>
                <c:extLst xmlns:c15="http://schemas.microsoft.com/office/drawing/2012/chart">
                  <c:ext xmlns:c16="http://schemas.microsoft.com/office/drawing/2014/chart" uri="{C3380CC4-5D6E-409C-BE32-E72D297353CC}">
                    <c16:uniqueId val="{00000008-78B9-4720-B149-73E38B4E0CC9}"/>
                  </c:ext>
                </c:extLst>
              </c15:ser>
            </c15:filteredBarSeries>
            <c15:filteredBarSeries>
              <c15:ser>
                <c:idx val="2"/>
                <c:order val="2"/>
                <c:tx>
                  <c:strRef>
                    <c:extLst xmlns:c15="http://schemas.microsoft.com/office/drawing/2012/chart">
                      <c:ext xmlns:c15="http://schemas.microsoft.com/office/drawing/2012/chart" uri="{02D57815-91ED-43cb-92C2-25804820EDAC}">
                        <c15:formulaRef>
                          <c15:sqref>'individual-chart-peer-mentoring'!$E$2</c15:sqref>
                        </c15:formulaRef>
                      </c:ext>
                    </c:extLst>
                    <c:strCache>
                      <c:ptCount val="1"/>
                      <c:pt idx="0">
                        <c:v>Not started</c:v>
                      </c:pt>
                    </c:strCache>
                  </c:strRef>
                </c:tx>
                <c:spPr>
                  <a:solidFill>
                    <a:schemeClr val="accent2">
                      <a:shade val="68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'individual-chart-peer-mentoring'!$B$3:$B$34</c15:sqref>
                        </c15:formulaRef>
                      </c:ext>
                    </c:extLst>
                    <c:strCache>
                      <c:ptCount val="2"/>
                      <c:pt idx="0">
                        <c:v>Activity</c:v>
                      </c:pt>
                      <c:pt idx="1">
                        <c:v>Outputs</c:v>
                      </c:pt>
                    </c:strCache>
                  </c:strRef>
                </c:cat>
                <c:val>
                  <c:numRef>
                    <c:extLst xmlns:c15="http://schemas.microsoft.com/office/drawing/2012/chart">
                      <c:ext xmlns:c15="http://schemas.microsoft.com/office/drawing/2012/chart" uri="{02D57815-91ED-43cb-92C2-25804820EDAC}">
                        <c15:formulaRef>
                          <c15:sqref>'individual-chart-peer-mentoring'!$E$3:$E$34</c15:sqref>
                        </c15:formulaRef>
                      </c:ext>
                    </c:extLst>
                    <c:numCache>
                      <c:formatCode>0%</c:formatCode>
                      <c:ptCount val="2"/>
                      <c:pt idx="0">
                        <c:v>0</c:v>
                      </c:pt>
                      <c:pt idx="1">
                        <c:v>0</c:v>
                      </c:pt>
                    </c:numCache>
                  </c:numRef>
                </c:val>
                <c:extLst xmlns:c15="http://schemas.microsoft.com/office/drawing/2012/chart">
                  <c:ext xmlns:c16="http://schemas.microsoft.com/office/drawing/2014/chart" uri="{C3380CC4-5D6E-409C-BE32-E72D297353CC}">
                    <c16:uniqueId val="{00000009-78B9-4720-B149-73E38B4E0CC9}"/>
                  </c:ext>
                </c:extLst>
              </c15:ser>
            </c15:filteredBarSeries>
          </c:ext>
        </c:extLst>
      </c:barChart>
      <c:catAx>
        <c:axId val="7909581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n-US"/>
          </a:p>
        </c:txPr>
        <c:crossAx val="790961408"/>
        <c:crosses val="autoZero"/>
        <c:auto val="1"/>
        <c:lblAlgn val="ctr"/>
        <c:lblOffset val="100"/>
        <c:noMultiLvlLbl val="0"/>
      </c:catAx>
      <c:valAx>
        <c:axId val="790961408"/>
        <c:scaling>
          <c:orientation val="minMax"/>
          <c:min val="0"/>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90958128"/>
        <c:crossesAt val="1"/>
        <c:crossBetween val="between"/>
      </c:valAx>
      <c:spPr>
        <a:noFill/>
        <a:ln>
          <a:noFill/>
        </a:ln>
        <a:effectLst/>
      </c:spPr>
    </c:plotArea>
    <c:legend>
      <c:legendPos val="t"/>
      <c:layout>
        <c:manualLayout>
          <c:xMode val="edge"/>
          <c:yMode val="edge"/>
          <c:x val="0.16878354491402861"/>
          <c:y val="0.14071530758226036"/>
          <c:w val="0.78488188976377948"/>
          <c:h val="8.3691663005643596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userShapes r:id="rId5"/>
</c:chartSpace>
</file>

<file path=word/charts/chart9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4"/>
    </mc:Choice>
    <mc:Fallback>
      <c:style val="4"/>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Topic Area - Peer Mentoring</a:t>
            </a:r>
            <a:br>
              <a:rPr lang="en-US"/>
            </a:br>
            <a:r>
              <a:rPr lang="en-US"/>
              <a:t>Activity #5</a:t>
            </a:r>
          </a:p>
        </c:rich>
      </c:tx>
      <c:layout>
        <c:manualLayout>
          <c:xMode val="edge"/>
          <c:yMode val="edge"/>
          <c:x val="0.15852625564661557"/>
          <c:y val="1.4306151645207439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6017916604892113"/>
          <c:y val="0.23265365094271845"/>
          <c:w val="0.78942722632790041"/>
          <c:h val="0.66602748393145406"/>
        </c:manualLayout>
      </c:layout>
      <c:barChart>
        <c:barDir val="col"/>
        <c:grouping val="percentStacked"/>
        <c:varyColors val="0"/>
        <c:ser>
          <c:idx val="3"/>
          <c:order val="3"/>
          <c:tx>
            <c:strRef>
              <c:f>'individual-chart-peer-mentoring'!$F$2</c:f>
              <c:strCache>
                <c:ptCount val="1"/>
                <c:pt idx="0">
                  <c:v>Completed</c:v>
                </c:pt>
              </c:strCache>
            </c:strRef>
          </c:tx>
          <c:spPr>
            <a:solidFill>
              <a:srgbClr val="99221F"/>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800" b="0"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'individual-chart-peer-mentoring'!$B$3:$B$34</c:f>
              <c:strCache>
                <c:ptCount val="2"/>
                <c:pt idx="0">
                  <c:v>Activity</c:v>
                </c:pt>
                <c:pt idx="1">
                  <c:v>Outputs</c:v>
                </c:pt>
              </c:strCache>
              <c:extLst/>
            </c:strRef>
          </c:cat>
          <c:val>
            <c:numRef>
              <c:f>'individual-chart-peer-mentoring'!$F$3:$F$34</c:f>
              <c:numCache>
                <c:formatCode>0%</c:formatCode>
                <c:ptCount val="2"/>
                <c:pt idx="0">
                  <c:v>0</c:v>
                </c:pt>
                <c:pt idx="1">
                  <c:v>0</c:v>
                </c:pt>
              </c:numCache>
              <c:extLst/>
            </c:numRef>
          </c:val>
          <c:extLst>
            <c:ext xmlns:c16="http://schemas.microsoft.com/office/drawing/2014/chart" uri="{C3380CC4-5D6E-409C-BE32-E72D297353CC}">
              <c16:uniqueId val="{00000000-BD29-4B4F-A980-BC2313D278A4}"/>
            </c:ext>
          </c:extLst>
        </c:ser>
        <c:ser>
          <c:idx val="4"/>
          <c:order val="4"/>
          <c:tx>
            <c:strRef>
              <c:f>'individual-chart-peer-mentoring'!$G$2</c:f>
              <c:strCache>
                <c:ptCount val="1"/>
                <c:pt idx="0">
                  <c:v>90%</c:v>
                </c:pt>
              </c:strCache>
            </c:strRef>
          </c:tx>
          <c:spPr>
            <a:solidFill>
              <a:srgbClr val="D73D39"/>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'individual-chart-peer-mentoring'!$B$3:$B$34</c:f>
              <c:strCache>
                <c:ptCount val="2"/>
                <c:pt idx="0">
                  <c:v>Activity</c:v>
                </c:pt>
                <c:pt idx="1">
                  <c:v>Outputs</c:v>
                </c:pt>
              </c:strCache>
              <c:extLst/>
            </c:strRef>
          </c:cat>
          <c:val>
            <c:numRef>
              <c:f>'individual-chart-peer-mentoring'!$G$3:$G$34</c:f>
              <c:numCache>
                <c:formatCode>0%</c:formatCode>
                <c:ptCount val="2"/>
                <c:pt idx="0">
                  <c:v>0</c:v>
                </c:pt>
                <c:pt idx="1">
                  <c:v>0</c:v>
                </c:pt>
              </c:numCache>
              <c:extLst/>
            </c:numRef>
          </c:val>
          <c:extLst>
            <c:ext xmlns:c16="http://schemas.microsoft.com/office/drawing/2014/chart" uri="{C3380CC4-5D6E-409C-BE32-E72D297353CC}">
              <c16:uniqueId val="{00000001-BD29-4B4F-A980-BC2313D278A4}"/>
            </c:ext>
          </c:extLst>
        </c:ser>
        <c:ser>
          <c:idx val="5"/>
          <c:order val="5"/>
          <c:tx>
            <c:strRef>
              <c:f>'individual-chart-peer-mentoring'!$H$2</c:f>
              <c:strCache>
                <c:ptCount val="1"/>
                <c:pt idx="0">
                  <c:v>75%</c:v>
                </c:pt>
              </c:strCache>
            </c:strRef>
          </c:tx>
          <c:spPr>
            <a:solidFill>
              <a:srgbClr val="DC535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'individual-chart-peer-mentoring'!$B$3:$B$34</c:f>
              <c:strCache>
                <c:ptCount val="2"/>
                <c:pt idx="0">
                  <c:v>Activity</c:v>
                </c:pt>
                <c:pt idx="1">
                  <c:v>Outputs</c:v>
                </c:pt>
              </c:strCache>
              <c:extLst/>
            </c:strRef>
          </c:cat>
          <c:val>
            <c:numRef>
              <c:f>'individual-chart-peer-mentoring'!$H$3:$H$34</c:f>
              <c:numCache>
                <c:formatCode>0%</c:formatCode>
                <c:ptCount val="2"/>
                <c:pt idx="0">
                  <c:v>0</c:v>
                </c:pt>
                <c:pt idx="1">
                  <c:v>0</c:v>
                </c:pt>
              </c:numCache>
              <c:extLst/>
            </c:numRef>
          </c:val>
          <c:extLst>
            <c:ext xmlns:c16="http://schemas.microsoft.com/office/drawing/2014/chart" uri="{C3380CC4-5D6E-409C-BE32-E72D297353CC}">
              <c16:uniqueId val="{00000002-BD29-4B4F-A980-BC2313D278A4}"/>
            </c:ext>
          </c:extLst>
        </c:ser>
        <c:ser>
          <c:idx val="6"/>
          <c:order val="6"/>
          <c:tx>
            <c:strRef>
              <c:f>'individual-chart-peer-mentoring'!$I$2</c:f>
              <c:strCache>
                <c:ptCount val="1"/>
                <c:pt idx="0">
                  <c:v>50%</c:v>
                </c:pt>
              </c:strCache>
            </c:strRef>
          </c:tx>
          <c:spPr>
            <a:solidFill>
              <a:srgbClr val="EBA19F"/>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'individual-chart-peer-mentoring'!$B$3:$B$34</c:f>
              <c:strCache>
                <c:ptCount val="2"/>
                <c:pt idx="0">
                  <c:v>Activity</c:v>
                </c:pt>
                <c:pt idx="1">
                  <c:v>Outputs</c:v>
                </c:pt>
              </c:strCache>
              <c:extLst/>
            </c:strRef>
          </c:cat>
          <c:val>
            <c:numRef>
              <c:f>'individual-chart-peer-mentoring'!$I$3:$I$34</c:f>
              <c:numCache>
                <c:formatCode>0%</c:formatCode>
                <c:ptCount val="2"/>
                <c:pt idx="0">
                  <c:v>0</c:v>
                </c:pt>
                <c:pt idx="1">
                  <c:v>0</c:v>
                </c:pt>
              </c:numCache>
              <c:extLst/>
            </c:numRef>
          </c:val>
          <c:extLst>
            <c:ext xmlns:c16="http://schemas.microsoft.com/office/drawing/2014/chart" uri="{C3380CC4-5D6E-409C-BE32-E72D297353CC}">
              <c16:uniqueId val="{00000003-BD29-4B4F-A980-BC2313D278A4}"/>
            </c:ext>
          </c:extLst>
        </c:ser>
        <c:ser>
          <c:idx val="7"/>
          <c:order val="7"/>
          <c:tx>
            <c:strRef>
              <c:f>'individual-chart-peer-mentoring'!$J$2</c:f>
              <c:strCache>
                <c:ptCount val="1"/>
                <c:pt idx="0">
                  <c:v>25%</c:v>
                </c:pt>
              </c:strCache>
            </c:strRef>
          </c:tx>
          <c:spPr>
            <a:solidFill>
              <a:srgbClr val="F3C6C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'individual-chart-peer-mentoring'!$B$3:$B$34</c:f>
              <c:strCache>
                <c:ptCount val="2"/>
                <c:pt idx="0">
                  <c:v>Activity</c:v>
                </c:pt>
                <c:pt idx="1">
                  <c:v>Outputs</c:v>
                </c:pt>
              </c:strCache>
              <c:extLst/>
            </c:strRef>
          </c:cat>
          <c:val>
            <c:numRef>
              <c:f>'individual-chart-peer-mentoring'!$J$3:$J$34</c:f>
              <c:numCache>
                <c:formatCode>0%</c:formatCode>
                <c:ptCount val="2"/>
                <c:pt idx="0">
                  <c:v>0</c:v>
                </c:pt>
                <c:pt idx="1">
                  <c:v>0</c:v>
                </c:pt>
              </c:numCache>
              <c:extLst/>
            </c:numRef>
          </c:val>
          <c:extLst>
            <c:ext xmlns:c16="http://schemas.microsoft.com/office/drawing/2014/chart" uri="{C3380CC4-5D6E-409C-BE32-E72D297353CC}">
              <c16:uniqueId val="{00000004-BD29-4B4F-A980-BC2313D278A4}"/>
            </c:ext>
          </c:extLst>
        </c:ser>
        <c:ser>
          <c:idx val="8"/>
          <c:order val="8"/>
          <c:tx>
            <c:strRef>
              <c:f>'individual-chart-peer-mentoring'!$K$2</c:f>
              <c:strCache>
                <c:ptCount val="1"/>
                <c:pt idx="0">
                  <c:v>10%</c:v>
                </c:pt>
              </c:strCache>
            </c:strRef>
          </c:tx>
          <c:spPr>
            <a:solidFill>
              <a:schemeClr val="accent2">
                <a:tint val="56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'individual-chart-peer-mentoring'!$B$3:$B$34</c:f>
              <c:strCache>
                <c:ptCount val="2"/>
                <c:pt idx="0">
                  <c:v>Activity</c:v>
                </c:pt>
                <c:pt idx="1">
                  <c:v>Outputs</c:v>
                </c:pt>
              </c:strCache>
              <c:extLst/>
            </c:strRef>
          </c:cat>
          <c:val>
            <c:numRef>
              <c:f>'individual-chart-peer-mentoring'!$K$3:$K$34</c:f>
              <c:numCache>
                <c:formatCode>0%</c:formatCode>
                <c:ptCount val="2"/>
                <c:pt idx="0">
                  <c:v>0</c:v>
                </c:pt>
                <c:pt idx="1">
                  <c:v>0</c:v>
                </c:pt>
              </c:numCache>
              <c:extLst/>
            </c:numRef>
          </c:val>
          <c:extLst>
            <c:ext xmlns:c16="http://schemas.microsoft.com/office/drawing/2014/chart" uri="{C3380CC4-5D6E-409C-BE32-E72D297353CC}">
              <c16:uniqueId val="{00000005-BD29-4B4F-A980-BC2313D278A4}"/>
            </c:ext>
          </c:extLst>
        </c:ser>
        <c:ser>
          <c:idx val="9"/>
          <c:order val="9"/>
          <c:tx>
            <c:strRef>
              <c:f>'individual-chart-peer-mentoring'!$L$2</c:f>
              <c:strCache>
                <c:ptCount val="1"/>
                <c:pt idx="0">
                  <c:v>Not Started</c:v>
                </c:pt>
              </c:strCache>
            </c:strRef>
          </c:tx>
          <c:spPr>
            <a:solidFill>
              <a:srgbClr val="FCF2F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'individual-chart-peer-mentoring'!$B$3:$B$34</c:f>
              <c:strCache>
                <c:ptCount val="2"/>
                <c:pt idx="0">
                  <c:v>Activity</c:v>
                </c:pt>
                <c:pt idx="1">
                  <c:v>Outputs</c:v>
                </c:pt>
              </c:strCache>
              <c:extLst/>
            </c:strRef>
          </c:cat>
          <c:val>
            <c:numRef>
              <c:f>'individual-chart-peer-mentoring'!$L$3:$L$34</c:f>
              <c:numCache>
                <c:formatCode>0%</c:formatCode>
                <c:ptCount val="2"/>
                <c:pt idx="0">
                  <c:v>0</c:v>
                </c:pt>
                <c:pt idx="1">
                  <c:v>0</c:v>
                </c:pt>
              </c:numCache>
              <c:extLst/>
            </c:numRef>
          </c:val>
          <c:extLst>
            <c:ext xmlns:c16="http://schemas.microsoft.com/office/drawing/2014/chart" uri="{C3380CC4-5D6E-409C-BE32-E72D297353CC}">
              <c16:uniqueId val="{00000006-BD29-4B4F-A980-BC2313D278A4}"/>
            </c:ext>
          </c:extLst>
        </c:ser>
        <c:dLbls>
          <c:dLblPos val="ctr"/>
          <c:showLegendKey val="0"/>
          <c:showVal val="1"/>
          <c:showCatName val="0"/>
          <c:showSerName val="0"/>
          <c:showPercent val="0"/>
          <c:showBubbleSize val="0"/>
        </c:dLbls>
        <c:gapWidth val="150"/>
        <c:overlap val="100"/>
        <c:axId val="790958128"/>
        <c:axId val="790961408"/>
        <c:extLst>
          <c:ext xmlns:c15="http://schemas.microsoft.com/office/drawing/2012/chart" uri="{02D57815-91ED-43cb-92C2-25804820EDAC}">
            <c15:filteredBarSeries>
              <c15:ser>
                <c:idx val="0"/>
                <c:order val="0"/>
                <c:tx>
                  <c:strRef>
                    <c:extLst>
                      <c:ext uri="{02D57815-91ED-43cb-92C2-25804820EDAC}">
                        <c15:formulaRef>
                          <c15:sqref>'individual-chart-peer-mentoring'!$C$2</c15:sqref>
                        </c15:formulaRef>
                      </c:ext>
                    </c:extLst>
                    <c:strCache>
                      <c:ptCount val="1"/>
                      <c:pt idx="0">
                        <c:v>Completed</c:v>
                      </c:pt>
                    </c:strCache>
                  </c:strRef>
                </c:tx>
                <c:spPr>
                  <a:solidFill>
                    <a:schemeClr val="accent2">
                      <a:shade val="42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c:ext uri="{02D57815-91ED-43cb-92C2-25804820EDAC}">
                        <c15:formulaRef>
                          <c15:sqref>'individual-chart-peer-mentoring'!$B$3:$B$34</c15:sqref>
                        </c15:formulaRef>
                      </c:ext>
                    </c:extLst>
                    <c:strCache>
                      <c:ptCount val="2"/>
                      <c:pt idx="0">
                        <c:v>Activity</c:v>
                      </c:pt>
                      <c:pt idx="1">
                        <c:v>Outputs</c:v>
                      </c:pt>
                    </c:strCache>
                  </c:strRef>
                </c:cat>
                <c:val>
                  <c:numRef>
                    <c:extLst>
                      <c:ext uri="{02D57815-91ED-43cb-92C2-25804820EDAC}">
                        <c15:formulaRef>
                          <c15:sqref>'individual-chart-peer-mentoring'!$C$3:$C$34</c15:sqref>
                        </c15:formulaRef>
                      </c:ext>
                    </c:extLst>
                    <c:numCache>
                      <c:formatCode>0%</c:formatCode>
                      <c:ptCount val="2"/>
                      <c:pt idx="0">
                        <c:v>0</c:v>
                      </c:pt>
                      <c:pt idx="1">
                        <c:v>0</c:v>
                      </c:pt>
                    </c:numCache>
                  </c:numRef>
                </c:val>
                <c:extLst>
                  <c:ext xmlns:c16="http://schemas.microsoft.com/office/drawing/2014/chart" uri="{C3380CC4-5D6E-409C-BE32-E72D297353CC}">
                    <c16:uniqueId val="{00000007-BD29-4B4F-A980-BC2313D278A4}"/>
                  </c:ext>
                </c:extLst>
              </c15:ser>
            </c15:filteredBarSeries>
            <c15:filteredBarSeries>
              <c15:ser>
                <c:idx val="1"/>
                <c:order val="1"/>
                <c:tx>
                  <c:strRef>
                    <c:extLst xmlns:c15="http://schemas.microsoft.com/office/drawing/2012/chart">
                      <c:ext xmlns:c15="http://schemas.microsoft.com/office/drawing/2012/chart" uri="{02D57815-91ED-43cb-92C2-25804820EDAC}">
                        <c15:formulaRef>
                          <c15:sqref>'individual-chart-peer-mentoring'!$D$2</c15:sqref>
                        </c15:formulaRef>
                      </c:ext>
                    </c:extLst>
                    <c:strCache>
                      <c:ptCount val="1"/>
                      <c:pt idx="0">
                        <c:v>In progress</c:v>
                      </c:pt>
                    </c:strCache>
                  </c:strRef>
                </c:tx>
                <c:spPr>
                  <a:solidFill>
                    <a:schemeClr val="accent2">
                      <a:shade val="5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'individual-chart-peer-mentoring'!$B$3:$B$34</c15:sqref>
                        </c15:formulaRef>
                      </c:ext>
                    </c:extLst>
                    <c:strCache>
                      <c:ptCount val="2"/>
                      <c:pt idx="0">
                        <c:v>Activity</c:v>
                      </c:pt>
                      <c:pt idx="1">
                        <c:v>Outputs</c:v>
                      </c:pt>
                    </c:strCache>
                  </c:strRef>
                </c:cat>
                <c:val>
                  <c:numRef>
                    <c:extLst xmlns:c15="http://schemas.microsoft.com/office/drawing/2012/chart">
                      <c:ext xmlns:c15="http://schemas.microsoft.com/office/drawing/2012/chart" uri="{02D57815-91ED-43cb-92C2-25804820EDAC}">
                        <c15:formulaRef>
                          <c15:sqref>'individual-chart-peer-mentoring'!$D$3:$D$34</c15:sqref>
                        </c15:formulaRef>
                      </c:ext>
                    </c:extLst>
                    <c:numCache>
                      <c:formatCode>0%</c:formatCode>
                      <c:ptCount val="2"/>
                      <c:pt idx="0">
                        <c:v>0</c:v>
                      </c:pt>
                      <c:pt idx="1">
                        <c:v>0</c:v>
                      </c:pt>
                    </c:numCache>
                  </c:numRef>
                </c:val>
                <c:extLst xmlns:c15="http://schemas.microsoft.com/office/drawing/2012/chart">
                  <c:ext xmlns:c16="http://schemas.microsoft.com/office/drawing/2014/chart" uri="{C3380CC4-5D6E-409C-BE32-E72D297353CC}">
                    <c16:uniqueId val="{00000008-BD29-4B4F-A980-BC2313D278A4}"/>
                  </c:ext>
                </c:extLst>
              </c15:ser>
            </c15:filteredBarSeries>
            <c15:filteredBarSeries>
              <c15:ser>
                <c:idx val="2"/>
                <c:order val="2"/>
                <c:tx>
                  <c:strRef>
                    <c:extLst xmlns:c15="http://schemas.microsoft.com/office/drawing/2012/chart">
                      <c:ext xmlns:c15="http://schemas.microsoft.com/office/drawing/2012/chart" uri="{02D57815-91ED-43cb-92C2-25804820EDAC}">
                        <c15:formulaRef>
                          <c15:sqref>'individual-chart-peer-mentoring'!$E$2</c15:sqref>
                        </c15:formulaRef>
                      </c:ext>
                    </c:extLst>
                    <c:strCache>
                      <c:ptCount val="1"/>
                      <c:pt idx="0">
                        <c:v>Not started</c:v>
                      </c:pt>
                    </c:strCache>
                  </c:strRef>
                </c:tx>
                <c:spPr>
                  <a:solidFill>
                    <a:schemeClr val="accent2">
                      <a:shade val="68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'individual-chart-peer-mentoring'!$B$3:$B$34</c15:sqref>
                        </c15:formulaRef>
                      </c:ext>
                    </c:extLst>
                    <c:strCache>
                      <c:ptCount val="2"/>
                      <c:pt idx="0">
                        <c:v>Activity</c:v>
                      </c:pt>
                      <c:pt idx="1">
                        <c:v>Outputs</c:v>
                      </c:pt>
                    </c:strCache>
                  </c:strRef>
                </c:cat>
                <c:val>
                  <c:numRef>
                    <c:extLst xmlns:c15="http://schemas.microsoft.com/office/drawing/2012/chart">
                      <c:ext xmlns:c15="http://schemas.microsoft.com/office/drawing/2012/chart" uri="{02D57815-91ED-43cb-92C2-25804820EDAC}">
                        <c15:formulaRef>
                          <c15:sqref>'individual-chart-peer-mentoring'!$E$3:$E$34</c15:sqref>
                        </c15:formulaRef>
                      </c:ext>
                    </c:extLst>
                    <c:numCache>
                      <c:formatCode>0%</c:formatCode>
                      <c:ptCount val="2"/>
                      <c:pt idx="0">
                        <c:v>0</c:v>
                      </c:pt>
                      <c:pt idx="1">
                        <c:v>0</c:v>
                      </c:pt>
                    </c:numCache>
                  </c:numRef>
                </c:val>
                <c:extLst xmlns:c15="http://schemas.microsoft.com/office/drawing/2012/chart">
                  <c:ext xmlns:c16="http://schemas.microsoft.com/office/drawing/2014/chart" uri="{C3380CC4-5D6E-409C-BE32-E72D297353CC}">
                    <c16:uniqueId val="{00000009-BD29-4B4F-A980-BC2313D278A4}"/>
                  </c:ext>
                </c:extLst>
              </c15:ser>
            </c15:filteredBarSeries>
          </c:ext>
        </c:extLst>
      </c:barChart>
      <c:catAx>
        <c:axId val="7909581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n-US"/>
          </a:p>
        </c:txPr>
        <c:crossAx val="790961408"/>
        <c:crosses val="autoZero"/>
        <c:auto val="1"/>
        <c:lblAlgn val="ctr"/>
        <c:lblOffset val="100"/>
        <c:noMultiLvlLbl val="0"/>
      </c:catAx>
      <c:valAx>
        <c:axId val="790961408"/>
        <c:scaling>
          <c:orientation val="minMax"/>
          <c:min val="0"/>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90958128"/>
        <c:crossesAt val="1"/>
        <c:crossBetween val="between"/>
      </c:valAx>
      <c:spPr>
        <a:noFill/>
        <a:ln>
          <a:noFill/>
        </a:ln>
        <a:effectLst/>
      </c:spPr>
    </c:plotArea>
    <c:legend>
      <c:legendPos val="t"/>
      <c:layout>
        <c:manualLayout>
          <c:xMode val="edge"/>
          <c:yMode val="edge"/>
          <c:x val="0.16878354491402861"/>
          <c:y val="0.14071530758226036"/>
          <c:w val="0.78488188976377948"/>
          <c:h val="8.3691663005643596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userShapes r:id="rId5"/>
</c:chartSpace>
</file>

<file path=word/charts/chart9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4"/>
    </mc:Choice>
    <mc:Fallback>
      <c:style val="4"/>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Topic Area - Peer Mentoring</a:t>
            </a:r>
            <a:br>
              <a:rPr lang="en-US"/>
            </a:br>
            <a:r>
              <a:rPr lang="en-US"/>
              <a:t>Activity #6</a:t>
            </a:r>
          </a:p>
        </c:rich>
      </c:tx>
      <c:layout>
        <c:manualLayout>
          <c:xMode val="edge"/>
          <c:yMode val="edge"/>
          <c:x val="0.15852625564661557"/>
          <c:y val="1.4306151645207439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6017916604892113"/>
          <c:y val="0.23265365094271845"/>
          <c:w val="0.78942722632790041"/>
          <c:h val="0.66602748393145406"/>
        </c:manualLayout>
      </c:layout>
      <c:barChart>
        <c:barDir val="col"/>
        <c:grouping val="percentStacked"/>
        <c:varyColors val="0"/>
        <c:ser>
          <c:idx val="3"/>
          <c:order val="3"/>
          <c:tx>
            <c:strRef>
              <c:f>'individual-chart-peer-mentoring'!$F$2</c:f>
              <c:strCache>
                <c:ptCount val="1"/>
                <c:pt idx="0">
                  <c:v>Completed</c:v>
                </c:pt>
              </c:strCache>
            </c:strRef>
          </c:tx>
          <c:spPr>
            <a:solidFill>
              <a:srgbClr val="99221F"/>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800" b="0"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'individual-chart-peer-mentoring'!$B$3:$B$34</c:f>
              <c:strCache>
                <c:ptCount val="2"/>
                <c:pt idx="0">
                  <c:v>Activity</c:v>
                </c:pt>
                <c:pt idx="1">
                  <c:v>Outputs</c:v>
                </c:pt>
              </c:strCache>
              <c:extLst/>
            </c:strRef>
          </c:cat>
          <c:val>
            <c:numRef>
              <c:f>'individual-chart-peer-mentoring'!$F$3:$F$34</c:f>
              <c:numCache>
                <c:formatCode>0%</c:formatCode>
                <c:ptCount val="2"/>
                <c:pt idx="0">
                  <c:v>0.75</c:v>
                </c:pt>
                <c:pt idx="1">
                  <c:v>0.75</c:v>
                </c:pt>
              </c:numCache>
              <c:extLst/>
            </c:numRef>
          </c:val>
          <c:extLst>
            <c:ext xmlns:c16="http://schemas.microsoft.com/office/drawing/2014/chart" uri="{C3380CC4-5D6E-409C-BE32-E72D297353CC}">
              <c16:uniqueId val="{00000000-40D6-41A0-A6A1-C7A29290513B}"/>
            </c:ext>
          </c:extLst>
        </c:ser>
        <c:ser>
          <c:idx val="4"/>
          <c:order val="4"/>
          <c:tx>
            <c:strRef>
              <c:f>'individual-chart-peer-mentoring'!$G$2</c:f>
              <c:strCache>
                <c:ptCount val="1"/>
                <c:pt idx="0">
                  <c:v>90%</c:v>
                </c:pt>
              </c:strCache>
            </c:strRef>
          </c:tx>
          <c:spPr>
            <a:solidFill>
              <a:srgbClr val="D73D39"/>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'individual-chart-peer-mentoring'!$B$3:$B$34</c:f>
              <c:strCache>
                <c:ptCount val="2"/>
                <c:pt idx="0">
                  <c:v>Activity</c:v>
                </c:pt>
                <c:pt idx="1">
                  <c:v>Outputs</c:v>
                </c:pt>
              </c:strCache>
              <c:extLst/>
            </c:strRef>
          </c:cat>
          <c:val>
            <c:numRef>
              <c:f>'individual-chart-peer-mentoring'!$G$3:$G$34</c:f>
              <c:numCache>
                <c:formatCode>0%</c:formatCode>
                <c:ptCount val="2"/>
                <c:pt idx="1">
                  <c:v>0.25</c:v>
                </c:pt>
              </c:numCache>
              <c:extLst/>
            </c:numRef>
          </c:val>
          <c:extLst>
            <c:ext xmlns:c16="http://schemas.microsoft.com/office/drawing/2014/chart" uri="{C3380CC4-5D6E-409C-BE32-E72D297353CC}">
              <c16:uniqueId val="{00000001-40D6-41A0-A6A1-C7A29290513B}"/>
            </c:ext>
          </c:extLst>
        </c:ser>
        <c:ser>
          <c:idx val="5"/>
          <c:order val="5"/>
          <c:tx>
            <c:strRef>
              <c:f>'individual-chart-peer-mentoring'!$H$2</c:f>
              <c:strCache>
                <c:ptCount val="1"/>
                <c:pt idx="0">
                  <c:v>75%</c:v>
                </c:pt>
              </c:strCache>
            </c:strRef>
          </c:tx>
          <c:spPr>
            <a:solidFill>
              <a:srgbClr val="DC535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'individual-chart-peer-mentoring'!$B$3:$B$34</c:f>
              <c:strCache>
                <c:ptCount val="2"/>
                <c:pt idx="0">
                  <c:v>Activity</c:v>
                </c:pt>
                <c:pt idx="1">
                  <c:v>Outputs</c:v>
                </c:pt>
              </c:strCache>
              <c:extLst/>
            </c:strRef>
          </c:cat>
          <c:val>
            <c:numRef>
              <c:f>'individual-chart-peer-mentoring'!$H$3:$H$34</c:f>
              <c:numCache>
                <c:formatCode>General</c:formatCode>
                <c:ptCount val="2"/>
              </c:numCache>
              <c:extLst/>
            </c:numRef>
          </c:val>
          <c:extLst>
            <c:ext xmlns:c16="http://schemas.microsoft.com/office/drawing/2014/chart" uri="{C3380CC4-5D6E-409C-BE32-E72D297353CC}">
              <c16:uniqueId val="{00000002-40D6-41A0-A6A1-C7A29290513B}"/>
            </c:ext>
          </c:extLst>
        </c:ser>
        <c:ser>
          <c:idx val="6"/>
          <c:order val="6"/>
          <c:tx>
            <c:strRef>
              <c:f>'individual-chart-peer-mentoring'!$I$2</c:f>
              <c:strCache>
                <c:ptCount val="1"/>
                <c:pt idx="0">
                  <c:v>50%</c:v>
                </c:pt>
              </c:strCache>
            </c:strRef>
          </c:tx>
          <c:spPr>
            <a:solidFill>
              <a:srgbClr val="EBA19F"/>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'individual-chart-peer-mentoring'!$B$3:$B$34</c:f>
              <c:strCache>
                <c:ptCount val="2"/>
                <c:pt idx="0">
                  <c:v>Activity</c:v>
                </c:pt>
                <c:pt idx="1">
                  <c:v>Outputs</c:v>
                </c:pt>
              </c:strCache>
              <c:extLst/>
            </c:strRef>
          </c:cat>
          <c:val>
            <c:numRef>
              <c:f>'individual-chart-peer-mentoring'!$I$3:$I$34</c:f>
              <c:numCache>
                <c:formatCode>General</c:formatCode>
                <c:ptCount val="2"/>
                <c:pt idx="0" formatCode="0%">
                  <c:v>0.25</c:v>
                </c:pt>
              </c:numCache>
              <c:extLst/>
            </c:numRef>
          </c:val>
          <c:extLst>
            <c:ext xmlns:c16="http://schemas.microsoft.com/office/drawing/2014/chart" uri="{C3380CC4-5D6E-409C-BE32-E72D297353CC}">
              <c16:uniqueId val="{00000003-40D6-41A0-A6A1-C7A29290513B}"/>
            </c:ext>
          </c:extLst>
        </c:ser>
        <c:ser>
          <c:idx val="7"/>
          <c:order val="7"/>
          <c:tx>
            <c:strRef>
              <c:f>'individual-chart-peer-mentoring'!$J$2</c:f>
              <c:strCache>
                <c:ptCount val="1"/>
                <c:pt idx="0">
                  <c:v>25%</c:v>
                </c:pt>
              </c:strCache>
            </c:strRef>
          </c:tx>
          <c:spPr>
            <a:solidFill>
              <a:srgbClr val="F3C6C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'individual-chart-peer-mentoring'!$B$3:$B$34</c:f>
              <c:strCache>
                <c:ptCount val="2"/>
                <c:pt idx="0">
                  <c:v>Activity</c:v>
                </c:pt>
                <c:pt idx="1">
                  <c:v>Outputs</c:v>
                </c:pt>
              </c:strCache>
              <c:extLst/>
            </c:strRef>
          </c:cat>
          <c:val>
            <c:numRef>
              <c:f>'individual-chart-peer-mentoring'!$J$3:$J$34</c:f>
              <c:numCache>
                <c:formatCode>General</c:formatCode>
                <c:ptCount val="2"/>
              </c:numCache>
              <c:extLst/>
            </c:numRef>
          </c:val>
          <c:extLst>
            <c:ext xmlns:c16="http://schemas.microsoft.com/office/drawing/2014/chart" uri="{C3380CC4-5D6E-409C-BE32-E72D297353CC}">
              <c16:uniqueId val="{00000004-40D6-41A0-A6A1-C7A29290513B}"/>
            </c:ext>
          </c:extLst>
        </c:ser>
        <c:ser>
          <c:idx val="8"/>
          <c:order val="8"/>
          <c:tx>
            <c:strRef>
              <c:f>'individual-chart-peer-mentoring'!$K$2</c:f>
              <c:strCache>
                <c:ptCount val="1"/>
                <c:pt idx="0">
                  <c:v>10%</c:v>
                </c:pt>
              </c:strCache>
            </c:strRef>
          </c:tx>
          <c:spPr>
            <a:solidFill>
              <a:schemeClr val="accent2">
                <a:tint val="56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'individual-chart-peer-mentoring'!$B$3:$B$34</c:f>
              <c:strCache>
                <c:ptCount val="2"/>
                <c:pt idx="0">
                  <c:v>Activity</c:v>
                </c:pt>
                <c:pt idx="1">
                  <c:v>Outputs</c:v>
                </c:pt>
              </c:strCache>
              <c:extLst/>
            </c:strRef>
          </c:cat>
          <c:val>
            <c:numRef>
              <c:f>'individual-chart-peer-mentoring'!$K$3:$K$34</c:f>
              <c:numCache>
                <c:formatCode>General</c:formatCode>
                <c:ptCount val="2"/>
              </c:numCache>
              <c:extLst/>
            </c:numRef>
          </c:val>
          <c:extLst>
            <c:ext xmlns:c16="http://schemas.microsoft.com/office/drawing/2014/chart" uri="{C3380CC4-5D6E-409C-BE32-E72D297353CC}">
              <c16:uniqueId val="{00000005-40D6-41A0-A6A1-C7A29290513B}"/>
            </c:ext>
          </c:extLst>
        </c:ser>
        <c:ser>
          <c:idx val="9"/>
          <c:order val="9"/>
          <c:tx>
            <c:strRef>
              <c:f>'individual-chart-peer-mentoring'!$L$2</c:f>
              <c:strCache>
                <c:ptCount val="1"/>
                <c:pt idx="0">
                  <c:v>Not Started</c:v>
                </c:pt>
              </c:strCache>
            </c:strRef>
          </c:tx>
          <c:spPr>
            <a:solidFill>
              <a:srgbClr val="FCF2F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'individual-chart-peer-mentoring'!$B$3:$B$34</c:f>
              <c:strCache>
                <c:ptCount val="2"/>
                <c:pt idx="0">
                  <c:v>Activity</c:v>
                </c:pt>
                <c:pt idx="1">
                  <c:v>Outputs</c:v>
                </c:pt>
              </c:strCache>
              <c:extLst/>
            </c:strRef>
          </c:cat>
          <c:val>
            <c:numRef>
              <c:f>'individual-chart-peer-mentoring'!$L$3:$L$34</c:f>
              <c:numCache>
                <c:formatCode>General</c:formatCode>
                <c:ptCount val="2"/>
              </c:numCache>
              <c:extLst/>
            </c:numRef>
          </c:val>
          <c:extLst>
            <c:ext xmlns:c16="http://schemas.microsoft.com/office/drawing/2014/chart" uri="{C3380CC4-5D6E-409C-BE32-E72D297353CC}">
              <c16:uniqueId val="{00000006-40D6-41A0-A6A1-C7A29290513B}"/>
            </c:ext>
          </c:extLst>
        </c:ser>
        <c:dLbls>
          <c:dLblPos val="ctr"/>
          <c:showLegendKey val="0"/>
          <c:showVal val="1"/>
          <c:showCatName val="0"/>
          <c:showSerName val="0"/>
          <c:showPercent val="0"/>
          <c:showBubbleSize val="0"/>
        </c:dLbls>
        <c:gapWidth val="150"/>
        <c:overlap val="100"/>
        <c:axId val="790958128"/>
        <c:axId val="790961408"/>
        <c:extLst>
          <c:ext xmlns:c15="http://schemas.microsoft.com/office/drawing/2012/chart" uri="{02D57815-91ED-43cb-92C2-25804820EDAC}">
            <c15:filteredBarSeries>
              <c15:ser>
                <c:idx val="0"/>
                <c:order val="0"/>
                <c:tx>
                  <c:strRef>
                    <c:extLst>
                      <c:ext uri="{02D57815-91ED-43cb-92C2-25804820EDAC}">
                        <c15:formulaRef>
                          <c15:sqref>'individual-chart-peer-mentoring'!$C$2</c15:sqref>
                        </c15:formulaRef>
                      </c:ext>
                    </c:extLst>
                    <c:strCache>
                      <c:ptCount val="1"/>
                      <c:pt idx="0">
                        <c:v>Completed</c:v>
                      </c:pt>
                    </c:strCache>
                  </c:strRef>
                </c:tx>
                <c:spPr>
                  <a:solidFill>
                    <a:schemeClr val="accent2">
                      <a:shade val="42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c:ext uri="{02D57815-91ED-43cb-92C2-25804820EDAC}">
                        <c15:formulaRef>
                          <c15:sqref>'individual-chart-peer-mentoring'!$B$3:$B$34</c15:sqref>
                        </c15:formulaRef>
                      </c:ext>
                    </c:extLst>
                    <c:strCache>
                      <c:ptCount val="2"/>
                      <c:pt idx="0">
                        <c:v>Activity</c:v>
                      </c:pt>
                      <c:pt idx="1">
                        <c:v>Outputs</c:v>
                      </c:pt>
                    </c:strCache>
                  </c:strRef>
                </c:cat>
                <c:val>
                  <c:numRef>
                    <c:extLst>
                      <c:ext uri="{02D57815-91ED-43cb-92C2-25804820EDAC}">
                        <c15:formulaRef>
                          <c15:sqref>'individual-chart-peer-mentoring'!$C$3:$C$34</c15:sqref>
                        </c15:formulaRef>
                      </c:ext>
                    </c:extLst>
                    <c:numCache>
                      <c:formatCode>0%</c:formatCode>
                      <c:ptCount val="2"/>
                      <c:pt idx="0">
                        <c:v>0.75</c:v>
                      </c:pt>
                      <c:pt idx="1">
                        <c:v>0.75</c:v>
                      </c:pt>
                    </c:numCache>
                  </c:numRef>
                </c:val>
                <c:extLst>
                  <c:ext xmlns:c16="http://schemas.microsoft.com/office/drawing/2014/chart" uri="{C3380CC4-5D6E-409C-BE32-E72D297353CC}">
                    <c16:uniqueId val="{00000007-40D6-41A0-A6A1-C7A29290513B}"/>
                  </c:ext>
                </c:extLst>
              </c15:ser>
            </c15:filteredBarSeries>
            <c15:filteredBarSeries>
              <c15:ser>
                <c:idx val="1"/>
                <c:order val="1"/>
                <c:tx>
                  <c:strRef>
                    <c:extLst xmlns:c15="http://schemas.microsoft.com/office/drawing/2012/chart">
                      <c:ext xmlns:c15="http://schemas.microsoft.com/office/drawing/2012/chart" uri="{02D57815-91ED-43cb-92C2-25804820EDAC}">
                        <c15:formulaRef>
                          <c15:sqref>'individual-chart-peer-mentoring'!$D$2</c15:sqref>
                        </c15:formulaRef>
                      </c:ext>
                    </c:extLst>
                    <c:strCache>
                      <c:ptCount val="1"/>
                      <c:pt idx="0">
                        <c:v>In progress</c:v>
                      </c:pt>
                    </c:strCache>
                  </c:strRef>
                </c:tx>
                <c:spPr>
                  <a:solidFill>
                    <a:schemeClr val="accent2">
                      <a:shade val="5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'individual-chart-peer-mentoring'!$B$3:$B$34</c15:sqref>
                        </c15:formulaRef>
                      </c:ext>
                    </c:extLst>
                    <c:strCache>
                      <c:ptCount val="2"/>
                      <c:pt idx="0">
                        <c:v>Activity</c:v>
                      </c:pt>
                      <c:pt idx="1">
                        <c:v>Outputs</c:v>
                      </c:pt>
                    </c:strCache>
                  </c:strRef>
                </c:cat>
                <c:val>
                  <c:numRef>
                    <c:extLst xmlns:c15="http://schemas.microsoft.com/office/drawing/2012/chart">
                      <c:ext xmlns:c15="http://schemas.microsoft.com/office/drawing/2012/chart" uri="{02D57815-91ED-43cb-92C2-25804820EDAC}">
                        <c15:formulaRef>
                          <c15:sqref>'individual-chart-peer-mentoring'!$D$3:$D$34</c15:sqref>
                        </c15:formulaRef>
                      </c:ext>
                    </c:extLst>
                    <c:numCache>
                      <c:formatCode>0%</c:formatCode>
                      <c:ptCount val="2"/>
                      <c:pt idx="0">
                        <c:v>0.25</c:v>
                      </c:pt>
                      <c:pt idx="1">
                        <c:v>0.25</c:v>
                      </c:pt>
                    </c:numCache>
                  </c:numRef>
                </c:val>
                <c:extLst xmlns:c15="http://schemas.microsoft.com/office/drawing/2012/chart">
                  <c:ext xmlns:c16="http://schemas.microsoft.com/office/drawing/2014/chart" uri="{C3380CC4-5D6E-409C-BE32-E72D297353CC}">
                    <c16:uniqueId val="{00000008-40D6-41A0-A6A1-C7A29290513B}"/>
                  </c:ext>
                </c:extLst>
              </c15:ser>
            </c15:filteredBarSeries>
            <c15:filteredBarSeries>
              <c15:ser>
                <c:idx val="2"/>
                <c:order val="2"/>
                <c:tx>
                  <c:strRef>
                    <c:extLst xmlns:c15="http://schemas.microsoft.com/office/drawing/2012/chart">
                      <c:ext xmlns:c15="http://schemas.microsoft.com/office/drawing/2012/chart" uri="{02D57815-91ED-43cb-92C2-25804820EDAC}">
                        <c15:formulaRef>
                          <c15:sqref>'individual-chart-peer-mentoring'!$E$2</c15:sqref>
                        </c15:formulaRef>
                      </c:ext>
                    </c:extLst>
                    <c:strCache>
                      <c:ptCount val="1"/>
                      <c:pt idx="0">
                        <c:v>Not started</c:v>
                      </c:pt>
                    </c:strCache>
                  </c:strRef>
                </c:tx>
                <c:spPr>
                  <a:solidFill>
                    <a:schemeClr val="accent2">
                      <a:shade val="68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'individual-chart-peer-mentoring'!$B$3:$B$34</c15:sqref>
                        </c15:formulaRef>
                      </c:ext>
                    </c:extLst>
                    <c:strCache>
                      <c:ptCount val="2"/>
                      <c:pt idx="0">
                        <c:v>Activity</c:v>
                      </c:pt>
                      <c:pt idx="1">
                        <c:v>Outputs</c:v>
                      </c:pt>
                    </c:strCache>
                  </c:strRef>
                </c:cat>
                <c:val>
                  <c:numRef>
                    <c:extLst xmlns:c15="http://schemas.microsoft.com/office/drawing/2012/chart">
                      <c:ext xmlns:c15="http://schemas.microsoft.com/office/drawing/2012/chart" uri="{02D57815-91ED-43cb-92C2-25804820EDAC}">
                        <c15:formulaRef>
                          <c15:sqref>'individual-chart-peer-mentoring'!$E$3:$E$34</c15:sqref>
                        </c15:formulaRef>
                      </c:ext>
                    </c:extLst>
                    <c:numCache>
                      <c:formatCode>General</c:formatCode>
                      <c:ptCount val="2"/>
                    </c:numCache>
                  </c:numRef>
                </c:val>
                <c:extLst xmlns:c15="http://schemas.microsoft.com/office/drawing/2012/chart">
                  <c:ext xmlns:c16="http://schemas.microsoft.com/office/drawing/2014/chart" uri="{C3380CC4-5D6E-409C-BE32-E72D297353CC}">
                    <c16:uniqueId val="{00000009-40D6-41A0-A6A1-C7A29290513B}"/>
                  </c:ext>
                </c:extLst>
              </c15:ser>
            </c15:filteredBarSeries>
          </c:ext>
        </c:extLst>
      </c:barChart>
      <c:catAx>
        <c:axId val="7909581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n-US"/>
          </a:p>
        </c:txPr>
        <c:crossAx val="790961408"/>
        <c:crosses val="autoZero"/>
        <c:auto val="1"/>
        <c:lblAlgn val="ctr"/>
        <c:lblOffset val="100"/>
        <c:noMultiLvlLbl val="0"/>
      </c:catAx>
      <c:valAx>
        <c:axId val="790961408"/>
        <c:scaling>
          <c:orientation val="minMax"/>
          <c:min val="0"/>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90958128"/>
        <c:crossesAt val="1"/>
        <c:crossBetween val="between"/>
      </c:valAx>
      <c:spPr>
        <a:noFill/>
        <a:ln>
          <a:noFill/>
        </a:ln>
        <a:effectLst/>
      </c:spPr>
    </c:plotArea>
    <c:legend>
      <c:legendPos val="t"/>
      <c:layout>
        <c:manualLayout>
          <c:xMode val="edge"/>
          <c:yMode val="edge"/>
          <c:x val="0.16878354491402861"/>
          <c:y val="0.14071530758226036"/>
          <c:w val="0.78488188976377948"/>
          <c:h val="8.3691663005643596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userShapes r:id="rId5"/>
</c:chartSpace>
</file>

<file path=word/charts/chart9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all" spc="120" normalizeH="0" baseline="0">
                <a:solidFill>
                  <a:schemeClr val="tx1">
                    <a:lumMod val="65000"/>
                    <a:lumOff val="35000"/>
                  </a:schemeClr>
                </a:solidFill>
                <a:latin typeface="+mn-lt"/>
                <a:ea typeface="+mn-ea"/>
                <a:cs typeface="+mn-cs"/>
              </a:defRPr>
            </a:pPr>
            <a:r>
              <a:rPr lang="en-US"/>
              <a:t>Progress </a:t>
            </a:r>
            <a:r>
              <a:rPr lang="en-US" sz="1600" b="1" i="0" u="none" strike="noStrike" cap="all" normalizeH="0" baseline="0">
                <a:effectLst/>
              </a:rPr>
              <a:t>Business Engagement Activities </a:t>
            </a:r>
            <a:endParaRPr lang="en-US"/>
          </a:p>
        </c:rich>
      </c:tx>
      <c:overlay val="0"/>
      <c:spPr>
        <a:noFill/>
        <a:ln>
          <a:noFill/>
        </a:ln>
        <a:effectLst/>
      </c:spPr>
      <c:txPr>
        <a:bodyPr rot="0" spcFirstLastPara="1" vertOverflow="ellipsis" vert="horz" wrap="square" anchor="ctr" anchorCtr="1"/>
        <a:lstStyle/>
        <a:p>
          <a:pPr>
            <a:defRPr sz="1600" b="1" i="0" u="none" strike="noStrike" kern="1200" cap="all" spc="120" normalizeH="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3.3720388225764973E-2"/>
          <c:y val="0.14584098852712488"/>
          <c:w val="0.94109226599161167"/>
          <c:h val="0.62853727315905772"/>
        </c:manualLayout>
      </c:layout>
      <c:barChart>
        <c:barDir val="bar"/>
        <c:grouping val="stacked"/>
        <c:varyColors val="0"/>
        <c:ser>
          <c:idx val="2"/>
          <c:order val="2"/>
          <c:tx>
            <c:strRef>
              <c:f>'activities-percent-completed'!$D$3</c:f>
              <c:strCache>
                <c:ptCount val="1"/>
                <c:pt idx="0">
                  <c:v>Completed</c:v>
                </c:pt>
              </c:strCache>
            </c:strRef>
          </c:tx>
          <c:spPr>
            <a:solidFill>
              <a:srgbClr val="B22724"/>
            </a:solidFill>
            <a:ln>
              <a:noFill/>
            </a:ln>
            <a:effectLst/>
          </c:spPr>
          <c:invertIfNegative val="0"/>
          <c:dLbls>
            <c:dLbl>
              <c:idx val="0"/>
              <c:layout>
                <c:manualLayout>
                  <c:x val="0"/>
                  <c:y val="0.24089372028072661"/>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51D8-4747-B724-34A9FB9281E2}"/>
                </c:ext>
              </c:extLst>
            </c:dLbl>
            <c:spPr>
              <a:noFill/>
              <a:ln>
                <a:noFill/>
              </a:ln>
              <a:effectLst/>
            </c:spPr>
            <c:txPr>
              <a:bodyPr rot="0" spcFirstLastPara="1" vertOverflow="ellipsis" vert="horz" wrap="square" lIns="38100" tIns="19050" rIns="38100" bIns="19050" anchor="ctr" anchorCtr="1">
                <a:spAutoFit/>
              </a:bodyPr>
              <a:lstStyle/>
              <a:p>
                <a:pPr>
                  <a:defRPr sz="16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'activities-percent-completed'!$A$4:$A$11</c:f>
              <c:strCache>
                <c:ptCount val="1"/>
                <c:pt idx="0">
                  <c:v>Business Engagement</c:v>
                </c:pt>
              </c:strCache>
              <c:extLst/>
            </c:strRef>
          </c:cat>
          <c:val>
            <c:numRef>
              <c:f>'activities-percent-completed'!$D$4:$D$11</c:f>
              <c:numCache>
                <c:formatCode>0%</c:formatCode>
                <c:ptCount val="1"/>
                <c:pt idx="0">
                  <c:v>7.407407407407407E-2</c:v>
                </c:pt>
              </c:numCache>
              <c:extLst/>
            </c:numRef>
          </c:val>
          <c:extLst>
            <c:ext xmlns:c16="http://schemas.microsoft.com/office/drawing/2014/chart" uri="{C3380CC4-5D6E-409C-BE32-E72D297353CC}">
              <c16:uniqueId val="{00000001-51D8-4747-B724-34A9FB9281E2}"/>
            </c:ext>
          </c:extLst>
        </c:ser>
        <c:ser>
          <c:idx val="3"/>
          <c:order val="3"/>
          <c:tx>
            <c:strRef>
              <c:f>'activities-percent-completed'!$E$3</c:f>
              <c:strCache>
                <c:ptCount val="1"/>
                <c:pt idx="0">
                  <c:v>90%</c:v>
                </c:pt>
              </c:strCache>
            </c:strRef>
          </c:tx>
          <c:spPr>
            <a:solidFill>
              <a:schemeClr val="accent4"/>
            </a:solidFill>
            <a:ln>
              <a:noFill/>
            </a:ln>
            <a:effectLst/>
          </c:spPr>
          <c:invertIfNegative val="0"/>
          <c:dLbls>
            <c:dLbl>
              <c:idx val="0"/>
              <c:layout>
                <c:manualLayout>
                  <c:x val="-1.5605468205210186E-3"/>
                  <c:y val="0.24089372028072661"/>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51D8-4747-B724-34A9FB9281E2}"/>
                </c:ext>
              </c:extLst>
            </c:dLbl>
            <c:spPr>
              <a:noFill/>
              <a:ln>
                <a:noFill/>
              </a:ln>
              <a:effectLst/>
            </c:spPr>
            <c:txPr>
              <a:bodyPr rot="0" spcFirstLastPara="1" vertOverflow="ellipsis" vert="horz" wrap="square" lIns="38100" tIns="19050" rIns="38100" bIns="19050" anchor="ctr" anchorCtr="1">
                <a:spAutoFit/>
              </a:bodyPr>
              <a:lstStyle/>
              <a:p>
                <a:pPr>
                  <a:defRPr sz="16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'activities-percent-completed'!$A$4:$A$11</c:f>
              <c:strCache>
                <c:ptCount val="1"/>
                <c:pt idx="0">
                  <c:v>Business Engagement</c:v>
                </c:pt>
              </c:strCache>
              <c:extLst/>
            </c:strRef>
          </c:cat>
          <c:val>
            <c:numRef>
              <c:f>'activities-percent-completed'!$E$4:$E$11</c:f>
              <c:numCache>
                <c:formatCode>0%</c:formatCode>
                <c:ptCount val="1"/>
                <c:pt idx="0">
                  <c:v>0.1111111111111111</c:v>
                </c:pt>
              </c:numCache>
              <c:extLst/>
            </c:numRef>
          </c:val>
          <c:extLst>
            <c:ext xmlns:c16="http://schemas.microsoft.com/office/drawing/2014/chart" uri="{C3380CC4-5D6E-409C-BE32-E72D297353CC}">
              <c16:uniqueId val="{00000003-51D8-4747-B724-34A9FB9281E2}"/>
            </c:ext>
          </c:extLst>
        </c:ser>
        <c:ser>
          <c:idx val="4"/>
          <c:order val="4"/>
          <c:tx>
            <c:strRef>
              <c:f>'activities-percent-completed'!$F$3</c:f>
              <c:strCache>
                <c:ptCount val="1"/>
                <c:pt idx="0">
                  <c:v>75%</c:v>
                </c:pt>
              </c:strCache>
            </c:strRef>
          </c:tx>
          <c:spPr>
            <a:solidFill>
              <a:srgbClr val="FFFF66"/>
            </a:solidFill>
            <a:ln>
              <a:noFill/>
            </a:ln>
            <a:effectLst/>
          </c:spPr>
          <c:invertIfNegative val="0"/>
          <c:dLbls>
            <c:dLbl>
              <c:idx val="0"/>
              <c:layout>
                <c:manualLayout>
                  <c:x val="0"/>
                  <c:y val="0.24920040029040677"/>
                </c:manualLayout>
              </c:layout>
              <c:spPr>
                <a:noFill/>
                <a:ln>
                  <a:noFill/>
                </a:ln>
                <a:effectLst/>
              </c:spPr>
              <c:txPr>
                <a:bodyPr rot="0" spcFirstLastPara="1" vertOverflow="ellipsis" vert="horz" wrap="square" lIns="38100" tIns="19050" rIns="38100" bIns="19050" anchor="ctr" anchorCtr="1">
                  <a:spAutoFit/>
                </a:bodyPr>
                <a:lstStyle/>
                <a:p>
                  <a:pPr>
                    <a:defRPr sz="16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51D8-4747-B724-34A9FB9281E2}"/>
                </c:ext>
              </c:extLst>
            </c:dLbl>
            <c:spPr>
              <a:solidFill>
                <a:srgbClr val="FFFF66"/>
              </a:solidFill>
              <a:ln>
                <a:noFill/>
              </a:ln>
              <a:effectLst/>
            </c:spPr>
            <c:txPr>
              <a:bodyPr rot="0" spcFirstLastPara="1" vertOverflow="ellipsis" vert="horz" wrap="square" lIns="38100" tIns="19050" rIns="38100" bIns="19050" anchor="ctr" anchorCtr="1">
                <a:spAutoFit/>
              </a:bodyPr>
              <a:lstStyle/>
              <a:p>
                <a:pPr>
                  <a:defRPr sz="16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'activities-percent-completed'!$A$4:$A$11</c:f>
              <c:strCache>
                <c:ptCount val="1"/>
                <c:pt idx="0">
                  <c:v>Business Engagement</c:v>
                </c:pt>
              </c:strCache>
              <c:extLst/>
            </c:strRef>
          </c:cat>
          <c:val>
            <c:numRef>
              <c:f>'activities-percent-completed'!$F$4:$F$11</c:f>
              <c:numCache>
                <c:formatCode>0%</c:formatCode>
                <c:ptCount val="1"/>
                <c:pt idx="0">
                  <c:v>0.1111111111111111</c:v>
                </c:pt>
              </c:numCache>
              <c:extLst/>
            </c:numRef>
          </c:val>
          <c:extLst>
            <c:ext xmlns:c16="http://schemas.microsoft.com/office/drawing/2014/chart" uri="{C3380CC4-5D6E-409C-BE32-E72D297353CC}">
              <c16:uniqueId val="{00000005-51D8-4747-B724-34A9FB9281E2}"/>
            </c:ext>
          </c:extLst>
        </c:ser>
        <c:ser>
          <c:idx val="5"/>
          <c:order val="5"/>
          <c:tx>
            <c:strRef>
              <c:f>'activities-percent-completed'!$G$3</c:f>
              <c:strCache>
                <c:ptCount val="1"/>
                <c:pt idx="0">
                  <c:v>50%</c:v>
                </c:pt>
              </c:strCache>
            </c:strRef>
          </c:tx>
          <c:spPr>
            <a:solidFill>
              <a:schemeClr val="accent6"/>
            </a:solidFill>
            <a:ln>
              <a:noFill/>
            </a:ln>
            <a:effectLst/>
          </c:spPr>
          <c:invertIfNegative val="0"/>
          <c:dLbls>
            <c:dLbl>
              <c:idx val="0"/>
              <c:layout>
                <c:manualLayout>
                  <c:x val="0"/>
                  <c:y val="0.23674038027588651"/>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51D8-4747-B724-34A9FB9281E2}"/>
                </c:ext>
              </c:extLst>
            </c:dLbl>
            <c:spPr>
              <a:noFill/>
              <a:ln>
                <a:noFill/>
              </a:ln>
              <a:effectLst/>
            </c:spPr>
            <c:txPr>
              <a:bodyPr rot="0" spcFirstLastPara="1" vertOverflow="ellipsis" vert="horz" wrap="square" lIns="38100" tIns="19050" rIns="38100" bIns="19050" anchor="ctr" anchorCtr="1">
                <a:spAutoFit/>
              </a:bodyPr>
              <a:lstStyle/>
              <a:p>
                <a:pPr>
                  <a:defRPr sz="16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'activities-percent-completed'!$A$4:$A$11</c:f>
              <c:strCache>
                <c:ptCount val="1"/>
                <c:pt idx="0">
                  <c:v>Business Engagement</c:v>
                </c:pt>
              </c:strCache>
              <c:extLst/>
            </c:strRef>
          </c:cat>
          <c:val>
            <c:numRef>
              <c:f>'activities-percent-completed'!$G$4:$G$11</c:f>
              <c:numCache>
                <c:formatCode>0%</c:formatCode>
                <c:ptCount val="1"/>
                <c:pt idx="0">
                  <c:v>7.407407407407407E-2</c:v>
                </c:pt>
              </c:numCache>
              <c:extLst/>
            </c:numRef>
          </c:val>
          <c:extLst>
            <c:ext xmlns:c16="http://schemas.microsoft.com/office/drawing/2014/chart" uri="{C3380CC4-5D6E-409C-BE32-E72D297353CC}">
              <c16:uniqueId val="{00000007-51D8-4747-B724-34A9FB9281E2}"/>
            </c:ext>
          </c:extLst>
        </c:ser>
        <c:ser>
          <c:idx val="6"/>
          <c:order val="6"/>
          <c:tx>
            <c:strRef>
              <c:f>'activities-percent-completed'!$H$3</c:f>
              <c:strCache>
                <c:ptCount val="1"/>
                <c:pt idx="0">
                  <c:v>25%</c:v>
                </c:pt>
              </c:strCache>
            </c:strRef>
          </c:tx>
          <c:spPr>
            <a:solidFill>
              <a:srgbClr val="15FFFF"/>
            </a:solidFill>
            <a:ln>
              <a:noFill/>
            </a:ln>
            <a:effectLst/>
          </c:spPr>
          <c:invertIfNegative val="0"/>
          <c:dLbls>
            <c:dLbl>
              <c:idx val="0"/>
              <c:layout>
                <c:manualLayout>
                  <c:x val="1.4044921384689168E-2"/>
                  <c:y val="0.25335374029524688"/>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51D8-4747-B724-34A9FB9281E2}"/>
                </c:ext>
              </c:extLst>
            </c:dLbl>
            <c:spPr>
              <a:noFill/>
              <a:ln>
                <a:noFill/>
              </a:ln>
              <a:effectLst/>
            </c:spPr>
            <c:txPr>
              <a:bodyPr rot="0" spcFirstLastPara="1" vertOverflow="ellipsis" vert="horz" wrap="square" lIns="38100" tIns="19050" rIns="38100" bIns="19050" anchor="ctr" anchorCtr="1">
                <a:spAutoFit/>
              </a:bodyPr>
              <a:lstStyle/>
              <a:p>
                <a:pPr>
                  <a:defRPr sz="16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'activities-percent-completed'!$A$4:$A$11</c:f>
              <c:strCache>
                <c:ptCount val="1"/>
                <c:pt idx="0">
                  <c:v>Business Engagement</c:v>
                </c:pt>
              </c:strCache>
              <c:extLst/>
            </c:strRef>
          </c:cat>
          <c:val>
            <c:numRef>
              <c:f>'activities-percent-completed'!$H$4:$H$11</c:f>
              <c:numCache>
                <c:formatCode>0%</c:formatCode>
                <c:ptCount val="1"/>
                <c:pt idx="0">
                  <c:v>0.44444444444444442</c:v>
                </c:pt>
              </c:numCache>
              <c:extLst/>
            </c:numRef>
          </c:val>
          <c:extLst>
            <c:ext xmlns:c16="http://schemas.microsoft.com/office/drawing/2014/chart" uri="{C3380CC4-5D6E-409C-BE32-E72D297353CC}">
              <c16:uniqueId val="{00000009-51D8-4747-B724-34A9FB9281E2}"/>
            </c:ext>
          </c:extLst>
        </c:ser>
        <c:ser>
          <c:idx val="7"/>
          <c:order val="7"/>
          <c:tx>
            <c:strRef>
              <c:f>'activities-percent-completed'!$I$3</c:f>
              <c:strCache>
                <c:ptCount val="1"/>
                <c:pt idx="0">
                  <c:v>10%</c:v>
                </c:pt>
              </c:strCache>
              <c:extLst xmlns:c15="http://schemas.microsoft.com/office/drawing/2012/chart"/>
            </c:strRef>
          </c:tx>
          <c:spPr>
            <a:solidFill>
              <a:srgbClr val="3399FF"/>
            </a:solidFill>
            <a:ln>
              <a:noFill/>
            </a:ln>
            <a:effectLst/>
          </c:spPr>
          <c:invertIfNegative val="0"/>
          <c:dLbls>
            <c:dLbl>
              <c:idx val="0"/>
              <c:layout>
                <c:manualLayout>
                  <c:x val="0"/>
                  <c:y val="0.22428036026136608"/>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51D8-4747-B724-34A9FB9281E2}"/>
                </c:ext>
              </c:extLst>
            </c:dLbl>
            <c:spPr>
              <a:noFill/>
              <a:ln>
                <a:noFill/>
              </a:ln>
              <a:effectLst/>
            </c:spPr>
            <c:txPr>
              <a:bodyPr rot="0" spcFirstLastPara="1" vertOverflow="ellipsis" vert="horz" wrap="square" lIns="38100" tIns="19050" rIns="38100" bIns="19050" anchor="ctr" anchorCtr="1">
                <a:spAutoFit/>
              </a:bodyPr>
              <a:lstStyle/>
              <a:p>
                <a:pPr>
                  <a:defRPr sz="14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'activities-percent-completed'!$A$4:$A$11</c:f>
              <c:strCache>
                <c:ptCount val="1"/>
                <c:pt idx="0">
                  <c:v>Business Engagement</c:v>
                </c:pt>
              </c:strCache>
              <c:extLst/>
            </c:strRef>
          </c:cat>
          <c:val>
            <c:numRef>
              <c:f>'activities-percent-completed'!$I$4:$I$11</c:f>
              <c:numCache>
                <c:formatCode>0%</c:formatCode>
                <c:ptCount val="1"/>
                <c:pt idx="0">
                  <c:v>0</c:v>
                </c:pt>
              </c:numCache>
              <c:extLst/>
            </c:numRef>
          </c:val>
          <c:extLst xmlns:c15="http://schemas.microsoft.com/office/drawing/2012/chart">
            <c:ext xmlns:c16="http://schemas.microsoft.com/office/drawing/2014/chart" uri="{C3380CC4-5D6E-409C-BE32-E72D297353CC}">
              <c16:uniqueId val="{0000000B-51D8-4747-B724-34A9FB9281E2}"/>
            </c:ext>
          </c:extLst>
        </c:ser>
        <c:ser>
          <c:idx val="8"/>
          <c:order val="8"/>
          <c:tx>
            <c:strRef>
              <c:f>'activities-percent-completed'!$J$3</c:f>
              <c:strCache>
                <c:ptCount val="1"/>
                <c:pt idx="0">
                  <c:v>Not started</c:v>
                </c:pt>
              </c:strCache>
              <c:extLst xmlns:c15="http://schemas.microsoft.com/office/drawing/2012/chart"/>
            </c:strRef>
          </c:tx>
          <c:spPr>
            <a:solidFill>
              <a:srgbClr val="7030A0"/>
            </a:solidFill>
            <a:ln>
              <a:noFill/>
            </a:ln>
            <a:effectLst/>
          </c:spPr>
          <c:invertIfNegative val="0"/>
          <c:dLbls>
            <c:dLbl>
              <c:idx val="0"/>
              <c:layout>
                <c:manualLayout>
                  <c:x val="1.5605468205209042E-3"/>
                  <c:y val="0.23674038027588651"/>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51D8-4747-B724-34A9FB9281E2}"/>
                </c:ext>
              </c:extLst>
            </c:dLbl>
            <c:spPr>
              <a:noFill/>
              <a:ln>
                <a:noFill/>
              </a:ln>
              <a:effectLst/>
            </c:spPr>
            <c:txPr>
              <a:bodyPr rot="0" spcFirstLastPara="1" vertOverflow="ellipsis" vert="horz" wrap="square" lIns="38100" tIns="19050" rIns="38100" bIns="19050" anchor="ctr" anchorCtr="1">
                <a:spAutoFit/>
              </a:bodyPr>
              <a:lstStyle/>
              <a:p>
                <a:pPr>
                  <a:defRPr sz="1600" b="0" i="0" u="none" strike="noStrike" kern="1200" baseline="0">
                    <a:solidFill>
                      <a:sysClr val="windowText" lastClr="000000"/>
                    </a:solidFill>
                    <a:latin typeface="+mn-lt"/>
                    <a:ea typeface="+mn-ea"/>
                    <a:cs typeface="+mn-cs"/>
                  </a:defRPr>
                </a:pPr>
                <a:endParaRPr lang="en-US"/>
              </a:p>
            </c:txPr>
            <c:dLblPos val="ct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'activities-percent-completed'!$A$4:$A$11</c:f>
              <c:strCache>
                <c:ptCount val="1"/>
                <c:pt idx="0">
                  <c:v>Business Engagement</c:v>
                </c:pt>
              </c:strCache>
              <c:extLst/>
            </c:strRef>
          </c:cat>
          <c:val>
            <c:numRef>
              <c:f>'activities-percent-completed'!$J$4:$J$11</c:f>
              <c:numCache>
                <c:formatCode>0%</c:formatCode>
                <c:ptCount val="1"/>
                <c:pt idx="0">
                  <c:v>0.18518518518518517</c:v>
                </c:pt>
              </c:numCache>
              <c:extLst/>
            </c:numRef>
          </c:val>
          <c:extLst xmlns:c15="http://schemas.microsoft.com/office/drawing/2012/chart">
            <c:ext xmlns:c16="http://schemas.microsoft.com/office/drawing/2014/chart" uri="{C3380CC4-5D6E-409C-BE32-E72D297353CC}">
              <c16:uniqueId val="{0000000D-51D8-4747-B724-34A9FB9281E2}"/>
            </c:ext>
          </c:extLst>
        </c:ser>
        <c:dLbls>
          <c:dLblPos val="ctr"/>
          <c:showLegendKey val="0"/>
          <c:showVal val="1"/>
          <c:showCatName val="0"/>
          <c:showSerName val="0"/>
          <c:showPercent val="0"/>
          <c:showBubbleSize val="0"/>
        </c:dLbls>
        <c:gapWidth val="79"/>
        <c:overlap val="100"/>
        <c:axId val="610520992"/>
        <c:axId val="610522632"/>
        <c:extLst>
          <c:ext xmlns:c15="http://schemas.microsoft.com/office/drawing/2012/chart" uri="{02D57815-91ED-43cb-92C2-25804820EDAC}">
            <c15:filteredBarSeries>
              <c15:ser>
                <c:idx val="0"/>
                <c:order val="0"/>
                <c:tx>
                  <c:strRef>
                    <c:extLst>
                      <c:ext uri="{02D57815-91ED-43cb-92C2-25804820EDAC}">
                        <c15:formulaRef>
                          <c15:sqref>'activities-percent-completed'!$B$3</c15:sqref>
                        </c15:formulaRef>
                      </c:ext>
                    </c:extLst>
                    <c:strCache>
                      <c:ptCount val="1"/>
                      <c:pt idx="0">
                        <c:v># of Total Activities</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showLeaderLines val="0"/>
                  <c:extLst>
                    <c:ext uri="{CE6537A1-D6FC-4f65-9D91-7224C49458BB}">
                      <c15:showLeaderLines val="1"/>
                      <c15:leaderLines>
                        <c:spPr>
                          <a:ln w="9525">
                            <a:solidFill>
                              <a:schemeClr val="tx1">
                                <a:lumMod val="35000"/>
                                <a:lumOff val="65000"/>
                              </a:schemeClr>
                            </a:solidFill>
                          </a:ln>
                          <a:effectLst/>
                        </c:spPr>
                      </c15:leaderLines>
                    </c:ext>
                  </c:extLst>
                </c:dLbls>
                <c:cat>
                  <c:strRef>
                    <c:extLst>
                      <c:ext uri="{02D57815-91ED-43cb-92C2-25804820EDAC}">
                        <c15:formulaRef>
                          <c15:sqref>'activities-percent-completed'!$A$4:$A$11</c15:sqref>
                        </c15:formulaRef>
                      </c:ext>
                    </c:extLst>
                    <c:strCache>
                      <c:ptCount val="1"/>
                      <c:pt idx="0">
                        <c:v>Business Engagement</c:v>
                      </c:pt>
                    </c:strCache>
                  </c:strRef>
                </c:cat>
                <c:val>
                  <c:numRef>
                    <c:extLst>
                      <c:ext uri="{02D57815-91ED-43cb-92C2-25804820EDAC}">
                        <c15:formulaRef>
                          <c15:sqref>'activities-percent-completed'!$B$4:$B$11</c15:sqref>
                        </c15:formulaRef>
                      </c:ext>
                    </c:extLst>
                    <c:numCache>
                      <c:formatCode>0</c:formatCode>
                      <c:ptCount val="1"/>
                      <c:pt idx="0">
                        <c:v>27</c:v>
                      </c:pt>
                    </c:numCache>
                  </c:numRef>
                </c:val>
                <c:extLst>
                  <c:ext xmlns:c16="http://schemas.microsoft.com/office/drawing/2014/chart" uri="{C3380CC4-5D6E-409C-BE32-E72D297353CC}">
                    <c16:uniqueId val="{0000000E-51D8-4747-B724-34A9FB9281E2}"/>
                  </c:ext>
                </c:extLst>
              </c15:ser>
            </c15:filteredBarSeries>
            <c15:filteredBarSeries>
              <c15:ser>
                <c:idx val="1"/>
                <c:order val="1"/>
                <c:tx>
                  <c:strRef>
                    <c:extLst xmlns:c15="http://schemas.microsoft.com/office/drawing/2012/chart">
                      <c:ext xmlns:c15="http://schemas.microsoft.com/office/drawing/2012/chart" uri="{02D57815-91ED-43cb-92C2-25804820EDAC}">
                        <c15:formulaRef>
                          <c15:sqref>'activities-percent-completed'!$C$3</c15:sqref>
                        </c15:formulaRef>
                      </c:ext>
                    </c:extLst>
                    <c:strCache>
                      <c:ptCount val="1"/>
                      <c:pt idx="0">
                        <c:v>Average Progress on Activities (%)</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extLst xmlns:c15="http://schemas.microsoft.com/office/drawing/2012/chart">
                      <c:ext xmlns:c15="http://schemas.microsoft.com/office/drawing/2012/chart" uri="{02D57815-91ED-43cb-92C2-25804820EDAC}">
                        <c15:formulaRef>
                          <c15:sqref>'activities-percent-completed'!$A$4:$A$11</c15:sqref>
                        </c15:formulaRef>
                      </c:ext>
                    </c:extLst>
                    <c:strCache>
                      <c:ptCount val="1"/>
                      <c:pt idx="0">
                        <c:v>Business Engagement</c:v>
                      </c:pt>
                    </c:strCache>
                  </c:strRef>
                </c:cat>
                <c:val>
                  <c:numRef>
                    <c:extLst xmlns:c15="http://schemas.microsoft.com/office/drawing/2012/chart">
                      <c:ext xmlns:c15="http://schemas.microsoft.com/office/drawing/2012/chart" uri="{02D57815-91ED-43cb-92C2-25804820EDAC}">
                        <c15:formulaRef>
                          <c15:sqref>'activities-percent-completed'!$C$4:$C$11</c15:sqref>
                        </c15:formulaRef>
                      </c:ext>
                    </c:extLst>
                    <c:numCache>
                      <c:formatCode>0%</c:formatCode>
                      <c:ptCount val="1"/>
                      <c:pt idx="0">
                        <c:v>0.40555555555555556</c:v>
                      </c:pt>
                    </c:numCache>
                  </c:numRef>
                </c:val>
                <c:extLst xmlns:c15="http://schemas.microsoft.com/office/drawing/2012/chart">
                  <c:ext xmlns:c16="http://schemas.microsoft.com/office/drawing/2014/chart" uri="{C3380CC4-5D6E-409C-BE32-E72D297353CC}">
                    <c16:uniqueId val="{0000000F-51D8-4747-B724-34A9FB9281E2}"/>
                  </c:ext>
                </c:extLst>
              </c15:ser>
            </c15:filteredBarSeries>
          </c:ext>
        </c:extLst>
      </c:barChart>
      <c:catAx>
        <c:axId val="610520992"/>
        <c:scaling>
          <c:orientation val="minMax"/>
        </c:scaling>
        <c:delete val="1"/>
        <c:axPos val="l"/>
        <c:majorGridlines>
          <c:spPr>
            <a:ln w="9525" cap="flat" cmpd="sng" algn="ctr">
              <a:solidFill>
                <a:schemeClr val="tx1">
                  <a:lumMod val="15000"/>
                  <a:lumOff val="85000"/>
                </a:schemeClr>
              </a:solidFill>
              <a:round/>
            </a:ln>
            <a:effectLst/>
          </c:spPr>
        </c:majorGridlines>
        <c:minorGridlines>
          <c:spPr>
            <a:ln>
              <a:solidFill>
                <a:schemeClr val="tx1">
                  <a:lumMod val="5000"/>
                  <a:lumOff val="95000"/>
                </a:schemeClr>
              </a:solidFill>
            </a:ln>
            <a:effectLst/>
          </c:spPr>
        </c:minorGridlines>
        <c:numFmt formatCode="General" sourceLinked="1"/>
        <c:majorTickMark val="out"/>
        <c:minorTickMark val="none"/>
        <c:tickLblPos val="nextTo"/>
        <c:crossAx val="610522632"/>
        <c:crosses val="autoZero"/>
        <c:auto val="1"/>
        <c:lblAlgn val="ctr"/>
        <c:lblOffset val="100"/>
        <c:noMultiLvlLbl val="0"/>
      </c:catAx>
      <c:valAx>
        <c:axId val="610522632"/>
        <c:scaling>
          <c:orientation val="minMax"/>
          <c:max val="1"/>
        </c:scaling>
        <c:delete val="0"/>
        <c:axPos val="b"/>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10520992"/>
        <c:crosses val="autoZero"/>
        <c:crossBetween val="between"/>
      </c:valAx>
      <c:spPr>
        <a:noFill/>
        <a:ln>
          <a:noFill/>
        </a:ln>
        <a:effectLst/>
      </c:spPr>
    </c:plotArea>
    <c:legend>
      <c:legendPos val="t"/>
      <c:layout>
        <c:manualLayout>
          <c:xMode val="edge"/>
          <c:yMode val="edge"/>
          <c:x val="4.0980816080805949E-2"/>
          <c:y val="0.82538651831461063"/>
          <c:w val="0.88684646818844848"/>
          <c:h val="0.17461352738632993"/>
        </c:manualLayout>
      </c:layout>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9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4"/>
    </mc:Choice>
    <mc:Fallback>
      <c:style val="4"/>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Topic Area - Business Engagement  Activity #1</a:t>
            </a:r>
          </a:p>
        </c:rich>
      </c:tx>
      <c:layout>
        <c:manualLayout>
          <c:xMode val="edge"/>
          <c:yMode val="edge"/>
          <c:x val="0.20401584330345343"/>
          <c:y val="0"/>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6017916604892113"/>
          <c:y val="0.23265365094271845"/>
          <c:w val="0.78942722632790041"/>
          <c:h val="0.66602748393145406"/>
        </c:manualLayout>
      </c:layout>
      <c:barChart>
        <c:barDir val="col"/>
        <c:grouping val="percentStacked"/>
        <c:varyColors val="0"/>
        <c:ser>
          <c:idx val="3"/>
          <c:order val="3"/>
          <c:tx>
            <c:strRef>
              <c:f>'individual-business'!$F$2</c:f>
              <c:strCache>
                <c:ptCount val="1"/>
                <c:pt idx="0">
                  <c:v>Completed</c:v>
                </c:pt>
              </c:strCache>
            </c:strRef>
          </c:tx>
          <c:spPr>
            <a:solidFill>
              <a:srgbClr val="99221F"/>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800" b="0"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'individual-business'!$B$3:$B$46</c:f>
              <c:strCache>
                <c:ptCount val="2"/>
                <c:pt idx="0">
                  <c:v>Activity</c:v>
                </c:pt>
                <c:pt idx="1">
                  <c:v>Outputs</c:v>
                </c:pt>
              </c:strCache>
              <c:extLst/>
            </c:strRef>
          </c:cat>
          <c:val>
            <c:numRef>
              <c:f>'individual-business'!$F$3:$F$46</c:f>
              <c:numCache>
                <c:formatCode>General</c:formatCode>
                <c:ptCount val="2"/>
              </c:numCache>
              <c:extLst/>
            </c:numRef>
          </c:val>
          <c:extLst>
            <c:ext xmlns:c16="http://schemas.microsoft.com/office/drawing/2014/chart" uri="{C3380CC4-5D6E-409C-BE32-E72D297353CC}">
              <c16:uniqueId val="{00000000-CF7E-4A3B-AB3B-755E5E189CAE}"/>
            </c:ext>
          </c:extLst>
        </c:ser>
        <c:ser>
          <c:idx val="4"/>
          <c:order val="4"/>
          <c:tx>
            <c:strRef>
              <c:f>'individual-business'!$G$2</c:f>
              <c:strCache>
                <c:ptCount val="1"/>
                <c:pt idx="0">
                  <c:v>90%</c:v>
                </c:pt>
              </c:strCache>
            </c:strRef>
          </c:tx>
          <c:spPr>
            <a:solidFill>
              <a:srgbClr val="D73D39"/>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'individual-business'!$B$3:$B$46</c:f>
              <c:strCache>
                <c:ptCount val="2"/>
                <c:pt idx="0">
                  <c:v>Activity</c:v>
                </c:pt>
                <c:pt idx="1">
                  <c:v>Outputs</c:v>
                </c:pt>
              </c:strCache>
              <c:extLst/>
            </c:strRef>
          </c:cat>
          <c:val>
            <c:numRef>
              <c:f>'individual-business'!$G$3:$G$46</c:f>
              <c:numCache>
                <c:formatCode>General</c:formatCode>
                <c:ptCount val="2"/>
              </c:numCache>
              <c:extLst/>
            </c:numRef>
          </c:val>
          <c:extLst>
            <c:ext xmlns:c16="http://schemas.microsoft.com/office/drawing/2014/chart" uri="{C3380CC4-5D6E-409C-BE32-E72D297353CC}">
              <c16:uniqueId val="{00000001-CF7E-4A3B-AB3B-755E5E189CAE}"/>
            </c:ext>
          </c:extLst>
        </c:ser>
        <c:ser>
          <c:idx val="5"/>
          <c:order val="5"/>
          <c:tx>
            <c:strRef>
              <c:f>'individual-business'!$H$2</c:f>
              <c:strCache>
                <c:ptCount val="1"/>
                <c:pt idx="0">
                  <c:v>75%</c:v>
                </c:pt>
              </c:strCache>
            </c:strRef>
          </c:tx>
          <c:spPr>
            <a:solidFill>
              <a:srgbClr val="DC5350"/>
            </a:solidFill>
            <a:ln>
              <a:noFill/>
            </a:ln>
            <a:effectLst/>
          </c:spPr>
          <c:invertIfNegative val="0"/>
          <c:dLbls>
            <c:dLbl>
              <c:idx val="0"/>
              <c:layout>
                <c:manualLayout>
                  <c:x val="-0.16034329698284056"/>
                  <c:y val="7.9207920792078723E-3"/>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CF7E-4A3B-AB3B-755E5E189CAE}"/>
                </c:ext>
              </c:extLst>
            </c:dLbl>
            <c:dLbl>
              <c:idx val="1"/>
              <c:layout>
                <c:manualLayout>
                  <c:x val="-0.15118082286953546"/>
                  <c:y val="-4.840428131366017E-17"/>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CF7E-4A3B-AB3B-755E5E189CAE}"/>
                </c:ext>
              </c:extLst>
            </c:dLbl>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'individual-business'!$B$3:$B$46</c:f>
              <c:strCache>
                <c:ptCount val="2"/>
                <c:pt idx="0">
                  <c:v>Activity</c:v>
                </c:pt>
                <c:pt idx="1">
                  <c:v>Outputs</c:v>
                </c:pt>
              </c:strCache>
              <c:extLst/>
            </c:strRef>
          </c:cat>
          <c:val>
            <c:numRef>
              <c:f>'individual-business'!$H$3:$H$46</c:f>
              <c:numCache>
                <c:formatCode>General</c:formatCode>
                <c:ptCount val="2"/>
              </c:numCache>
              <c:extLst/>
            </c:numRef>
          </c:val>
          <c:extLst>
            <c:ext xmlns:c16="http://schemas.microsoft.com/office/drawing/2014/chart" uri="{C3380CC4-5D6E-409C-BE32-E72D297353CC}">
              <c16:uniqueId val="{00000004-CF7E-4A3B-AB3B-755E5E189CAE}"/>
            </c:ext>
          </c:extLst>
        </c:ser>
        <c:ser>
          <c:idx val="6"/>
          <c:order val="6"/>
          <c:tx>
            <c:strRef>
              <c:f>'individual-business'!$I$2</c:f>
              <c:strCache>
                <c:ptCount val="1"/>
                <c:pt idx="0">
                  <c:v>50%</c:v>
                </c:pt>
              </c:strCache>
            </c:strRef>
          </c:tx>
          <c:spPr>
            <a:solidFill>
              <a:srgbClr val="EBA19F"/>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'individual-business'!$B$3:$B$46</c:f>
              <c:strCache>
                <c:ptCount val="2"/>
                <c:pt idx="0">
                  <c:v>Activity</c:v>
                </c:pt>
                <c:pt idx="1">
                  <c:v>Outputs</c:v>
                </c:pt>
              </c:strCache>
              <c:extLst/>
            </c:strRef>
          </c:cat>
          <c:val>
            <c:numRef>
              <c:f>'individual-business'!$I$3:$I$46</c:f>
              <c:numCache>
                <c:formatCode>General</c:formatCode>
                <c:ptCount val="2"/>
              </c:numCache>
              <c:extLst/>
            </c:numRef>
          </c:val>
          <c:extLst>
            <c:ext xmlns:c16="http://schemas.microsoft.com/office/drawing/2014/chart" uri="{C3380CC4-5D6E-409C-BE32-E72D297353CC}">
              <c16:uniqueId val="{00000005-CF7E-4A3B-AB3B-755E5E189CAE}"/>
            </c:ext>
          </c:extLst>
        </c:ser>
        <c:ser>
          <c:idx val="7"/>
          <c:order val="7"/>
          <c:tx>
            <c:strRef>
              <c:f>'individual-business'!$J$2</c:f>
              <c:strCache>
                <c:ptCount val="1"/>
                <c:pt idx="0">
                  <c:v>25%</c:v>
                </c:pt>
              </c:strCache>
            </c:strRef>
          </c:tx>
          <c:spPr>
            <a:solidFill>
              <a:srgbClr val="F3C6C5"/>
            </a:solidFill>
            <a:ln>
              <a:noFill/>
            </a:ln>
            <a:effectLst/>
          </c:spPr>
          <c:invertIfNegative val="0"/>
          <c:dLbls>
            <c:dLbl>
              <c:idx val="0"/>
              <c:layout>
                <c:manualLayout>
                  <c:x val="2.7805518957558745E-3"/>
                  <c:y val="-1.0081915563957152E-2"/>
                </c:manualLayout>
              </c:layout>
              <c:spPr>
                <a:noFill/>
                <a:ln>
                  <a:noFill/>
                </a:ln>
                <a:effectLst/>
              </c:spPr>
              <c:txPr>
                <a:bodyPr rot="0" spcFirstLastPara="1" vertOverflow="ellipsis" vert="horz" wrap="square" lIns="38100" tIns="19050" rIns="38100" bIns="19050" anchor="ctr" anchorCtr="1">
                  <a:spAutoFit/>
                </a:bodyPr>
                <a:lstStyle/>
                <a:p>
                  <a:pPr>
                    <a:defRPr sz="14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CF7E-4A3B-AB3B-755E5E189CAE}"/>
                </c:ext>
              </c:extLst>
            </c:dLbl>
            <c:dLbl>
              <c:idx val="1"/>
              <c:layout>
                <c:manualLayout>
                  <c:x val="-2.0933850571447942E-3"/>
                  <c:y val="-7.5614366729678641E-3"/>
                </c:manualLayout>
              </c:layout>
              <c:spPr>
                <a:noFill/>
                <a:ln>
                  <a:noFill/>
                </a:ln>
                <a:effectLst/>
              </c:spPr>
              <c:txPr>
                <a:bodyPr rot="0" spcFirstLastPara="1" vertOverflow="ellipsis" vert="horz" wrap="square" lIns="38100" tIns="19050" rIns="38100" bIns="19050" anchor="ctr" anchorCtr="1">
                  <a:spAutoFit/>
                </a:bodyPr>
                <a:lstStyle/>
                <a:p>
                  <a:pPr>
                    <a:defRPr sz="14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CF7E-4A3B-AB3B-755E5E189CAE}"/>
                </c:ext>
              </c:extLst>
            </c:dLbl>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'individual-business'!$B$3:$B$46</c:f>
              <c:strCache>
                <c:ptCount val="2"/>
                <c:pt idx="0">
                  <c:v>Activity</c:v>
                </c:pt>
                <c:pt idx="1">
                  <c:v>Outputs</c:v>
                </c:pt>
              </c:strCache>
              <c:extLst/>
            </c:strRef>
          </c:cat>
          <c:val>
            <c:numRef>
              <c:f>'individual-business'!$J$3:$J$46</c:f>
              <c:numCache>
                <c:formatCode>0%</c:formatCode>
                <c:ptCount val="2"/>
                <c:pt idx="0">
                  <c:v>1</c:v>
                </c:pt>
                <c:pt idx="1">
                  <c:v>1</c:v>
                </c:pt>
              </c:numCache>
              <c:extLst/>
            </c:numRef>
          </c:val>
          <c:extLst>
            <c:ext xmlns:c16="http://schemas.microsoft.com/office/drawing/2014/chart" uri="{C3380CC4-5D6E-409C-BE32-E72D297353CC}">
              <c16:uniqueId val="{00000008-CF7E-4A3B-AB3B-755E5E189CAE}"/>
            </c:ext>
          </c:extLst>
        </c:ser>
        <c:ser>
          <c:idx val="8"/>
          <c:order val="8"/>
          <c:tx>
            <c:strRef>
              <c:f>'individual-business'!$K$2</c:f>
              <c:strCache>
                <c:ptCount val="1"/>
                <c:pt idx="0">
                  <c:v>10%</c:v>
                </c:pt>
              </c:strCache>
            </c:strRef>
          </c:tx>
          <c:spPr>
            <a:solidFill>
              <a:schemeClr val="accent2">
                <a:tint val="56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'individual-business'!$B$3:$B$46</c:f>
              <c:strCache>
                <c:ptCount val="2"/>
                <c:pt idx="0">
                  <c:v>Activity</c:v>
                </c:pt>
                <c:pt idx="1">
                  <c:v>Outputs</c:v>
                </c:pt>
              </c:strCache>
              <c:extLst/>
            </c:strRef>
          </c:cat>
          <c:val>
            <c:numRef>
              <c:f>'individual-business'!$K$3:$K$46</c:f>
              <c:numCache>
                <c:formatCode>General</c:formatCode>
                <c:ptCount val="2"/>
              </c:numCache>
              <c:extLst/>
            </c:numRef>
          </c:val>
          <c:extLst>
            <c:ext xmlns:c16="http://schemas.microsoft.com/office/drawing/2014/chart" uri="{C3380CC4-5D6E-409C-BE32-E72D297353CC}">
              <c16:uniqueId val="{00000009-CF7E-4A3B-AB3B-755E5E189CAE}"/>
            </c:ext>
          </c:extLst>
        </c:ser>
        <c:ser>
          <c:idx val="9"/>
          <c:order val="9"/>
          <c:tx>
            <c:strRef>
              <c:f>'individual-business'!$L$2</c:f>
              <c:strCache>
                <c:ptCount val="1"/>
                <c:pt idx="0">
                  <c:v>Not Started</c:v>
                </c:pt>
              </c:strCache>
            </c:strRef>
          </c:tx>
          <c:spPr>
            <a:solidFill>
              <a:srgbClr val="FCF2F2"/>
            </a:solidFill>
            <a:ln>
              <a:noFill/>
            </a:ln>
            <a:effectLst/>
          </c:spPr>
          <c:invertIfNegative val="0"/>
          <c:dLbls>
            <c:dLbl>
              <c:idx val="1"/>
              <c:layout>
                <c:manualLayout>
                  <c:x val="-0.14659958581288288"/>
                  <c:y val="0"/>
                </c:manualLayout>
              </c:layout>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CF7E-4A3B-AB3B-755E5E189CAE}"/>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'individual-business'!$B$3:$B$46</c:f>
              <c:strCache>
                <c:ptCount val="2"/>
                <c:pt idx="0">
                  <c:v>Activity</c:v>
                </c:pt>
                <c:pt idx="1">
                  <c:v>Outputs</c:v>
                </c:pt>
              </c:strCache>
              <c:extLst/>
            </c:strRef>
          </c:cat>
          <c:val>
            <c:numRef>
              <c:f>'individual-business'!$L$3:$L$46</c:f>
              <c:numCache>
                <c:formatCode>General</c:formatCode>
                <c:ptCount val="2"/>
              </c:numCache>
              <c:extLst/>
            </c:numRef>
          </c:val>
          <c:extLst>
            <c:ext xmlns:c16="http://schemas.microsoft.com/office/drawing/2014/chart" uri="{C3380CC4-5D6E-409C-BE32-E72D297353CC}">
              <c16:uniqueId val="{0000000B-CF7E-4A3B-AB3B-755E5E189CAE}"/>
            </c:ext>
          </c:extLst>
        </c:ser>
        <c:dLbls>
          <c:dLblPos val="ctr"/>
          <c:showLegendKey val="0"/>
          <c:showVal val="1"/>
          <c:showCatName val="0"/>
          <c:showSerName val="0"/>
          <c:showPercent val="0"/>
          <c:showBubbleSize val="0"/>
        </c:dLbls>
        <c:gapWidth val="150"/>
        <c:overlap val="100"/>
        <c:axId val="790958128"/>
        <c:axId val="790961408"/>
        <c:extLst>
          <c:ext xmlns:c15="http://schemas.microsoft.com/office/drawing/2012/chart" uri="{02D57815-91ED-43cb-92C2-25804820EDAC}">
            <c15:filteredBarSeries>
              <c15:ser>
                <c:idx val="0"/>
                <c:order val="0"/>
                <c:tx>
                  <c:strRef>
                    <c:extLst>
                      <c:ext uri="{02D57815-91ED-43cb-92C2-25804820EDAC}">
                        <c15:formulaRef>
                          <c15:sqref>'individual-business'!$C$2</c15:sqref>
                        </c15:formulaRef>
                      </c:ext>
                    </c:extLst>
                    <c:strCache>
                      <c:ptCount val="1"/>
                      <c:pt idx="0">
                        <c:v>Completed</c:v>
                      </c:pt>
                    </c:strCache>
                  </c:strRef>
                </c:tx>
                <c:spPr>
                  <a:solidFill>
                    <a:schemeClr val="accent2">
                      <a:shade val="42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c:ext uri="{02D57815-91ED-43cb-92C2-25804820EDAC}">
                        <c15:formulaRef>
                          <c15:sqref>'individual-business'!$B$3:$B$46</c15:sqref>
                        </c15:formulaRef>
                      </c:ext>
                    </c:extLst>
                    <c:strCache>
                      <c:ptCount val="2"/>
                      <c:pt idx="0">
                        <c:v>Activity</c:v>
                      </c:pt>
                      <c:pt idx="1">
                        <c:v>Outputs</c:v>
                      </c:pt>
                    </c:strCache>
                  </c:strRef>
                </c:cat>
                <c:val>
                  <c:numRef>
                    <c:extLst>
                      <c:ext uri="{02D57815-91ED-43cb-92C2-25804820EDAC}">
                        <c15:formulaRef>
                          <c15:sqref>'individual-business'!$C$3:$C$46</c15:sqref>
                        </c15:formulaRef>
                      </c:ext>
                    </c:extLst>
                    <c:numCache>
                      <c:formatCode>General</c:formatCode>
                      <c:ptCount val="2"/>
                    </c:numCache>
                  </c:numRef>
                </c:val>
                <c:extLst>
                  <c:ext xmlns:c16="http://schemas.microsoft.com/office/drawing/2014/chart" uri="{C3380CC4-5D6E-409C-BE32-E72D297353CC}">
                    <c16:uniqueId val="{0000000C-CF7E-4A3B-AB3B-755E5E189CAE}"/>
                  </c:ext>
                </c:extLst>
              </c15:ser>
            </c15:filteredBarSeries>
            <c15:filteredBarSeries>
              <c15:ser>
                <c:idx val="1"/>
                <c:order val="1"/>
                <c:tx>
                  <c:strRef>
                    <c:extLst xmlns:c15="http://schemas.microsoft.com/office/drawing/2012/chart">
                      <c:ext xmlns:c15="http://schemas.microsoft.com/office/drawing/2012/chart" uri="{02D57815-91ED-43cb-92C2-25804820EDAC}">
                        <c15:formulaRef>
                          <c15:sqref>'individual-business'!$D$2</c15:sqref>
                        </c15:formulaRef>
                      </c:ext>
                    </c:extLst>
                    <c:strCache>
                      <c:ptCount val="1"/>
                      <c:pt idx="0">
                        <c:v>In progress</c:v>
                      </c:pt>
                    </c:strCache>
                  </c:strRef>
                </c:tx>
                <c:spPr>
                  <a:solidFill>
                    <a:schemeClr val="accent2">
                      <a:shade val="5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'individual-business'!$B$3:$B$46</c15:sqref>
                        </c15:formulaRef>
                      </c:ext>
                    </c:extLst>
                    <c:strCache>
                      <c:ptCount val="2"/>
                      <c:pt idx="0">
                        <c:v>Activity</c:v>
                      </c:pt>
                      <c:pt idx="1">
                        <c:v>Outputs</c:v>
                      </c:pt>
                    </c:strCache>
                  </c:strRef>
                </c:cat>
                <c:val>
                  <c:numRef>
                    <c:extLst xmlns:c15="http://schemas.microsoft.com/office/drawing/2012/chart">
                      <c:ext xmlns:c15="http://schemas.microsoft.com/office/drawing/2012/chart" uri="{02D57815-91ED-43cb-92C2-25804820EDAC}">
                        <c15:formulaRef>
                          <c15:sqref>'individual-business'!$D$3:$D$46</c15:sqref>
                        </c15:formulaRef>
                      </c:ext>
                    </c:extLst>
                    <c:numCache>
                      <c:formatCode>0%</c:formatCode>
                      <c:ptCount val="2"/>
                      <c:pt idx="0">
                        <c:v>1</c:v>
                      </c:pt>
                      <c:pt idx="1">
                        <c:v>1</c:v>
                      </c:pt>
                    </c:numCache>
                  </c:numRef>
                </c:val>
                <c:extLst xmlns:c15="http://schemas.microsoft.com/office/drawing/2012/chart">
                  <c:ext xmlns:c16="http://schemas.microsoft.com/office/drawing/2014/chart" uri="{C3380CC4-5D6E-409C-BE32-E72D297353CC}">
                    <c16:uniqueId val="{0000000D-CF7E-4A3B-AB3B-755E5E189CAE}"/>
                  </c:ext>
                </c:extLst>
              </c15:ser>
            </c15:filteredBarSeries>
            <c15:filteredBarSeries>
              <c15:ser>
                <c:idx val="2"/>
                <c:order val="2"/>
                <c:tx>
                  <c:strRef>
                    <c:extLst xmlns:c15="http://schemas.microsoft.com/office/drawing/2012/chart">
                      <c:ext xmlns:c15="http://schemas.microsoft.com/office/drawing/2012/chart" uri="{02D57815-91ED-43cb-92C2-25804820EDAC}">
                        <c15:formulaRef>
                          <c15:sqref>'individual-business'!$E$2</c15:sqref>
                        </c15:formulaRef>
                      </c:ext>
                    </c:extLst>
                    <c:strCache>
                      <c:ptCount val="1"/>
                      <c:pt idx="0">
                        <c:v>Not started</c:v>
                      </c:pt>
                    </c:strCache>
                  </c:strRef>
                </c:tx>
                <c:spPr>
                  <a:solidFill>
                    <a:schemeClr val="accent2">
                      <a:shade val="68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'individual-business'!$B$3:$B$46</c15:sqref>
                        </c15:formulaRef>
                      </c:ext>
                    </c:extLst>
                    <c:strCache>
                      <c:ptCount val="2"/>
                      <c:pt idx="0">
                        <c:v>Activity</c:v>
                      </c:pt>
                      <c:pt idx="1">
                        <c:v>Outputs</c:v>
                      </c:pt>
                    </c:strCache>
                  </c:strRef>
                </c:cat>
                <c:val>
                  <c:numRef>
                    <c:extLst xmlns:c15="http://schemas.microsoft.com/office/drawing/2012/chart">
                      <c:ext xmlns:c15="http://schemas.microsoft.com/office/drawing/2012/chart" uri="{02D57815-91ED-43cb-92C2-25804820EDAC}">
                        <c15:formulaRef>
                          <c15:sqref>'individual-business'!$E$3:$E$46</c15:sqref>
                        </c15:formulaRef>
                      </c:ext>
                    </c:extLst>
                    <c:numCache>
                      <c:formatCode>General</c:formatCode>
                      <c:ptCount val="2"/>
                    </c:numCache>
                  </c:numRef>
                </c:val>
                <c:extLst xmlns:c15="http://schemas.microsoft.com/office/drawing/2012/chart">
                  <c:ext xmlns:c16="http://schemas.microsoft.com/office/drawing/2014/chart" uri="{C3380CC4-5D6E-409C-BE32-E72D297353CC}">
                    <c16:uniqueId val="{0000000E-CF7E-4A3B-AB3B-755E5E189CAE}"/>
                  </c:ext>
                </c:extLst>
              </c15:ser>
            </c15:filteredBarSeries>
          </c:ext>
        </c:extLst>
      </c:barChart>
      <c:catAx>
        <c:axId val="7909581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n-US"/>
          </a:p>
        </c:txPr>
        <c:crossAx val="790961408"/>
        <c:crosses val="autoZero"/>
        <c:auto val="1"/>
        <c:lblAlgn val="ctr"/>
        <c:lblOffset val="100"/>
        <c:noMultiLvlLbl val="0"/>
      </c:catAx>
      <c:valAx>
        <c:axId val="790961408"/>
        <c:scaling>
          <c:orientation val="minMax"/>
          <c:min val="0"/>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90958128"/>
        <c:crossesAt val="1"/>
        <c:crossBetween val="between"/>
      </c:valAx>
      <c:spPr>
        <a:noFill/>
        <a:ln>
          <a:noFill/>
        </a:ln>
        <a:effectLst/>
      </c:spPr>
    </c:plotArea>
    <c:legend>
      <c:legendPos val="t"/>
      <c:layout>
        <c:manualLayout>
          <c:xMode val="edge"/>
          <c:yMode val="edge"/>
          <c:x val="0.16878354491402861"/>
          <c:y val="0.14071530758226036"/>
          <c:w val="0.78488188976377948"/>
          <c:h val="8.3691663005643596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userShapes r:id="rId5"/>
</c:chartSpace>
</file>

<file path=word/charts/chartEx1.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Sheet1!$G$2:$G$74</cx:f>
        <cx:lvl ptCount="73">
          <cx:pt idx="0">2017</cx:pt>
          <cx:pt idx="1">2018</cx:pt>
          <cx:pt idx="2">2016</cx:pt>
          <cx:pt idx="3">2017</cx:pt>
          <cx:pt idx="4">2019</cx:pt>
          <cx:pt idx="5">2019</cx:pt>
          <cx:pt idx="6">2016</cx:pt>
          <cx:pt idx="7">2018</cx:pt>
          <cx:pt idx="8">2017</cx:pt>
          <cx:pt idx="9">2018</cx:pt>
          <cx:pt idx="10">2019</cx:pt>
          <cx:pt idx="11">2017</cx:pt>
          <cx:pt idx="12">2017</cx:pt>
          <cx:pt idx="13">2017</cx:pt>
          <cx:pt idx="14">2018</cx:pt>
          <cx:pt idx="15">2016</cx:pt>
          <cx:pt idx="16">2018</cx:pt>
          <cx:pt idx="17">2018</cx:pt>
          <cx:pt idx="18">2019</cx:pt>
          <cx:pt idx="19">2018</cx:pt>
          <cx:pt idx="20">2019</cx:pt>
          <cx:pt idx="21">2016</cx:pt>
          <cx:pt idx="22">2017</cx:pt>
          <cx:pt idx="23">2017</cx:pt>
          <cx:pt idx="24">2017</cx:pt>
          <cx:pt idx="25">2018</cx:pt>
          <cx:pt idx="26">2018</cx:pt>
          <cx:pt idx="27">2019</cx:pt>
          <cx:pt idx="28">2016</cx:pt>
          <cx:pt idx="29">2016</cx:pt>
          <cx:pt idx="30">2017</cx:pt>
          <cx:pt idx="31">2019</cx:pt>
          <cx:pt idx="32">2016</cx:pt>
          <cx:pt idx="33">2016</cx:pt>
          <cx:pt idx="34">2019</cx:pt>
          <cx:pt idx="35">2016</cx:pt>
          <cx:pt idx="36">2016</cx:pt>
          <cx:pt idx="37">2016</cx:pt>
          <cx:pt idx="38">2018</cx:pt>
          <cx:pt idx="39">2018</cx:pt>
          <cx:pt idx="40">2016</cx:pt>
          <cx:pt idx="41">2017</cx:pt>
          <cx:pt idx="42">2017</cx:pt>
          <cx:pt idx="43">2017</cx:pt>
          <cx:pt idx="44">2018</cx:pt>
          <cx:pt idx="45">2018</cx:pt>
          <cx:pt idx="46">2017</cx:pt>
          <cx:pt idx="47">2017</cx:pt>
          <cx:pt idx="48">2018</cx:pt>
          <cx:pt idx="49">2019</cx:pt>
          <cx:pt idx="50">2016</cx:pt>
          <cx:pt idx="51">2016</cx:pt>
          <cx:pt idx="52">2016</cx:pt>
          <cx:pt idx="53">2016</cx:pt>
          <cx:pt idx="54">2016</cx:pt>
          <cx:pt idx="55">2016</cx:pt>
          <cx:pt idx="56">2017</cx:pt>
          <cx:pt idx="57">2017</cx:pt>
          <cx:pt idx="58">2017</cx:pt>
          <cx:pt idx="59">2016</cx:pt>
          <cx:pt idx="60">2017</cx:pt>
          <cx:pt idx="61">2018</cx:pt>
          <cx:pt idx="62">2016</cx:pt>
          <cx:pt idx="63">2016</cx:pt>
          <cx:pt idx="64">2019</cx:pt>
          <cx:pt idx="65">2017</cx:pt>
          <cx:pt idx="66">2018</cx:pt>
          <cx:pt idx="67">2016</cx:pt>
          <cx:pt idx="68">2019</cx:pt>
          <cx:pt idx="69">2017</cx:pt>
          <cx:pt idx="70">2016</cx:pt>
          <cx:pt idx="71">2016</cx:pt>
          <cx:pt idx="72">2017</cx:pt>
        </cx:lvl>
      </cx:strDim>
      <cx:numDim type="val">
        <cx:f>Sheet1!$G$2:$G$74</cx:f>
        <cx:lvl ptCount="73" formatCode="General">
          <cx:pt idx="0">2017</cx:pt>
          <cx:pt idx="1">2018</cx:pt>
          <cx:pt idx="2">2016</cx:pt>
          <cx:pt idx="3">2017</cx:pt>
          <cx:pt idx="4">2019</cx:pt>
          <cx:pt idx="5">2019</cx:pt>
          <cx:pt idx="6">2016</cx:pt>
          <cx:pt idx="7">2018</cx:pt>
          <cx:pt idx="8">2017</cx:pt>
          <cx:pt idx="9">2018</cx:pt>
          <cx:pt idx="10">2019</cx:pt>
          <cx:pt idx="11">2017</cx:pt>
          <cx:pt idx="12">2017</cx:pt>
          <cx:pt idx="13">2017</cx:pt>
          <cx:pt idx="14">2018</cx:pt>
          <cx:pt idx="15">2016</cx:pt>
          <cx:pt idx="16">2018</cx:pt>
          <cx:pt idx="17">2018</cx:pt>
          <cx:pt idx="18">2019</cx:pt>
          <cx:pt idx="19">2018</cx:pt>
          <cx:pt idx="20">2019</cx:pt>
          <cx:pt idx="21">2016</cx:pt>
          <cx:pt idx="22">2017</cx:pt>
          <cx:pt idx="23">2017</cx:pt>
          <cx:pt idx="24">2017</cx:pt>
          <cx:pt idx="25">2018</cx:pt>
          <cx:pt idx="26">2018</cx:pt>
          <cx:pt idx="27">2019</cx:pt>
          <cx:pt idx="28">2016</cx:pt>
          <cx:pt idx="29">2016</cx:pt>
          <cx:pt idx="30">2017</cx:pt>
          <cx:pt idx="31">2019</cx:pt>
          <cx:pt idx="32">2016</cx:pt>
          <cx:pt idx="33">2016</cx:pt>
          <cx:pt idx="34">2019</cx:pt>
          <cx:pt idx="35">2016</cx:pt>
          <cx:pt idx="36">2016</cx:pt>
          <cx:pt idx="37">2016</cx:pt>
          <cx:pt idx="38">2018</cx:pt>
          <cx:pt idx="39">2018</cx:pt>
          <cx:pt idx="40">2016</cx:pt>
          <cx:pt idx="41">2017</cx:pt>
          <cx:pt idx="42">2017</cx:pt>
          <cx:pt idx="43">2017</cx:pt>
          <cx:pt idx="44">2018</cx:pt>
          <cx:pt idx="45">2018</cx:pt>
          <cx:pt idx="46">2017</cx:pt>
          <cx:pt idx="47">2017</cx:pt>
          <cx:pt idx="48">2018</cx:pt>
          <cx:pt idx="49">2019</cx:pt>
          <cx:pt idx="50">2016</cx:pt>
          <cx:pt idx="51">2016</cx:pt>
          <cx:pt idx="52">2016</cx:pt>
          <cx:pt idx="53">2016</cx:pt>
          <cx:pt idx="54">2016</cx:pt>
          <cx:pt idx="55">2016</cx:pt>
          <cx:pt idx="56">2017</cx:pt>
          <cx:pt idx="57">2017</cx:pt>
          <cx:pt idx="58">2017</cx:pt>
          <cx:pt idx="59">2016</cx:pt>
          <cx:pt idx="60">2017</cx:pt>
          <cx:pt idx="61">2018</cx:pt>
          <cx:pt idx="62">2016</cx:pt>
          <cx:pt idx="63">2016</cx:pt>
          <cx:pt idx="64">2019</cx:pt>
          <cx:pt idx="65">2017</cx:pt>
          <cx:pt idx="66">2018</cx:pt>
          <cx:pt idx="67">2016</cx:pt>
          <cx:pt idx="68">2019</cx:pt>
          <cx:pt idx="69">2017</cx:pt>
          <cx:pt idx="70">2016</cx:pt>
          <cx:pt idx="71">2016</cx:pt>
          <cx:pt idx="72">2017</cx:pt>
        </cx:lvl>
      </cx:numDim>
    </cx:data>
    <cx:data id="1">
      <cx:numDim type="val">
        <cx:lvl ptCount="0"/>
      </cx:numDim>
    </cx:data>
  </cx:chartData>
  <cx:chart>
    <cx:title pos="t" align="ctr" overlay="0">
      <cx:tx>
        <cx:txData>
          <cx:v># of Forms</cx:v>
        </cx:txData>
      </cx:tx>
      <cx:txPr>
        <a:bodyPr spcFirstLastPara="1" vertOverflow="ellipsis" horzOverflow="overflow" wrap="square" lIns="0" tIns="0" rIns="0" bIns="0" anchor="ctr" anchorCtr="1"/>
        <a:lstStyle/>
        <a:p>
          <a:pPr algn="ctr" rtl="0">
            <a:defRPr/>
          </a:pPr>
          <a:r>
            <a:rPr lang="en-US" sz="1400" b="1" i="0" u="none" strike="noStrike" baseline="0">
              <a:solidFill>
                <a:srgbClr val="000000">
                  <a:lumMod val="65000"/>
                  <a:lumOff val="35000"/>
                </a:srgbClr>
              </a:solidFill>
              <a:latin typeface="Calibri"/>
              <a:cs typeface="Calibri"/>
            </a:rPr>
            <a:t># of Forms</a:t>
          </a:r>
        </a:p>
      </cx:txPr>
    </cx:title>
    <cx:plotArea>
      <cx:plotAreaRegion>
        <cx:series layoutId="clusteredColumn" uniqueId="{948BAEE2-A227-4201-B811-4380437EDF6D}" formatIdx="0">
          <cx:dataId val="0"/>
          <cx:layoutPr>
            <cx:aggregation/>
          </cx:layoutPr>
          <cx:axisId val="1"/>
        </cx:series>
        <cx:series layoutId="paretoLine" ownerIdx="0" uniqueId="{2B968839-D22B-46C7-B9F9-E611C6E151DC}" formatIdx="1">
          <cx:axisId val="2"/>
        </cx:series>
        <cx:series layoutId="clusteredColumn" hidden="1" uniqueId="{FA2AC85B-5EB1-4776-AAF8-86B2E72EA7A5}" formatIdx="2">
          <cx:dataId val="1"/>
          <cx:layoutPr>
            <cx:binning intervalClosed="r"/>
          </cx:layoutPr>
          <cx:axisId val="1"/>
        </cx:series>
        <cx:series layoutId="paretoLine" ownerIdx="2" uniqueId="{5D6958F5-0CD6-4656-B5AA-2474319494EB}" formatIdx="3">
          <cx:axisId val="2"/>
        </cx:series>
      </cx:plotAreaRegion>
      <cx:axis id="0">
        <cx:catScaling gapWidth="0"/>
        <cx:tickLabels/>
      </cx:axis>
      <cx:axis id="1" hidden="1">
        <cx:valScaling/>
        <cx:majorGridlines/>
        <cx:tickLabels/>
      </cx:axis>
      <cx:axis id="2">
        <cx:valScaling max="1" min="0"/>
        <cx:units unit="percentage"/>
        <cx:tickLabels/>
      </cx:axis>
    </cx:plotArea>
  </cx:chart>
  <cx:clrMapOvr bg1="lt1" tx1="dk1" bg2="lt2" tx2="dk2" accent1="accent1" accent2="accent2" accent3="accent3" accent4="accent4" accent5="accent5" accent6="accent6" hlink="hlink" folHlink="folHlink"/>
</cx:chartSpace>
</file>

<file path=word/charts/chartEx10.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Sheet2!$E$6:$E$8</cx:f>
        <cx:lvl ptCount="3">
          <cx:pt idx="0">Targeted TA</cx:pt>
          <cx:pt idx="1">Intensive TA</cx:pt>
          <cx:pt idx="2">All TA</cx:pt>
        </cx:lvl>
      </cx:strDim>
      <cx:numDim type="val">
        <cx:f>Sheet2!$F$6:$F$8</cx:f>
        <cx:lvl ptCount="3" formatCode="General">
          <cx:pt idx="0">8</cx:pt>
          <cx:pt idx="1">169</cx:pt>
          <cx:pt idx="2">177</cx:pt>
        </cx:lvl>
      </cx:numDim>
    </cx:data>
  </cx:chartData>
  <cx:chart>
    <cx:title pos="t" align="ctr" overlay="0">
      <cx:tx>
        <cx:txData>
          <cx:v># of Contracts</cx:v>
        </cx:txData>
      </cx:tx>
      <cx:txPr>
        <a:bodyPr spcFirstLastPara="1" vertOverflow="ellipsis" horzOverflow="overflow" wrap="square" lIns="0" tIns="0" rIns="0" bIns="0" anchor="ctr" anchorCtr="1"/>
        <a:lstStyle/>
        <a:p>
          <a:pPr algn="ctr" rtl="0">
            <a:defRPr/>
          </a:pPr>
          <a:r>
            <a:rPr lang="en-US" sz="1400" b="1" i="0" u="none" strike="noStrike" baseline="0">
              <a:solidFill>
                <a:srgbClr val="000000">
                  <a:lumMod val="65000"/>
                  <a:lumOff val="35000"/>
                </a:srgbClr>
              </a:solidFill>
              <a:latin typeface="Calibri"/>
              <a:cs typeface="Calibri"/>
            </a:rPr>
            <a:t># of Contracts</a:t>
          </a:r>
        </a:p>
      </cx:txPr>
    </cx:title>
    <cx:plotArea>
      <cx:plotAreaRegion>
        <cx:series layoutId="funnel" uniqueId="{7BF36CEC-E2B1-49EE-A235-D276865F4724}">
          <cx:dataLabels>
            <cx:visibility seriesName="0" categoryName="0" value="1"/>
          </cx:dataLabels>
          <cx:dataId val="0"/>
        </cx:series>
      </cx:plotAreaRegion>
      <cx:axis id="0">
        <cx:catScaling gapWidth="0.0599999987"/>
        <cx:tickLabels/>
      </cx:axis>
    </cx:plotArea>
  </cx:chart>
</cx:chartSpace>
</file>

<file path=word/charts/chartEx11.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Sheet2!$G$6:$G$8</cx:f>
        <cx:lvl ptCount="3">
          <cx:pt idx="0">Targeted TA</cx:pt>
          <cx:pt idx="1">Intensive TA</cx:pt>
          <cx:pt idx="2">All TA</cx:pt>
        </cx:lvl>
      </cx:strDim>
      <cx:numDim type="val">
        <cx:f>Sheet2!$H$6:$H$8</cx:f>
        <cx:lvl ptCount="3" formatCode="General">
          <cx:pt idx="0">14</cx:pt>
          <cx:pt idx="1">72</cx:pt>
          <cx:pt idx="2">86</cx:pt>
        </cx:lvl>
      </cx:numDim>
    </cx:data>
  </cx:chartData>
  <cx:chart>
    <cx:title pos="t" align="ctr" overlay="0">
      <cx:tx>
        <cx:txData>
          <cx:v># of SEA/LEA Agreeements Reviewed/Revised</cx:v>
        </cx:txData>
      </cx:tx>
      <cx:txPr>
        <a:bodyPr spcFirstLastPara="1" vertOverflow="ellipsis" horzOverflow="overflow" wrap="square" lIns="0" tIns="0" rIns="0" bIns="0" anchor="ctr" anchorCtr="1"/>
        <a:lstStyle/>
        <a:p>
          <a:pPr algn="ctr" rtl="0">
            <a:defRPr/>
          </a:pPr>
          <a:r>
            <a:rPr lang="en-US" sz="1400" b="1" i="0" u="none" strike="noStrike" baseline="0">
              <a:solidFill>
                <a:srgbClr val="000000">
                  <a:lumMod val="65000"/>
                  <a:lumOff val="35000"/>
                </a:srgbClr>
              </a:solidFill>
              <a:latin typeface="Calibri"/>
              <a:cs typeface="Calibri"/>
            </a:rPr>
            <a:t># of SEA/LEA Agreeements Reviewed/Revised</a:t>
          </a:r>
        </a:p>
      </cx:txPr>
    </cx:title>
    <cx:plotArea>
      <cx:plotAreaRegion>
        <cx:series layoutId="funnel" uniqueId="{196AC51C-A2FF-42F4-9E8E-63920BD189CA}">
          <cx:dataLabels>
            <cx:visibility seriesName="0" categoryName="0" value="1"/>
          </cx:dataLabels>
          <cx:dataId val="0"/>
        </cx:series>
      </cx:plotAreaRegion>
      <cx:axis id="0">
        <cx:catScaling gapWidth="0.0599999987"/>
        <cx:tickLabels/>
      </cx:axis>
    </cx:plotArea>
  </cx:chart>
</cx:chartSpace>
</file>

<file path=word/charts/chartEx12.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Sheet2!$I$6:$I$8</cx:f>
        <cx:lvl ptCount="3">
          <cx:pt idx="0">Targeted TA</cx:pt>
          <cx:pt idx="1">Intensive TA</cx:pt>
          <cx:pt idx="2">All TA</cx:pt>
        </cx:lvl>
      </cx:strDim>
      <cx:numDim type="val">
        <cx:f>Sheet2!$J$6:$J$8</cx:f>
        <cx:lvl ptCount="3" formatCode="General">
          <cx:pt idx="0">103</cx:pt>
          <cx:pt idx="1">609</cx:pt>
          <cx:pt idx="2">712</cx:pt>
        </cx:lvl>
      </cx:numDim>
    </cx:data>
  </cx:chartData>
  <cx:chart>
    <cx:title pos="t" align="ctr" overlay="0">
      <cx:tx>
        <cx:txData>
          <cx:v># of TA Calls</cx:v>
        </cx:txData>
      </cx:tx>
      <cx:txPr>
        <a:bodyPr spcFirstLastPara="1" vertOverflow="ellipsis" horzOverflow="overflow" wrap="square" lIns="0" tIns="0" rIns="0" bIns="0" anchor="ctr" anchorCtr="1"/>
        <a:lstStyle/>
        <a:p>
          <a:pPr algn="ctr" rtl="0">
            <a:defRPr/>
          </a:pPr>
          <a:r>
            <a:rPr lang="en-US" sz="1400" b="1" i="0" u="none" strike="noStrike" baseline="0">
              <a:solidFill>
                <a:srgbClr val="000000">
                  <a:lumMod val="65000"/>
                  <a:lumOff val="35000"/>
                </a:srgbClr>
              </a:solidFill>
              <a:latin typeface="Calibri"/>
              <a:cs typeface="Calibri"/>
            </a:rPr>
            <a:t># of TA Calls</a:t>
          </a:r>
        </a:p>
      </cx:txPr>
    </cx:title>
    <cx:plotArea>
      <cx:plotAreaRegion>
        <cx:series layoutId="funnel" uniqueId="{671FFA53-3715-41CF-BCA6-DB5BBA4AB286}">
          <cx:dataLabels>
            <cx:visibility seriesName="0" categoryName="0" value="1"/>
          </cx:dataLabels>
          <cx:dataId val="0"/>
        </cx:series>
      </cx:plotAreaRegion>
      <cx:axis id="0">
        <cx:catScaling gapWidth="0.0599999987"/>
        <cx:tickLabels/>
      </cx:axis>
    </cx:plotArea>
  </cx:chart>
</cx:chartSpace>
</file>

<file path=word/charts/chartEx13.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Sheet2!$K$6:$K$8</cx:f>
        <cx:lvl ptCount="3">
          <cx:pt idx="0">Targeted TA</cx:pt>
          <cx:pt idx="1">Intensive TA</cx:pt>
          <cx:pt idx="2">All TA</cx:pt>
        </cx:lvl>
      </cx:strDim>
      <cx:numDim type="val">
        <cx:f>Sheet2!$L$6:$L$8</cx:f>
        <cx:lvl ptCount="3" formatCode="General">
          <cx:pt idx="0">141</cx:pt>
          <cx:pt idx="1">424</cx:pt>
          <cx:pt idx="2">565</cx:pt>
        </cx:lvl>
      </cx:numDim>
    </cx:data>
  </cx:chartData>
  <cx:chart>
    <cx:title pos="t" align="ctr" overlay="0">
      <cx:tx>
        <cx:txData>
          <cx:v># of Questions Answered</cx:v>
        </cx:txData>
      </cx:tx>
      <cx:txPr>
        <a:bodyPr spcFirstLastPara="1" vertOverflow="ellipsis" horzOverflow="overflow" wrap="square" lIns="0" tIns="0" rIns="0" bIns="0" anchor="ctr" anchorCtr="1"/>
        <a:lstStyle/>
        <a:p>
          <a:pPr algn="ctr" rtl="0">
            <a:defRPr/>
          </a:pPr>
          <a:r>
            <a:rPr lang="en-US" sz="1400" b="1" i="0" u="none" strike="noStrike" baseline="0">
              <a:solidFill>
                <a:srgbClr val="000000">
                  <a:lumMod val="65000"/>
                  <a:lumOff val="35000"/>
                </a:srgbClr>
              </a:solidFill>
              <a:latin typeface="Calibri"/>
              <a:cs typeface="Calibri"/>
            </a:rPr>
            <a:t># of Questions Answered</a:t>
          </a:r>
        </a:p>
      </cx:txPr>
    </cx:title>
    <cx:plotArea>
      <cx:plotAreaRegion>
        <cx:series layoutId="funnel" uniqueId="{0BFC0ADA-BA27-4019-ADA8-236C8CAF7970}">
          <cx:dataLabels>
            <cx:visibility seriesName="0" categoryName="0" value="1"/>
          </cx:dataLabels>
          <cx:dataId val="0"/>
        </cx:series>
      </cx:plotAreaRegion>
      <cx:axis id="0">
        <cx:catScaling gapWidth="0.0599999987"/>
        <cx:tickLabels/>
      </cx:axis>
    </cx:plotArea>
  </cx:chart>
</cx:chartSpace>
</file>

<file path=word/charts/chartEx14.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Sheet2!$M$6:$M$8</cx:f>
        <cx:lvl ptCount="3">
          <cx:pt idx="0">Targeted TA</cx:pt>
          <cx:pt idx="1">Intensive TA</cx:pt>
          <cx:pt idx="2">All TA</cx:pt>
        </cx:lvl>
      </cx:strDim>
      <cx:numDim type="val">
        <cx:f>Sheet2!$N$6:$N$8</cx:f>
        <cx:lvl ptCount="3" formatCode="General">
          <cx:pt idx="0">14</cx:pt>
          <cx:pt idx="1">69</cx:pt>
          <cx:pt idx="2">83</cx:pt>
        </cx:lvl>
      </cx:numDim>
    </cx:data>
  </cx:chartData>
  <cx:chart>
    <cx:title pos="t" align="ctr" overlay="0">
      <cx:tx>
        <cx:txData>
          <cx:v># of Site Visits</cx:v>
        </cx:txData>
      </cx:tx>
      <cx:txPr>
        <a:bodyPr spcFirstLastPara="1" vertOverflow="ellipsis" horzOverflow="overflow" wrap="square" lIns="0" tIns="0" rIns="0" bIns="0" anchor="ctr" anchorCtr="1"/>
        <a:lstStyle/>
        <a:p>
          <a:pPr algn="ctr" rtl="0">
            <a:defRPr/>
          </a:pPr>
          <a:r>
            <a:rPr lang="en-US" sz="1400" b="1" i="0" u="none" strike="noStrike" baseline="0">
              <a:solidFill>
                <a:srgbClr val="000000">
                  <a:lumMod val="65000"/>
                  <a:lumOff val="35000"/>
                </a:srgbClr>
              </a:solidFill>
              <a:latin typeface="Calibri"/>
              <a:cs typeface="Calibri"/>
            </a:rPr>
            <a:t># of Site Visits</a:t>
          </a:r>
        </a:p>
      </cx:txPr>
    </cx:title>
    <cx:plotArea>
      <cx:plotAreaRegion>
        <cx:series layoutId="funnel" uniqueId="{05F1EC49-E1EA-4180-A176-C434BFCB7587}">
          <cx:dataLabels>
            <cx:visibility seriesName="0" categoryName="0" value="1"/>
          </cx:dataLabels>
          <cx:dataId val="0"/>
        </cx:series>
      </cx:plotAreaRegion>
      <cx:axis id="0">
        <cx:catScaling gapWidth="0.0599999987"/>
        <cx:tickLabels/>
      </cx:axis>
    </cx:plotArea>
  </cx:chart>
</cx:chartSpace>
</file>

<file path=word/charts/chartEx15.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Sheet6!$C$2:$C$13</cx:f>
        <cx:lvl ptCount="12">
          <cx:pt idx="0">2016Q4</cx:pt>
          <cx:pt idx="1">2017Q1</cx:pt>
          <cx:pt idx="2">2017Q2</cx:pt>
          <cx:pt idx="3">2017Q3</cx:pt>
          <cx:pt idx="4">2017Q4</cx:pt>
          <cx:pt idx="5">2018Q1</cx:pt>
          <cx:pt idx="6">2018Q2</cx:pt>
          <cx:pt idx="7">2018Q3</cx:pt>
          <cx:pt idx="8">2018Q4</cx:pt>
          <cx:pt idx="9">2019Q1</cx:pt>
          <cx:pt idx="10">2019Q2</cx:pt>
          <cx:pt idx="11">2019Q3</cx:pt>
        </cx:lvl>
      </cx:strDim>
      <cx:numDim type="val">
        <cx:f>Sheet6!$D$2:$D$13</cx:f>
        <cx:lvl ptCount="12" formatCode="General">
          <cx:pt idx="0">215</cx:pt>
          <cx:pt idx="1">132</cx:pt>
          <cx:pt idx="2">143</cx:pt>
          <cx:pt idx="3">357</cx:pt>
          <cx:pt idx="4">1014</cx:pt>
          <cx:pt idx="5">312</cx:pt>
          <cx:pt idx="6">2826</cx:pt>
          <cx:pt idx="7">1388</cx:pt>
          <cx:pt idx="8">4215</cx:pt>
          <cx:pt idx="9">3160</cx:pt>
          <cx:pt idx="10">10508</cx:pt>
          <cx:pt idx="11">23235</cx:pt>
        </cx:lvl>
      </cx:numDim>
    </cx:data>
  </cx:chartData>
  <cx:chart>
    <cx:title pos="t" align="ctr" overlay="0">
      <cx:tx>
        <cx:txData>
          <cx:v>Log-Ins</cx:v>
        </cx:txData>
      </cx:tx>
      <cx:txPr>
        <a:bodyPr spcFirstLastPara="1" vertOverflow="ellipsis" horzOverflow="overflow" wrap="square" lIns="0" tIns="0" rIns="0" bIns="0" anchor="ctr" anchorCtr="1"/>
        <a:lstStyle/>
        <a:p>
          <a:pPr algn="ctr" rtl="0">
            <a:defRPr/>
          </a:pPr>
          <a:r>
            <a:rPr lang="en-US" sz="1400" b="1" i="0" u="none" strike="noStrike" baseline="0">
              <a:solidFill>
                <a:sysClr val="windowText" lastClr="000000">
                  <a:lumMod val="65000"/>
                  <a:lumOff val="35000"/>
                </a:sysClr>
              </a:solidFill>
              <a:latin typeface="Calibri" panose="020F0502020204030204"/>
            </a:rPr>
            <a:t>Log-Ins</a:t>
          </a:r>
        </a:p>
      </cx:txPr>
    </cx:title>
    <cx:plotArea>
      <cx:plotAreaRegion>
        <cx:series layoutId="clusteredColumn" uniqueId="{7AC7BDFA-97D5-434D-AE5D-A2FF0AF085E2}" formatIdx="0">
          <cx:tx>
            <cx:txData>
              <cx:f>Sheet6!$D$1</cx:f>
              <cx:v>Log-Ins</cx:v>
            </cx:txData>
          </cx:tx>
          <cx:dataLabels>
            <cx:visibility seriesName="0" categoryName="0" value="1"/>
          </cx:dataLabels>
          <cx:dataId val="0"/>
          <cx:layoutPr>
            <cx:aggregation/>
          </cx:layoutPr>
        </cx:series>
      </cx:plotAreaRegion>
      <cx:axis id="0">
        <cx:catScaling gapWidth="0"/>
        <cx:tickLabels/>
      </cx:axis>
      <cx:axis id="1">
        <cx:valScaling/>
        <cx:majorGridlines/>
        <cx:tickLabels/>
      </cx:axis>
    </cx:plotArea>
  </cx:chart>
  <cx:clrMapOvr bg1="lt1" tx1="dk1" bg2="lt2" tx2="dk2" accent1="accent1" accent2="accent2" accent3="accent3" accent4="accent4" accent5="accent5" accent6="accent6" hlink="hlink" folHlink="folHlink"/>
</cx:chartSpace>
</file>

<file path=word/charts/chartEx16.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Sheet6!$G$2:$G$13</cx:f>
        <cx:lvl ptCount="12">
          <cx:pt idx="0">2016Q4</cx:pt>
          <cx:pt idx="1">2017Q1</cx:pt>
          <cx:pt idx="2">2017Q2</cx:pt>
          <cx:pt idx="3">2017Q3</cx:pt>
          <cx:pt idx="4">2017Q4</cx:pt>
          <cx:pt idx="5">2018Q1</cx:pt>
          <cx:pt idx="6">2018Q2</cx:pt>
          <cx:pt idx="7">2018Q3</cx:pt>
          <cx:pt idx="8">2018Q4</cx:pt>
          <cx:pt idx="9">2019Q1</cx:pt>
          <cx:pt idx="10">2019Q2</cx:pt>
          <cx:pt idx="11">2019Q3</cx:pt>
        </cx:lvl>
      </cx:strDim>
      <cx:numDim type="val">
        <cx:f>Sheet6!$H$2:$H$13</cx:f>
        <cx:lvl ptCount="12" formatCode="General">
          <cx:pt idx="0">13</cx:pt>
          <cx:pt idx="1">7</cx:pt>
          <cx:pt idx="2">9</cx:pt>
          <cx:pt idx="3">27</cx:pt>
          <cx:pt idx="4">18</cx:pt>
          <cx:pt idx="5">15</cx:pt>
          <cx:pt idx="6">50</cx:pt>
          <cx:pt idx="7">23</cx:pt>
          <cx:pt idx="8">73</cx:pt>
          <cx:pt idx="9">52</cx:pt>
          <cx:pt idx="10">145</cx:pt>
          <cx:pt idx="11">351</cx:pt>
        </cx:lvl>
      </cx:numDim>
    </cx:data>
  </cx:chartData>
  <cx:chart>
    <cx:title pos="t" align="ctr" overlay="0">
      <cx:tx>
        <cx:txData>
          <cx:v># of Clients Invited</cx:v>
        </cx:txData>
      </cx:tx>
      <cx:txPr>
        <a:bodyPr spcFirstLastPara="1" vertOverflow="ellipsis" horzOverflow="overflow" wrap="square" lIns="0" tIns="0" rIns="0" bIns="0" anchor="ctr" anchorCtr="1"/>
        <a:lstStyle/>
        <a:p>
          <a:pPr algn="ctr" rtl="0">
            <a:defRPr/>
          </a:pPr>
          <a:r>
            <a:rPr lang="en-US" sz="1400" b="1" i="0" u="none" strike="noStrike" baseline="0">
              <a:solidFill>
                <a:sysClr val="windowText" lastClr="000000">
                  <a:lumMod val="65000"/>
                  <a:lumOff val="35000"/>
                </a:sysClr>
              </a:solidFill>
              <a:latin typeface="Calibri" panose="020F0502020204030204"/>
            </a:rPr>
            <a:t># of Clients Invited</a:t>
          </a:r>
        </a:p>
      </cx:txPr>
    </cx:title>
    <cx:plotArea>
      <cx:plotAreaRegion>
        <cx:series layoutId="funnel" uniqueId="{29E6DE94-F7C8-403C-96FE-2C5E1C8FFB06}">
          <cx:dataLabels>
            <cx:visibility seriesName="0" categoryName="0" value="1"/>
          </cx:dataLabels>
          <cx:dataId val="0"/>
        </cx:series>
      </cx:plotAreaRegion>
      <cx:axis id="0">
        <cx:catScaling gapWidth="0.0599999987"/>
        <cx:tickLabels/>
      </cx:axis>
    </cx:plotArea>
  </cx:chart>
</cx:chartSpace>
</file>

<file path=word/charts/chartEx2.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Sheet1!$I$2:$I$74</cx:f>
        <cx:lvl ptCount="73">
          <cx:pt idx="0">2017</cx:pt>
          <cx:pt idx="1">2018</cx:pt>
          <cx:pt idx="2">2016</cx:pt>
          <cx:pt idx="3">2017</cx:pt>
          <cx:pt idx="4">2019</cx:pt>
          <cx:pt idx="5">2019</cx:pt>
          <cx:pt idx="6">2016</cx:pt>
          <cx:pt idx="7">2018</cx:pt>
          <cx:pt idx="8">2017</cx:pt>
          <cx:pt idx="9">2018</cx:pt>
          <cx:pt idx="10">2019</cx:pt>
          <cx:pt idx="11">2017</cx:pt>
          <cx:pt idx="12">2017</cx:pt>
          <cx:pt idx="13">2017</cx:pt>
          <cx:pt idx="14">2018</cx:pt>
          <cx:pt idx="15">2016</cx:pt>
          <cx:pt idx="16">2018</cx:pt>
          <cx:pt idx="17">2018</cx:pt>
          <cx:pt idx="18">2019</cx:pt>
          <cx:pt idx="19">2018</cx:pt>
          <cx:pt idx="20">2019</cx:pt>
          <cx:pt idx="21">2016</cx:pt>
          <cx:pt idx="22">2017</cx:pt>
          <cx:pt idx="23">2017</cx:pt>
          <cx:pt idx="24">2017</cx:pt>
          <cx:pt idx="25">2018</cx:pt>
          <cx:pt idx="26">2018</cx:pt>
          <cx:pt idx="27">2019</cx:pt>
          <cx:pt idx="28">2016</cx:pt>
          <cx:pt idx="29">2016</cx:pt>
          <cx:pt idx="30">2017</cx:pt>
          <cx:pt idx="31">2019</cx:pt>
          <cx:pt idx="32">2016</cx:pt>
          <cx:pt idx="33">2016</cx:pt>
          <cx:pt idx="34">2019</cx:pt>
          <cx:pt idx="35">2016</cx:pt>
          <cx:pt idx="36">2016</cx:pt>
          <cx:pt idx="37">2016</cx:pt>
          <cx:pt idx="38">2018</cx:pt>
          <cx:pt idx="39">2018</cx:pt>
          <cx:pt idx="40">2016</cx:pt>
          <cx:pt idx="41">2017</cx:pt>
          <cx:pt idx="42">2017</cx:pt>
          <cx:pt idx="43">2017</cx:pt>
          <cx:pt idx="44">2018</cx:pt>
          <cx:pt idx="45">2018</cx:pt>
          <cx:pt idx="46">2017</cx:pt>
          <cx:pt idx="47">2017</cx:pt>
          <cx:pt idx="48">2018</cx:pt>
          <cx:pt idx="49">2019</cx:pt>
          <cx:pt idx="50">2016</cx:pt>
          <cx:pt idx="51">2016</cx:pt>
          <cx:pt idx="52">2016</cx:pt>
          <cx:pt idx="53">2016</cx:pt>
          <cx:pt idx="54">2016</cx:pt>
          <cx:pt idx="55">2016</cx:pt>
          <cx:pt idx="56">2017</cx:pt>
          <cx:pt idx="57">2017</cx:pt>
          <cx:pt idx="58">2017</cx:pt>
          <cx:pt idx="59">2016</cx:pt>
          <cx:pt idx="60">2017</cx:pt>
          <cx:pt idx="61">2018</cx:pt>
          <cx:pt idx="62">2016</cx:pt>
          <cx:pt idx="63">2016</cx:pt>
          <cx:pt idx="64">2019</cx:pt>
          <cx:pt idx="65">2017</cx:pt>
          <cx:pt idx="66">2018</cx:pt>
          <cx:pt idx="67">2016</cx:pt>
          <cx:pt idx="68">2019</cx:pt>
          <cx:pt idx="69">2017</cx:pt>
          <cx:pt idx="70">2016</cx:pt>
          <cx:pt idx="71">2016</cx:pt>
          <cx:pt idx="72">2017</cx:pt>
        </cx:lvl>
      </cx:strDim>
      <cx:numDim type="val">
        <cx:f>Sheet1!$I$2:$I$74</cx:f>
        <cx:lvl ptCount="73" formatCode="General">
          <cx:pt idx="0">2017</cx:pt>
          <cx:pt idx="1">2018</cx:pt>
          <cx:pt idx="2">2016</cx:pt>
          <cx:pt idx="3">2017</cx:pt>
          <cx:pt idx="4">2019</cx:pt>
          <cx:pt idx="5">2019</cx:pt>
          <cx:pt idx="6">2016</cx:pt>
          <cx:pt idx="7">2018</cx:pt>
          <cx:pt idx="8">2017</cx:pt>
          <cx:pt idx="9">2018</cx:pt>
          <cx:pt idx="10">2019</cx:pt>
          <cx:pt idx="11">2017</cx:pt>
          <cx:pt idx="12">2017</cx:pt>
          <cx:pt idx="13">2017</cx:pt>
          <cx:pt idx="14">2018</cx:pt>
          <cx:pt idx="15">2016</cx:pt>
          <cx:pt idx="16">2018</cx:pt>
          <cx:pt idx="17">2018</cx:pt>
          <cx:pt idx="18">2019</cx:pt>
          <cx:pt idx="19">2018</cx:pt>
          <cx:pt idx="20">2019</cx:pt>
          <cx:pt idx="21">2016</cx:pt>
          <cx:pt idx="22">2017</cx:pt>
          <cx:pt idx="23">2017</cx:pt>
          <cx:pt idx="24">2017</cx:pt>
          <cx:pt idx="25">2018</cx:pt>
          <cx:pt idx="26">2018</cx:pt>
          <cx:pt idx="27">2019</cx:pt>
          <cx:pt idx="28">2016</cx:pt>
          <cx:pt idx="29">2016</cx:pt>
          <cx:pt idx="30">2017</cx:pt>
          <cx:pt idx="31">2019</cx:pt>
          <cx:pt idx="32">2016</cx:pt>
          <cx:pt idx="33">2016</cx:pt>
          <cx:pt idx="34">2019</cx:pt>
          <cx:pt idx="35">2016</cx:pt>
          <cx:pt idx="36">2016</cx:pt>
          <cx:pt idx="37">2016</cx:pt>
          <cx:pt idx="38">2018</cx:pt>
          <cx:pt idx="39">2018</cx:pt>
          <cx:pt idx="40">2016</cx:pt>
          <cx:pt idx="41">2017</cx:pt>
          <cx:pt idx="42">2017</cx:pt>
          <cx:pt idx="43">2017</cx:pt>
          <cx:pt idx="44">2018</cx:pt>
          <cx:pt idx="45">2018</cx:pt>
          <cx:pt idx="46">2017</cx:pt>
          <cx:pt idx="47">2017</cx:pt>
          <cx:pt idx="48">2018</cx:pt>
          <cx:pt idx="49">2019</cx:pt>
          <cx:pt idx="50">2016</cx:pt>
          <cx:pt idx="51">2016</cx:pt>
          <cx:pt idx="52">2016</cx:pt>
          <cx:pt idx="53">2016</cx:pt>
          <cx:pt idx="54">2016</cx:pt>
          <cx:pt idx="55">2016</cx:pt>
          <cx:pt idx="56">2017</cx:pt>
          <cx:pt idx="57">2017</cx:pt>
          <cx:pt idx="58">2017</cx:pt>
          <cx:pt idx="59">2016</cx:pt>
          <cx:pt idx="60">2017</cx:pt>
          <cx:pt idx="61">2018</cx:pt>
          <cx:pt idx="62">2016</cx:pt>
          <cx:pt idx="63">2016</cx:pt>
          <cx:pt idx="64">2019</cx:pt>
          <cx:pt idx="65">2017</cx:pt>
          <cx:pt idx="66">2018</cx:pt>
          <cx:pt idx="67">2016</cx:pt>
          <cx:pt idx="68">2019</cx:pt>
          <cx:pt idx="69">2017</cx:pt>
          <cx:pt idx="70">2016</cx:pt>
          <cx:pt idx="71">2016</cx:pt>
          <cx:pt idx="72">2017</cx:pt>
        </cx:lvl>
      </cx:numDim>
    </cx:data>
    <cx:data id="1">
      <cx:numDim type="val">
        <cx:lvl ptCount="0"/>
      </cx:numDim>
    </cx:data>
  </cx:chartData>
  <cx:chart>
    <cx:title pos="t" align="ctr" overlay="0">
      <cx:tx>
        <cx:txData>
          <cx:v># of Contracts</cx:v>
        </cx:txData>
      </cx:tx>
      <cx:txPr>
        <a:bodyPr spcFirstLastPara="1" vertOverflow="ellipsis" horzOverflow="overflow" wrap="square" lIns="0" tIns="0" rIns="0" bIns="0" anchor="ctr" anchorCtr="1"/>
        <a:lstStyle/>
        <a:p>
          <a:pPr algn="ctr" rtl="0">
            <a:defRPr/>
          </a:pPr>
          <a:r>
            <a:rPr lang="en-US" sz="1400" b="1" i="0" u="none" strike="noStrike" baseline="0">
              <a:solidFill>
                <a:srgbClr val="000000">
                  <a:lumMod val="65000"/>
                  <a:lumOff val="35000"/>
                </a:srgbClr>
              </a:solidFill>
              <a:latin typeface="Calibri"/>
              <a:cs typeface="Calibri"/>
            </a:rPr>
            <a:t># of Contracts</a:t>
          </a:r>
        </a:p>
      </cx:txPr>
    </cx:title>
    <cx:plotArea>
      <cx:plotAreaRegion>
        <cx:series layoutId="clusteredColumn" uniqueId="{1FFD6833-6C5A-4438-A819-425995F79143}" formatIdx="0">
          <cx:dataId val="0"/>
          <cx:layoutPr>
            <cx:aggregation/>
          </cx:layoutPr>
          <cx:axisId val="1"/>
        </cx:series>
        <cx:series layoutId="paretoLine" ownerIdx="0" uniqueId="{3EF4FD72-61D9-4DB2-B813-297FDF1032F1}" formatIdx="1">
          <cx:axisId val="2"/>
        </cx:series>
        <cx:series layoutId="clusteredColumn" hidden="1" uniqueId="{3CFF565C-64D8-4F3C-85A7-C15D96D0908A}" formatIdx="2">
          <cx:dataId val="1"/>
          <cx:layoutPr>
            <cx:binning intervalClosed="r"/>
          </cx:layoutPr>
          <cx:axisId val="1"/>
        </cx:series>
        <cx:series layoutId="paretoLine" ownerIdx="2" uniqueId="{4AD40C7B-D115-432D-9ED3-1A9F7DD3ADB4}" formatIdx="3">
          <cx:axisId val="2"/>
        </cx:series>
      </cx:plotAreaRegion>
      <cx:axis id="0">
        <cx:catScaling gapWidth="0"/>
        <cx:tickLabels/>
      </cx:axis>
      <cx:axis id="1" hidden="1">
        <cx:valScaling/>
        <cx:majorGridlines/>
        <cx:tickLabels/>
      </cx:axis>
      <cx:axis id="2">
        <cx:valScaling max="1" min="0"/>
        <cx:units unit="percentage"/>
        <cx:tickLabels/>
      </cx:axis>
    </cx:plotArea>
  </cx:chart>
  <cx:clrMapOvr bg1="lt1" tx1="dk1" bg2="lt2" tx2="dk2" accent1="accent1" accent2="accent2" accent3="accent3" accent4="accent4" accent5="accent5" accent6="accent6" hlink="hlink" folHlink="folHlink"/>
</cx:chartSpace>
</file>

<file path=word/charts/chartEx3.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Sheet1!$E$2:$E$74</cx:f>
        <cx:lvl ptCount="73">
          <cx:pt idx="0">2017</cx:pt>
          <cx:pt idx="1">2018</cx:pt>
          <cx:pt idx="2">2016</cx:pt>
          <cx:pt idx="3">2017</cx:pt>
          <cx:pt idx="4">2019</cx:pt>
          <cx:pt idx="5">2019</cx:pt>
          <cx:pt idx="6">2016</cx:pt>
          <cx:pt idx="7">2018</cx:pt>
          <cx:pt idx="8">2017</cx:pt>
          <cx:pt idx="9">2018</cx:pt>
          <cx:pt idx="10">2019</cx:pt>
          <cx:pt idx="11">2017</cx:pt>
          <cx:pt idx="12">2017</cx:pt>
          <cx:pt idx="13">2017</cx:pt>
          <cx:pt idx="14">2018</cx:pt>
          <cx:pt idx="15">2016</cx:pt>
          <cx:pt idx="16">2018</cx:pt>
          <cx:pt idx="17">2018</cx:pt>
          <cx:pt idx="18">2019</cx:pt>
          <cx:pt idx="19">2018</cx:pt>
          <cx:pt idx="20">2019</cx:pt>
          <cx:pt idx="21">2016</cx:pt>
          <cx:pt idx="22">2017</cx:pt>
          <cx:pt idx="23">2017</cx:pt>
          <cx:pt idx="24">2017</cx:pt>
          <cx:pt idx="25">2018</cx:pt>
          <cx:pt idx="26">2018</cx:pt>
          <cx:pt idx="27">2019</cx:pt>
          <cx:pt idx="28">2016</cx:pt>
          <cx:pt idx="29">2016</cx:pt>
          <cx:pt idx="30">2017</cx:pt>
          <cx:pt idx="31">2019</cx:pt>
          <cx:pt idx="32">2016</cx:pt>
          <cx:pt idx="33">2016</cx:pt>
          <cx:pt idx="34">2019</cx:pt>
          <cx:pt idx="35">2016</cx:pt>
          <cx:pt idx="36">2016</cx:pt>
          <cx:pt idx="37">2016</cx:pt>
          <cx:pt idx="38">2018</cx:pt>
          <cx:pt idx="39">2018</cx:pt>
          <cx:pt idx="40">2016</cx:pt>
          <cx:pt idx="41">2017</cx:pt>
          <cx:pt idx="42">2017</cx:pt>
          <cx:pt idx="43">2017</cx:pt>
          <cx:pt idx="44">2018</cx:pt>
          <cx:pt idx="45">2018</cx:pt>
          <cx:pt idx="46">2017</cx:pt>
          <cx:pt idx="47">2017</cx:pt>
          <cx:pt idx="48">2018</cx:pt>
          <cx:pt idx="49">2019</cx:pt>
          <cx:pt idx="50">2016</cx:pt>
          <cx:pt idx="51">2016</cx:pt>
          <cx:pt idx="52">2016</cx:pt>
          <cx:pt idx="53">2016</cx:pt>
          <cx:pt idx="54">2016</cx:pt>
          <cx:pt idx="55">2016</cx:pt>
          <cx:pt idx="56">2017</cx:pt>
          <cx:pt idx="57">2017</cx:pt>
          <cx:pt idx="58">2017</cx:pt>
          <cx:pt idx="59">2016</cx:pt>
          <cx:pt idx="60">2017</cx:pt>
          <cx:pt idx="61">2018</cx:pt>
          <cx:pt idx="62">2016</cx:pt>
          <cx:pt idx="63">2016</cx:pt>
          <cx:pt idx="64">2019</cx:pt>
          <cx:pt idx="65">2017</cx:pt>
          <cx:pt idx="66">2018</cx:pt>
          <cx:pt idx="67">2016</cx:pt>
          <cx:pt idx="68">2019</cx:pt>
          <cx:pt idx="69">2017</cx:pt>
          <cx:pt idx="70">2016</cx:pt>
          <cx:pt idx="71">2016</cx:pt>
          <cx:pt idx="72">2017</cx:pt>
        </cx:lvl>
      </cx:strDim>
      <cx:numDim type="val">
        <cx:f>Sheet1!$F$2:$F$74</cx:f>
        <cx:lvl ptCount="73" formatCode="General">
          <cx:pt idx="0">3</cx:pt>
          <cx:pt idx="1">0</cx:pt>
          <cx:pt idx="2">0</cx:pt>
          <cx:pt idx="3">0</cx:pt>
          <cx:pt idx="4">1</cx:pt>
          <cx:pt idx="5">0</cx:pt>
          <cx:pt idx="6">1</cx:pt>
          <cx:pt idx="7">0</cx:pt>
          <cx:pt idx="8">0</cx:pt>
          <cx:pt idx="9">0</cx:pt>
          <cx:pt idx="10">0</cx:pt>
          <cx:pt idx="11">0</cx:pt>
          <cx:pt idx="12">1</cx:pt>
          <cx:pt idx="13">0</cx:pt>
          <cx:pt idx="14">0</cx:pt>
          <cx:pt idx="15">3</cx:pt>
          <cx:pt idx="16">2</cx:pt>
          <cx:pt idx="17">0</cx:pt>
          <cx:pt idx="18">0</cx:pt>
          <cx:pt idx="19">0</cx:pt>
          <cx:pt idx="20">0</cx:pt>
          <cx:pt idx="21">0</cx:pt>
          <cx:pt idx="22">4</cx:pt>
          <cx:pt idx="23">0</cx:pt>
          <cx:pt idx="24">3</cx:pt>
          <cx:pt idx="25">2</cx:pt>
          <cx:pt idx="26">2</cx:pt>
          <cx:pt idx="27">0</cx:pt>
          <cx:pt idx="28">2</cx:pt>
          <cx:pt idx="29">0</cx:pt>
          <cx:pt idx="30">0</cx:pt>
          <cx:pt idx="31">0</cx:pt>
          <cx:pt idx="32">0</cx:pt>
          <cx:pt idx="33">1</cx:pt>
          <cx:pt idx="34">0</cx:pt>
          <cx:pt idx="35">1</cx:pt>
          <cx:pt idx="36">2</cx:pt>
          <cx:pt idx="37">17</cx:pt>
          <cx:pt idx="38">19</cx:pt>
          <cx:pt idx="39">2</cx:pt>
          <cx:pt idx="40">5</cx:pt>
          <cx:pt idx="41">8</cx:pt>
          <cx:pt idx="42">3</cx:pt>
          <cx:pt idx="43">0</cx:pt>
          <cx:pt idx="44">2</cx:pt>
          <cx:pt idx="45">2</cx:pt>
          <cx:pt idx="46">5</cx:pt>
          <cx:pt idx="47">4</cx:pt>
          <cx:pt idx="48">1</cx:pt>
          <cx:pt idx="49">0</cx:pt>
          <cx:pt idx="50">29</cx:pt>
          <cx:pt idx="51">23</cx:pt>
          <cx:pt idx="52">14</cx:pt>
          <cx:pt idx="53">6</cx:pt>
          <cx:pt idx="54">4</cx:pt>
          <cx:pt idx="55">46</cx:pt>
          <cx:pt idx="56">18</cx:pt>
          <cx:pt idx="57">12</cx:pt>
          <cx:pt idx="58">19</cx:pt>
          <cx:pt idx="59">6</cx:pt>
          <cx:pt idx="60">14</cx:pt>
          <cx:pt idx="61">1</cx:pt>
          <cx:pt idx="62">23</cx:pt>
          <cx:pt idx="63">15</cx:pt>
          <cx:pt idx="64">1</cx:pt>
          <cx:pt idx="65">20</cx:pt>
          <cx:pt idx="66">4</cx:pt>
          <cx:pt idx="67">15</cx:pt>
          <cx:pt idx="68">1</cx:pt>
          <cx:pt idx="69">2</cx:pt>
          <cx:pt idx="70">6</cx:pt>
          <cx:pt idx="71">5</cx:pt>
          <cx:pt idx="72">3</cx:pt>
        </cx:lvl>
      </cx:numDim>
    </cx:data>
  </cx:chartData>
  <cx:chart>
    <cx:title pos="t" align="ctr" overlay="0">
      <cx:tx>
        <cx:txData>
          <cx:v># of Policies</cx:v>
        </cx:txData>
      </cx:tx>
      <cx:txPr>
        <a:bodyPr spcFirstLastPara="1" vertOverflow="ellipsis" horzOverflow="overflow" wrap="square" lIns="0" tIns="0" rIns="0" bIns="0" anchor="ctr" anchorCtr="1"/>
        <a:lstStyle/>
        <a:p>
          <a:pPr algn="ctr" rtl="0">
            <a:defRPr/>
          </a:pPr>
          <a:r>
            <a:rPr lang="en-US" sz="1400" b="1" i="0" u="none" strike="noStrike" baseline="0">
              <a:solidFill>
                <a:srgbClr val="000000">
                  <a:lumMod val="65000"/>
                  <a:lumOff val="35000"/>
                </a:srgbClr>
              </a:solidFill>
              <a:latin typeface="Calibri"/>
              <a:cs typeface="Calibri"/>
            </a:rPr>
            <a:t># of Policies</a:t>
          </a:r>
        </a:p>
      </cx:txPr>
    </cx:title>
    <cx:plotArea>
      <cx:plotAreaRegion>
        <cx:series layoutId="clusteredColumn" uniqueId="{3DA11F50-7028-4AF9-A886-487793780839}">
          <cx:dataLabels pos="inEnd">
            <cx:visibility seriesName="0" categoryName="0" value="1"/>
          </cx:dataLabels>
          <cx:dataId val="0"/>
          <cx:layoutPr>
            <cx:aggregation/>
          </cx:layoutPr>
          <cx:axisId val="1"/>
        </cx:series>
        <cx:series layoutId="paretoLine" ownerIdx="0" uniqueId="{A64CBB87-7E27-4B32-8077-187E8B0F227E}">
          <cx:axisId val="2"/>
        </cx:series>
      </cx:plotAreaRegion>
      <cx:axis id="0">
        <cx:catScaling gapWidth="0"/>
        <cx:tickLabels/>
      </cx:axis>
      <cx:axis id="1" hidden="1">
        <cx:valScaling/>
        <cx:majorGridlines/>
        <cx:tickLabels/>
      </cx:axis>
      <cx:axis id="2">
        <cx:valScaling max="1" min="0"/>
        <cx:units unit="percentage"/>
        <cx:tickLabels/>
      </cx:axis>
    </cx:plotArea>
  </cx:chart>
  <cx:clrMapOvr bg1="lt1" tx1="dk1" bg2="lt2" tx2="dk2" accent1="accent1" accent2="accent2" accent3="accent3" accent4="accent4" accent5="accent5" accent6="accent6" hlink="hlink" folHlink="folHlink"/>
</cx:chartSpace>
</file>

<file path=word/charts/chartEx4.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Sheet1!$E$2:$E$74</cx:f>
        <cx:lvl ptCount="73">
          <cx:pt idx="0">2017</cx:pt>
          <cx:pt idx="1">2018</cx:pt>
          <cx:pt idx="2">2016</cx:pt>
          <cx:pt idx="3">2017</cx:pt>
          <cx:pt idx="4">2019</cx:pt>
          <cx:pt idx="5">2019</cx:pt>
          <cx:pt idx="6">2016</cx:pt>
          <cx:pt idx="7">2018</cx:pt>
          <cx:pt idx="8">2017</cx:pt>
          <cx:pt idx="9">2018</cx:pt>
          <cx:pt idx="10">2019</cx:pt>
          <cx:pt idx="11">2017</cx:pt>
          <cx:pt idx="12">2017</cx:pt>
          <cx:pt idx="13">2017</cx:pt>
          <cx:pt idx="14">2018</cx:pt>
          <cx:pt idx="15">2016</cx:pt>
          <cx:pt idx="16">2018</cx:pt>
          <cx:pt idx="17">2018</cx:pt>
          <cx:pt idx="18">2019</cx:pt>
          <cx:pt idx="19">2018</cx:pt>
          <cx:pt idx="20">2019</cx:pt>
          <cx:pt idx="21">2016</cx:pt>
          <cx:pt idx="22">2017</cx:pt>
          <cx:pt idx="23">2017</cx:pt>
          <cx:pt idx="24">2017</cx:pt>
          <cx:pt idx="25">2018</cx:pt>
          <cx:pt idx="26">2018</cx:pt>
          <cx:pt idx="27">2019</cx:pt>
          <cx:pt idx="28">2016</cx:pt>
          <cx:pt idx="29">2016</cx:pt>
          <cx:pt idx="30">2017</cx:pt>
          <cx:pt idx="31">2019</cx:pt>
          <cx:pt idx="32">2016</cx:pt>
          <cx:pt idx="33">2016</cx:pt>
          <cx:pt idx="34">2019</cx:pt>
          <cx:pt idx="35">2016</cx:pt>
          <cx:pt idx="36">2016</cx:pt>
          <cx:pt idx="37">2016</cx:pt>
          <cx:pt idx="38">2018</cx:pt>
          <cx:pt idx="39">2018</cx:pt>
          <cx:pt idx="40">2016</cx:pt>
          <cx:pt idx="41">2017</cx:pt>
          <cx:pt idx="42">2017</cx:pt>
          <cx:pt idx="43">2017</cx:pt>
          <cx:pt idx="44">2018</cx:pt>
          <cx:pt idx="45">2018</cx:pt>
          <cx:pt idx="46">2017</cx:pt>
          <cx:pt idx="47">2017</cx:pt>
          <cx:pt idx="48">2018</cx:pt>
          <cx:pt idx="49">2019</cx:pt>
          <cx:pt idx="50">2016</cx:pt>
          <cx:pt idx="51">2016</cx:pt>
          <cx:pt idx="52">2016</cx:pt>
          <cx:pt idx="53">2016</cx:pt>
          <cx:pt idx="54">2016</cx:pt>
          <cx:pt idx="55">2016</cx:pt>
          <cx:pt idx="56">2017</cx:pt>
          <cx:pt idx="57">2017</cx:pt>
          <cx:pt idx="58">2017</cx:pt>
          <cx:pt idx="59">2016</cx:pt>
          <cx:pt idx="60">2017</cx:pt>
          <cx:pt idx="61">2018</cx:pt>
          <cx:pt idx="62">2016</cx:pt>
          <cx:pt idx="63">2016</cx:pt>
          <cx:pt idx="64">2019</cx:pt>
          <cx:pt idx="65">2017</cx:pt>
          <cx:pt idx="66">2018</cx:pt>
          <cx:pt idx="67">2016</cx:pt>
          <cx:pt idx="68">2019</cx:pt>
          <cx:pt idx="69">2017</cx:pt>
          <cx:pt idx="70">2016</cx:pt>
          <cx:pt idx="71">2016</cx:pt>
          <cx:pt idx="72">2017</cx:pt>
        </cx:lvl>
      </cx:strDim>
      <cx:numDim type="val">
        <cx:f>Sheet1!$L$2:$L$74</cx:f>
        <cx:lvl ptCount="73" formatCode="General">
          <cx:pt idx="0">0</cx:pt>
          <cx:pt idx="1">0</cx:pt>
          <cx:pt idx="2">0</cx:pt>
          <cx:pt idx="3">0</cx:pt>
          <cx:pt idx="4">0</cx:pt>
          <cx:pt idx="5">0</cx:pt>
          <cx:pt idx="6">0</cx:pt>
          <cx:pt idx="7">0</cx:pt>
          <cx:pt idx="8">0</cx:pt>
          <cx:pt idx="9">0</cx:pt>
          <cx:pt idx="10">0</cx:pt>
          <cx:pt idx="11">0</cx:pt>
          <cx:pt idx="12">0</cx:pt>
          <cx:pt idx="13">0</cx:pt>
          <cx:pt idx="14">0</cx:pt>
          <cx:pt idx="15">1</cx:pt>
          <cx:pt idx="16">0</cx:pt>
          <cx:pt idx="17">1</cx:pt>
          <cx:pt idx="18">0</cx:pt>
          <cx:pt idx="19">0</cx:pt>
          <cx:pt idx="20">0</cx:pt>
          <cx:pt idx="21">0</cx:pt>
          <cx:pt idx="22">0</cx:pt>
          <cx:pt idx="23">0</cx:pt>
          <cx:pt idx="24">0</cx:pt>
          <cx:pt idx="25">10</cx:pt>
          <cx:pt idx="26">1</cx:pt>
          <cx:pt idx="27">0</cx:pt>
          <cx:pt idx="28">0</cx:pt>
          <cx:pt idx="29">0</cx:pt>
          <cx:pt idx="30">0</cx:pt>
          <cx:pt idx="31">0</cx:pt>
          <cx:pt idx="32">0</cx:pt>
          <cx:pt idx="33">1</cx:pt>
          <cx:pt idx="34">0</cx:pt>
          <cx:pt idx="35">0</cx:pt>
          <cx:pt idx="36">0</cx:pt>
          <cx:pt idx="37">1</cx:pt>
          <cx:pt idx="38">1</cx:pt>
          <cx:pt idx="39">0</cx:pt>
          <cx:pt idx="40">3</cx:pt>
          <cx:pt idx="41">2</cx:pt>
          <cx:pt idx="42">2</cx:pt>
          <cx:pt idx="43">0</cx:pt>
          <cx:pt idx="44">1</cx:pt>
          <cx:pt idx="45">0</cx:pt>
          <cx:pt idx="46">2</cx:pt>
          <cx:pt idx="47">1</cx:pt>
          <cx:pt idx="48">0</cx:pt>
          <cx:pt idx="49">1</cx:pt>
          <cx:pt idx="50">9</cx:pt>
          <cx:pt idx="51">3</cx:pt>
          <cx:pt idx="52">9</cx:pt>
          <cx:pt idx="53">1</cx:pt>
          <cx:pt idx="54">2</cx:pt>
          <cx:pt idx="55">2</cx:pt>
          <cx:pt idx="56">1</cx:pt>
          <cx:pt idx="57">3</cx:pt>
          <cx:pt idx="58">2</cx:pt>
          <cx:pt idx="59">2</cx:pt>
          <cx:pt idx="60">5</cx:pt>
          <cx:pt idx="61">0</cx:pt>
          <cx:pt idx="62">3</cx:pt>
          <cx:pt idx="63">7</cx:pt>
          <cx:pt idx="64">1</cx:pt>
          <cx:pt idx="65">2</cx:pt>
          <cx:pt idx="66">0</cx:pt>
          <cx:pt idx="67">1</cx:pt>
          <cx:pt idx="68">1</cx:pt>
          <cx:pt idx="69">2</cx:pt>
          <cx:pt idx="70">1</cx:pt>
          <cx:pt idx="71">1</cx:pt>
          <cx:pt idx="72">0</cx:pt>
        </cx:lvl>
      </cx:numDim>
    </cx:data>
  </cx:chartData>
  <cx:chart>
    <cx:title pos="t" align="ctr" overlay="0">
      <cx:tx>
        <cx:txData>
          <cx:v># of SEA/LEA Agreements Reviewed / Revised</cx:v>
        </cx:txData>
      </cx:tx>
      <cx:txPr>
        <a:bodyPr spcFirstLastPara="1" vertOverflow="ellipsis" horzOverflow="overflow" wrap="square" lIns="0" tIns="0" rIns="0" bIns="0" anchor="ctr" anchorCtr="1"/>
        <a:lstStyle/>
        <a:p>
          <a:pPr algn="ctr" rtl="0">
            <a:defRPr/>
          </a:pPr>
          <a:r>
            <a:rPr lang="en-US" sz="1400" b="1" i="0" u="none" strike="noStrike" baseline="0">
              <a:solidFill>
                <a:srgbClr val="000000">
                  <a:lumMod val="65000"/>
                  <a:lumOff val="35000"/>
                </a:srgbClr>
              </a:solidFill>
              <a:latin typeface="Calibri"/>
              <a:cs typeface="Calibri"/>
            </a:rPr>
            <a:t># of SEA/LEA Agreements Reviewed / Revised</a:t>
          </a:r>
        </a:p>
      </cx:txPr>
    </cx:title>
    <cx:plotArea>
      <cx:plotAreaRegion>
        <cx:series layoutId="clusteredColumn" uniqueId="{9B3622DB-23FC-4E66-B1BF-229B69DDAF1C}">
          <cx:dataLabels pos="inEnd">
            <cx:visibility seriesName="0" categoryName="0" value="1"/>
          </cx:dataLabels>
          <cx:dataId val="0"/>
          <cx:layoutPr>
            <cx:aggregation/>
          </cx:layoutPr>
          <cx:axisId val="1"/>
        </cx:series>
        <cx:series layoutId="paretoLine" ownerIdx="0" uniqueId="{EF7AF288-C8D4-4D91-8FDC-B159EDFD3F40}">
          <cx:axisId val="2"/>
        </cx:series>
      </cx:plotAreaRegion>
      <cx:axis id="0">
        <cx:catScaling gapWidth="0"/>
        <cx:tickLabels/>
      </cx:axis>
      <cx:axis id="1" hidden="1">
        <cx:valScaling/>
        <cx:majorGridlines/>
        <cx:tickLabels/>
      </cx:axis>
      <cx:axis id="2">
        <cx:valScaling max="1" min="0"/>
        <cx:units unit="percentage"/>
        <cx:tickLabels/>
      </cx:axis>
    </cx:plotArea>
  </cx:chart>
  <cx:clrMapOvr bg1="lt1" tx1="dk1" bg2="lt2" tx2="dk2" accent1="accent1" accent2="accent2" accent3="accent3" accent4="accent4" accent5="accent5" accent6="accent6" hlink="hlink" folHlink="folHlink"/>
</cx:chartSpace>
</file>

<file path=word/charts/chartEx5.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Sheet1!$M$2:$M$74</cx:f>
        <cx:lvl ptCount="73">
          <cx:pt idx="0">2017</cx:pt>
          <cx:pt idx="1">2018</cx:pt>
          <cx:pt idx="2">2016</cx:pt>
          <cx:pt idx="3">2017</cx:pt>
          <cx:pt idx="4">2019</cx:pt>
          <cx:pt idx="5">2019</cx:pt>
          <cx:pt idx="6">2016</cx:pt>
          <cx:pt idx="7">2018</cx:pt>
          <cx:pt idx="8">2017</cx:pt>
          <cx:pt idx="9">2018</cx:pt>
          <cx:pt idx="10">2019</cx:pt>
          <cx:pt idx="11">2017</cx:pt>
          <cx:pt idx="12">2017</cx:pt>
          <cx:pt idx="13">2017</cx:pt>
          <cx:pt idx="14">2018</cx:pt>
          <cx:pt idx="15">2016</cx:pt>
          <cx:pt idx="16">2018</cx:pt>
          <cx:pt idx="17">2018</cx:pt>
          <cx:pt idx="18">2019</cx:pt>
          <cx:pt idx="19">2018</cx:pt>
          <cx:pt idx="20">2019</cx:pt>
          <cx:pt idx="21">2016</cx:pt>
          <cx:pt idx="22">2017</cx:pt>
          <cx:pt idx="23">2017</cx:pt>
          <cx:pt idx="24">2017</cx:pt>
          <cx:pt idx="25">2018</cx:pt>
          <cx:pt idx="26">2018</cx:pt>
          <cx:pt idx="27">2019</cx:pt>
          <cx:pt idx="28">2016</cx:pt>
          <cx:pt idx="29">2016</cx:pt>
          <cx:pt idx="30">2017</cx:pt>
          <cx:pt idx="31">2019</cx:pt>
          <cx:pt idx="32">2016</cx:pt>
          <cx:pt idx="33">2016</cx:pt>
          <cx:pt idx="34">2019</cx:pt>
          <cx:pt idx="35">2016</cx:pt>
          <cx:pt idx="36">2016</cx:pt>
          <cx:pt idx="37">2016</cx:pt>
          <cx:pt idx="38">2018</cx:pt>
          <cx:pt idx="39">2018</cx:pt>
          <cx:pt idx="40">2016</cx:pt>
          <cx:pt idx="41">2017</cx:pt>
          <cx:pt idx="42">2017</cx:pt>
          <cx:pt idx="43">2017</cx:pt>
          <cx:pt idx="44">2018</cx:pt>
          <cx:pt idx="45">2018</cx:pt>
          <cx:pt idx="46">2017</cx:pt>
          <cx:pt idx="47">2017</cx:pt>
          <cx:pt idx="48">2018</cx:pt>
          <cx:pt idx="49">2019</cx:pt>
          <cx:pt idx="50">2016</cx:pt>
          <cx:pt idx="51">2016</cx:pt>
          <cx:pt idx="52">2016</cx:pt>
          <cx:pt idx="53">2016</cx:pt>
          <cx:pt idx="54">2016</cx:pt>
          <cx:pt idx="55">2016</cx:pt>
          <cx:pt idx="56">2017</cx:pt>
          <cx:pt idx="57">2017</cx:pt>
          <cx:pt idx="58">2017</cx:pt>
          <cx:pt idx="59">2016</cx:pt>
          <cx:pt idx="60">2017</cx:pt>
          <cx:pt idx="61">2018</cx:pt>
          <cx:pt idx="62">2016</cx:pt>
          <cx:pt idx="63">2016</cx:pt>
          <cx:pt idx="64">2019</cx:pt>
          <cx:pt idx="65">2017</cx:pt>
          <cx:pt idx="66">2018</cx:pt>
          <cx:pt idx="67">2016</cx:pt>
          <cx:pt idx="68">2019</cx:pt>
          <cx:pt idx="69">2017</cx:pt>
          <cx:pt idx="70">2016</cx:pt>
          <cx:pt idx="71">2016</cx:pt>
          <cx:pt idx="72">2017</cx:pt>
        </cx:lvl>
      </cx:strDim>
      <cx:numDim type="val">
        <cx:f>Sheet1!$N$2:$N$74</cx:f>
        <cx:lvl ptCount="73" formatCode="General">
          <cx:pt idx="0">2</cx:pt>
          <cx:pt idx="1">5</cx:pt>
          <cx:pt idx="2">1</cx:pt>
          <cx:pt idx="3">2</cx:pt>
          <cx:pt idx="4">2</cx:pt>
          <cx:pt idx="5">0</cx:pt>
          <cx:pt idx="6">3</cx:pt>
          <cx:pt idx="7">2</cx:pt>
          <cx:pt idx="8">3</cx:pt>
          <cx:pt idx="9">6</cx:pt>
          <cx:pt idx="10">1</cx:pt>
          <cx:pt idx="11">1</cx:pt>
          <cx:pt idx="12">6</cx:pt>
          <cx:pt idx="13">2</cx:pt>
          <cx:pt idx="14">1</cx:pt>
          <cx:pt idx="15">8</cx:pt>
          <cx:pt idx="16">2</cx:pt>
          <cx:pt idx="17">2</cx:pt>
          <cx:pt idx="18">0</cx:pt>
          <cx:pt idx="19">3</cx:pt>
          <cx:pt idx="20">0</cx:pt>
          <cx:pt idx="21">2</cx:pt>
          <cx:pt idx="22">7</cx:pt>
          <cx:pt idx="23">1</cx:pt>
          <cx:pt idx="24">1</cx:pt>
          <cx:pt idx="25">13</cx:pt>
          <cx:pt idx="26">1</cx:pt>
          <cx:pt idx="27">0</cx:pt>
          <cx:pt idx="28">7</cx:pt>
          <cx:pt idx="29">6</cx:pt>
          <cx:pt idx="30">2</cx:pt>
          <cx:pt idx="31">0</cx:pt>
          <cx:pt idx="32">1</cx:pt>
          <cx:pt idx="33">2</cx:pt>
          <cx:pt idx="34">3</cx:pt>
          <cx:pt idx="35">3</cx:pt>
          <cx:pt idx="36">2</cx:pt>
          <cx:pt idx="37">20</cx:pt>
          <cx:pt idx="38">29</cx:pt>
          <cx:pt idx="39">1</cx:pt>
          <cx:pt idx="40">17</cx:pt>
          <cx:pt idx="41">45</cx:pt>
          <cx:pt idx="42">15</cx:pt>
          <cx:pt idx="43">2</cx:pt>
          <cx:pt idx="44">9</cx:pt>
          <cx:pt idx="45">8</cx:pt>
          <cx:pt idx="46">10</cx:pt>
          <cx:pt idx="47">12</cx:pt>
          <cx:pt idx="48">8</cx:pt>
          <cx:pt idx="49">10</cx:pt>
          <cx:pt idx="50">35</cx:pt>
          <cx:pt idx="51">19</cx:pt>
          <cx:pt idx="52">19</cx:pt>
          <cx:pt idx="53">8</cx:pt>
          <cx:pt idx="54">19</cx:pt>
          <cx:pt idx="55">24</cx:pt>
          <cx:pt idx="56">16</cx:pt>
          <cx:pt idx="57">11</cx:pt>
          <cx:pt idx="58">24</cx:pt>
          <cx:pt idx="59">23</cx:pt>
          <cx:pt idx="60">30</cx:pt>
          <cx:pt idx="61">16</cx:pt>
          <cx:pt idx="62">41</cx:pt>
          <cx:pt idx="63">21</cx:pt>
          <cx:pt idx="64">2</cx:pt>
          <cx:pt idx="65">25</cx:pt>
          <cx:pt idx="66">6</cx:pt>
          <cx:pt idx="67">13</cx:pt>
          <cx:pt idx="68">2</cx:pt>
          <cx:pt idx="69">13</cx:pt>
          <cx:pt idx="70">31</cx:pt>
          <cx:pt idx="71">15</cx:pt>
          <cx:pt idx="72">10</cx:pt>
        </cx:lvl>
      </cx:numDim>
    </cx:data>
  </cx:chartData>
  <cx:chart>
    <cx:title pos="t" align="ctr" overlay="0">
      <cx:tx>
        <cx:txData>
          <cx:v># of TA Calls</cx:v>
        </cx:txData>
      </cx:tx>
      <cx:txPr>
        <a:bodyPr spcFirstLastPara="1" vertOverflow="ellipsis" horzOverflow="overflow" wrap="square" lIns="0" tIns="0" rIns="0" bIns="0" anchor="ctr" anchorCtr="1"/>
        <a:lstStyle/>
        <a:p>
          <a:pPr algn="ctr" rtl="0">
            <a:defRPr/>
          </a:pPr>
          <a:r>
            <a:rPr lang="en-US" sz="1400" b="1" i="0" u="none" strike="noStrike" baseline="0">
              <a:solidFill>
                <a:srgbClr val="000000">
                  <a:lumMod val="65000"/>
                  <a:lumOff val="35000"/>
                </a:srgbClr>
              </a:solidFill>
              <a:latin typeface="Calibri"/>
              <a:cs typeface="Calibri"/>
            </a:rPr>
            <a:t># of TA Calls</a:t>
          </a:r>
        </a:p>
      </cx:txPr>
    </cx:title>
    <cx:plotArea>
      <cx:plotAreaRegion>
        <cx:series layoutId="clusteredColumn" uniqueId="{BFE13DF2-6424-4402-9371-2C5C42B9B955}">
          <cx:dataLabels pos="inEnd">
            <cx:visibility seriesName="0" categoryName="0" value="1"/>
          </cx:dataLabels>
          <cx:dataId val="0"/>
          <cx:layoutPr>
            <cx:aggregation/>
          </cx:layoutPr>
          <cx:axisId val="1"/>
        </cx:series>
        <cx:series layoutId="paretoLine" ownerIdx="0" uniqueId="{693B454A-7C27-41FE-BB6A-FCBAFC94E17A}">
          <cx:axisId val="2"/>
        </cx:series>
      </cx:plotAreaRegion>
      <cx:axis id="0">
        <cx:catScaling gapWidth="0"/>
        <cx:tickLabels/>
      </cx:axis>
      <cx:axis id="1" hidden="1">
        <cx:valScaling/>
        <cx:majorGridlines/>
        <cx:tickLabels/>
      </cx:axis>
      <cx:axis id="2">
        <cx:valScaling max="1" min="0"/>
        <cx:units unit="percentage"/>
        <cx:tickLabels/>
      </cx:axis>
    </cx:plotArea>
  </cx:chart>
  <cx:clrMapOvr bg1="lt1" tx1="dk1" bg2="lt2" tx2="dk2" accent1="accent1" accent2="accent2" accent3="accent3" accent4="accent4" accent5="accent5" accent6="accent6" hlink="hlink" folHlink="folHlink"/>
</cx:chartSpace>
</file>

<file path=word/charts/chartEx6.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Sheet1!$O$2:$O$74</cx:f>
        <cx:lvl ptCount="73">
          <cx:pt idx="0">2017</cx:pt>
          <cx:pt idx="1">2018</cx:pt>
          <cx:pt idx="2">2016</cx:pt>
          <cx:pt idx="3">2017</cx:pt>
          <cx:pt idx="4">2019</cx:pt>
          <cx:pt idx="5">2019</cx:pt>
          <cx:pt idx="6">2016</cx:pt>
          <cx:pt idx="7">2018</cx:pt>
          <cx:pt idx="8">2017</cx:pt>
          <cx:pt idx="9">2018</cx:pt>
          <cx:pt idx="10">2019</cx:pt>
          <cx:pt idx="11">2017</cx:pt>
          <cx:pt idx="12">2017</cx:pt>
          <cx:pt idx="13">2017</cx:pt>
          <cx:pt idx="14">2018</cx:pt>
          <cx:pt idx="15">2016</cx:pt>
          <cx:pt idx="16">2018</cx:pt>
          <cx:pt idx="17">2018</cx:pt>
          <cx:pt idx="18">2019</cx:pt>
          <cx:pt idx="19">2018</cx:pt>
          <cx:pt idx="20">2019</cx:pt>
          <cx:pt idx="21">2016</cx:pt>
          <cx:pt idx="22">2017</cx:pt>
          <cx:pt idx="23">2017</cx:pt>
          <cx:pt idx="24">2017</cx:pt>
          <cx:pt idx="25">2018</cx:pt>
          <cx:pt idx="26">2018</cx:pt>
          <cx:pt idx="27">2019</cx:pt>
          <cx:pt idx="28">2016</cx:pt>
          <cx:pt idx="29">2016</cx:pt>
          <cx:pt idx="30">2017</cx:pt>
          <cx:pt idx="31">2019</cx:pt>
          <cx:pt idx="32">2016</cx:pt>
          <cx:pt idx="33">2016</cx:pt>
          <cx:pt idx="34">2019</cx:pt>
          <cx:pt idx="35">2016</cx:pt>
          <cx:pt idx="36">2016</cx:pt>
          <cx:pt idx="37">2016</cx:pt>
          <cx:pt idx="38">2018</cx:pt>
          <cx:pt idx="39">2018</cx:pt>
          <cx:pt idx="40">2016</cx:pt>
          <cx:pt idx="41">2017</cx:pt>
          <cx:pt idx="42">2017</cx:pt>
          <cx:pt idx="43">2017</cx:pt>
          <cx:pt idx="44">2018</cx:pt>
          <cx:pt idx="45">2018</cx:pt>
          <cx:pt idx="46">2017</cx:pt>
          <cx:pt idx="47">2017</cx:pt>
          <cx:pt idx="48">2018</cx:pt>
          <cx:pt idx="49">2019</cx:pt>
          <cx:pt idx="50">2016</cx:pt>
          <cx:pt idx="51">2016</cx:pt>
          <cx:pt idx="52">2016</cx:pt>
          <cx:pt idx="53">2016</cx:pt>
          <cx:pt idx="54">2016</cx:pt>
          <cx:pt idx="55">2016</cx:pt>
          <cx:pt idx="56">2017</cx:pt>
          <cx:pt idx="57">2017</cx:pt>
          <cx:pt idx="58">2017</cx:pt>
          <cx:pt idx="59">2016</cx:pt>
          <cx:pt idx="60">2017</cx:pt>
          <cx:pt idx="61">2018</cx:pt>
          <cx:pt idx="62">2016</cx:pt>
          <cx:pt idx="63">2016</cx:pt>
          <cx:pt idx="64">2019</cx:pt>
          <cx:pt idx="65">2017</cx:pt>
          <cx:pt idx="66">2018</cx:pt>
          <cx:pt idx="67">2016</cx:pt>
          <cx:pt idx="68">2019</cx:pt>
          <cx:pt idx="69">2017</cx:pt>
          <cx:pt idx="70">2016</cx:pt>
          <cx:pt idx="71">2016</cx:pt>
          <cx:pt idx="72">2017</cx:pt>
        </cx:lvl>
      </cx:strDim>
      <cx:numDim type="val">
        <cx:f>Sheet1!$P$2:$P$74</cx:f>
        <cx:lvl ptCount="73" formatCode="General">
          <cx:pt idx="0">5</cx:pt>
          <cx:pt idx="1">8</cx:pt>
          <cx:pt idx="2">2</cx:pt>
          <cx:pt idx="3">3</cx:pt>
          <cx:pt idx="4">2</cx:pt>
          <cx:pt idx="5">2</cx:pt>
          <cx:pt idx="6">5</cx:pt>
          <cx:pt idx="7">0</cx:pt>
          <cx:pt idx="8">7</cx:pt>
          <cx:pt idx="9">10</cx:pt>
          <cx:pt idx="10">0</cx:pt>
          <cx:pt idx="11">0</cx:pt>
          <cx:pt idx="12">2</cx:pt>
          <cx:pt idx="13">0</cx:pt>
          <cx:pt idx="14">5</cx:pt>
          <cx:pt idx="15">10</cx:pt>
          <cx:pt idx="16">2</cx:pt>
          <cx:pt idx="17">2</cx:pt>
          <cx:pt idx="18">1</cx:pt>
          <cx:pt idx="19">5</cx:pt>
          <cx:pt idx="20">1</cx:pt>
          <cx:pt idx="21">10</cx:pt>
          <cx:pt idx="22">3</cx:pt>
          <cx:pt idx="23">3</cx:pt>
          <cx:pt idx="24">0</cx:pt>
          <cx:pt idx="25">11</cx:pt>
          <cx:pt idx="26">2</cx:pt>
          <cx:pt idx="27">1</cx:pt>
          <cx:pt idx="28">5</cx:pt>
          <cx:pt idx="29">9</cx:pt>
          <cx:pt idx="30">1</cx:pt>
          <cx:pt idx="31">2</cx:pt>
          <cx:pt idx="32">0</cx:pt>
          <cx:pt idx="33">16</cx:pt>
          <cx:pt idx="34">2</cx:pt>
          <cx:pt idx="35">3</cx:pt>
          <cx:pt idx="36">1</cx:pt>
          <cx:pt idx="37">13</cx:pt>
          <cx:pt idx="38">10</cx:pt>
          <cx:pt idx="39">0</cx:pt>
          <cx:pt idx="40">8</cx:pt>
          <cx:pt idx="41">35</cx:pt>
          <cx:pt idx="42">16</cx:pt>
          <cx:pt idx="43">4</cx:pt>
          <cx:pt idx="44">2</cx:pt>
          <cx:pt idx="45">2</cx:pt>
          <cx:pt idx="46">2</cx:pt>
          <cx:pt idx="47">7</cx:pt>
          <cx:pt idx="48">6</cx:pt>
          <cx:pt idx="49">11</cx:pt>
          <cx:pt idx="50">43</cx:pt>
          <cx:pt idx="51">32</cx:pt>
          <cx:pt idx="52">15</cx:pt>
          <cx:pt idx="53">6</cx:pt>
          <cx:pt idx="54">20</cx:pt>
          <cx:pt idx="55">36</cx:pt>
          <cx:pt idx="56">9</cx:pt>
          <cx:pt idx="57">12</cx:pt>
          <cx:pt idx="58">8</cx:pt>
          <cx:pt idx="59">4</cx:pt>
          <cx:pt idx="60">24</cx:pt>
          <cx:pt idx="61">8</cx:pt>
          <cx:pt idx="62">28</cx:pt>
          <cx:pt idx="63">5</cx:pt>
          <cx:pt idx="64">4</cx:pt>
          <cx:pt idx="65">12</cx:pt>
          <cx:pt idx="66">8</cx:pt>
          <cx:pt idx="67">4</cx:pt>
          <cx:pt idx="68">9</cx:pt>
          <cx:pt idx="69">3</cx:pt>
          <cx:pt idx="70">2</cx:pt>
          <cx:pt idx="71">16</cx:pt>
          <cx:pt idx="72">0</cx:pt>
        </cx:lvl>
      </cx:numDim>
    </cx:data>
  </cx:chartData>
  <cx:chart>
    <cx:title pos="t" align="ctr" overlay="0">
      <cx:tx>
        <cx:txData>
          <cx:v># of Questions Answered</cx:v>
        </cx:txData>
      </cx:tx>
      <cx:txPr>
        <a:bodyPr spcFirstLastPara="1" vertOverflow="ellipsis" horzOverflow="overflow" wrap="square" lIns="0" tIns="0" rIns="0" bIns="0" anchor="ctr" anchorCtr="1"/>
        <a:lstStyle/>
        <a:p>
          <a:pPr algn="ctr" rtl="0">
            <a:defRPr/>
          </a:pPr>
          <a:r>
            <a:rPr lang="en-US" sz="1400" b="1" i="0" u="none" strike="noStrike" baseline="0">
              <a:solidFill>
                <a:srgbClr val="000000">
                  <a:lumMod val="65000"/>
                  <a:lumOff val="35000"/>
                </a:srgbClr>
              </a:solidFill>
              <a:latin typeface="Calibri"/>
              <a:cs typeface="Calibri"/>
            </a:rPr>
            <a:t># of Questions Answered</a:t>
          </a:r>
        </a:p>
      </cx:txPr>
    </cx:title>
    <cx:plotArea>
      <cx:plotAreaRegion>
        <cx:series layoutId="clusteredColumn" uniqueId="{F9508A91-4348-4A33-9CA3-26EEB48E3630}">
          <cx:dataLabels pos="inEnd">
            <cx:visibility seriesName="0" categoryName="0" value="1"/>
          </cx:dataLabels>
          <cx:dataId val="0"/>
          <cx:layoutPr>
            <cx:aggregation/>
          </cx:layoutPr>
          <cx:axisId val="1"/>
        </cx:series>
        <cx:series layoutId="paretoLine" ownerIdx="0" uniqueId="{C2E488B0-C07C-4C04-AB17-46001BCD9AFF}">
          <cx:axisId val="2"/>
        </cx:series>
      </cx:plotAreaRegion>
      <cx:axis id="0">
        <cx:catScaling gapWidth="0"/>
        <cx:tickLabels/>
      </cx:axis>
      <cx:axis id="1" hidden="1">
        <cx:valScaling/>
        <cx:majorGridlines/>
        <cx:tickLabels/>
      </cx:axis>
      <cx:axis id="2">
        <cx:valScaling max="1" min="0"/>
        <cx:units unit="percentage"/>
        <cx:tickLabels/>
      </cx:axis>
    </cx:plotArea>
  </cx:chart>
  <cx:clrMapOvr bg1="lt1" tx1="dk1" bg2="lt2" tx2="dk2" accent1="accent1" accent2="accent2" accent3="accent3" accent4="accent4" accent5="accent5" accent6="accent6" hlink="hlink" folHlink="folHlink"/>
</cx:chartSpace>
</file>

<file path=word/charts/chartEx7.xml><?xml version="1.0" encoding="utf-8"?>
<cx:chartSpace xmlns:a="http://schemas.openxmlformats.org/drawingml/2006/main" xmlns:r="http://schemas.openxmlformats.org/officeDocument/2006/relationships" xmlns:cx="http://schemas.microsoft.com/office/drawing/2014/chartex">
  <cx:chartData>
    <cx:externalData r:id="rId1" cx:autoUpdate="0"/>
    <cx:data id="0">
      <cx:numDim type="val">
        <cx:f>Sheet3!$A$2:$A$74</cx:f>
        <cx:lvl ptCount="73" formatCode="General">
          <cx:pt idx="0">2017</cx:pt>
          <cx:pt idx="1">2018</cx:pt>
          <cx:pt idx="2">2016</cx:pt>
          <cx:pt idx="3">2017</cx:pt>
          <cx:pt idx="4">2019</cx:pt>
          <cx:pt idx="5">2019</cx:pt>
          <cx:pt idx="6">2016</cx:pt>
          <cx:pt idx="7">2018</cx:pt>
          <cx:pt idx="8">2017</cx:pt>
          <cx:pt idx="9">2018</cx:pt>
          <cx:pt idx="10">2019</cx:pt>
          <cx:pt idx="11">2017</cx:pt>
          <cx:pt idx="12">2017</cx:pt>
          <cx:pt idx="13">2017</cx:pt>
          <cx:pt idx="14">2018</cx:pt>
          <cx:pt idx="15">2016</cx:pt>
          <cx:pt idx="16">2018</cx:pt>
          <cx:pt idx="17">2018</cx:pt>
          <cx:pt idx="18">2019</cx:pt>
          <cx:pt idx="19">2018</cx:pt>
          <cx:pt idx="20">2019</cx:pt>
          <cx:pt idx="21">2016</cx:pt>
          <cx:pt idx="22">2017</cx:pt>
          <cx:pt idx="23">2017</cx:pt>
          <cx:pt idx="24">2017</cx:pt>
          <cx:pt idx="25">2018</cx:pt>
          <cx:pt idx="26">2018</cx:pt>
          <cx:pt idx="27">2019</cx:pt>
          <cx:pt idx="28">2016</cx:pt>
          <cx:pt idx="29">2016</cx:pt>
          <cx:pt idx="30">2017</cx:pt>
          <cx:pt idx="31">2019</cx:pt>
          <cx:pt idx="32">2016</cx:pt>
          <cx:pt idx="33">2016</cx:pt>
          <cx:pt idx="34">2019</cx:pt>
          <cx:pt idx="35">2016</cx:pt>
          <cx:pt idx="36">2016</cx:pt>
          <cx:pt idx="37">2016</cx:pt>
          <cx:pt idx="38">2018</cx:pt>
          <cx:pt idx="39">2018</cx:pt>
          <cx:pt idx="40">2016</cx:pt>
          <cx:pt idx="41">2017</cx:pt>
          <cx:pt idx="42">2017</cx:pt>
          <cx:pt idx="43">2017</cx:pt>
          <cx:pt idx="44">2018</cx:pt>
          <cx:pt idx="45">2018</cx:pt>
          <cx:pt idx="46">2017</cx:pt>
          <cx:pt idx="47">2017</cx:pt>
          <cx:pt idx="48">2018</cx:pt>
          <cx:pt idx="49">2019</cx:pt>
          <cx:pt idx="50">2016</cx:pt>
          <cx:pt idx="51">2016</cx:pt>
          <cx:pt idx="52">2016</cx:pt>
          <cx:pt idx="53">2016</cx:pt>
          <cx:pt idx="54">2016</cx:pt>
          <cx:pt idx="55">2016</cx:pt>
          <cx:pt idx="56">2017</cx:pt>
          <cx:pt idx="57">2017</cx:pt>
          <cx:pt idx="58">2017</cx:pt>
          <cx:pt idx="59">2016</cx:pt>
          <cx:pt idx="60">2017</cx:pt>
          <cx:pt idx="61">2018</cx:pt>
          <cx:pt idx="62">2016</cx:pt>
          <cx:pt idx="63">2016</cx:pt>
          <cx:pt idx="64">2019</cx:pt>
          <cx:pt idx="65">2017</cx:pt>
          <cx:pt idx="66">2018</cx:pt>
          <cx:pt idx="67">2016</cx:pt>
          <cx:pt idx="68">2019</cx:pt>
          <cx:pt idx="69">2017</cx:pt>
          <cx:pt idx="70">2016</cx:pt>
          <cx:pt idx="71">2016</cx:pt>
          <cx:pt idx="72">2017</cx:pt>
        </cx:lvl>
      </cx:numDim>
    </cx:data>
    <cx:data id="1">
      <cx:numDim type="val">
        <cx:f>Sheet3!$B$2:$B$74</cx:f>
        <cx:lvl ptCount="73" formatCode="General">
          <cx:pt idx="0">0</cx:pt>
          <cx:pt idx="1">0</cx:pt>
          <cx:pt idx="2">0</cx:pt>
          <cx:pt idx="3">0</cx:pt>
          <cx:pt idx="4">3</cx:pt>
          <cx:pt idx="5">0</cx:pt>
          <cx:pt idx="6">1</cx:pt>
          <cx:pt idx="7">1</cx:pt>
          <cx:pt idx="8">0</cx:pt>
          <cx:pt idx="9">0</cx:pt>
          <cx:pt idx="10">0</cx:pt>
          <cx:pt idx="11">1</cx:pt>
          <cx:pt idx="12">0</cx:pt>
          <cx:pt idx="13">0</cx:pt>
          <cx:pt idx="14">0</cx:pt>
          <cx:pt idx="15">1</cx:pt>
          <cx:pt idx="16">0</cx:pt>
          <cx:pt idx="17">0</cx:pt>
          <cx:pt idx="18">0</cx:pt>
          <cx:pt idx="19">0</cx:pt>
          <cx:pt idx="20">0</cx:pt>
          <cx:pt idx="21">0</cx:pt>
          <cx:pt idx="22">0</cx:pt>
          <cx:pt idx="23">1</cx:pt>
          <cx:pt idx="24">0</cx:pt>
          <cx:pt idx="25">2</cx:pt>
          <cx:pt idx="26">0</cx:pt>
          <cx:pt idx="27">0</cx:pt>
          <cx:pt idx="28">2</cx:pt>
          <cx:pt idx="29">0</cx:pt>
          <cx:pt idx="30">0</cx:pt>
          <cx:pt idx="31">0</cx:pt>
          <cx:pt idx="32">0</cx:pt>
          <cx:pt idx="33">0</cx:pt>
          <cx:pt idx="34">1</cx:pt>
          <cx:pt idx="35">1</cx:pt>
          <cx:pt idx="36">0</cx:pt>
          <cx:pt idx="37">3</cx:pt>
          <cx:pt idx="38">3</cx:pt>
          <cx:pt idx="39">0</cx:pt>
          <cx:pt idx="40">4</cx:pt>
          <cx:pt idx="41">4</cx:pt>
          <cx:pt idx="42">2</cx:pt>
          <cx:pt idx="43">0</cx:pt>
          <cx:pt idx="44">3</cx:pt>
          <cx:pt idx="45">1</cx:pt>
          <cx:pt idx="46">1</cx:pt>
          <cx:pt idx="47">1</cx:pt>
          <cx:pt idx="48">1</cx:pt>
          <cx:pt idx="49">2</cx:pt>
          <cx:pt idx="50">2</cx:pt>
          <cx:pt idx="51">2</cx:pt>
          <cx:pt idx="52">3</cx:pt>
          <cx:pt idx="53">2</cx:pt>
          <cx:pt idx="54">0</cx:pt>
          <cx:pt idx="55">9</cx:pt>
          <cx:pt idx="56">2</cx:pt>
          <cx:pt idx="57">2</cx:pt>
          <cx:pt idx="58">2</cx:pt>
          <cx:pt idx="59">2</cx:pt>
          <cx:pt idx="60">1</cx:pt>
          <cx:pt idx="61">1</cx:pt>
          <cx:pt idx="62">3</cx:pt>
          <cx:pt idx="63">2</cx:pt>
          <cx:pt idx="64">0</cx:pt>
          <cx:pt idx="65">1</cx:pt>
          <cx:pt idx="66">1</cx:pt>
          <cx:pt idx="67">2</cx:pt>
          <cx:pt idx="68">1</cx:pt>
          <cx:pt idx="69">1</cx:pt>
          <cx:pt idx="70">2</cx:pt>
          <cx:pt idx="71">2</cx:pt>
          <cx:pt idx="72">1</cx:pt>
        </cx:lvl>
      </cx:numDim>
    </cx:data>
  </cx:chartData>
  <cx:chart>
    <cx:title pos="t" align="ctr" overlay="0">
      <cx:tx>
        <cx:txData>
          <cx:v># of Site Visits</cx:v>
        </cx:txData>
      </cx:tx>
      <cx:txPr>
        <a:bodyPr spcFirstLastPara="1" vertOverflow="ellipsis" horzOverflow="overflow" wrap="square" lIns="0" tIns="0" rIns="0" bIns="0" anchor="ctr" anchorCtr="1"/>
        <a:lstStyle/>
        <a:p>
          <a:pPr algn="ctr" rtl="0">
            <a:defRPr/>
          </a:pPr>
          <a:r>
            <a:rPr lang="en-US" sz="1400" b="1" i="0" u="none" strike="noStrike" baseline="0">
              <a:solidFill>
                <a:srgbClr val="000000">
                  <a:lumMod val="65000"/>
                  <a:lumOff val="35000"/>
                </a:srgbClr>
              </a:solidFill>
              <a:latin typeface="Calibri"/>
              <a:cs typeface="Calibri"/>
            </a:rPr>
            <a:t># of Site Visits</a:t>
          </a:r>
        </a:p>
      </cx:txPr>
    </cx:title>
    <cx:plotArea>
      <cx:plotAreaRegion>
        <cx:series layoutId="clusteredColumn" uniqueId="{8F161BC9-AB66-4809-8DB5-C74EF85A8F33}" formatIdx="0">
          <cx:tx>
            <cx:txData>
              <cx:f>Sheet3!$A$1</cx:f>
              <cx:v>Year</cx:v>
            </cx:txData>
          </cx:tx>
          <cx:spPr>
            <a:solidFill>
              <a:schemeClr val="accent4"/>
            </a:solidFill>
          </cx:spPr>
          <cx:dataLabels pos="outEnd">
            <cx:spPr>
              <a:solidFill>
                <a:schemeClr val="bg1"/>
              </a:solidFill>
            </cx:spPr>
            <cx:txPr>
              <a:bodyPr spcFirstLastPara="1" vertOverflow="ellipsis" horzOverflow="overflow" wrap="square" lIns="0" tIns="0" rIns="0" bIns="0" anchor="ctr" anchorCtr="1"/>
              <a:lstStyle/>
              <a:p>
                <a:pPr algn="ctr" rtl="0">
                  <a:defRPr b="1"/>
                </a:pPr>
                <a:endParaRPr lang="en-US" sz="900" b="1" i="0" u="none" strike="noStrike" baseline="0">
                  <a:solidFill>
                    <a:srgbClr val="000000">
                      <a:lumMod val="65000"/>
                      <a:lumOff val="35000"/>
                    </a:srgbClr>
                  </a:solidFill>
                  <a:latin typeface="Calibri"/>
                  <a:cs typeface="Calibri"/>
                </a:endParaRPr>
              </a:p>
            </cx:txPr>
            <cx:visibility seriesName="0" categoryName="0" value="1"/>
            <cx:separator>, </cx:separator>
          </cx:dataLabels>
          <cx:dataId val="0"/>
          <cx:layoutPr>
            <cx:binning intervalClosed="r">
              <cx:binCount val="4"/>
            </cx:binning>
          </cx:layoutPr>
        </cx:series>
        <cx:series layoutId="clusteredColumn" hidden="1" uniqueId="{0EFA695F-EB0F-4A8C-BB8E-8D028093F718}" formatIdx="1">
          <cx:tx>
            <cx:txData>
              <cx:f>Sheet3!$B$1</cx:f>
              <cx:v>2016	    2017	         2018                                      2019</cx:v>
            </cx:txData>
          </cx:tx>
          <cx:dataLabels pos="outEnd">
            <cx:visibility seriesName="0" categoryName="0" value="1"/>
            <cx:separator>, </cx:separator>
          </cx:dataLabels>
          <cx:dataId val="1"/>
          <cx:layoutPr>
            <cx:binning intervalClosed="r"/>
          </cx:layoutPr>
        </cx:series>
      </cx:plotAreaRegion>
      <cx:axis id="0" hidden="1">
        <cx:catScaling gapWidth="0"/>
        <cx:title>
          <cx:tx>
            <cx:txData>
              <cx:v>2016	    2017	         2018                                      2019</cx:v>
            </cx:txData>
          </cx:tx>
          <cx:txPr>
            <a:bodyPr spcFirstLastPara="1" vertOverflow="ellipsis" horzOverflow="overflow" wrap="square" lIns="0" tIns="0" rIns="0" bIns="0" anchor="ctr" anchorCtr="1"/>
            <a:lstStyle/>
            <a:p>
              <a:pPr algn="ctr" rtl="0">
                <a:defRPr/>
              </a:pPr>
              <a:r>
                <a:rPr lang="en-US" sz="900" b="1" i="0" u="none" strike="noStrike" baseline="0">
                  <a:solidFill>
                    <a:srgbClr val="000000">
                      <a:lumMod val="65000"/>
                      <a:lumOff val="35000"/>
                    </a:srgbClr>
                  </a:solidFill>
                  <a:latin typeface="Calibri"/>
                  <a:cs typeface="Calibri"/>
                </a:rPr>
                <a:t>2016	    2017	         2018                                      2019</a:t>
              </a:r>
            </a:p>
          </cx:txPr>
        </cx:title>
        <cx:tickLabels/>
        <cx:numFmt formatCode="m/d/yyyy" sourceLinked="0"/>
      </cx:axis>
      <cx:axis id="1" hidden="1">
        <cx:valScaling/>
        <cx:majorGridlines/>
        <cx:tickLabels/>
      </cx:axis>
    </cx:plotArea>
  </cx:chart>
  <cx:clrMapOvr bg1="lt1" tx1="dk1" bg2="lt2" tx2="dk2" accent1="accent1" accent2="accent2" accent3="accent3" accent4="accent4" accent5="accent5" accent6="accent6" hlink="hlink" folHlink="folHlink"/>
</cx:chartSpace>
</file>

<file path=word/charts/chartEx8.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Sheet2!$A$6:$A$8</cx:f>
        <cx:lvl ptCount="3">
          <cx:pt idx="0">Targeted TA</cx:pt>
          <cx:pt idx="1">Intensive TA</cx:pt>
          <cx:pt idx="2">All TA</cx:pt>
        </cx:lvl>
      </cx:strDim>
      <cx:numDim type="val">
        <cx:f>Sheet2!$B$6:$B$8</cx:f>
        <cx:lvl ptCount="3" formatCode="General">
          <cx:pt idx="0">28</cx:pt>
          <cx:pt idx="1">355</cx:pt>
          <cx:pt idx="2">383</cx:pt>
        </cx:lvl>
      </cx:numDim>
    </cx:data>
  </cx:chartData>
  <cx:chart>
    <cx:title pos="t" align="ctr" overlay="0">
      <cx:tx>
        <cx:txData>
          <cx:v># of Policies</cx:v>
        </cx:txData>
      </cx:tx>
      <cx:txPr>
        <a:bodyPr spcFirstLastPara="1" vertOverflow="ellipsis" horzOverflow="overflow" wrap="square" lIns="0" tIns="0" rIns="0" bIns="0" anchor="ctr" anchorCtr="1"/>
        <a:lstStyle/>
        <a:p>
          <a:pPr algn="ctr" rtl="0">
            <a:defRPr/>
          </a:pPr>
          <a:r>
            <a:rPr lang="en-US" sz="1400" b="1" i="0" u="none" strike="noStrike" baseline="0">
              <a:solidFill>
                <a:srgbClr val="000000">
                  <a:lumMod val="65000"/>
                  <a:lumOff val="35000"/>
                </a:srgbClr>
              </a:solidFill>
              <a:latin typeface="Calibri"/>
              <a:cs typeface="Calibri"/>
            </a:rPr>
            <a:t># of Policies</a:t>
          </a:r>
        </a:p>
      </cx:txPr>
    </cx:title>
    <cx:plotArea>
      <cx:plotAreaRegion>
        <cx:series layoutId="funnel" uniqueId="{F5BFB1D1-6E08-460F-9F62-752EFE9BF0EE}">
          <cx:dataLabels>
            <cx:visibility seriesName="0" categoryName="0" value="1"/>
          </cx:dataLabels>
          <cx:dataId val="0"/>
        </cx:series>
      </cx:plotAreaRegion>
      <cx:axis id="0">
        <cx:catScaling gapWidth="0.0599999987"/>
        <cx:tickLabels/>
      </cx:axis>
    </cx:plotArea>
  </cx:chart>
</cx:chartSpace>
</file>

<file path=word/charts/chartEx9.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Sheet2!$C$6:$C$8</cx:f>
        <cx:lvl ptCount="3">
          <cx:pt idx="0">Targeted TA</cx:pt>
          <cx:pt idx="1">Intensive TA</cx:pt>
          <cx:pt idx="2">All TA</cx:pt>
        </cx:lvl>
      </cx:strDim>
      <cx:numDim type="val">
        <cx:f>Sheet2!$D$6:$D$8</cx:f>
        <cx:lvl ptCount="3" formatCode="General">
          <cx:pt idx="0">14</cx:pt>
          <cx:pt idx="1">138</cx:pt>
          <cx:pt idx="2">152</cx:pt>
        </cx:lvl>
      </cx:numDim>
    </cx:data>
  </cx:chartData>
  <cx:chart>
    <cx:title pos="t" align="ctr" overlay="0">
      <cx:tx>
        <cx:txData>
          <cx:v>     # of Forms</cx:v>
        </cx:txData>
      </cx:tx>
      <cx:txPr>
        <a:bodyPr spcFirstLastPara="1" vertOverflow="ellipsis" horzOverflow="overflow" wrap="square" lIns="0" tIns="0" rIns="0" bIns="0" anchor="ctr" anchorCtr="1"/>
        <a:lstStyle/>
        <a:p>
          <a:pPr algn="ctr" rtl="0">
            <a:defRPr/>
          </a:pPr>
          <a:r>
            <a:rPr lang="en-US" sz="1400" b="1" i="0" u="none" strike="noStrike" baseline="0">
              <a:solidFill>
                <a:srgbClr val="000000">
                  <a:lumMod val="65000"/>
                  <a:lumOff val="35000"/>
                </a:srgbClr>
              </a:solidFill>
              <a:latin typeface="Calibri"/>
              <a:cs typeface="Calibri"/>
            </a:rPr>
            <a:t>     # of Forms</a:t>
          </a:r>
        </a:p>
      </cx:txPr>
    </cx:title>
    <cx:plotArea>
      <cx:plotAreaRegion>
        <cx:series layoutId="funnel" uniqueId="{2BCF1E72-32D7-40CA-930A-9A432D3098AD}">
          <cx:dataLabels>
            <cx:visibility seriesName="0" categoryName="0" value="1"/>
          </cx:dataLabels>
          <cx:dataId val="0"/>
        </cx:series>
      </cx:plotAreaRegion>
      <cx:axis id="0">
        <cx:catScaling gapWidth="0.0599999987"/>
        <cx:tickLabels/>
      </cx:axis>
    </cx:plotArea>
  </cx:chart>
</cx: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withinLinear" id="15">
  <a:schemeClr val="accent2"/>
</cs:colorStyle>
</file>

<file path=word/charts/colors100.xml><?xml version="1.0" encoding="utf-8"?>
<cs:colorStyle xmlns:cs="http://schemas.microsoft.com/office/drawing/2012/chartStyle" xmlns:a="http://schemas.openxmlformats.org/drawingml/2006/main" meth="withinLinear" id="15">
  <a:schemeClr val="accent2"/>
</cs:colorStyle>
</file>

<file path=word/charts/colors101.xml><?xml version="1.0" encoding="utf-8"?>
<cs:colorStyle xmlns:cs="http://schemas.microsoft.com/office/drawing/2012/chartStyle" xmlns:a="http://schemas.openxmlformats.org/drawingml/2006/main" meth="withinLinear" id="15">
  <a:schemeClr val="accent2"/>
</cs:colorStyle>
</file>

<file path=word/charts/colors102.xml><?xml version="1.0" encoding="utf-8"?>
<cs:colorStyle xmlns:cs="http://schemas.microsoft.com/office/drawing/2012/chartStyle" xmlns:a="http://schemas.openxmlformats.org/drawingml/2006/main" meth="withinLinear" id="15">
  <a:schemeClr val="accent2"/>
</cs:colorStyle>
</file>

<file path=word/charts/colors103.xml><?xml version="1.0" encoding="utf-8"?>
<cs:colorStyle xmlns:cs="http://schemas.microsoft.com/office/drawing/2012/chartStyle" xmlns:a="http://schemas.openxmlformats.org/drawingml/2006/main" meth="withinLinear" id="15">
  <a:schemeClr val="accent2"/>
</cs:colorStyle>
</file>

<file path=word/charts/colors104.xml><?xml version="1.0" encoding="utf-8"?>
<cs:colorStyle xmlns:cs="http://schemas.microsoft.com/office/drawing/2012/chartStyle" xmlns:a="http://schemas.openxmlformats.org/drawingml/2006/main" meth="withinLinear" id="15">
  <a:schemeClr val="accent2"/>
</cs:colorStyle>
</file>

<file path=word/charts/colors105.xml><?xml version="1.0" encoding="utf-8"?>
<cs:colorStyle xmlns:cs="http://schemas.microsoft.com/office/drawing/2012/chartStyle" xmlns:a="http://schemas.openxmlformats.org/drawingml/2006/main" meth="withinLinear" id="15">
  <a:schemeClr val="accent2"/>
</cs:colorStyle>
</file>

<file path=word/charts/colors10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60.xml><?xml version="1.0" encoding="utf-8"?>
<cs:colorStyle xmlns:cs="http://schemas.microsoft.com/office/drawing/2012/chartStyle" xmlns:a="http://schemas.openxmlformats.org/drawingml/2006/main" meth="withinLinear" id="17">
  <a:schemeClr val="accent4"/>
</cs:colorStyle>
</file>

<file path=word/charts/colors107.xml><?xml version="1.0" encoding="utf-8"?>
<cs:colorStyle xmlns:cs="http://schemas.microsoft.com/office/drawing/2012/chartStyle" xmlns:a="http://schemas.openxmlformats.org/drawingml/2006/main" meth="withinLinear" id="15">
  <a:schemeClr val="accent2"/>
</cs:colorStyle>
</file>

<file path=word/charts/colors108.xml><?xml version="1.0" encoding="utf-8"?>
<cs:colorStyle xmlns:cs="http://schemas.microsoft.com/office/drawing/2012/chartStyle" xmlns:a="http://schemas.openxmlformats.org/drawingml/2006/main" meth="withinLinear" id="15">
  <a:schemeClr val="accent2"/>
</cs:colorStyle>
</file>

<file path=word/charts/colors109.xml><?xml version="1.0" encoding="utf-8"?>
<cs:colorStyle xmlns:cs="http://schemas.microsoft.com/office/drawing/2012/chartStyle" xmlns:a="http://schemas.openxmlformats.org/drawingml/2006/main" meth="withinLinear" id="15">
  <a:schemeClr val="accent2"/>
</cs:colorStyle>
</file>

<file path=word/charts/colors11.xml><?xml version="1.0" encoding="utf-8"?>
<cs:colorStyle xmlns:cs="http://schemas.microsoft.com/office/drawing/2012/chartStyle" xmlns:a="http://schemas.openxmlformats.org/drawingml/2006/main" meth="withinLinear" id="15">
  <a:schemeClr val="accent2"/>
</cs:colorStyle>
</file>

<file path=word/charts/colors110.xml><?xml version="1.0" encoding="utf-8"?>
<cs:colorStyle xmlns:cs="http://schemas.microsoft.com/office/drawing/2012/chartStyle" xmlns:a="http://schemas.openxmlformats.org/drawingml/2006/main" meth="withinLinear" id="15">
  <a:schemeClr val="accent2"/>
</cs:colorStyle>
</file>

<file path=word/charts/colors111.xml><?xml version="1.0" encoding="utf-8"?>
<cs:colorStyle xmlns:cs="http://schemas.microsoft.com/office/drawing/2012/chartStyle" xmlns:a="http://schemas.openxmlformats.org/drawingml/2006/main" meth="withinLinear" id="15">
  <a:schemeClr val="accent2"/>
</cs:colorStyle>
</file>

<file path=word/charts/colors112.xml><?xml version="1.0" encoding="utf-8"?>
<cs:colorStyle xmlns:cs="http://schemas.microsoft.com/office/drawing/2012/chartStyle" xmlns:a="http://schemas.openxmlformats.org/drawingml/2006/main" meth="withinLinear" id="15">
  <a:schemeClr val="accent2"/>
</cs:colorStyle>
</file>

<file path=word/charts/colors113.xml><?xml version="1.0" encoding="utf-8"?>
<cs:colorStyle xmlns:cs="http://schemas.microsoft.com/office/drawing/2012/chartStyle" xmlns:a="http://schemas.openxmlformats.org/drawingml/2006/main" meth="withinLinear" id="15">
  <a:schemeClr val="accent2"/>
</cs:colorStyle>
</file>

<file path=word/charts/colors1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5.xml><?xml version="1.0" encoding="utf-8"?>
<cs:colorStyle xmlns:cs="http://schemas.microsoft.com/office/drawing/2012/chartStyle" xmlns:a="http://schemas.openxmlformats.org/drawingml/2006/main" meth="withinLinear" id="15">
  <a:schemeClr val="accent2"/>
</cs:colorStyle>
</file>

<file path=word/charts/colors116.xml><?xml version="1.0" encoding="utf-8"?>
<cs:colorStyle xmlns:cs="http://schemas.microsoft.com/office/drawing/2012/chartStyle" xmlns:a="http://schemas.openxmlformats.org/drawingml/2006/main" meth="withinLinear" id="15">
  <a:schemeClr val="accent2"/>
</cs:colorStyle>
</file>

<file path=word/charts/colors12.xml><?xml version="1.0" encoding="utf-8"?>
<cs:colorStyle xmlns:cs="http://schemas.microsoft.com/office/drawing/2012/chartStyle" xmlns:a="http://schemas.openxmlformats.org/drawingml/2006/main" meth="withinLinear" id="15">
  <a:schemeClr val="accent2"/>
</cs:colorStyle>
</file>

<file path=word/charts/colors13.xml><?xml version="1.0" encoding="utf-8"?>
<cs:colorStyle xmlns:cs="http://schemas.microsoft.com/office/drawing/2012/chartStyle" xmlns:a="http://schemas.openxmlformats.org/drawingml/2006/main" meth="withinLinear" id="15">
  <a:schemeClr val="accent2"/>
</cs:colorStyle>
</file>

<file path=word/charts/colors14.xml><?xml version="1.0" encoding="utf-8"?>
<cs:colorStyle xmlns:cs="http://schemas.microsoft.com/office/drawing/2012/chartStyle" xmlns:a="http://schemas.openxmlformats.org/drawingml/2006/main" meth="withinLinear" id="15">
  <a:schemeClr val="accent2"/>
</cs:colorStyle>
</file>

<file path=word/charts/colors15.xml><?xml version="1.0" encoding="utf-8"?>
<cs:colorStyle xmlns:cs="http://schemas.microsoft.com/office/drawing/2012/chartStyle" xmlns:a="http://schemas.openxmlformats.org/drawingml/2006/main" meth="withinLinear" id="15">
  <a:schemeClr val="accent2"/>
</cs:colorStyle>
</file>

<file path=word/charts/colors16.xml><?xml version="1.0" encoding="utf-8"?>
<cs:colorStyle xmlns:cs="http://schemas.microsoft.com/office/drawing/2012/chartStyle" xmlns:a="http://schemas.openxmlformats.org/drawingml/2006/main" meth="withinLinear" id="15">
  <a:schemeClr val="accent2"/>
</cs:colorStyle>
</file>

<file path=word/charts/colors17.xml><?xml version="1.0" encoding="utf-8"?>
<cs:colorStyle xmlns:cs="http://schemas.microsoft.com/office/drawing/2012/chartStyle" xmlns:a="http://schemas.openxmlformats.org/drawingml/2006/main" meth="withinLinear" id="15">
  <a:schemeClr val="accent2"/>
</cs:colorStyle>
</file>

<file path=word/charts/colors18.xml><?xml version="1.0" encoding="utf-8"?>
<cs:colorStyle xmlns:cs="http://schemas.microsoft.com/office/drawing/2012/chartStyle" xmlns:a="http://schemas.openxmlformats.org/drawingml/2006/main" meth="withinLinear" id="15">
  <a:schemeClr val="accent2"/>
</cs:colorStyle>
</file>

<file path=word/charts/colors19.xml><?xml version="1.0" encoding="utf-8"?>
<cs:colorStyle xmlns:cs="http://schemas.microsoft.com/office/drawing/2012/chartStyle" xmlns:a="http://schemas.openxmlformats.org/drawingml/2006/main" meth="withinLinear" id="18">
  <a:schemeClr val="accent5"/>
</cs:colorStyle>
</file>

<file path=word/charts/colors2.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withinLinear" id="15">
  <a:schemeClr val="accent2"/>
</cs:colorStyle>
</file>

<file path=word/charts/colors21.xml><?xml version="1.0" encoding="utf-8"?>
<cs:colorStyle xmlns:cs="http://schemas.microsoft.com/office/drawing/2012/chartStyle" xmlns:a="http://schemas.openxmlformats.org/drawingml/2006/main" meth="withinLinear" id="19">
  <a:schemeClr val="accent6"/>
</cs:colorStyle>
</file>

<file path=word/charts/colors22.xml><?xml version="1.0" encoding="utf-8"?>
<cs:colorStyle xmlns:cs="http://schemas.microsoft.com/office/drawing/2012/chartStyle" xmlns:a="http://schemas.openxmlformats.org/drawingml/2006/main" meth="withinLinear" id="17">
  <a:schemeClr val="accent4"/>
</cs:colorStyle>
</file>

<file path=word/charts/colors23.xml><?xml version="1.0" encoding="utf-8"?>
<cs:colorStyle xmlns:cs="http://schemas.microsoft.com/office/drawing/2012/chartStyle" xmlns:a="http://schemas.openxmlformats.org/drawingml/2006/main" meth="withinLinear" id="18">
  <a:schemeClr val="accent5"/>
</cs:colorStyle>
</file>

<file path=word/charts/colors24.xml><?xml version="1.0" encoding="utf-8"?>
<cs:colorStyle xmlns:cs="http://schemas.microsoft.com/office/drawing/2012/chartStyle" xmlns:a="http://schemas.openxmlformats.org/drawingml/2006/main" meth="withinLinear" id="15">
  <a:schemeClr val="accent2"/>
</cs:colorStyle>
</file>

<file path=word/charts/colors2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6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7.xml><?xml version="1.0" encoding="utf-8"?>
<cs:colorStyle xmlns:cs="http://schemas.microsoft.com/office/drawing/2012/chartStyle" xmlns:a="http://schemas.openxmlformats.org/drawingml/2006/main" meth="withinLinear" id="15">
  <a:schemeClr val="accent2"/>
</cs:colorStyle>
</file>

<file path=word/charts/colors270.xml><?xml version="1.0" encoding="utf-8"?>
<cs:colorStyle xmlns:cs="http://schemas.microsoft.com/office/drawing/2012/chartStyle" xmlns:a="http://schemas.openxmlformats.org/drawingml/2006/main" meth="withinLinear" id="19">
  <a:schemeClr val="accent6"/>
</cs:colorStyle>
</file>

<file path=word/charts/colors28.xml><?xml version="1.0" encoding="utf-8"?>
<cs:colorStyle xmlns:cs="http://schemas.microsoft.com/office/drawing/2012/chartStyle" xmlns:a="http://schemas.openxmlformats.org/drawingml/2006/main" meth="withinLinear" id="15">
  <a:schemeClr val="accent2"/>
</cs:colorStyle>
</file>

<file path=word/charts/colors280.xml><?xml version="1.0" encoding="utf-8"?>
<cs:colorStyle xmlns:cs="http://schemas.microsoft.com/office/drawing/2012/chartStyle" xmlns:a="http://schemas.openxmlformats.org/drawingml/2006/main" meth="withinLinear" id="15">
  <a:schemeClr val="accent2"/>
</cs:colorStyle>
</file>

<file path=word/charts/colors29.xml><?xml version="1.0" encoding="utf-8"?>
<cs:colorStyle xmlns:cs="http://schemas.microsoft.com/office/drawing/2012/chartStyle" xmlns:a="http://schemas.openxmlformats.org/drawingml/2006/main" meth="withinLinear" id="15">
  <a:schemeClr val="accent2"/>
</cs:colorStyle>
</file>

<file path=word/charts/colors290.xml><?xml version="1.0" encoding="utf-8"?>
<cs:colorStyle xmlns:cs="http://schemas.microsoft.com/office/drawing/2012/chartStyle" xmlns:a="http://schemas.openxmlformats.org/drawingml/2006/main" meth="withinLinear" id="17">
  <a:schemeClr val="accent4"/>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0.xml><?xml version="1.0" encoding="utf-8"?>
<cs:colorStyle xmlns:cs="http://schemas.microsoft.com/office/drawing/2012/chartStyle" xmlns:a="http://schemas.openxmlformats.org/drawingml/2006/main" meth="withinLinear" id="15">
  <a:schemeClr val="accent2"/>
</cs:colorStyle>
</file>

<file path=word/charts/colors30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1.xml><?xml version="1.0" encoding="utf-8"?>
<cs:colorStyle xmlns:cs="http://schemas.microsoft.com/office/drawing/2012/chartStyle" xmlns:a="http://schemas.openxmlformats.org/drawingml/2006/main" meth="withinLinear" id="15">
  <a:schemeClr val="accent2"/>
</cs:colorStyle>
</file>

<file path=word/charts/colors310.xml><?xml version="1.0" encoding="utf-8"?>
<cs:colorStyle xmlns:cs="http://schemas.microsoft.com/office/drawing/2012/chartStyle" xmlns:a="http://schemas.openxmlformats.org/drawingml/2006/main" meth="withinLinear" id="19">
  <a:schemeClr val="accent6"/>
</cs:colorStyle>
</file>

<file path=word/charts/colors32.xml><?xml version="1.0" encoding="utf-8"?>
<cs:colorStyle xmlns:cs="http://schemas.microsoft.com/office/drawing/2012/chartStyle" xmlns:a="http://schemas.openxmlformats.org/drawingml/2006/main" meth="withinLinear" id="15">
  <a:schemeClr val="accent2"/>
</cs:colorStyle>
</file>

<file path=word/charts/colors320.xml><?xml version="1.0" encoding="utf-8"?>
<cs:colorStyle xmlns:cs="http://schemas.microsoft.com/office/drawing/2012/chartStyle" xmlns:a="http://schemas.openxmlformats.org/drawingml/2006/main" meth="withinLinear" id="15">
  <a:schemeClr val="accent2"/>
</cs:colorStyle>
</file>

<file path=word/charts/colors33.xml><?xml version="1.0" encoding="utf-8"?>
<cs:colorStyle xmlns:cs="http://schemas.microsoft.com/office/drawing/2012/chartStyle" xmlns:a="http://schemas.openxmlformats.org/drawingml/2006/main" meth="withinLinear" id="15">
  <a:schemeClr val="accent2"/>
</cs:colorStyle>
</file>

<file path=word/charts/colors34.xml><?xml version="1.0" encoding="utf-8"?>
<cs:colorStyle xmlns:cs="http://schemas.microsoft.com/office/drawing/2012/chartStyle" xmlns:a="http://schemas.openxmlformats.org/drawingml/2006/main" meth="withinLinear" id="15">
  <a:schemeClr val="accent2"/>
</cs:colorStyle>
</file>

<file path=word/charts/colors3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6.xml><?xml version="1.0" encoding="utf-8"?>
<cs:colorStyle xmlns:cs="http://schemas.microsoft.com/office/drawing/2012/chartStyle" xmlns:a="http://schemas.openxmlformats.org/drawingml/2006/main" meth="withinLinear" id="15">
  <a:schemeClr val="accent2"/>
</cs:colorStyle>
</file>

<file path=word/charts/colors37.xml><?xml version="1.0" encoding="utf-8"?>
<cs:colorStyle xmlns:cs="http://schemas.microsoft.com/office/drawing/2012/chartStyle" xmlns:a="http://schemas.openxmlformats.org/drawingml/2006/main" meth="withinLinear" id="15">
  <a:schemeClr val="accent2"/>
</cs:colorStyle>
</file>

<file path=word/charts/colors38.xml><?xml version="1.0" encoding="utf-8"?>
<cs:colorStyle xmlns:cs="http://schemas.microsoft.com/office/drawing/2012/chartStyle" xmlns:a="http://schemas.openxmlformats.org/drawingml/2006/main" meth="withinLinear" id="15">
  <a:schemeClr val="accent2"/>
</cs:colorStyle>
</file>

<file path=word/charts/colors39.xml><?xml version="1.0" encoding="utf-8"?>
<cs:colorStyle xmlns:cs="http://schemas.microsoft.com/office/drawing/2012/chartStyle" xmlns:a="http://schemas.openxmlformats.org/drawingml/2006/main" meth="withinLinear" id="15">
  <a:schemeClr val="accent2"/>
</cs:colorStyle>
</file>

<file path=word/charts/colors4.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0.xml><?xml version="1.0" encoding="utf-8"?>
<cs:colorStyle xmlns:cs="http://schemas.microsoft.com/office/drawing/2012/chartStyle" xmlns:a="http://schemas.openxmlformats.org/drawingml/2006/main" meth="withinLinear" id="15">
  <a:schemeClr val="accent2"/>
</cs:colorStyle>
</file>

<file path=word/charts/colors41.xml><?xml version="1.0" encoding="utf-8"?>
<cs:colorStyle xmlns:cs="http://schemas.microsoft.com/office/drawing/2012/chartStyle" xmlns:a="http://schemas.openxmlformats.org/drawingml/2006/main" meth="withinLinear" id="15">
  <a:schemeClr val="accent2"/>
</cs:colorStyle>
</file>

<file path=word/charts/colors42.xml><?xml version="1.0" encoding="utf-8"?>
<cs:colorStyle xmlns:cs="http://schemas.microsoft.com/office/drawing/2012/chartStyle" xmlns:a="http://schemas.openxmlformats.org/drawingml/2006/main" meth="withinLinear" id="15">
  <a:schemeClr val="accent2"/>
</cs:colorStyle>
</file>

<file path=word/charts/colors4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4.xml><?xml version="1.0" encoding="utf-8"?>
<cs:colorStyle xmlns:cs="http://schemas.microsoft.com/office/drawing/2012/chartStyle" xmlns:a="http://schemas.openxmlformats.org/drawingml/2006/main" meth="withinLinear" id="15">
  <a:schemeClr val="accent2"/>
</cs:colorStyle>
</file>

<file path=word/charts/colors45.xml><?xml version="1.0" encoding="utf-8"?>
<cs:colorStyle xmlns:cs="http://schemas.microsoft.com/office/drawing/2012/chartStyle" xmlns:a="http://schemas.openxmlformats.org/drawingml/2006/main" meth="withinLinear" id="15">
  <a:schemeClr val="accent2"/>
</cs:colorStyle>
</file>

<file path=word/charts/colors46.xml><?xml version="1.0" encoding="utf-8"?>
<cs:colorStyle xmlns:cs="http://schemas.microsoft.com/office/drawing/2012/chartStyle" xmlns:a="http://schemas.openxmlformats.org/drawingml/2006/main" meth="withinLinear" id="15">
  <a:schemeClr val="accent2"/>
</cs:colorStyle>
</file>

<file path=word/charts/colors47.xml><?xml version="1.0" encoding="utf-8"?>
<cs:colorStyle xmlns:cs="http://schemas.microsoft.com/office/drawing/2012/chartStyle" xmlns:a="http://schemas.openxmlformats.org/drawingml/2006/main" meth="withinLinear" id="15">
  <a:schemeClr val="accent2"/>
</cs:colorStyle>
</file>

<file path=word/charts/colors48.xml><?xml version="1.0" encoding="utf-8"?>
<cs:colorStyle xmlns:cs="http://schemas.microsoft.com/office/drawing/2012/chartStyle" xmlns:a="http://schemas.openxmlformats.org/drawingml/2006/main" meth="withinLinear" id="15">
  <a:schemeClr val="accent2"/>
</cs:colorStyle>
</file>

<file path=word/charts/colors49.xml><?xml version="1.0" encoding="utf-8"?>
<cs:colorStyle xmlns:cs="http://schemas.microsoft.com/office/drawing/2012/chartStyle" xmlns:a="http://schemas.openxmlformats.org/drawingml/2006/main" meth="withinLinear" id="15">
  <a:schemeClr val="accent2"/>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0.xml><?xml version="1.0" encoding="utf-8"?>
<cs:colorStyle xmlns:cs="http://schemas.microsoft.com/office/drawing/2012/chartStyle" xmlns:a="http://schemas.openxmlformats.org/drawingml/2006/main" meth="withinLinear" id="15">
  <a:schemeClr val="accent2"/>
</cs:colorStyle>
</file>

<file path=word/charts/colors51.xml><?xml version="1.0" encoding="utf-8"?>
<cs:colorStyle xmlns:cs="http://schemas.microsoft.com/office/drawing/2012/chartStyle" xmlns:a="http://schemas.openxmlformats.org/drawingml/2006/main" meth="withinLinear" id="15">
  <a:schemeClr val="accent2"/>
</cs:colorStyle>
</file>

<file path=word/charts/colors52.xml><?xml version="1.0" encoding="utf-8"?>
<cs:colorStyle xmlns:cs="http://schemas.microsoft.com/office/drawing/2012/chartStyle" xmlns:a="http://schemas.openxmlformats.org/drawingml/2006/main" meth="withinLinear" id="15">
  <a:schemeClr val="accent2"/>
</cs:colorStyle>
</file>

<file path=word/charts/colors53.xml><?xml version="1.0" encoding="utf-8"?>
<cs:colorStyle xmlns:cs="http://schemas.microsoft.com/office/drawing/2012/chartStyle" xmlns:a="http://schemas.openxmlformats.org/drawingml/2006/main" meth="withinLinear" id="15">
  <a:schemeClr val="accent2"/>
</cs:colorStyle>
</file>

<file path=word/charts/colors54.xml><?xml version="1.0" encoding="utf-8"?>
<cs:colorStyle xmlns:cs="http://schemas.microsoft.com/office/drawing/2012/chartStyle" xmlns:a="http://schemas.openxmlformats.org/drawingml/2006/main" meth="withinLinear" id="15">
  <a:schemeClr val="accent2"/>
</cs:colorStyle>
</file>

<file path=word/charts/colors5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6.xml><?xml version="1.0" encoding="utf-8"?>
<cs:colorStyle xmlns:cs="http://schemas.microsoft.com/office/drawing/2012/chartStyle" xmlns:a="http://schemas.openxmlformats.org/drawingml/2006/main" meth="withinLinear" id="15">
  <a:schemeClr val="accent2"/>
</cs:colorStyle>
</file>

<file path=word/charts/colors57.xml><?xml version="1.0" encoding="utf-8"?>
<cs:colorStyle xmlns:cs="http://schemas.microsoft.com/office/drawing/2012/chartStyle" xmlns:a="http://schemas.openxmlformats.org/drawingml/2006/main" meth="withinLinear" id="15">
  <a:schemeClr val="accent2"/>
</cs:colorStyle>
</file>

<file path=word/charts/colors58.xml><?xml version="1.0" encoding="utf-8"?>
<cs:colorStyle xmlns:cs="http://schemas.microsoft.com/office/drawing/2012/chartStyle" xmlns:a="http://schemas.openxmlformats.org/drawingml/2006/main" meth="withinLinear" id="15">
  <a:schemeClr val="accent2"/>
</cs:colorStyle>
</file>

<file path=word/charts/colors59.xml><?xml version="1.0" encoding="utf-8"?>
<cs:colorStyle xmlns:cs="http://schemas.microsoft.com/office/drawing/2012/chartStyle" xmlns:a="http://schemas.openxmlformats.org/drawingml/2006/main" meth="withinLinear" id="15">
  <a:schemeClr val="accent2"/>
</cs:colorStyle>
</file>

<file path=word/charts/colors6.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0.xml><?xml version="1.0" encoding="utf-8"?>
<cs:colorStyle xmlns:cs="http://schemas.microsoft.com/office/drawing/2012/chartStyle" xmlns:a="http://schemas.openxmlformats.org/drawingml/2006/main" meth="withinLinear" id="15">
  <a:schemeClr val="accent2"/>
</cs:colorStyle>
</file>

<file path=word/charts/colors61.xml><?xml version="1.0" encoding="utf-8"?>
<cs:colorStyle xmlns:cs="http://schemas.microsoft.com/office/drawing/2012/chartStyle" xmlns:a="http://schemas.openxmlformats.org/drawingml/2006/main" meth="withinLinear" id="15">
  <a:schemeClr val="accent2"/>
</cs:colorStyle>
</file>

<file path=word/charts/colors6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3.xml><?xml version="1.0" encoding="utf-8"?>
<cs:colorStyle xmlns:cs="http://schemas.microsoft.com/office/drawing/2012/chartStyle" xmlns:a="http://schemas.openxmlformats.org/drawingml/2006/main" meth="withinLinear" id="15">
  <a:schemeClr val="accent2"/>
</cs:colorStyle>
</file>

<file path=word/charts/colors64.xml><?xml version="1.0" encoding="utf-8"?>
<cs:colorStyle xmlns:cs="http://schemas.microsoft.com/office/drawing/2012/chartStyle" xmlns:a="http://schemas.openxmlformats.org/drawingml/2006/main" meth="withinLinear" id="15">
  <a:schemeClr val="accent2"/>
</cs:colorStyle>
</file>

<file path=word/charts/colors65.xml><?xml version="1.0" encoding="utf-8"?>
<cs:colorStyle xmlns:cs="http://schemas.microsoft.com/office/drawing/2012/chartStyle" xmlns:a="http://schemas.openxmlformats.org/drawingml/2006/main" meth="withinLinear" id="15">
  <a:schemeClr val="accent2"/>
</cs:colorStyle>
</file>

<file path=word/charts/colors66.xml><?xml version="1.0" encoding="utf-8"?>
<cs:colorStyle xmlns:cs="http://schemas.microsoft.com/office/drawing/2012/chartStyle" xmlns:a="http://schemas.openxmlformats.org/drawingml/2006/main" meth="withinLinear" id="15">
  <a:schemeClr val="accent2"/>
</cs:colorStyle>
</file>

<file path=word/charts/colors67.xml><?xml version="1.0" encoding="utf-8"?>
<cs:colorStyle xmlns:cs="http://schemas.microsoft.com/office/drawing/2012/chartStyle" xmlns:a="http://schemas.openxmlformats.org/drawingml/2006/main" meth="withinLinear" id="15">
  <a:schemeClr val="accent2"/>
</cs:colorStyle>
</file>

<file path=word/charts/colors68.xml><?xml version="1.0" encoding="utf-8"?>
<cs:colorStyle xmlns:cs="http://schemas.microsoft.com/office/drawing/2012/chartStyle" xmlns:a="http://schemas.openxmlformats.org/drawingml/2006/main" meth="withinLinear" id="15">
  <a:schemeClr val="accent2"/>
</cs:colorStyle>
</file>

<file path=word/charts/colors69.xml><?xml version="1.0" encoding="utf-8"?>
<cs:colorStyle xmlns:cs="http://schemas.microsoft.com/office/drawing/2012/chartStyle" xmlns:a="http://schemas.openxmlformats.org/drawingml/2006/main" meth="withinLinear" id="15">
  <a:schemeClr val="accent2"/>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0.xml><?xml version="1.0" encoding="utf-8"?>
<cs:colorStyle xmlns:cs="http://schemas.microsoft.com/office/drawing/2012/chartStyle" xmlns:a="http://schemas.openxmlformats.org/drawingml/2006/main" meth="withinLinear" id="15">
  <a:schemeClr val="accent2"/>
</cs:colorStyle>
</file>

<file path=word/charts/colors71.xml><?xml version="1.0" encoding="utf-8"?>
<cs:colorStyle xmlns:cs="http://schemas.microsoft.com/office/drawing/2012/chartStyle" xmlns:a="http://schemas.openxmlformats.org/drawingml/2006/main" meth="withinLinear" id="15">
  <a:schemeClr val="accent2"/>
</cs:colorStyle>
</file>

<file path=word/charts/colors72.xml><?xml version="1.0" encoding="utf-8"?>
<cs:colorStyle xmlns:cs="http://schemas.microsoft.com/office/drawing/2012/chartStyle" xmlns:a="http://schemas.openxmlformats.org/drawingml/2006/main" meth="withinLinear" id="15">
  <a:schemeClr val="accent2"/>
</cs:colorStyle>
</file>

<file path=word/charts/colors73.xml><?xml version="1.0" encoding="utf-8"?>
<cs:colorStyle xmlns:cs="http://schemas.microsoft.com/office/drawing/2012/chartStyle" xmlns:a="http://schemas.openxmlformats.org/drawingml/2006/main" meth="withinLinear" id="15">
  <a:schemeClr val="accent2"/>
</cs:colorStyle>
</file>

<file path=word/charts/colors74.xml><?xml version="1.0" encoding="utf-8"?>
<cs:colorStyle xmlns:cs="http://schemas.microsoft.com/office/drawing/2012/chartStyle" xmlns:a="http://schemas.openxmlformats.org/drawingml/2006/main" meth="withinLinear" id="15">
  <a:schemeClr val="accent2"/>
</cs:colorStyle>
</file>

<file path=word/charts/colors7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6.xml><?xml version="1.0" encoding="utf-8"?>
<cs:colorStyle xmlns:cs="http://schemas.microsoft.com/office/drawing/2012/chartStyle" xmlns:a="http://schemas.openxmlformats.org/drawingml/2006/main" meth="withinLinear" id="15">
  <a:schemeClr val="accent2"/>
</cs:colorStyle>
</file>

<file path=word/charts/colors77.xml><?xml version="1.0" encoding="utf-8"?>
<cs:colorStyle xmlns:cs="http://schemas.microsoft.com/office/drawing/2012/chartStyle" xmlns:a="http://schemas.openxmlformats.org/drawingml/2006/main" meth="withinLinear" id="15">
  <a:schemeClr val="accent2"/>
</cs:colorStyle>
</file>

<file path=word/charts/colors78.xml><?xml version="1.0" encoding="utf-8"?>
<cs:colorStyle xmlns:cs="http://schemas.microsoft.com/office/drawing/2012/chartStyle" xmlns:a="http://schemas.openxmlformats.org/drawingml/2006/main" meth="withinLinear" id="15">
  <a:schemeClr val="accent2"/>
</cs:colorStyle>
</file>

<file path=word/charts/colors79.xml><?xml version="1.0" encoding="utf-8"?>
<cs:colorStyle xmlns:cs="http://schemas.microsoft.com/office/drawing/2012/chartStyle" xmlns:a="http://schemas.openxmlformats.org/drawingml/2006/main" meth="withinLinear" id="15">
  <a:schemeClr val="accent2"/>
</cs:colorStyle>
</file>

<file path=word/charts/colors8.xml><?xml version="1.0" encoding="utf-8"?>
<cs:colorStyle xmlns:cs="http://schemas.microsoft.com/office/drawing/2012/chartStyle" xmlns:a="http://schemas.openxmlformats.org/drawingml/2006/main" meth="withinLinear" id="15">
  <a:schemeClr val="accent2"/>
</cs:colorStyle>
</file>

<file path=word/charts/colors80.xml><?xml version="1.0" encoding="utf-8"?>
<cs:colorStyle xmlns:cs="http://schemas.microsoft.com/office/drawing/2012/chartStyle" xmlns:a="http://schemas.openxmlformats.org/drawingml/2006/main" meth="withinLinear" id="15">
  <a:schemeClr val="accent2"/>
</cs:colorStyle>
</file>

<file path=word/charts/colors81.xml><?xml version="1.0" encoding="utf-8"?>
<cs:colorStyle xmlns:cs="http://schemas.microsoft.com/office/drawing/2012/chartStyle" xmlns:a="http://schemas.openxmlformats.org/drawingml/2006/main" meth="withinLinear" id="15">
  <a:schemeClr val="accent2"/>
</cs:colorStyle>
</file>

<file path=word/charts/colors82.xml><?xml version="1.0" encoding="utf-8"?>
<cs:colorStyle xmlns:cs="http://schemas.microsoft.com/office/drawing/2012/chartStyle" xmlns:a="http://schemas.openxmlformats.org/drawingml/2006/main" meth="withinLinear" id="15">
  <a:schemeClr val="accent2"/>
</cs:colorStyle>
</file>

<file path=word/charts/colors8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withinLinear" id="15">
  <a:schemeClr val="accent2"/>
</cs:colorStyle>
</file>

<file path=word/charts/colors9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1.xml><?xml version="1.0" encoding="utf-8"?>
<cs:colorStyle xmlns:cs="http://schemas.microsoft.com/office/drawing/2012/chartStyle" xmlns:a="http://schemas.openxmlformats.org/drawingml/2006/main" meth="withinLinear" id="15">
  <a:schemeClr val="accent2"/>
</cs:colorStyle>
</file>

<file path=word/charts/colors92.xml><?xml version="1.0" encoding="utf-8"?>
<cs:colorStyle xmlns:cs="http://schemas.microsoft.com/office/drawing/2012/chartStyle" xmlns:a="http://schemas.openxmlformats.org/drawingml/2006/main" meth="withinLinear" id="15">
  <a:schemeClr val="accent2"/>
</cs:colorStyle>
</file>

<file path=word/charts/colors93.xml><?xml version="1.0" encoding="utf-8"?>
<cs:colorStyle xmlns:cs="http://schemas.microsoft.com/office/drawing/2012/chartStyle" xmlns:a="http://schemas.openxmlformats.org/drawingml/2006/main" meth="withinLinear" id="15">
  <a:schemeClr val="accent2"/>
</cs:colorStyle>
</file>

<file path=word/charts/colors94.xml><?xml version="1.0" encoding="utf-8"?>
<cs:colorStyle xmlns:cs="http://schemas.microsoft.com/office/drawing/2012/chartStyle" xmlns:a="http://schemas.openxmlformats.org/drawingml/2006/main" meth="withinLinear" id="15">
  <a:schemeClr val="accent2"/>
</cs:colorStyle>
</file>

<file path=word/charts/colors95.xml><?xml version="1.0" encoding="utf-8"?>
<cs:colorStyle xmlns:cs="http://schemas.microsoft.com/office/drawing/2012/chartStyle" xmlns:a="http://schemas.openxmlformats.org/drawingml/2006/main" meth="withinLinear" id="15">
  <a:schemeClr val="accent2"/>
</cs:colorStyle>
</file>

<file path=word/charts/colors9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7.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8.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0.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3.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4.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5.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6.xml><?xml version="1.0" encoding="utf-8"?>
<cs:chartStyle xmlns:cs="http://schemas.microsoft.com/office/drawing/2012/chartStyle" xmlns:a="http://schemas.openxmlformats.org/drawingml/2006/main" id="298">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lt1"/>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1060.xml><?xml version="1.0" encoding="utf-8"?>
<cs:chartStyle xmlns:cs="http://schemas.microsoft.com/office/drawing/2012/chartStyle" xmlns:a="http://schemas.openxmlformats.org/drawingml/2006/main" id="419">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107.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8.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9.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0.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3.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4.xml><?xml version="1.0" encoding="utf-8"?>
<cs:chartStyle xmlns:cs="http://schemas.microsoft.com/office/drawing/2012/chartStyle" xmlns:a="http://schemas.openxmlformats.org/drawingml/2006/main" id="298">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lt1"/>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115.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6.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368">
  <cs:axisTitle>
    <cs:lnRef idx="0"/>
    <cs:fillRef idx="0"/>
    <cs:effectRef idx="0"/>
    <cs:fontRef idx="minor">
      <a:schemeClr val="dk1">
        <a:lumMod val="75000"/>
        <a:lumOff val="25000"/>
      </a:schemeClr>
    </cs:fontRef>
    <cs:defRPr sz="9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cs:chartArea>
  <cs:dataLabel>
    <cs:lnRef idx="0"/>
    <cs:fillRef idx="0"/>
    <cs:effectRef idx="0"/>
    <cs:fontRef idx="minor">
      <a:schemeClr val="dk1"/>
    </cs:fontRef>
    <cs:defRPr sz="900"/>
  </cs:dataLabel>
  <cs:dataLabelCallout>
    <cs:lnRef idx="0"/>
    <cs:fillRef idx="0"/>
    <cs:effectRef idx="0"/>
    <cs:fontRef idx="minor">
      <a:schemeClr val="lt1"/>
    </cs:fontRef>
    <cs:spPr>
      <a:solidFill>
        <a:schemeClr val="dk1">
          <a:lumMod val="65000"/>
          <a:lumOff val="35000"/>
          <a:alpha val="75000"/>
        </a:schemeClr>
      </a:solidFill>
    </cs:spPr>
    <cs:defRPr sz="9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2857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75000"/>
            <a:lumOff val="25000"/>
          </a:schemeClr>
        </a:solidFill>
      </a:ln>
    </cs:spPr>
    <cs:defRPr sz="9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lumOff val="10000"/>
              </a:schemeClr>
            </a:gs>
            <a:gs pos="0">
              <a:schemeClr val="lt1">
                <a:lumMod val="75000"/>
                <a:alpha val="36000"/>
                <a:lumOff val="10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cs:seriesAxis>
  <cs:seriesLine>
    <cs:lnRef idx="0"/>
    <cs:fillRef idx="0"/>
    <cs:effectRef idx="0"/>
    <cs:fontRef idx="minor">
      <a:schemeClr val="dk1"/>
    </cs:fontRef>
    <cs:spPr>
      <a:ln w="9525" cap="flat">
        <a:solidFill>
          <a:schemeClr val="bg1">
            <a:lumMod val="50000"/>
          </a:schemeClr>
        </a:solidFill>
        <a:round/>
      </a:ln>
    </cs:spPr>
  </cs:seriesLine>
  <cs:title>
    <cs:lnRef idx="0"/>
    <cs:fillRef idx="0"/>
    <cs:effectRef idx="0"/>
    <cs:fontRef idx="minor">
      <a:schemeClr val="dk1">
        <a:lumMod val="75000"/>
        <a:lumOff val="25000"/>
      </a:schemeClr>
    </cs:fontRef>
    <cs:defRPr sz="1800" b="1"/>
  </cs:title>
  <cs:trendline>
    <cs:lnRef idx="0"/>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dk1">
        <a:lumMod val="75000"/>
        <a:lumOff val="25000"/>
      </a:schemeClr>
    </cs:fontRef>
    <cs:defRPr sz="9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defRPr sz="9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298">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lt1"/>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20.xml><?xml version="1.0" encoding="utf-8"?>
<cs:chartStyle xmlns:cs="http://schemas.microsoft.com/office/drawing/2012/chartStyle" xmlns:a="http://schemas.openxmlformats.org/drawingml/2006/main" id="368">
  <cs:axisTitle>
    <cs:lnRef idx="0"/>
    <cs:fillRef idx="0"/>
    <cs:effectRef idx="0"/>
    <cs:fontRef idx="minor">
      <a:schemeClr val="dk1">
        <a:lumMod val="75000"/>
        <a:lumOff val="25000"/>
      </a:schemeClr>
    </cs:fontRef>
    <cs:defRPr sz="9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cs:chartArea>
  <cs:dataLabel>
    <cs:lnRef idx="0"/>
    <cs:fillRef idx="0"/>
    <cs:effectRef idx="0"/>
    <cs:fontRef idx="minor">
      <a:schemeClr val="dk1"/>
    </cs:fontRef>
    <cs:defRPr sz="900"/>
  </cs:dataLabel>
  <cs:dataLabelCallout>
    <cs:lnRef idx="0"/>
    <cs:fillRef idx="0"/>
    <cs:effectRef idx="0"/>
    <cs:fontRef idx="minor">
      <a:schemeClr val="lt1"/>
    </cs:fontRef>
    <cs:spPr>
      <a:solidFill>
        <a:schemeClr val="dk1">
          <a:lumMod val="65000"/>
          <a:lumOff val="35000"/>
          <a:alpha val="75000"/>
        </a:schemeClr>
      </a:solidFill>
    </cs:spPr>
    <cs:defRPr sz="9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2857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75000"/>
            <a:lumOff val="25000"/>
          </a:schemeClr>
        </a:solidFill>
      </a:ln>
    </cs:spPr>
    <cs:defRPr sz="9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lumOff val="10000"/>
              </a:schemeClr>
            </a:gs>
            <a:gs pos="0">
              <a:schemeClr val="lt1">
                <a:lumMod val="75000"/>
                <a:alpha val="36000"/>
                <a:lumOff val="10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cs:seriesAxis>
  <cs:seriesLine>
    <cs:lnRef idx="0"/>
    <cs:fillRef idx="0"/>
    <cs:effectRef idx="0"/>
    <cs:fontRef idx="minor">
      <a:schemeClr val="dk1"/>
    </cs:fontRef>
    <cs:spPr>
      <a:ln w="9525" cap="flat">
        <a:solidFill>
          <a:schemeClr val="bg1">
            <a:lumMod val="50000"/>
          </a:schemeClr>
        </a:solidFill>
        <a:round/>
      </a:ln>
    </cs:spPr>
  </cs:seriesLine>
  <cs:title>
    <cs:lnRef idx="0"/>
    <cs:fillRef idx="0"/>
    <cs:effectRef idx="0"/>
    <cs:fontRef idx="minor">
      <a:schemeClr val="dk1">
        <a:lumMod val="75000"/>
        <a:lumOff val="25000"/>
      </a:schemeClr>
    </cs:fontRef>
    <cs:defRPr sz="1800" b="1"/>
  </cs:title>
  <cs:trendline>
    <cs:lnRef idx="0"/>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dk1">
        <a:lumMod val="75000"/>
        <a:lumOff val="25000"/>
      </a:schemeClr>
    </cs:fontRef>
    <cs:defRPr sz="9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defRPr sz="900"/>
  </cs:valueAxis>
  <cs:wall>
    <cs:lnRef idx="0"/>
    <cs:fillRef idx="0"/>
    <cs:effectRef idx="0"/>
    <cs:fontRef idx="minor">
      <a:schemeClr val="dk1"/>
    </cs:fontRef>
  </cs:wall>
</cs:chartStyle>
</file>

<file path=word/charts/style21.xml><?xml version="1.0" encoding="utf-8"?>
<cs:chartStyle xmlns:cs="http://schemas.microsoft.com/office/drawing/2012/chartStyle" xmlns:a="http://schemas.openxmlformats.org/drawingml/2006/main" id="368">
  <cs:axisTitle>
    <cs:lnRef idx="0"/>
    <cs:fillRef idx="0"/>
    <cs:effectRef idx="0"/>
    <cs:fontRef idx="minor">
      <a:schemeClr val="dk1">
        <a:lumMod val="75000"/>
        <a:lumOff val="25000"/>
      </a:schemeClr>
    </cs:fontRef>
    <cs:defRPr sz="9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cs:chartArea>
  <cs:dataLabel>
    <cs:lnRef idx="0"/>
    <cs:fillRef idx="0"/>
    <cs:effectRef idx="0"/>
    <cs:fontRef idx="minor">
      <a:schemeClr val="dk1"/>
    </cs:fontRef>
    <cs:defRPr sz="900"/>
  </cs:dataLabel>
  <cs:dataLabelCallout>
    <cs:lnRef idx="0"/>
    <cs:fillRef idx="0"/>
    <cs:effectRef idx="0"/>
    <cs:fontRef idx="minor">
      <a:schemeClr val="lt1"/>
    </cs:fontRef>
    <cs:spPr>
      <a:solidFill>
        <a:schemeClr val="dk1">
          <a:lumMod val="65000"/>
          <a:lumOff val="35000"/>
          <a:alpha val="75000"/>
        </a:schemeClr>
      </a:solidFill>
    </cs:spPr>
    <cs:defRPr sz="9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2857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75000"/>
            <a:lumOff val="25000"/>
          </a:schemeClr>
        </a:solidFill>
      </a:ln>
    </cs:spPr>
    <cs:defRPr sz="9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lumOff val="10000"/>
              </a:schemeClr>
            </a:gs>
            <a:gs pos="0">
              <a:schemeClr val="lt1">
                <a:lumMod val="75000"/>
                <a:alpha val="36000"/>
                <a:lumOff val="10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cs:seriesAxis>
  <cs:seriesLine>
    <cs:lnRef idx="0"/>
    <cs:fillRef idx="0"/>
    <cs:effectRef idx="0"/>
    <cs:fontRef idx="minor">
      <a:schemeClr val="dk1"/>
    </cs:fontRef>
    <cs:spPr>
      <a:ln w="9525" cap="flat">
        <a:solidFill>
          <a:schemeClr val="bg1">
            <a:lumMod val="50000"/>
          </a:schemeClr>
        </a:solidFill>
        <a:round/>
      </a:ln>
    </cs:spPr>
  </cs:seriesLine>
  <cs:title>
    <cs:lnRef idx="0"/>
    <cs:fillRef idx="0"/>
    <cs:effectRef idx="0"/>
    <cs:fontRef idx="minor">
      <a:schemeClr val="dk1">
        <a:lumMod val="75000"/>
        <a:lumOff val="25000"/>
      </a:schemeClr>
    </cs:fontRef>
    <cs:defRPr sz="1800" b="1"/>
  </cs:title>
  <cs:trendline>
    <cs:lnRef idx="0"/>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dk1">
        <a:lumMod val="75000"/>
        <a:lumOff val="25000"/>
      </a:schemeClr>
    </cs:fontRef>
    <cs:defRPr sz="9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defRPr sz="900"/>
  </cs:valueAxis>
  <cs:wall>
    <cs:lnRef idx="0"/>
    <cs:fillRef idx="0"/>
    <cs:effectRef idx="0"/>
    <cs:fontRef idx="minor">
      <a:schemeClr val="dk1"/>
    </cs:fontRef>
  </cs:wall>
</cs:chartStyle>
</file>

<file path=word/charts/style22.xml><?xml version="1.0" encoding="utf-8"?>
<cs:chartStyle xmlns:cs="http://schemas.microsoft.com/office/drawing/2012/chartStyle" xmlns:a="http://schemas.openxmlformats.org/drawingml/2006/main" id="368">
  <cs:axisTitle>
    <cs:lnRef idx="0"/>
    <cs:fillRef idx="0"/>
    <cs:effectRef idx="0"/>
    <cs:fontRef idx="minor">
      <a:schemeClr val="dk1">
        <a:lumMod val="75000"/>
        <a:lumOff val="25000"/>
      </a:schemeClr>
    </cs:fontRef>
    <cs:defRPr sz="9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cs:chartArea>
  <cs:dataLabel>
    <cs:lnRef idx="0"/>
    <cs:fillRef idx="0"/>
    <cs:effectRef idx="0"/>
    <cs:fontRef idx="minor">
      <a:schemeClr val="dk1"/>
    </cs:fontRef>
    <cs:defRPr sz="900"/>
  </cs:dataLabel>
  <cs:dataLabelCallout>
    <cs:lnRef idx="0"/>
    <cs:fillRef idx="0"/>
    <cs:effectRef idx="0"/>
    <cs:fontRef idx="minor">
      <a:schemeClr val="lt1"/>
    </cs:fontRef>
    <cs:spPr>
      <a:solidFill>
        <a:schemeClr val="dk1">
          <a:lumMod val="65000"/>
          <a:lumOff val="35000"/>
          <a:alpha val="75000"/>
        </a:schemeClr>
      </a:solidFill>
    </cs:spPr>
    <cs:defRPr sz="9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2857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75000"/>
            <a:lumOff val="25000"/>
          </a:schemeClr>
        </a:solidFill>
      </a:ln>
    </cs:spPr>
    <cs:defRPr sz="9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lumOff val="10000"/>
              </a:schemeClr>
            </a:gs>
            <a:gs pos="0">
              <a:schemeClr val="lt1">
                <a:lumMod val="75000"/>
                <a:alpha val="36000"/>
                <a:lumOff val="10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cs:seriesAxis>
  <cs:seriesLine>
    <cs:lnRef idx="0"/>
    <cs:fillRef idx="0"/>
    <cs:effectRef idx="0"/>
    <cs:fontRef idx="minor">
      <a:schemeClr val="dk1"/>
    </cs:fontRef>
    <cs:spPr>
      <a:ln w="9525" cap="flat">
        <a:solidFill>
          <a:schemeClr val="bg1">
            <a:lumMod val="50000"/>
          </a:schemeClr>
        </a:solidFill>
        <a:round/>
      </a:ln>
    </cs:spPr>
  </cs:seriesLine>
  <cs:title>
    <cs:lnRef idx="0"/>
    <cs:fillRef idx="0"/>
    <cs:effectRef idx="0"/>
    <cs:fontRef idx="minor">
      <a:schemeClr val="dk1">
        <a:lumMod val="75000"/>
        <a:lumOff val="25000"/>
      </a:schemeClr>
    </cs:fontRef>
    <cs:defRPr sz="1800" b="1"/>
  </cs:title>
  <cs:trendline>
    <cs:lnRef idx="0"/>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dk1">
        <a:lumMod val="75000"/>
        <a:lumOff val="25000"/>
      </a:schemeClr>
    </cs:fontRef>
    <cs:defRPr sz="9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defRPr sz="900"/>
  </cs:valueAxis>
  <cs:wall>
    <cs:lnRef idx="0"/>
    <cs:fillRef idx="0"/>
    <cs:effectRef idx="0"/>
    <cs:fontRef idx="minor">
      <a:schemeClr val="dk1"/>
    </cs:fontRef>
  </cs:wall>
</cs:chartStyle>
</file>

<file path=word/charts/style23.xml><?xml version="1.0" encoding="utf-8"?>
<cs:chartStyle xmlns:cs="http://schemas.microsoft.com/office/drawing/2012/chartStyle" xmlns:a="http://schemas.openxmlformats.org/drawingml/2006/main" id="368">
  <cs:axisTitle>
    <cs:lnRef idx="0"/>
    <cs:fillRef idx="0"/>
    <cs:effectRef idx="0"/>
    <cs:fontRef idx="minor">
      <a:schemeClr val="dk1">
        <a:lumMod val="75000"/>
        <a:lumOff val="25000"/>
      </a:schemeClr>
    </cs:fontRef>
    <cs:defRPr sz="9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cs:chartArea>
  <cs:dataLabel>
    <cs:lnRef idx="0"/>
    <cs:fillRef idx="0"/>
    <cs:effectRef idx="0"/>
    <cs:fontRef idx="minor">
      <a:schemeClr val="dk1"/>
    </cs:fontRef>
    <cs:defRPr sz="900"/>
  </cs:dataLabel>
  <cs:dataLabelCallout>
    <cs:lnRef idx="0"/>
    <cs:fillRef idx="0"/>
    <cs:effectRef idx="0"/>
    <cs:fontRef idx="minor">
      <a:schemeClr val="lt1"/>
    </cs:fontRef>
    <cs:spPr>
      <a:solidFill>
        <a:schemeClr val="dk1">
          <a:lumMod val="65000"/>
          <a:lumOff val="35000"/>
          <a:alpha val="75000"/>
        </a:schemeClr>
      </a:solidFill>
    </cs:spPr>
    <cs:defRPr sz="9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2857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75000"/>
            <a:lumOff val="25000"/>
          </a:schemeClr>
        </a:solidFill>
      </a:ln>
    </cs:spPr>
    <cs:defRPr sz="9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lumOff val="10000"/>
              </a:schemeClr>
            </a:gs>
            <a:gs pos="0">
              <a:schemeClr val="lt1">
                <a:lumMod val="75000"/>
                <a:alpha val="36000"/>
                <a:lumOff val="10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cs:seriesAxis>
  <cs:seriesLine>
    <cs:lnRef idx="0"/>
    <cs:fillRef idx="0"/>
    <cs:effectRef idx="0"/>
    <cs:fontRef idx="minor">
      <a:schemeClr val="dk1"/>
    </cs:fontRef>
    <cs:spPr>
      <a:ln w="9525" cap="flat">
        <a:solidFill>
          <a:schemeClr val="bg1">
            <a:lumMod val="50000"/>
          </a:schemeClr>
        </a:solidFill>
        <a:round/>
      </a:ln>
    </cs:spPr>
  </cs:seriesLine>
  <cs:title>
    <cs:lnRef idx="0"/>
    <cs:fillRef idx="0"/>
    <cs:effectRef idx="0"/>
    <cs:fontRef idx="minor">
      <a:schemeClr val="dk1">
        <a:lumMod val="75000"/>
        <a:lumOff val="25000"/>
      </a:schemeClr>
    </cs:fontRef>
    <cs:defRPr sz="1800" b="1"/>
  </cs:title>
  <cs:trendline>
    <cs:lnRef idx="0"/>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dk1">
        <a:lumMod val="75000"/>
        <a:lumOff val="25000"/>
      </a:schemeClr>
    </cs:fontRef>
    <cs:defRPr sz="9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defRPr sz="900"/>
  </cs:valueAxis>
  <cs:wall>
    <cs:lnRef idx="0"/>
    <cs:fillRef idx="0"/>
    <cs:effectRef idx="0"/>
    <cs:fontRef idx="minor">
      <a:schemeClr val="dk1"/>
    </cs:fontRef>
  </cs:wall>
</cs:chartStyle>
</file>

<file path=word/charts/style24.xml><?xml version="1.0" encoding="utf-8"?>
<cs:chartStyle xmlns:cs="http://schemas.microsoft.com/office/drawing/2012/chartStyle" xmlns:a="http://schemas.openxmlformats.org/drawingml/2006/main" id="368">
  <cs:axisTitle>
    <cs:lnRef idx="0"/>
    <cs:fillRef idx="0"/>
    <cs:effectRef idx="0"/>
    <cs:fontRef idx="minor">
      <a:schemeClr val="dk1">
        <a:lumMod val="75000"/>
        <a:lumOff val="25000"/>
      </a:schemeClr>
    </cs:fontRef>
    <cs:defRPr sz="9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cs:chartArea>
  <cs:dataLabel>
    <cs:lnRef idx="0"/>
    <cs:fillRef idx="0"/>
    <cs:effectRef idx="0"/>
    <cs:fontRef idx="minor">
      <a:schemeClr val="dk1"/>
    </cs:fontRef>
    <cs:defRPr sz="900"/>
  </cs:dataLabel>
  <cs:dataLabelCallout>
    <cs:lnRef idx="0"/>
    <cs:fillRef idx="0"/>
    <cs:effectRef idx="0"/>
    <cs:fontRef idx="minor">
      <a:schemeClr val="lt1"/>
    </cs:fontRef>
    <cs:spPr>
      <a:solidFill>
        <a:schemeClr val="dk1">
          <a:lumMod val="65000"/>
          <a:lumOff val="35000"/>
          <a:alpha val="75000"/>
        </a:schemeClr>
      </a:solidFill>
    </cs:spPr>
    <cs:defRPr sz="9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2857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75000"/>
            <a:lumOff val="25000"/>
          </a:schemeClr>
        </a:solidFill>
      </a:ln>
    </cs:spPr>
    <cs:defRPr sz="9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lumOff val="10000"/>
              </a:schemeClr>
            </a:gs>
            <a:gs pos="0">
              <a:schemeClr val="lt1">
                <a:lumMod val="75000"/>
                <a:alpha val="36000"/>
                <a:lumOff val="10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cs:seriesAxis>
  <cs:seriesLine>
    <cs:lnRef idx="0"/>
    <cs:fillRef idx="0"/>
    <cs:effectRef idx="0"/>
    <cs:fontRef idx="minor">
      <a:schemeClr val="dk1"/>
    </cs:fontRef>
    <cs:spPr>
      <a:ln w="9525" cap="flat">
        <a:solidFill>
          <a:schemeClr val="bg1">
            <a:lumMod val="50000"/>
          </a:schemeClr>
        </a:solidFill>
        <a:round/>
      </a:ln>
    </cs:spPr>
  </cs:seriesLine>
  <cs:title>
    <cs:lnRef idx="0"/>
    <cs:fillRef idx="0"/>
    <cs:effectRef idx="0"/>
    <cs:fontRef idx="minor">
      <a:schemeClr val="dk1">
        <a:lumMod val="75000"/>
        <a:lumOff val="25000"/>
      </a:schemeClr>
    </cs:fontRef>
    <cs:defRPr sz="1800" b="1"/>
  </cs:title>
  <cs:trendline>
    <cs:lnRef idx="0"/>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dk1">
        <a:lumMod val="75000"/>
        <a:lumOff val="25000"/>
      </a:schemeClr>
    </cs:fontRef>
    <cs:defRPr sz="9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defRPr sz="900"/>
  </cs:valueAxis>
  <cs:wall>
    <cs:lnRef idx="0"/>
    <cs:fillRef idx="0"/>
    <cs:effectRef idx="0"/>
    <cs:fontRef idx="minor">
      <a:schemeClr val="dk1"/>
    </cs:fontRef>
  </cs:wall>
</cs:chartStyle>
</file>

<file path=word/charts/style25.xml><?xml version="1.0" encoding="utf-8"?>
<cs:chartStyle xmlns:cs="http://schemas.microsoft.com/office/drawing/2012/chartStyle" xmlns:a="http://schemas.openxmlformats.org/drawingml/2006/main" id="36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26.xml><?xml version="1.0" encoding="utf-8"?>
<cs:chartStyle xmlns:cs="http://schemas.microsoft.com/office/drawing/2012/chartStyle" xmlns:a="http://schemas.openxmlformats.org/drawingml/2006/main" id="298">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lt1"/>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260.xml><?xml version="1.0" encoding="utf-8"?>
<cs:chartStyle xmlns:cs="http://schemas.microsoft.com/office/drawing/2012/chartStyle" xmlns:a="http://schemas.openxmlformats.org/drawingml/2006/main" id="419">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27.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70.xml><?xml version="1.0" encoding="utf-8"?>
<cs:chartStyle xmlns:cs="http://schemas.microsoft.com/office/drawing/2012/chartStyle" xmlns:a="http://schemas.openxmlformats.org/drawingml/2006/main" id="419">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28.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80.xml><?xml version="1.0" encoding="utf-8"?>
<cs:chartStyle xmlns:cs="http://schemas.microsoft.com/office/drawing/2012/chartStyle" xmlns:a="http://schemas.openxmlformats.org/drawingml/2006/main" id="419">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29.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90.xml><?xml version="1.0" encoding="utf-8"?>
<cs:chartStyle xmlns:cs="http://schemas.microsoft.com/office/drawing/2012/chartStyle" xmlns:a="http://schemas.openxmlformats.org/drawingml/2006/main" id="419">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3.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0.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00.xml><?xml version="1.0" encoding="utf-8"?>
<cs:chartStyle xmlns:cs="http://schemas.microsoft.com/office/drawing/2012/chartStyle" xmlns:a="http://schemas.openxmlformats.org/drawingml/2006/main" id="419">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3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10.xml><?xml version="1.0" encoding="utf-8"?>
<cs:chartStyle xmlns:cs="http://schemas.microsoft.com/office/drawing/2012/chartStyle" xmlns:a="http://schemas.openxmlformats.org/drawingml/2006/main" id="419">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3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20.xml><?xml version="1.0" encoding="utf-8"?>
<cs:chartStyle xmlns:cs="http://schemas.microsoft.com/office/drawing/2012/chartStyle" xmlns:a="http://schemas.openxmlformats.org/drawingml/2006/main" id="419">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33.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4.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5.xml><?xml version="1.0" encoding="utf-8"?>
<cs:chartStyle xmlns:cs="http://schemas.microsoft.com/office/drawing/2012/chartStyle" xmlns:a="http://schemas.openxmlformats.org/drawingml/2006/main" id="298">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lt1"/>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36.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7.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8.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9.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98">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lt1"/>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40.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3.xml><?xml version="1.0" encoding="utf-8"?>
<cs:chartStyle xmlns:cs="http://schemas.microsoft.com/office/drawing/2012/chartStyle" xmlns:a="http://schemas.openxmlformats.org/drawingml/2006/main" id="298">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lt1"/>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44.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5.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6.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7.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8.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9.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0.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3.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4.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5.xml><?xml version="1.0" encoding="utf-8"?>
<cs:chartStyle xmlns:cs="http://schemas.microsoft.com/office/drawing/2012/chartStyle" xmlns:a="http://schemas.openxmlformats.org/drawingml/2006/main" id="298">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lt1"/>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56.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7.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8.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9.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98">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lt1"/>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60.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2.xml><?xml version="1.0" encoding="utf-8"?>
<cs:chartStyle xmlns:cs="http://schemas.microsoft.com/office/drawing/2012/chartStyle" xmlns:a="http://schemas.openxmlformats.org/drawingml/2006/main" id="298">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lt1"/>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63.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4.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5.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6.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7.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8.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9.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98">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lt1"/>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70.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3.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4.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5.xml><?xml version="1.0" encoding="utf-8"?>
<cs:chartStyle xmlns:cs="http://schemas.microsoft.com/office/drawing/2012/chartStyle" xmlns:a="http://schemas.openxmlformats.org/drawingml/2006/main" id="298">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lt1"/>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76.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7.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8.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9.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0.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3.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5.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6.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8.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9.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0.xml><?xml version="1.0" encoding="utf-8"?>
<cs:chartStyle xmlns:cs="http://schemas.microsoft.com/office/drawing/2012/chartStyle" xmlns:a="http://schemas.openxmlformats.org/drawingml/2006/main" id="298">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lt1"/>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9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3.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4.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5.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6.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97.xml><?xml version="1.0" encoding="utf-8"?>
<cs:chartStyle xmlns:cs="http://schemas.microsoft.com/office/drawing/2012/chartStyle" xmlns:a="http://schemas.openxmlformats.org/drawingml/2006/main" id="36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98.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9.xml><?xml version="1.0" encoding="utf-8"?>
<cs:chartStyle xmlns:cs="http://schemas.microsoft.com/office/drawing/2012/chartStyle" xmlns:a="http://schemas.openxmlformats.org/drawingml/2006/main" id="298">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lt1"/>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drawings/drawing1.xml><?xml version="1.0" encoding="utf-8"?>
<c:userShapes xmlns:c="http://schemas.openxmlformats.org/drawingml/2006/chart">
  <cdr:relSizeAnchor xmlns:cdr="http://schemas.openxmlformats.org/drawingml/2006/chartDrawing">
    <cdr:from>
      <cdr:x>0.24853</cdr:x>
      <cdr:y>0.79001</cdr:y>
    </cdr:from>
    <cdr:to>
      <cdr:x>0.4743</cdr:x>
      <cdr:y>0.91767</cdr:y>
    </cdr:to>
    <cdr:sp macro="" textlink="">
      <cdr:nvSpPr>
        <cdr:cNvPr id="2" name="Flowchart: Connector 1" descr="Circle figure at the end of the thermometer picture">
          <a:extLst xmlns:a="http://schemas.openxmlformats.org/drawingml/2006/main">
            <a:ext uri="{FF2B5EF4-FFF2-40B4-BE49-F238E27FC236}">
              <a16:creationId xmlns:a16="http://schemas.microsoft.com/office/drawing/2014/main" id="{2A0AA92F-C34E-4FBC-9567-B0BC82723099}"/>
            </a:ext>
          </a:extLst>
        </cdr:cNvPr>
        <cdr:cNvSpPr/>
      </cdr:nvSpPr>
      <cdr:spPr>
        <a:xfrm xmlns:a="http://schemas.openxmlformats.org/drawingml/2006/main">
          <a:off x="688975" y="3980628"/>
          <a:ext cx="625878" cy="643264"/>
        </a:xfrm>
        <a:prstGeom xmlns:a="http://schemas.openxmlformats.org/drawingml/2006/main" prst="flowChartConnector">
          <a:avLst/>
        </a:prstGeom>
        <a:solidFill xmlns:a="http://schemas.openxmlformats.org/drawingml/2006/main">
          <a:srgbClr val="99221F"/>
        </a:solidFill>
        <a:ln xmlns:a="http://schemas.openxmlformats.org/drawingml/2006/main">
          <a:solidFill>
            <a:srgbClr val="99221F"/>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tlCol="0" anchor="t"/>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l"/>
          <a:endParaRPr lang="en-US" sz="1100"/>
        </a:p>
      </cdr:txBody>
    </cdr:sp>
  </cdr:relSizeAnchor>
  <cdr:relSizeAnchor xmlns:cdr="http://schemas.openxmlformats.org/drawingml/2006/chartDrawing">
    <cdr:from>
      <cdr:x>0.63679</cdr:x>
      <cdr:y>0.78702</cdr:y>
    </cdr:from>
    <cdr:to>
      <cdr:x>0.86256</cdr:x>
      <cdr:y>0.91468</cdr:y>
    </cdr:to>
    <cdr:sp macro="" textlink="">
      <cdr:nvSpPr>
        <cdr:cNvPr id="3" name="Flowchart: Connector 2" descr="Circle figure at the end of the thermometer picture">
          <a:extLst xmlns:a="http://schemas.openxmlformats.org/drawingml/2006/main">
            <a:ext uri="{FF2B5EF4-FFF2-40B4-BE49-F238E27FC236}">
              <a16:creationId xmlns:a16="http://schemas.microsoft.com/office/drawing/2014/main" id="{723D0551-4FFA-43C3-85AC-C1596F771366}"/>
            </a:ext>
          </a:extLst>
        </cdr:cNvPr>
        <cdr:cNvSpPr/>
      </cdr:nvSpPr>
      <cdr:spPr>
        <a:xfrm xmlns:a="http://schemas.openxmlformats.org/drawingml/2006/main">
          <a:off x="1765300" y="3965575"/>
          <a:ext cx="625878" cy="643264"/>
        </a:xfrm>
        <a:prstGeom xmlns:a="http://schemas.openxmlformats.org/drawingml/2006/main" prst="flowChartConnector">
          <a:avLst/>
        </a:prstGeom>
        <a:solidFill xmlns:a="http://schemas.openxmlformats.org/drawingml/2006/main">
          <a:srgbClr val="99221F"/>
        </a:solidFill>
        <a:ln xmlns:a="http://schemas.openxmlformats.org/drawingml/2006/main">
          <a:solidFill>
            <a:srgbClr val="99221F"/>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tlCol="0" anchor="t"/>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l"/>
          <a:endParaRPr lang="en-US" sz="1100"/>
        </a:p>
      </cdr:txBody>
    </cdr:sp>
  </cdr:relSizeAnchor>
</c:userShapes>
</file>

<file path=word/drawings/drawing10.xml><?xml version="1.0" encoding="utf-8"?>
<c:userShapes xmlns:c="http://schemas.openxmlformats.org/drawingml/2006/chart">
  <cdr:relSizeAnchor xmlns:cdr="http://schemas.openxmlformats.org/drawingml/2006/chartDrawing">
    <cdr:from>
      <cdr:x>0.24504</cdr:x>
      <cdr:y>0.7983</cdr:y>
    </cdr:from>
    <cdr:to>
      <cdr:x>0.47081</cdr:x>
      <cdr:y>0.92596</cdr:y>
    </cdr:to>
    <cdr:sp macro="" textlink="">
      <cdr:nvSpPr>
        <cdr:cNvPr id="2" name="Flowchart: Connector 1" descr="Circle figure at the end of the thermometer picture">
          <a:extLst xmlns:a="http://schemas.openxmlformats.org/drawingml/2006/main">
            <a:ext uri="{FF2B5EF4-FFF2-40B4-BE49-F238E27FC236}">
              <a16:creationId xmlns:a16="http://schemas.microsoft.com/office/drawing/2014/main" id="{2A0AA92F-C34E-4FBC-9567-B0BC82723099}"/>
            </a:ext>
          </a:extLst>
        </cdr:cNvPr>
        <cdr:cNvSpPr/>
      </cdr:nvSpPr>
      <cdr:spPr>
        <a:xfrm xmlns:a="http://schemas.openxmlformats.org/drawingml/2006/main">
          <a:off x="683092" y="4089416"/>
          <a:ext cx="629373" cy="653961"/>
        </a:xfrm>
        <a:prstGeom xmlns:a="http://schemas.openxmlformats.org/drawingml/2006/main" prst="flowChartConnector">
          <a:avLst/>
        </a:prstGeom>
        <a:solidFill xmlns:a="http://schemas.openxmlformats.org/drawingml/2006/main">
          <a:srgbClr val="99221F"/>
        </a:solidFill>
        <a:ln xmlns:a="http://schemas.openxmlformats.org/drawingml/2006/main">
          <a:solidFill>
            <a:srgbClr val="99221F"/>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tlCol="0" anchor="t"/>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l"/>
          <a:endParaRPr lang="en-US" sz="1100"/>
        </a:p>
      </cdr:txBody>
    </cdr:sp>
  </cdr:relSizeAnchor>
  <cdr:relSizeAnchor xmlns:cdr="http://schemas.openxmlformats.org/drawingml/2006/chartDrawing">
    <cdr:from>
      <cdr:x>0.64602</cdr:x>
      <cdr:y>0.80277</cdr:y>
    </cdr:from>
    <cdr:to>
      <cdr:x>0.87179</cdr:x>
      <cdr:y>0.93043</cdr:y>
    </cdr:to>
    <cdr:sp macro="" textlink="">
      <cdr:nvSpPr>
        <cdr:cNvPr id="3" name="Flowchart: Connector 2" descr="Circle figure at the end of the thermometer picture">
          <a:extLst xmlns:a="http://schemas.openxmlformats.org/drawingml/2006/main">
            <a:ext uri="{FF2B5EF4-FFF2-40B4-BE49-F238E27FC236}">
              <a16:creationId xmlns:a16="http://schemas.microsoft.com/office/drawing/2014/main" id="{723D0551-4FFA-43C3-85AC-C1596F771366}"/>
            </a:ext>
          </a:extLst>
        </cdr:cNvPr>
        <cdr:cNvSpPr/>
      </cdr:nvSpPr>
      <cdr:spPr>
        <a:xfrm xmlns:a="http://schemas.openxmlformats.org/drawingml/2006/main">
          <a:off x="1800897" y="4112322"/>
          <a:ext cx="629374" cy="653961"/>
        </a:xfrm>
        <a:prstGeom xmlns:a="http://schemas.openxmlformats.org/drawingml/2006/main" prst="flowChartConnector">
          <a:avLst/>
        </a:prstGeom>
        <a:solidFill xmlns:a="http://schemas.openxmlformats.org/drawingml/2006/main">
          <a:srgbClr val="99221F"/>
        </a:solidFill>
        <a:ln xmlns:a="http://schemas.openxmlformats.org/drawingml/2006/main">
          <a:solidFill>
            <a:srgbClr val="99221F"/>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tlCol="0" anchor="t"/>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l"/>
          <a:endParaRPr lang="en-US" sz="1100"/>
        </a:p>
      </cdr:txBody>
    </cdr:sp>
  </cdr:relSizeAnchor>
</c:userShapes>
</file>

<file path=word/drawings/drawing11.xml><?xml version="1.0" encoding="utf-8"?>
<c:userShapes xmlns:c="http://schemas.openxmlformats.org/drawingml/2006/chart">
  <cdr:relSizeAnchor xmlns:cdr="http://schemas.openxmlformats.org/drawingml/2006/chartDrawing">
    <cdr:from>
      <cdr:x>0.68023</cdr:x>
      <cdr:y>0.2334</cdr:y>
    </cdr:from>
    <cdr:to>
      <cdr:x>0.83924</cdr:x>
      <cdr:y>0.84424</cdr:y>
    </cdr:to>
    <cdr:sp macro="" textlink="">
      <cdr:nvSpPr>
        <cdr:cNvPr id="6" name="Rectangle 5" title="Activity One progress"/>
        <cdr:cNvSpPr/>
      </cdr:nvSpPr>
      <cdr:spPr>
        <a:xfrm xmlns:a="http://schemas.openxmlformats.org/drawingml/2006/main">
          <a:off x="1898836" y="1200800"/>
          <a:ext cx="443870" cy="3142632"/>
        </a:xfrm>
        <a:prstGeom xmlns:a="http://schemas.openxmlformats.org/drawingml/2006/main" prst="rect">
          <a:avLst/>
        </a:prstGeom>
      </cdr:spPr>
      <cdr:style>
        <a:lnRef xmlns:a="http://schemas.openxmlformats.org/drawingml/2006/main" idx="2">
          <a:schemeClr val="dk1"/>
        </a:lnRef>
        <a:fillRef xmlns:a="http://schemas.openxmlformats.org/drawingml/2006/main" idx="1">
          <a:schemeClr val="lt1"/>
        </a:fillRef>
        <a:effectRef xmlns:a="http://schemas.openxmlformats.org/drawingml/2006/main" idx="0">
          <a:schemeClr val="dk1"/>
        </a:effectRef>
        <a:fontRef xmlns:a="http://schemas.openxmlformats.org/drawingml/2006/main" idx="minor">
          <a:schemeClr val="dk1"/>
        </a:fontRef>
      </cdr:style>
      <cdr:txBody>
        <a:bodyPr xmlns:a="http://schemas.openxmlformats.org/drawingml/2006/main" rot="0" spcFirstLastPara="0" vert="horz" wrap="square" lIns="91440" tIns="45720" rIns="91440" bIns="45720" numCol="1" spcCol="0" rtlCol="0" fromWordArt="0" anchor="ctr" anchorCtr="0" forceAA="0" compatLnSpc="1">
          <a:prstTxWarp prst="textNoShape">
            <a:avLst/>
          </a:prstTxWarp>
          <a:noAutofit/>
        </a:bodyPr>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endParaRPr lang="en-US"/>
        </a:p>
      </cdr:txBody>
    </cdr:sp>
  </cdr:relSizeAnchor>
  <cdr:relSizeAnchor xmlns:cdr="http://schemas.openxmlformats.org/drawingml/2006/chartDrawing">
    <cdr:from>
      <cdr:x>0.65005</cdr:x>
      <cdr:y>0.79988</cdr:y>
    </cdr:from>
    <cdr:to>
      <cdr:x>0.87469</cdr:x>
      <cdr:y>0.92954</cdr:y>
    </cdr:to>
    <cdr:sp macro="" textlink="">
      <cdr:nvSpPr>
        <cdr:cNvPr id="7" name="Flowchart: Connector 2" descr="Section 511 activity no activities or outputs"/>
        <cdr:cNvSpPr/>
      </cdr:nvSpPr>
      <cdr:spPr>
        <a:xfrm xmlns:a="http://schemas.openxmlformats.org/drawingml/2006/main">
          <a:off x="1814585" y="4115190"/>
          <a:ext cx="627074" cy="667071"/>
        </a:xfrm>
        <a:prstGeom xmlns:a="http://schemas.openxmlformats.org/drawingml/2006/main" prst="flowChartConnector">
          <a:avLst/>
        </a:prstGeom>
        <a:solidFill xmlns:a="http://schemas.openxmlformats.org/drawingml/2006/main">
          <a:srgbClr val="FFE6E6"/>
        </a:solidFill>
        <a:ln xmlns:a="http://schemas.openxmlformats.org/drawingml/2006/main">
          <a:noFill/>
        </a:ln>
      </cdr:spPr>
      <cdr:style>
        <a:lnRef xmlns:a="http://schemas.openxmlformats.org/drawingml/2006/main" idx="2">
          <a:schemeClr val="dk1"/>
        </a:lnRef>
        <a:fillRef xmlns:a="http://schemas.openxmlformats.org/drawingml/2006/main" idx="1">
          <a:schemeClr val="lt1"/>
        </a:fillRef>
        <a:effectRef xmlns:a="http://schemas.openxmlformats.org/drawingml/2006/main" idx="0">
          <a:schemeClr val="dk1"/>
        </a:effectRef>
        <a:fontRef xmlns:a="http://schemas.openxmlformats.org/drawingml/2006/main" idx="minor">
          <a:schemeClr val="dk1"/>
        </a:fontRef>
      </cdr:style>
      <cdr:txBody>
        <a:bodyPr xmlns:a="http://schemas.openxmlformats.org/drawingml/2006/main"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gn="l"/>
          <a:endParaRPr lang="en-US" sz="1100"/>
        </a:p>
      </cdr:txBody>
    </cdr:sp>
  </cdr:relSizeAnchor>
  <cdr:relSizeAnchor xmlns:cdr="http://schemas.openxmlformats.org/drawingml/2006/chartDrawing">
    <cdr:from>
      <cdr:x>0.27863</cdr:x>
      <cdr:y>0.2312</cdr:y>
    </cdr:from>
    <cdr:to>
      <cdr:x>0.43764</cdr:x>
      <cdr:y>0.84204</cdr:y>
    </cdr:to>
    <cdr:sp macro="" textlink="">
      <cdr:nvSpPr>
        <cdr:cNvPr id="8" name="Rectangle 7" descr="Activity One progress chart" title="511 Activity 1"/>
        <cdr:cNvSpPr/>
      </cdr:nvSpPr>
      <cdr:spPr>
        <a:xfrm xmlns:a="http://schemas.openxmlformats.org/drawingml/2006/main">
          <a:off x="777786" y="1189482"/>
          <a:ext cx="443870" cy="3142631"/>
        </a:xfrm>
        <a:prstGeom xmlns:a="http://schemas.openxmlformats.org/drawingml/2006/main" prst="rect">
          <a:avLst/>
        </a:prstGeom>
      </cdr:spPr>
      <cdr:style>
        <a:lnRef xmlns:a="http://schemas.openxmlformats.org/drawingml/2006/main" idx="2">
          <a:schemeClr val="dk1"/>
        </a:lnRef>
        <a:fillRef xmlns:a="http://schemas.openxmlformats.org/drawingml/2006/main" idx="1">
          <a:schemeClr val="lt1"/>
        </a:fillRef>
        <a:effectRef xmlns:a="http://schemas.openxmlformats.org/drawingml/2006/main" idx="0">
          <a:schemeClr val="dk1"/>
        </a:effectRef>
        <a:fontRef xmlns:a="http://schemas.openxmlformats.org/drawingml/2006/main" idx="minor">
          <a:schemeClr val="dk1"/>
        </a:fontRef>
      </cdr:style>
      <cdr:txBody>
        <a:bodyPr xmlns:a="http://schemas.openxmlformats.org/drawingml/2006/main" rot="0" spcFirstLastPara="0" vert="horz" wrap="square" lIns="91440" tIns="45720" rIns="91440" bIns="45720" numCol="1" spcCol="0" rtlCol="0" fromWordArt="0" anchor="ctr" anchorCtr="0" forceAA="0" compatLnSpc="1">
          <a:prstTxWarp prst="textNoShape">
            <a:avLst/>
          </a:prstTxWarp>
          <a:noAutofit/>
        </a:bodyPr>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endParaRPr lang="en-US"/>
        </a:p>
      </cdr:txBody>
    </cdr:sp>
  </cdr:relSizeAnchor>
  <cdr:relSizeAnchor xmlns:cdr="http://schemas.openxmlformats.org/drawingml/2006/chartDrawing">
    <cdr:from>
      <cdr:x>0.22833</cdr:x>
      <cdr:y>0.78775</cdr:y>
    </cdr:from>
    <cdr:to>
      <cdr:x>0.45297</cdr:x>
      <cdr:y>0.91742</cdr:y>
    </cdr:to>
    <cdr:sp macro="" textlink="">
      <cdr:nvSpPr>
        <cdr:cNvPr id="9" name="Flowchart: Connector 2" descr="Circle figure at the end of the thermometer picture"/>
        <cdr:cNvSpPr/>
      </cdr:nvSpPr>
      <cdr:spPr>
        <a:xfrm xmlns:a="http://schemas.openxmlformats.org/drawingml/2006/main">
          <a:off x="637365" y="4052785"/>
          <a:ext cx="627074" cy="667123"/>
        </a:xfrm>
        <a:prstGeom xmlns:a="http://schemas.openxmlformats.org/drawingml/2006/main" prst="flowChartConnector">
          <a:avLst/>
        </a:prstGeom>
        <a:solidFill xmlns:a="http://schemas.openxmlformats.org/drawingml/2006/main">
          <a:srgbClr val="FFE6E6"/>
        </a:solidFill>
        <a:ln xmlns:a="http://schemas.openxmlformats.org/drawingml/2006/main">
          <a:noFill/>
        </a:ln>
      </cdr:spPr>
      <cdr:style>
        <a:lnRef xmlns:a="http://schemas.openxmlformats.org/drawingml/2006/main" idx="2">
          <a:schemeClr val="dk1"/>
        </a:lnRef>
        <a:fillRef xmlns:a="http://schemas.openxmlformats.org/drawingml/2006/main" idx="1">
          <a:schemeClr val="lt1"/>
        </a:fillRef>
        <a:effectRef xmlns:a="http://schemas.openxmlformats.org/drawingml/2006/main" idx="0">
          <a:schemeClr val="dk1"/>
        </a:effectRef>
        <a:fontRef xmlns:a="http://schemas.openxmlformats.org/drawingml/2006/main" idx="minor">
          <a:schemeClr val="dk1"/>
        </a:fontRef>
      </cdr:style>
      <cdr:txBody>
        <a:bodyPr xmlns:a="http://schemas.openxmlformats.org/drawingml/2006/main"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gn="l"/>
          <a:endParaRPr lang="en-US" sz="1100"/>
        </a:p>
      </cdr:txBody>
    </cdr:sp>
  </cdr:relSizeAnchor>
</c:userShapes>
</file>

<file path=word/drawings/drawing12.xml><?xml version="1.0" encoding="utf-8"?>
<c:userShapes xmlns:c="http://schemas.openxmlformats.org/drawingml/2006/chart">
  <cdr:relSizeAnchor xmlns:cdr="http://schemas.openxmlformats.org/drawingml/2006/chartDrawing">
    <cdr:from>
      <cdr:x>0.24853</cdr:x>
      <cdr:y>0.79001</cdr:y>
    </cdr:from>
    <cdr:to>
      <cdr:x>0.4743</cdr:x>
      <cdr:y>0.91767</cdr:y>
    </cdr:to>
    <cdr:sp macro="" textlink="">
      <cdr:nvSpPr>
        <cdr:cNvPr id="2" name="Flowchart: Connector 1" descr="Circle figure at the end of the thermometer picture">
          <a:extLst xmlns:a="http://schemas.openxmlformats.org/drawingml/2006/main">
            <a:ext uri="{FF2B5EF4-FFF2-40B4-BE49-F238E27FC236}">
              <a16:creationId xmlns:a16="http://schemas.microsoft.com/office/drawing/2014/main" id="{2A0AA92F-C34E-4FBC-9567-B0BC82723099}"/>
            </a:ext>
          </a:extLst>
        </cdr:cNvPr>
        <cdr:cNvSpPr/>
      </cdr:nvSpPr>
      <cdr:spPr>
        <a:xfrm xmlns:a="http://schemas.openxmlformats.org/drawingml/2006/main">
          <a:off x="688975" y="3980628"/>
          <a:ext cx="625878" cy="643264"/>
        </a:xfrm>
        <a:prstGeom xmlns:a="http://schemas.openxmlformats.org/drawingml/2006/main" prst="flowChartConnector">
          <a:avLst/>
        </a:prstGeom>
        <a:solidFill xmlns:a="http://schemas.openxmlformats.org/drawingml/2006/main">
          <a:srgbClr val="99221F"/>
        </a:solidFill>
        <a:ln xmlns:a="http://schemas.openxmlformats.org/drawingml/2006/main">
          <a:solidFill>
            <a:srgbClr val="99221F"/>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tlCol="0" anchor="t"/>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l"/>
          <a:endParaRPr lang="en-US" sz="1100"/>
        </a:p>
      </cdr:txBody>
    </cdr:sp>
  </cdr:relSizeAnchor>
  <cdr:relSizeAnchor xmlns:cdr="http://schemas.openxmlformats.org/drawingml/2006/chartDrawing">
    <cdr:from>
      <cdr:x>0.63679</cdr:x>
      <cdr:y>0.78702</cdr:y>
    </cdr:from>
    <cdr:to>
      <cdr:x>0.86256</cdr:x>
      <cdr:y>0.91468</cdr:y>
    </cdr:to>
    <cdr:sp macro="" textlink="">
      <cdr:nvSpPr>
        <cdr:cNvPr id="3" name="Flowchart: Connector 2" descr="Circle figure at the end of the thermometer picture">
          <a:extLst xmlns:a="http://schemas.openxmlformats.org/drawingml/2006/main">
            <a:ext uri="{FF2B5EF4-FFF2-40B4-BE49-F238E27FC236}">
              <a16:creationId xmlns:a16="http://schemas.microsoft.com/office/drawing/2014/main" id="{723D0551-4FFA-43C3-85AC-C1596F771366}"/>
            </a:ext>
          </a:extLst>
        </cdr:cNvPr>
        <cdr:cNvSpPr/>
      </cdr:nvSpPr>
      <cdr:spPr>
        <a:xfrm xmlns:a="http://schemas.openxmlformats.org/drawingml/2006/main">
          <a:off x="1765300" y="3965575"/>
          <a:ext cx="625878" cy="643264"/>
        </a:xfrm>
        <a:prstGeom xmlns:a="http://schemas.openxmlformats.org/drawingml/2006/main" prst="flowChartConnector">
          <a:avLst/>
        </a:prstGeom>
        <a:solidFill xmlns:a="http://schemas.openxmlformats.org/drawingml/2006/main">
          <a:srgbClr val="99221F"/>
        </a:solidFill>
        <a:ln xmlns:a="http://schemas.openxmlformats.org/drawingml/2006/main">
          <a:solidFill>
            <a:srgbClr val="99221F"/>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tlCol="0" anchor="t"/>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l"/>
          <a:endParaRPr lang="en-US" sz="1100"/>
        </a:p>
      </cdr:txBody>
    </cdr:sp>
  </cdr:relSizeAnchor>
</c:userShapes>
</file>

<file path=word/drawings/drawing13.xml><?xml version="1.0" encoding="utf-8"?>
<c:userShapes xmlns:c="http://schemas.openxmlformats.org/drawingml/2006/chart">
  <cdr:relSizeAnchor xmlns:cdr="http://schemas.openxmlformats.org/drawingml/2006/chartDrawing">
    <cdr:from>
      <cdr:x>0.67883</cdr:x>
      <cdr:y>0.23112</cdr:y>
    </cdr:from>
    <cdr:to>
      <cdr:x>0.83784</cdr:x>
      <cdr:y>0.84196</cdr:y>
    </cdr:to>
    <cdr:sp macro="" textlink="">
      <cdr:nvSpPr>
        <cdr:cNvPr id="4" name="Rectangle 3" descr="Progress bar"/>
        <cdr:cNvSpPr/>
      </cdr:nvSpPr>
      <cdr:spPr>
        <a:xfrm xmlns:a="http://schemas.openxmlformats.org/drawingml/2006/main">
          <a:off x="1894928" y="1189077"/>
          <a:ext cx="443870" cy="3142632"/>
        </a:xfrm>
        <a:prstGeom xmlns:a="http://schemas.openxmlformats.org/drawingml/2006/main" prst="rect">
          <a:avLst/>
        </a:prstGeom>
      </cdr:spPr>
      <cdr:style>
        <a:lnRef xmlns:a="http://schemas.openxmlformats.org/drawingml/2006/main" idx="2">
          <a:schemeClr val="dk1"/>
        </a:lnRef>
        <a:fillRef xmlns:a="http://schemas.openxmlformats.org/drawingml/2006/main" idx="1">
          <a:schemeClr val="lt1"/>
        </a:fillRef>
        <a:effectRef xmlns:a="http://schemas.openxmlformats.org/drawingml/2006/main" idx="0">
          <a:schemeClr val="dk1"/>
        </a:effectRef>
        <a:fontRef xmlns:a="http://schemas.openxmlformats.org/drawingml/2006/main" idx="minor">
          <a:schemeClr val="dk1"/>
        </a:fontRef>
      </cdr:style>
      <cdr:txBody>
        <a:bodyPr xmlns:a="http://schemas.openxmlformats.org/drawingml/2006/main" rot="0" spcFirstLastPara="0" vert="horz" wrap="square" lIns="91440" tIns="45720" rIns="91440" bIns="45720" numCol="1" spcCol="0" rtlCol="0" fromWordArt="0" anchor="ctr" anchorCtr="0" forceAA="0" compatLnSpc="1">
          <a:prstTxWarp prst="textNoShape">
            <a:avLst/>
          </a:prstTxWarp>
          <a:noAutofit/>
        </a:bodyPr>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endParaRPr lang="en-US"/>
        </a:p>
      </cdr:txBody>
    </cdr:sp>
  </cdr:relSizeAnchor>
  <cdr:relSizeAnchor xmlns:cdr="http://schemas.openxmlformats.org/drawingml/2006/chartDrawing">
    <cdr:from>
      <cdr:x>0.64524</cdr:x>
      <cdr:y>0.79019</cdr:y>
    </cdr:from>
    <cdr:to>
      <cdr:x>0.86988</cdr:x>
      <cdr:y>0.91985</cdr:y>
    </cdr:to>
    <cdr:sp macro="" textlink="">
      <cdr:nvSpPr>
        <cdr:cNvPr id="5" name="Flowchart: Connector 2" descr="Circle figure at the end of the thermometer picture"/>
        <cdr:cNvSpPr/>
      </cdr:nvSpPr>
      <cdr:spPr>
        <a:xfrm xmlns:a="http://schemas.openxmlformats.org/drawingml/2006/main">
          <a:off x="1801152" y="4065360"/>
          <a:ext cx="627074" cy="667071"/>
        </a:xfrm>
        <a:prstGeom xmlns:a="http://schemas.openxmlformats.org/drawingml/2006/main" prst="flowChartConnector">
          <a:avLst/>
        </a:prstGeom>
        <a:solidFill xmlns:a="http://schemas.openxmlformats.org/drawingml/2006/main">
          <a:srgbClr val="FFE6E6"/>
        </a:solidFill>
        <a:ln xmlns:a="http://schemas.openxmlformats.org/drawingml/2006/main">
          <a:noFill/>
        </a:ln>
      </cdr:spPr>
      <cdr:style>
        <a:lnRef xmlns:a="http://schemas.openxmlformats.org/drawingml/2006/main" idx="2">
          <a:schemeClr val="dk1"/>
        </a:lnRef>
        <a:fillRef xmlns:a="http://schemas.openxmlformats.org/drawingml/2006/main" idx="1">
          <a:schemeClr val="lt1"/>
        </a:fillRef>
        <a:effectRef xmlns:a="http://schemas.openxmlformats.org/drawingml/2006/main" idx="0">
          <a:schemeClr val="dk1"/>
        </a:effectRef>
        <a:fontRef xmlns:a="http://schemas.openxmlformats.org/drawingml/2006/main" idx="minor">
          <a:schemeClr val="dk1"/>
        </a:fontRef>
      </cdr:style>
      <cdr:txBody>
        <a:bodyPr xmlns:a="http://schemas.openxmlformats.org/drawingml/2006/main"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gn="l"/>
          <a:endParaRPr lang="en-US" sz="1100"/>
        </a:p>
      </cdr:txBody>
    </cdr:sp>
  </cdr:relSizeAnchor>
  <cdr:relSizeAnchor xmlns:cdr="http://schemas.openxmlformats.org/drawingml/2006/chartDrawing">
    <cdr:from>
      <cdr:x>0.27723</cdr:x>
      <cdr:y>0.22892</cdr:y>
    </cdr:from>
    <cdr:to>
      <cdr:x>0.43624</cdr:x>
      <cdr:y>0.83976</cdr:y>
    </cdr:to>
    <cdr:sp macro="" textlink="">
      <cdr:nvSpPr>
        <cdr:cNvPr id="6" name="Rectangle 5" descr="Progress Bar"/>
        <cdr:cNvSpPr/>
      </cdr:nvSpPr>
      <cdr:spPr>
        <a:xfrm xmlns:a="http://schemas.openxmlformats.org/drawingml/2006/main">
          <a:off x="773878" y="1177759"/>
          <a:ext cx="443870" cy="3142631"/>
        </a:xfrm>
        <a:prstGeom xmlns:a="http://schemas.openxmlformats.org/drawingml/2006/main" prst="rect">
          <a:avLst/>
        </a:prstGeom>
      </cdr:spPr>
      <cdr:style>
        <a:lnRef xmlns:a="http://schemas.openxmlformats.org/drawingml/2006/main" idx="2">
          <a:schemeClr val="dk1"/>
        </a:lnRef>
        <a:fillRef xmlns:a="http://schemas.openxmlformats.org/drawingml/2006/main" idx="1">
          <a:schemeClr val="lt1"/>
        </a:fillRef>
        <a:effectRef xmlns:a="http://schemas.openxmlformats.org/drawingml/2006/main" idx="0">
          <a:schemeClr val="dk1"/>
        </a:effectRef>
        <a:fontRef xmlns:a="http://schemas.openxmlformats.org/drawingml/2006/main" idx="minor">
          <a:schemeClr val="dk1"/>
        </a:fontRef>
      </cdr:style>
      <cdr:txBody>
        <a:bodyPr xmlns:a="http://schemas.openxmlformats.org/drawingml/2006/main" rot="0" spcFirstLastPara="0" vert="horz" wrap="square" lIns="91440" tIns="45720" rIns="91440" bIns="45720" numCol="1" spcCol="0" rtlCol="0" fromWordArt="0" anchor="ctr" anchorCtr="0" forceAA="0" compatLnSpc="1">
          <a:prstTxWarp prst="textNoShape">
            <a:avLst/>
          </a:prstTxWarp>
          <a:noAutofit/>
        </a:bodyPr>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endParaRPr lang="en-US"/>
        </a:p>
      </cdr:txBody>
    </cdr:sp>
  </cdr:relSizeAnchor>
  <cdr:relSizeAnchor xmlns:cdr="http://schemas.openxmlformats.org/drawingml/2006/chartDrawing">
    <cdr:from>
      <cdr:x>0.24399</cdr:x>
      <cdr:y>0.79474</cdr:y>
    </cdr:from>
    <cdr:to>
      <cdr:x>0.46863</cdr:x>
      <cdr:y>0.9244</cdr:y>
    </cdr:to>
    <cdr:sp macro="" textlink="">
      <cdr:nvSpPr>
        <cdr:cNvPr id="7" name="Flowchart: Connector 2" descr="Section 511 activity #13 no activities and outputs reported"/>
        <cdr:cNvSpPr/>
      </cdr:nvSpPr>
      <cdr:spPr>
        <a:xfrm xmlns:a="http://schemas.openxmlformats.org/drawingml/2006/main">
          <a:off x="681082" y="4088732"/>
          <a:ext cx="627074" cy="667071"/>
        </a:xfrm>
        <a:prstGeom xmlns:a="http://schemas.openxmlformats.org/drawingml/2006/main" prst="flowChartConnector">
          <a:avLst/>
        </a:prstGeom>
        <a:solidFill xmlns:a="http://schemas.openxmlformats.org/drawingml/2006/main">
          <a:srgbClr val="FFE6E6"/>
        </a:solidFill>
        <a:ln xmlns:a="http://schemas.openxmlformats.org/drawingml/2006/main">
          <a:noFill/>
        </a:ln>
      </cdr:spPr>
      <cdr:style>
        <a:lnRef xmlns:a="http://schemas.openxmlformats.org/drawingml/2006/main" idx="2">
          <a:schemeClr val="dk1"/>
        </a:lnRef>
        <a:fillRef xmlns:a="http://schemas.openxmlformats.org/drawingml/2006/main" idx="1">
          <a:schemeClr val="lt1"/>
        </a:fillRef>
        <a:effectRef xmlns:a="http://schemas.openxmlformats.org/drawingml/2006/main" idx="0">
          <a:schemeClr val="dk1"/>
        </a:effectRef>
        <a:fontRef xmlns:a="http://schemas.openxmlformats.org/drawingml/2006/main" idx="minor">
          <a:schemeClr val="dk1"/>
        </a:fontRef>
      </cdr:style>
      <cdr:txBody>
        <a:bodyPr xmlns:a="http://schemas.openxmlformats.org/drawingml/2006/main"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gn="l"/>
          <a:endParaRPr lang="en-US" sz="1100"/>
        </a:p>
      </cdr:txBody>
    </cdr:sp>
  </cdr:relSizeAnchor>
</c:userShapes>
</file>

<file path=word/drawings/drawing14.xml><?xml version="1.0" encoding="utf-8"?>
<c:userShapes xmlns:c="http://schemas.openxmlformats.org/drawingml/2006/chart">
  <cdr:relSizeAnchor xmlns:cdr="http://schemas.openxmlformats.org/drawingml/2006/chartDrawing">
    <cdr:from>
      <cdr:x>0.24853</cdr:x>
      <cdr:y>0.79001</cdr:y>
    </cdr:from>
    <cdr:to>
      <cdr:x>0.4743</cdr:x>
      <cdr:y>0.91767</cdr:y>
    </cdr:to>
    <cdr:sp macro="" textlink="">
      <cdr:nvSpPr>
        <cdr:cNvPr id="2" name="Flowchart: Connector 1" descr="Circle figure at the end of the thermometer picture">
          <a:extLst xmlns:a="http://schemas.openxmlformats.org/drawingml/2006/main">
            <a:ext uri="{FF2B5EF4-FFF2-40B4-BE49-F238E27FC236}">
              <a16:creationId xmlns:a16="http://schemas.microsoft.com/office/drawing/2014/main" id="{2A0AA92F-C34E-4FBC-9567-B0BC82723099}"/>
            </a:ext>
          </a:extLst>
        </cdr:cNvPr>
        <cdr:cNvSpPr/>
      </cdr:nvSpPr>
      <cdr:spPr>
        <a:xfrm xmlns:a="http://schemas.openxmlformats.org/drawingml/2006/main">
          <a:off x="688975" y="3980628"/>
          <a:ext cx="625878" cy="643264"/>
        </a:xfrm>
        <a:prstGeom xmlns:a="http://schemas.openxmlformats.org/drawingml/2006/main" prst="flowChartConnector">
          <a:avLst/>
        </a:prstGeom>
        <a:solidFill xmlns:a="http://schemas.openxmlformats.org/drawingml/2006/main">
          <a:srgbClr val="99221F"/>
        </a:solidFill>
        <a:ln xmlns:a="http://schemas.openxmlformats.org/drawingml/2006/main">
          <a:solidFill>
            <a:srgbClr val="99221F"/>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tlCol="0" anchor="t"/>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l"/>
          <a:endParaRPr lang="en-US" sz="1100"/>
        </a:p>
      </cdr:txBody>
    </cdr:sp>
  </cdr:relSizeAnchor>
  <cdr:relSizeAnchor xmlns:cdr="http://schemas.openxmlformats.org/drawingml/2006/chartDrawing">
    <cdr:from>
      <cdr:x>0.63679</cdr:x>
      <cdr:y>0.78702</cdr:y>
    </cdr:from>
    <cdr:to>
      <cdr:x>0.86256</cdr:x>
      <cdr:y>0.91468</cdr:y>
    </cdr:to>
    <cdr:sp macro="" textlink="">
      <cdr:nvSpPr>
        <cdr:cNvPr id="3" name="Flowchart: Connector 2" descr="Circle figure at the end of the thermometer picture">
          <a:extLst xmlns:a="http://schemas.openxmlformats.org/drawingml/2006/main">
            <a:ext uri="{FF2B5EF4-FFF2-40B4-BE49-F238E27FC236}">
              <a16:creationId xmlns:a16="http://schemas.microsoft.com/office/drawing/2014/main" id="{723D0551-4FFA-43C3-85AC-C1596F771366}"/>
            </a:ext>
          </a:extLst>
        </cdr:cNvPr>
        <cdr:cNvSpPr/>
      </cdr:nvSpPr>
      <cdr:spPr>
        <a:xfrm xmlns:a="http://schemas.openxmlformats.org/drawingml/2006/main">
          <a:off x="1765300" y="3965575"/>
          <a:ext cx="625878" cy="643264"/>
        </a:xfrm>
        <a:prstGeom xmlns:a="http://schemas.openxmlformats.org/drawingml/2006/main" prst="flowChartConnector">
          <a:avLst/>
        </a:prstGeom>
        <a:solidFill xmlns:a="http://schemas.openxmlformats.org/drawingml/2006/main">
          <a:srgbClr val="99221F"/>
        </a:solidFill>
        <a:ln xmlns:a="http://schemas.openxmlformats.org/drawingml/2006/main">
          <a:solidFill>
            <a:srgbClr val="99221F"/>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tlCol="0" anchor="t"/>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l"/>
          <a:endParaRPr lang="en-US" sz="1100"/>
        </a:p>
      </cdr:txBody>
    </cdr:sp>
  </cdr:relSizeAnchor>
</c:userShapes>
</file>

<file path=word/drawings/drawing15.xml><?xml version="1.0" encoding="utf-8"?>
<c:userShapes xmlns:c="http://schemas.openxmlformats.org/drawingml/2006/chart">
  <cdr:relSizeAnchor xmlns:cdr="http://schemas.openxmlformats.org/drawingml/2006/chartDrawing">
    <cdr:from>
      <cdr:x>0.24853</cdr:x>
      <cdr:y>0.79001</cdr:y>
    </cdr:from>
    <cdr:to>
      <cdr:x>0.4743</cdr:x>
      <cdr:y>0.91767</cdr:y>
    </cdr:to>
    <cdr:sp macro="" textlink="">
      <cdr:nvSpPr>
        <cdr:cNvPr id="2" name="Flowchart: Connector 1" descr="Circle figure at the end of the thermometer picture">
          <a:extLst xmlns:a="http://schemas.openxmlformats.org/drawingml/2006/main">
            <a:ext uri="{FF2B5EF4-FFF2-40B4-BE49-F238E27FC236}">
              <a16:creationId xmlns:a16="http://schemas.microsoft.com/office/drawing/2014/main" id="{2A0AA92F-C34E-4FBC-9567-B0BC82723099}"/>
            </a:ext>
          </a:extLst>
        </cdr:cNvPr>
        <cdr:cNvSpPr/>
      </cdr:nvSpPr>
      <cdr:spPr>
        <a:xfrm xmlns:a="http://schemas.openxmlformats.org/drawingml/2006/main">
          <a:off x="688975" y="3980628"/>
          <a:ext cx="625878" cy="643264"/>
        </a:xfrm>
        <a:prstGeom xmlns:a="http://schemas.openxmlformats.org/drawingml/2006/main" prst="flowChartConnector">
          <a:avLst/>
        </a:prstGeom>
        <a:solidFill xmlns:a="http://schemas.openxmlformats.org/drawingml/2006/main">
          <a:srgbClr val="99221F"/>
        </a:solidFill>
        <a:ln xmlns:a="http://schemas.openxmlformats.org/drawingml/2006/main">
          <a:solidFill>
            <a:srgbClr val="99221F"/>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tlCol="0" anchor="t"/>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l"/>
          <a:endParaRPr lang="en-US" sz="1100"/>
        </a:p>
      </cdr:txBody>
    </cdr:sp>
  </cdr:relSizeAnchor>
  <cdr:relSizeAnchor xmlns:cdr="http://schemas.openxmlformats.org/drawingml/2006/chartDrawing">
    <cdr:from>
      <cdr:x>0.63679</cdr:x>
      <cdr:y>0.78702</cdr:y>
    </cdr:from>
    <cdr:to>
      <cdr:x>0.86256</cdr:x>
      <cdr:y>0.91468</cdr:y>
    </cdr:to>
    <cdr:sp macro="" textlink="">
      <cdr:nvSpPr>
        <cdr:cNvPr id="3" name="Flowchart: Connector 2" descr="Circle figure at the end of the thermometer picture">
          <a:extLst xmlns:a="http://schemas.openxmlformats.org/drawingml/2006/main">
            <a:ext uri="{FF2B5EF4-FFF2-40B4-BE49-F238E27FC236}">
              <a16:creationId xmlns:a16="http://schemas.microsoft.com/office/drawing/2014/main" id="{723D0551-4FFA-43C3-85AC-C1596F771366}"/>
            </a:ext>
          </a:extLst>
        </cdr:cNvPr>
        <cdr:cNvSpPr/>
      </cdr:nvSpPr>
      <cdr:spPr>
        <a:xfrm xmlns:a="http://schemas.openxmlformats.org/drawingml/2006/main">
          <a:off x="1765300" y="3965575"/>
          <a:ext cx="625878" cy="643264"/>
        </a:xfrm>
        <a:prstGeom xmlns:a="http://schemas.openxmlformats.org/drawingml/2006/main" prst="flowChartConnector">
          <a:avLst/>
        </a:prstGeom>
        <a:solidFill xmlns:a="http://schemas.openxmlformats.org/drawingml/2006/main">
          <a:srgbClr val="99221F"/>
        </a:solidFill>
        <a:ln xmlns:a="http://schemas.openxmlformats.org/drawingml/2006/main">
          <a:solidFill>
            <a:srgbClr val="99221F"/>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tlCol="0" anchor="t"/>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l"/>
          <a:endParaRPr lang="en-US" sz="1100"/>
        </a:p>
      </cdr:txBody>
    </cdr:sp>
  </cdr:relSizeAnchor>
</c:userShapes>
</file>

<file path=word/drawings/drawing16.xml><?xml version="1.0" encoding="utf-8"?>
<c:userShapes xmlns:c="http://schemas.openxmlformats.org/drawingml/2006/chart">
  <cdr:relSizeAnchor xmlns:cdr="http://schemas.openxmlformats.org/drawingml/2006/chartDrawing">
    <cdr:from>
      <cdr:x>0.68023</cdr:x>
      <cdr:y>0.23492</cdr:y>
    </cdr:from>
    <cdr:to>
      <cdr:x>0.83924</cdr:x>
      <cdr:y>0.84576</cdr:y>
    </cdr:to>
    <cdr:sp macro="" textlink="">
      <cdr:nvSpPr>
        <cdr:cNvPr id="4" name="Rectangle 3" descr="Progress bar"/>
        <cdr:cNvSpPr/>
      </cdr:nvSpPr>
      <cdr:spPr>
        <a:xfrm xmlns:a="http://schemas.openxmlformats.org/drawingml/2006/main">
          <a:off x="1898836" y="1208616"/>
          <a:ext cx="443870" cy="3142632"/>
        </a:xfrm>
        <a:prstGeom xmlns:a="http://schemas.openxmlformats.org/drawingml/2006/main" prst="rect">
          <a:avLst/>
        </a:prstGeom>
      </cdr:spPr>
      <cdr:style>
        <a:lnRef xmlns:a="http://schemas.openxmlformats.org/drawingml/2006/main" idx="2">
          <a:schemeClr val="dk1"/>
        </a:lnRef>
        <a:fillRef xmlns:a="http://schemas.openxmlformats.org/drawingml/2006/main" idx="1">
          <a:schemeClr val="lt1"/>
        </a:fillRef>
        <a:effectRef xmlns:a="http://schemas.openxmlformats.org/drawingml/2006/main" idx="0">
          <a:schemeClr val="dk1"/>
        </a:effectRef>
        <a:fontRef xmlns:a="http://schemas.openxmlformats.org/drawingml/2006/main" idx="minor">
          <a:schemeClr val="dk1"/>
        </a:fontRef>
      </cdr:style>
      <cdr:txBody>
        <a:bodyPr xmlns:a="http://schemas.openxmlformats.org/drawingml/2006/main" rot="0" spcFirstLastPara="0" vert="horz" wrap="square" lIns="91440" tIns="45720" rIns="91440" bIns="45720" numCol="1" spcCol="0" rtlCol="0" fromWordArt="0" anchor="ctr" anchorCtr="0" forceAA="0" compatLnSpc="1">
          <a:prstTxWarp prst="textNoShape">
            <a:avLst/>
          </a:prstTxWarp>
          <a:noAutofit/>
        </a:bodyPr>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endParaRPr lang="en-US"/>
        </a:p>
      </cdr:txBody>
    </cdr:sp>
  </cdr:relSizeAnchor>
  <cdr:relSizeAnchor xmlns:cdr="http://schemas.openxmlformats.org/drawingml/2006/chartDrawing">
    <cdr:from>
      <cdr:x>0.65346</cdr:x>
      <cdr:y>0.79988</cdr:y>
    </cdr:from>
    <cdr:to>
      <cdr:x>0.8781</cdr:x>
      <cdr:y>0.92954</cdr:y>
    </cdr:to>
    <cdr:sp macro="" textlink="">
      <cdr:nvSpPr>
        <cdr:cNvPr id="5" name="Flowchart: Connector 2" descr="Circle figure at the end of the thermometer picture"/>
        <cdr:cNvSpPr/>
      </cdr:nvSpPr>
      <cdr:spPr>
        <a:xfrm xmlns:a="http://schemas.openxmlformats.org/drawingml/2006/main">
          <a:off x="1824110" y="4115190"/>
          <a:ext cx="627074" cy="667071"/>
        </a:xfrm>
        <a:prstGeom xmlns:a="http://schemas.openxmlformats.org/drawingml/2006/main" prst="flowChartConnector">
          <a:avLst/>
        </a:prstGeom>
        <a:solidFill xmlns:a="http://schemas.openxmlformats.org/drawingml/2006/main">
          <a:srgbClr val="FFE6E6"/>
        </a:solidFill>
        <a:ln xmlns:a="http://schemas.openxmlformats.org/drawingml/2006/main">
          <a:noFill/>
        </a:ln>
      </cdr:spPr>
      <cdr:style>
        <a:lnRef xmlns:a="http://schemas.openxmlformats.org/drawingml/2006/main" idx="2">
          <a:schemeClr val="dk1"/>
        </a:lnRef>
        <a:fillRef xmlns:a="http://schemas.openxmlformats.org/drawingml/2006/main" idx="1">
          <a:schemeClr val="lt1"/>
        </a:fillRef>
        <a:effectRef xmlns:a="http://schemas.openxmlformats.org/drawingml/2006/main" idx="0">
          <a:schemeClr val="dk1"/>
        </a:effectRef>
        <a:fontRef xmlns:a="http://schemas.openxmlformats.org/drawingml/2006/main" idx="minor">
          <a:schemeClr val="dk1"/>
        </a:fontRef>
      </cdr:style>
      <cdr:txBody>
        <a:bodyPr xmlns:a="http://schemas.openxmlformats.org/drawingml/2006/main"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gn="l"/>
          <a:endParaRPr lang="en-US" sz="1100"/>
        </a:p>
      </cdr:txBody>
    </cdr:sp>
  </cdr:relSizeAnchor>
  <cdr:relSizeAnchor xmlns:cdr="http://schemas.openxmlformats.org/drawingml/2006/chartDrawing">
    <cdr:from>
      <cdr:x>0.27863</cdr:x>
      <cdr:y>0.23272</cdr:y>
    </cdr:from>
    <cdr:to>
      <cdr:x>0.43764</cdr:x>
      <cdr:y>0.84356</cdr:y>
    </cdr:to>
    <cdr:sp macro="" textlink="">
      <cdr:nvSpPr>
        <cdr:cNvPr id="6" name="Rectangle 5" descr="Progress bar"/>
        <cdr:cNvSpPr/>
      </cdr:nvSpPr>
      <cdr:spPr>
        <a:xfrm xmlns:a="http://schemas.openxmlformats.org/drawingml/2006/main">
          <a:off x="777786" y="1197298"/>
          <a:ext cx="443870" cy="3142631"/>
        </a:xfrm>
        <a:prstGeom xmlns:a="http://schemas.openxmlformats.org/drawingml/2006/main" prst="rect">
          <a:avLst/>
        </a:prstGeom>
      </cdr:spPr>
      <cdr:style>
        <a:lnRef xmlns:a="http://schemas.openxmlformats.org/drawingml/2006/main" idx="2">
          <a:schemeClr val="dk1"/>
        </a:lnRef>
        <a:fillRef xmlns:a="http://schemas.openxmlformats.org/drawingml/2006/main" idx="1">
          <a:schemeClr val="lt1"/>
        </a:fillRef>
        <a:effectRef xmlns:a="http://schemas.openxmlformats.org/drawingml/2006/main" idx="0">
          <a:schemeClr val="dk1"/>
        </a:effectRef>
        <a:fontRef xmlns:a="http://schemas.openxmlformats.org/drawingml/2006/main" idx="minor">
          <a:schemeClr val="dk1"/>
        </a:fontRef>
      </cdr:style>
      <cdr:txBody>
        <a:bodyPr xmlns:a="http://schemas.openxmlformats.org/drawingml/2006/main" rot="0" spcFirstLastPara="0" vert="horz" wrap="square" lIns="91440" tIns="45720" rIns="91440" bIns="45720" numCol="1" spcCol="0" rtlCol="0" fromWordArt="0" anchor="ctr" anchorCtr="0" forceAA="0" compatLnSpc="1">
          <a:prstTxWarp prst="textNoShape">
            <a:avLst/>
          </a:prstTxWarp>
          <a:noAutofit/>
        </a:bodyPr>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endParaRPr lang="en-US"/>
        </a:p>
      </cdr:txBody>
    </cdr:sp>
  </cdr:relSizeAnchor>
  <cdr:relSizeAnchor xmlns:cdr="http://schemas.openxmlformats.org/drawingml/2006/chartDrawing">
    <cdr:from>
      <cdr:x>0.23856</cdr:x>
      <cdr:y>0.79331</cdr:y>
    </cdr:from>
    <cdr:to>
      <cdr:x>0.4632</cdr:x>
      <cdr:y>0.92297</cdr:y>
    </cdr:to>
    <cdr:sp macro="" textlink="">
      <cdr:nvSpPr>
        <cdr:cNvPr id="7" name="Flowchart: Connector 2" descr="Circle figure at the end of the thermometer picture"/>
        <cdr:cNvSpPr/>
      </cdr:nvSpPr>
      <cdr:spPr>
        <a:xfrm xmlns:a="http://schemas.openxmlformats.org/drawingml/2006/main">
          <a:off x="665940" y="4081412"/>
          <a:ext cx="627074" cy="667071"/>
        </a:xfrm>
        <a:prstGeom xmlns:a="http://schemas.openxmlformats.org/drawingml/2006/main" prst="flowChartConnector">
          <a:avLst/>
        </a:prstGeom>
        <a:solidFill xmlns:a="http://schemas.openxmlformats.org/drawingml/2006/main">
          <a:srgbClr val="FFE6E6"/>
        </a:solidFill>
        <a:ln xmlns:a="http://schemas.openxmlformats.org/drawingml/2006/main">
          <a:noFill/>
        </a:ln>
      </cdr:spPr>
      <cdr:style>
        <a:lnRef xmlns:a="http://schemas.openxmlformats.org/drawingml/2006/main" idx="2">
          <a:schemeClr val="dk1"/>
        </a:lnRef>
        <a:fillRef xmlns:a="http://schemas.openxmlformats.org/drawingml/2006/main" idx="1">
          <a:schemeClr val="lt1"/>
        </a:fillRef>
        <a:effectRef xmlns:a="http://schemas.openxmlformats.org/drawingml/2006/main" idx="0">
          <a:schemeClr val="dk1"/>
        </a:effectRef>
        <a:fontRef xmlns:a="http://schemas.openxmlformats.org/drawingml/2006/main" idx="minor">
          <a:schemeClr val="dk1"/>
        </a:fontRef>
      </cdr:style>
      <cdr:txBody>
        <a:bodyPr xmlns:a="http://schemas.openxmlformats.org/drawingml/2006/main"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gn="l"/>
          <a:endParaRPr lang="en-US" sz="1100"/>
        </a:p>
      </cdr:txBody>
    </cdr:sp>
  </cdr:relSizeAnchor>
</c:userShapes>
</file>

<file path=word/drawings/drawing17.xml><?xml version="1.0" encoding="utf-8"?>
<c:userShapes xmlns:c="http://schemas.openxmlformats.org/drawingml/2006/chart">
  <cdr:relSizeAnchor xmlns:cdr="http://schemas.openxmlformats.org/drawingml/2006/chartDrawing">
    <cdr:from>
      <cdr:x>0.24853</cdr:x>
      <cdr:y>0.79001</cdr:y>
    </cdr:from>
    <cdr:to>
      <cdr:x>0.4743</cdr:x>
      <cdr:y>0.91767</cdr:y>
    </cdr:to>
    <cdr:sp macro="" textlink="">
      <cdr:nvSpPr>
        <cdr:cNvPr id="2" name="Flowchart: Connector 1" descr="Circle figure at the end of the thermometer picture">
          <a:extLst xmlns:a="http://schemas.openxmlformats.org/drawingml/2006/main">
            <a:ext uri="{FF2B5EF4-FFF2-40B4-BE49-F238E27FC236}">
              <a16:creationId xmlns:a16="http://schemas.microsoft.com/office/drawing/2014/main" id="{2A0AA92F-C34E-4FBC-9567-B0BC82723099}"/>
            </a:ext>
          </a:extLst>
        </cdr:cNvPr>
        <cdr:cNvSpPr/>
      </cdr:nvSpPr>
      <cdr:spPr>
        <a:xfrm xmlns:a="http://schemas.openxmlformats.org/drawingml/2006/main">
          <a:off x="688975" y="3980628"/>
          <a:ext cx="625878" cy="643264"/>
        </a:xfrm>
        <a:prstGeom xmlns:a="http://schemas.openxmlformats.org/drawingml/2006/main" prst="flowChartConnector">
          <a:avLst/>
        </a:prstGeom>
        <a:solidFill xmlns:a="http://schemas.openxmlformats.org/drawingml/2006/main">
          <a:srgbClr val="99221F"/>
        </a:solidFill>
        <a:ln xmlns:a="http://schemas.openxmlformats.org/drawingml/2006/main">
          <a:solidFill>
            <a:srgbClr val="99221F"/>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tlCol="0" anchor="t"/>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l"/>
          <a:endParaRPr lang="en-US" sz="1100"/>
        </a:p>
      </cdr:txBody>
    </cdr:sp>
  </cdr:relSizeAnchor>
  <cdr:relSizeAnchor xmlns:cdr="http://schemas.openxmlformats.org/drawingml/2006/chartDrawing">
    <cdr:from>
      <cdr:x>0.63679</cdr:x>
      <cdr:y>0.78702</cdr:y>
    </cdr:from>
    <cdr:to>
      <cdr:x>0.86256</cdr:x>
      <cdr:y>0.91468</cdr:y>
    </cdr:to>
    <cdr:sp macro="" textlink="">
      <cdr:nvSpPr>
        <cdr:cNvPr id="3" name="Flowchart: Connector 2" descr="Circle figure at the end of the thermometer picture">
          <a:extLst xmlns:a="http://schemas.openxmlformats.org/drawingml/2006/main">
            <a:ext uri="{FF2B5EF4-FFF2-40B4-BE49-F238E27FC236}">
              <a16:creationId xmlns:a16="http://schemas.microsoft.com/office/drawing/2014/main" id="{723D0551-4FFA-43C3-85AC-C1596F771366}"/>
            </a:ext>
          </a:extLst>
        </cdr:cNvPr>
        <cdr:cNvSpPr/>
      </cdr:nvSpPr>
      <cdr:spPr>
        <a:xfrm xmlns:a="http://schemas.openxmlformats.org/drawingml/2006/main">
          <a:off x="1765300" y="3965575"/>
          <a:ext cx="625878" cy="643264"/>
        </a:xfrm>
        <a:prstGeom xmlns:a="http://schemas.openxmlformats.org/drawingml/2006/main" prst="flowChartConnector">
          <a:avLst/>
        </a:prstGeom>
        <a:solidFill xmlns:a="http://schemas.openxmlformats.org/drawingml/2006/main">
          <a:srgbClr val="99221F"/>
        </a:solidFill>
        <a:ln xmlns:a="http://schemas.openxmlformats.org/drawingml/2006/main">
          <a:solidFill>
            <a:srgbClr val="99221F"/>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tlCol="0" anchor="t"/>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l"/>
          <a:endParaRPr lang="en-US" sz="1100"/>
        </a:p>
      </cdr:txBody>
    </cdr:sp>
  </cdr:relSizeAnchor>
</c:userShapes>
</file>

<file path=word/drawings/drawing18.xml><?xml version="1.0" encoding="utf-8"?>
<c:userShapes xmlns:c="http://schemas.openxmlformats.org/drawingml/2006/chart">
  <cdr:relSizeAnchor xmlns:cdr="http://schemas.openxmlformats.org/drawingml/2006/chartDrawing">
    <cdr:from>
      <cdr:x>0.24853</cdr:x>
      <cdr:y>0.79001</cdr:y>
    </cdr:from>
    <cdr:to>
      <cdr:x>0.4743</cdr:x>
      <cdr:y>0.91767</cdr:y>
    </cdr:to>
    <cdr:sp macro="" textlink="">
      <cdr:nvSpPr>
        <cdr:cNvPr id="2" name="Flowchart: Connector 1" descr="Circle figure at the end of the thermometer picture">
          <a:extLst xmlns:a="http://schemas.openxmlformats.org/drawingml/2006/main">
            <a:ext uri="{FF2B5EF4-FFF2-40B4-BE49-F238E27FC236}">
              <a16:creationId xmlns:a16="http://schemas.microsoft.com/office/drawing/2014/main" id="{2A0AA92F-C34E-4FBC-9567-B0BC82723099}"/>
            </a:ext>
          </a:extLst>
        </cdr:cNvPr>
        <cdr:cNvSpPr/>
      </cdr:nvSpPr>
      <cdr:spPr>
        <a:xfrm xmlns:a="http://schemas.openxmlformats.org/drawingml/2006/main">
          <a:off x="688975" y="3980628"/>
          <a:ext cx="625878" cy="643264"/>
        </a:xfrm>
        <a:prstGeom xmlns:a="http://schemas.openxmlformats.org/drawingml/2006/main" prst="flowChartConnector">
          <a:avLst/>
        </a:prstGeom>
        <a:solidFill xmlns:a="http://schemas.openxmlformats.org/drawingml/2006/main">
          <a:srgbClr val="99221F"/>
        </a:solidFill>
        <a:ln xmlns:a="http://schemas.openxmlformats.org/drawingml/2006/main">
          <a:solidFill>
            <a:srgbClr val="99221F"/>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tlCol="0" anchor="t"/>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l"/>
          <a:endParaRPr lang="en-US" sz="1100"/>
        </a:p>
      </cdr:txBody>
    </cdr:sp>
  </cdr:relSizeAnchor>
  <cdr:relSizeAnchor xmlns:cdr="http://schemas.openxmlformats.org/drawingml/2006/chartDrawing">
    <cdr:from>
      <cdr:x>0.63679</cdr:x>
      <cdr:y>0.78702</cdr:y>
    </cdr:from>
    <cdr:to>
      <cdr:x>0.86256</cdr:x>
      <cdr:y>0.91468</cdr:y>
    </cdr:to>
    <cdr:sp macro="" textlink="">
      <cdr:nvSpPr>
        <cdr:cNvPr id="3" name="Flowchart: Connector 2" descr="Circle figure at the end of the thermometer picture">
          <a:extLst xmlns:a="http://schemas.openxmlformats.org/drawingml/2006/main">
            <a:ext uri="{FF2B5EF4-FFF2-40B4-BE49-F238E27FC236}">
              <a16:creationId xmlns:a16="http://schemas.microsoft.com/office/drawing/2014/main" id="{723D0551-4FFA-43C3-85AC-C1596F771366}"/>
            </a:ext>
          </a:extLst>
        </cdr:cNvPr>
        <cdr:cNvSpPr/>
      </cdr:nvSpPr>
      <cdr:spPr>
        <a:xfrm xmlns:a="http://schemas.openxmlformats.org/drawingml/2006/main">
          <a:off x="1765300" y="3965575"/>
          <a:ext cx="625878" cy="643264"/>
        </a:xfrm>
        <a:prstGeom xmlns:a="http://schemas.openxmlformats.org/drawingml/2006/main" prst="flowChartConnector">
          <a:avLst/>
        </a:prstGeom>
        <a:solidFill xmlns:a="http://schemas.openxmlformats.org/drawingml/2006/main">
          <a:srgbClr val="99221F"/>
        </a:solidFill>
        <a:ln xmlns:a="http://schemas.openxmlformats.org/drawingml/2006/main">
          <a:solidFill>
            <a:srgbClr val="99221F"/>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tlCol="0" anchor="t"/>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l"/>
          <a:endParaRPr lang="en-US" sz="1100"/>
        </a:p>
      </cdr:txBody>
    </cdr:sp>
  </cdr:relSizeAnchor>
</c:userShapes>
</file>

<file path=word/drawings/drawing19.xml><?xml version="1.0" encoding="utf-8"?>
<c:userShapes xmlns:c="http://schemas.openxmlformats.org/drawingml/2006/chart">
  <cdr:relSizeAnchor xmlns:cdr="http://schemas.openxmlformats.org/drawingml/2006/chartDrawing">
    <cdr:from>
      <cdr:x>0.22148</cdr:x>
      <cdr:y>0.81706</cdr:y>
    </cdr:from>
    <cdr:to>
      <cdr:x>0.44725</cdr:x>
      <cdr:y>0.94472</cdr:y>
    </cdr:to>
    <cdr:sp macro="" textlink="">
      <cdr:nvSpPr>
        <cdr:cNvPr id="2" name="Flowchart: Connector 1" descr="Circle figure at the end of the thermometer picture">
          <a:extLst xmlns:a="http://schemas.openxmlformats.org/drawingml/2006/main">
            <a:ext uri="{FF2B5EF4-FFF2-40B4-BE49-F238E27FC236}">
              <a16:creationId xmlns:a16="http://schemas.microsoft.com/office/drawing/2014/main" id="{2A0AA92F-C34E-4FBC-9567-B0BC82723099}"/>
            </a:ext>
          </a:extLst>
        </cdr:cNvPr>
        <cdr:cNvSpPr/>
      </cdr:nvSpPr>
      <cdr:spPr>
        <a:xfrm xmlns:a="http://schemas.openxmlformats.org/drawingml/2006/main">
          <a:off x="626553" y="4028947"/>
          <a:ext cx="638687" cy="629498"/>
        </a:xfrm>
        <a:prstGeom xmlns:a="http://schemas.openxmlformats.org/drawingml/2006/main" prst="flowChartConnector">
          <a:avLst/>
        </a:prstGeom>
        <a:solidFill xmlns:a="http://schemas.openxmlformats.org/drawingml/2006/main">
          <a:srgbClr val="99221F"/>
        </a:solidFill>
        <a:ln xmlns:a="http://schemas.openxmlformats.org/drawingml/2006/main">
          <a:solidFill>
            <a:srgbClr val="99221F"/>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tlCol="0" anchor="t"/>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l"/>
          <a:endParaRPr lang="en-US" sz="1100"/>
        </a:p>
      </cdr:txBody>
    </cdr:sp>
  </cdr:relSizeAnchor>
  <cdr:relSizeAnchor xmlns:cdr="http://schemas.openxmlformats.org/drawingml/2006/chartDrawing">
    <cdr:from>
      <cdr:x>0.60974</cdr:x>
      <cdr:y>0.82372</cdr:y>
    </cdr:from>
    <cdr:to>
      <cdr:x>0.83551</cdr:x>
      <cdr:y>0.95138</cdr:y>
    </cdr:to>
    <cdr:sp macro="" textlink="">
      <cdr:nvSpPr>
        <cdr:cNvPr id="3" name="Flowchart: Connector 2" descr="Circle figure at the end of the thermometer picture">
          <a:extLst xmlns:a="http://schemas.openxmlformats.org/drawingml/2006/main">
            <a:ext uri="{FF2B5EF4-FFF2-40B4-BE49-F238E27FC236}">
              <a16:creationId xmlns:a16="http://schemas.microsoft.com/office/drawing/2014/main" id="{723D0551-4FFA-43C3-85AC-C1596F771366}"/>
            </a:ext>
          </a:extLst>
        </cdr:cNvPr>
        <cdr:cNvSpPr/>
      </cdr:nvSpPr>
      <cdr:spPr>
        <a:xfrm xmlns:a="http://schemas.openxmlformats.org/drawingml/2006/main">
          <a:off x="1724912" y="4061812"/>
          <a:ext cx="638687" cy="629498"/>
        </a:xfrm>
        <a:prstGeom xmlns:a="http://schemas.openxmlformats.org/drawingml/2006/main" prst="flowChartConnector">
          <a:avLst/>
        </a:prstGeom>
        <a:solidFill xmlns:a="http://schemas.openxmlformats.org/drawingml/2006/main">
          <a:srgbClr val="99221F"/>
        </a:solidFill>
        <a:ln xmlns:a="http://schemas.openxmlformats.org/drawingml/2006/main">
          <a:solidFill>
            <a:srgbClr val="99221F"/>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tlCol="0" anchor="t"/>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l"/>
          <a:endParaRPr lang="en-US" sz="1100"/>
        </a:p>
      </cdr:txBody>
    </cdr:sp>
  </cdr:relSizeAnchor>
</c:userShapes>
</file>

<file path=word/drawings/drawing2.xml><?xml version="1.0" encoding="utf-8"?>
<c:userShapes xmlns:c="http://schemas.openxmlformats.org/drawingml/2006/chart">
  <cdr:relSizeAnchor xmlns:cdr="http://schemas.openxmlformats.org/drawingml/2006/chartDrawing">
    <cdr:from>
      <cdr:x>0.24853</cdr:x>
      <cdr:y>0.79001</cdr:y>
    </cdr:from>
    <cdr:to>
      <cdr:x>0.4743</cdr:x>
      <cdr:y>0.91767</cdr:y>
    </cdr:to>
    <cdr:sp macro="" textlink="">
      <cdr:nvSpPr>
        <cdr:cNvPr id="2" name="Flowchart: Connector 1" descr="Circle figure at the end of the thermometer picture">
          <a:extLst xmlns:a="http://schemas.openxmlformats.org/drawingml/2006/main">
            <a:ext uri="{FF2B5EF4-FFF2-40B4-BE49-F238E27FC236}">
              <a16:creationId xmlns:a16="http://schemas.microsoft.com/office/drawing/2014/main" id="{2A0AA92F-C34E-4FBC-9567-B0BC82723099}"/>
            </a:ext>
          </a:extLst>
        </cdr:cNvPr>
        <cdr:cNvSpPr/>
      </cdr:nvSpPr>
      <cdr:spPr>
        <a:xfrm xmlns:a="http://schemas.openxmlformats.org/drawingml/2006/main">
          <a:off x="688975" y="3980628"/>
          <a:ext cx="625878" cy="643264"/>
        </a:xfrm>
        <a:prstGeom xmlns:a="http://schemas.openxmlformats.org/drawingml/2006/main" prst="flowChartConnector">
          <a:avLst/>
        </a:prstGeom>
        <a:solidFill xmlns:a="http://schemas.openxmlformats.org/drawingml/2006/main">
          <a:srgbClr val="99221F"/>
        </a:solidFill>
        <a:ln xmlns:a="http://schemas.openxmlformats.org/drawingml/2006/main">
          <a:solidFill>
            <a:srgbClr val="99221F"/>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tlCol="0" anchor="t"/>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l"/>
          <a:endParaRPr lang="en-US" sz="1100"/>
        </a:p>
      </cdr:txBody>
    </cdr:sp>
  </cdr:relSizeAnchor>
  <cdr:relSizeAnchor xmlns:cdr="http://schemas.openxmlformats.org/drawingml/2006/chartDrawing">
    <cdr:from>
      <cdr:x>0.63679</cdr:x>
      <cdr:y>0.78702</cdr:y>
    </cdr:from>
    <cdr:to>
      <cdr:x>0.86256</cdr:x>
      <cdr:y>0.91468</cdr:y>
    </cdr:to>
    <cdr:sp macro="" textlink="">
      <cdr:nvSpPr>
        <cdr:cNvPr id="3" name="Flowchart: Connector 2" descr="Circle figure at the end of the thermometer picture">
          <a:extLst xmlns:a="http://schemas.openxmlformats.org/drawingml/2006/main">
            <a:ext uri="{FF2B5EF4-FFF2-40B4-BE49-F238E27FC236}">
              <a16:creationId xmlns:a16="http://schemas.microsoft.com/office/drawing/2014/main" id="{723D0551-4FFA-43C3-85AC-C1596F771366}"/>
            </a:ext>
          </a:extLst>
        </cdr:cNvPr>
        <cdr:cNvSpPr/>
      </cdr:nvSpPr>
      <cdr:spPr>
        <a:xfrm xmlns:a="http://schemas.openxmlformats.org/drawingml/2006/main">
          <a:off x="1765300" y="3965575"/>
          <a:ext cx="625878" cy="643264"/>
        </a:xfrm>
        <a:prstGeom xmlns:a="http://schemas.openxmlformats.org/drawingml/2006/main" prst="flowChartConnector">
          <a:avLst/>
        </a:prstGeom>
        <a:solidFill xmlns:a="http://schemas.openxmlformats.org/drawingml/2006/main">
          <a:srgbClr val="99221F"/>
        </a:solidFill>
        <a:ln xmlns:a="http://schemas.openxmlformats.org/drawingml/2006/main">
          <a:solidFill>
            <a:srgbClr val="99221F"/>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tlCol="0" anchor="t"/>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l"/>
          <a:endParaRPr lang="en-US" sz="1100"/>
        </a:p>
      </cdr:txBody>
    </cdr:sp>
  </cdr:relSizeAnchor>
</c:userShapes>
</file>

<file path=word/drawings/drawing20.xml><?xml version="1.0" encoding="utf-8"?>
<c:userShapes xmlns:c="http://schemas.openxmlformats.org/drawingml/2006/chart">
  <cdr:relSizeAnchor xmlns:cdr="http://schemas.openxmlformats.org/drawingml/2006/chartDrawing">
    <cdr:from>
      <cdr:x>0.21811</cdr:x>
      <cdr:y>0.8227</cdr:y>
    </cdr:from>
    <cdr:to>
      <cdr:x>0.44388</cdr:x>
      <cdr:y>0.95036</cdr:y>
    </cdr:to>
    <cdr:sp macro="" textlink="">
      <cdr:nvSpPr>
        <cdr:cNvPr id="2" name="Flowchart: Connector 1" descr="Circle figure at the end of the thermometer picture">
          <a:extLst xmlns:a="http://schemas.openxmlformats.org/drawingml/2006/main">
            <a:ext uri="{FF2B5EF4-FFF2-40B4-BE49-F238E27FC236}">
              <a16:creationId xmlns:a16="http://schemas.microsoft.com/office/drawing/2014/main" id="{2A0AA92F-C34E-4FBC-9567-B0BC82723099}"/>
            </a:ext>
          </a:extLst>
        </cdr:cNvPr>
        <cdr:cNvSpPr/>
      </cdr:nvSpPr>
      <cdr:spPr>
        <a:xfrm xmlns:a="http://schemas.openxmlformats.org/drawingml/2006/main">
          <a:off x="617026" y="4166495"/>
          <a:ext cx="638686" cy="646522"/>
        </a:xfrm>
        <a:prstGeom xmlns:a="http://schemas.openxmlformats.org/drawingml/2006/main" prst="flowChartConnector">
          <a:avLst/>
        </a:prstGeom>
        <a:solidFill xmlns:a="http://schemas.openxmlformats.org/drawingml/2006/main">
          <a:srgbClr val="99221F"/>
        </a:solidFill>
        <a:ln xmlns:a="http://schemas.openxmlformats.org/drawingml/2006/main">
          <a:solidFill>
            <a:srgbClr val="99221F"/>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tlCol="0" anchor="t"/>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l"/>
          <a:endParaRPr lang="en-US" sz="1100"/>
        </a:p>
      </cdr:txBody>
    </cdr:sp>
  </cdr:relSizeAnchor>
  <cdr:relSizeAnchor xmlns:cdr="http://schemas.openxmlformats.org/drawingml/2006/chartDrawing">
    <cdr:from>
      <cdr:x>0.61935</cdr:x>
      <cdr:y>0.82748</cdr:y>
    </cdr:from>
    <cdr:to>
      <cdr:x>0.84512</cdr:x>
      <cdr:y>0.95514</cdr:y>
    </cdr:to>
    <cdr:sp macro="" textlink="">
      <cdr:nvSpPr>
        <cdr:cNvPr id="3" name="Flowchart: Connector 2" descr="Circle figure at the end of the thermometer picture">
          <a:extLst xmlns:a="http://schemas.openxmlformats.org/drawingml/2006/main">
            <a:ext uri="{FF2B5EF4-FFF2-40B4-BE49-F238E27FC236}">
              <a16:creationId xmlns:a16="http://schemas.microsoft.com/office/drawing/2014/main" id="{723D0551-4FFA-43C3-85AC-C1596F771366}"/>
            </a:ext>
          </a:extLst>
        </cdr:cNvPr>
        <cdr:cNvSpPr/>
      </cdr:nvSpPr>
      <cdr:spPr>
        <a:xfrm xmlns:a="http://schemas.openxmlformats.org/drawingml/2006/main">
          <a:off x="1752089" y="4190699"/>
          <a:ext cx="638687" cy="646522"/>
        </a:xfrm>
        <a:prstGeom xmlns:a="http://schemas.openxmlformats.org/drawingml/2006/main" prst="flowChartConnector">
          <a:avLst/>
        </a:prstGeom>
        <a:solidFill xmlns:a="http://schemas.openxmlformats.org/drawingml/2006/main">
          <a:srgbClr val="99221F"/>
        </a:solidFill>
        <a:ln xmlns:a="http://schemas.openxmlformats.org/drawingml/2006/main">
          <a:solidFill>
            <a:srgbClr val="99221F"/>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tlCol="0" anchor="t"/>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l"/>
          <a:endParaRPr lang="en-US" sz="1100"/>
        </a:p>
      </cdr:txBody>
    </cdr:sp>
  </cdr:relSizeAnchor>
</c:userShapes>
</file>

<file path=word/drawings/drawing21.xml><?xml version="1.0" encoding="utf-8"?>
<c:userShapes xmlns:c="http://schemas.openxmlformats.org/drawingml/2006/chart">
  <cdr:relSizeAnchor xmlns:cdr="http://schemas.openxmlformats.org/drawingml/2006/chartDrawing">
    <cdr:from>
      <cdr:x>0.22821</cdr:x>
      <cdr:y>0.81968</cdr:y>
    </cdr:from>
    <cdr:to>
      <cdr:x>0.45398</cdr:x>
      <cdr:y>0.94734</cdr:y>
    </cdr:to>
    <cdr:sp macro="" textlink="">
      <cdr:nvSpPr>
        <cdr:cNvPr id="2" name="Flowchart: Connector 1" descr="Circle figure at the end of the thermometer picture">
          <a:extLst xmlns:a="http://schemas.openxmlformats.org/drawingml/2006/main">
            <a:ext uri="{FF2B5EF4-FFF2-40B4-BE49-F238E27FC236}">
              <a16:creationId xmlns:a16="http://schemas.microsoft.com/office/drawing/2014/main" id="{2A0AA92F-C34E-4FBC-9567-B0BC82723099}"/>
            </a:ext>
          </a:extLst>
        </cdr:cNvPr>
        <cdr:cNvSpPr/>
      </cdr:nvSpPr>
      <cdr:spPr>
        <a:xfrm xmlns:a="http://schemas.openxmlformats.org/drawingml/2006/main">
          <a:off x="645598" y="4151181"/>
          <a:ext cx="638686" cy="646521"/>
        </a:xfrm>
        <a:prstGeom xmlns:a="http://schemas.openxmlformats.org/drawingml/2006/main" prst="flowChartConnector">
          <a:avLst/>
        </a:prstGeom>
        <a:solidFill xmlns:a="http://schemas.openxmlformats.org/drawingml/2006/main">
          <a:srgbClr val="DC5350"/>
        </a:solidFill>
        <a:ln xmlns:a="http://schemas.openxmlformats.org/drawingml/2006/main">
          <a:solidFill>
            <a:srgbClr val="DC5350"/>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tlCol="0" anchor="t"/>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l"/>
          <a:endParaRPr lang="en-US" sz="1100"/>
        </a:p>
      </cdr:txBody>
    </cdr:sp>
  </cdr:relSizeAnchor>
  <cdr:relSizeAnchor xmlns:cdr="http://schemas.openxmlformats.org/drawingml/2006/chartDrawing">
    <cdr:from>
      <cdr:x>0.61935</cdr:x>
      <cdr:y>0.8272</cdr:y>
    </cdr:from>
    <cdr:to>
      <cdr:x>0.84512</cdr:x>
      <cdr:y>0.95486</cdr:y>
    </cdr:to>
    <cdr:sp macro="" textlink="">
      <cdr:nvSpPr>
        <cdr:cNvPr id="3" name="Flowchart: Connector 2" descr="Circle figure at the end of the thermometer picture">
          <a:extLst xmlns:a="http://schemas.openxmlformats.org/drawingml/2006/main">
            <a:ext uri="{FF2B5EF4-FFF2-40B4-BE49-F238E27FC236}">
              <a16:creationId xmlns:a16="http://schemas.microsoft.com/office/drawing/2014/main" id="{723D0551-4FFA-43C3-85AC-C1596F771366}"/>
            </a:ext>
          </a:extLst>
        </cdr:cNvPr>
        <cdr:cNvSpPr/>
      </cdr:nvSpPr>
      <cdr:spPr>
        <a:xfrm xmlns:a="http://schemas.openxmlformats.org/drawingml/2006/main">
          <a:off x="1752086" y="4189039"/>
          <a:ext cx="638687" cy="646486"/>
        </a:xfrm>
        <a:prstGeom xmlns:a="http://schemas.openxmlformats.org/drawingml/2006/main" prst="flowChartConnector">
          <a:avLst/>
        </a:prstGeom>
        <a:solidFill xmlns:a="http://schemas.openxmlformats.org/drawingml/2006/main">
          <a:srgbClr val="DC5350"/>
        </a:solidFill>
        <a:ln xmlns:a="http://schemas.openxmlformats.org/drawingml/2006/main">
          <a:solidFill>
            <a:srgbClr val="DC5350"/>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tlCol="0" anchor="t"/>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l"/>
          <a:endParaRPr lang="en-US" sz="1100"/>
        </a:p>
      </cdr:txBody>
    </cdr:sp>
  </cdr:relSizeAnchor>
</c:userShapes>
</file>

<file path=word/drawings/drawing22.xml><?xml version="1.0" encoding="utf-8"?>
<c:userShapes xmlns:c="http://schemas.openxmlformats.org/drawingml/2006/chart">
  <cdr:relSizeAnchor xmlns:cdr="http://schemas.openxmlformats.org/drawingml/2006/chartDrawing">
    <cdr:from>
      <cdr:x>0.21768</cdr:x>
      <cdr:y>0.82883</cdr:y>
    </cdr:from>
    <cdr:to>
      <cdr:x>0.44345</cdr:x>
      <cdr:y>0.95649</cdr:y>
    </cdr:to>
    <cdr:sp macro="" textlink="">
      <cdr:nvSpPr>
        <cdr:cNvPr id="2" name="Flowchart: Connector 1" descr="Circle figure at the end of the thermometer picture"/>
        <cdr:cNvSpPr/>
      </cdr:nvSpPr>
      <cdr:spPr>
        <a:xfrm xmlns:a="http://schemas.openxmlformats.org/drawingml/2006/main">
          <a:off x="615804" y="4197286"/>
          <a:ext cx="638687" cy="646486"/>
        </a:xfrm>
        <a:prstGeom xmlns:a="http://schemas.openxmlformats.org/drawingml/2006/main" prst="flowChartConnector">
          <a:avLst/>
        </a:prstGeom>
        <a:solidFill xmlns:a="http://schemas.openxmlformats.org/drawingml/2006/main">
          <a:srgbClr val="99221F"/>
        </a:solidFill>
        <a:ln xmlns:a="http://schemas.openxmlformats.org/drawingml/2006/main">
          <a:solidFill>
            <a:srgbClr val="99221F"/>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tlCol="0" anchor="t"/>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l"/>
          <a:endParaRPr lang="en-US" sz="1100"/>
        </a:p>
      </cdr:txBody>
    </cdr:sp>
  </cdr:relSizeAnchor>
  <cdr:relSizeAnchor xmlns:cdr="http://schemas.openxmlformats.org/drawingml/2006/chartDrawing">
    <cdr:from>
      <cdr:x>0.61837</cdr:x>
      <cdr:y>0.83028</cdr:y>
    </cdr:from>
    <cdr:to>
      <cdr:x>0.84414</cdr:x>
      <cdr:y>0.95794</cdr:y>
    </cdr:to>
    <cdr:sp macro="" textlink="">
      <cdr:nvSpPr>
        <cdr:cNvPr id="3" name="Flowchart: Connector 2" descr="Circle figure at the end of the thermometer picture"/>
        <cdr:cNvSpPr/>
      </cdr:nvSpPr>
      <cdr:spPr>
        <a:xfrm xmlns:a="http://schemas.openxmlformats.org/drawingml/2006/main">
          <a:off x="1749332" y="4204637"/>
          <a:ext cx="638686" cy="646486"/>
        </a:xfrm>
        <a:prstGeom xmlns:a="http://schemas.openxmlformats.org/drawingml/2006/main" prst="flowChartConnector">
          <a:avLst/>
        </a:prstGeom>
        <a:solidFill xmlns:a="http://schemas.openxmlformats.org/drawingml/2006/main">
          <a:srgbClr val="99221F"/>
        </a:solidFill>
        <a:ln xmlns:a="http://schemas.openxmlformats.org/drawingml/2006/main">
          <a:solidFill>
            <a:srgbClr val="99221F"/>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tlCol="0" anchor="t"/>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l"/>
          <a:endParaRPr lang="en-US" sz="1100"/>
        </a:p>
      </cdr:txBody>
    </cdr:sp>
  </cdr:relSizeAnchor>
</c:userShapes>
</file>

<file path=word/drawings/drawing23.xml><?xml version="1.0" encoding="utf-8"?>
<c:userShapes xmlns:c="http://schemas.openxmlformats.org/drawingml/2006/chart">
  <cdr:relSizeAnchor xmlns:cdr="http://schemas.openxmlformats.org/drawingml/2006/chartDrawing">
    <cdr:from>
      <cdr:x>0.22079</cdr:x>
      <cdr:y>0.82536</cdr:y>
    </cdr:from>
    <cdr:to>
      <cdr:x>0.44656</cdr:x>
      <cdr:y>0.95302</cdr:y>
    </cdr:to>
    <cdr:sp macro="" textlink="">
      <cdr:nvSpPr>
        <cdr:cNvPr id="2" name="Flowchart: Connector 1" descr="Circle figure at the end of the thermometer picture"/>
        <cdr:cNvSpPr/>
      </cdr:nvSpPr>
      <cdr:spPr>
        <a:xfrm xmlns:a="http://schemas.openxmlformats.org/drawingml/2006/main">
          <a:off x="624596" y="4179702"/>
          <a:ext cx="638687" cy="646486"/>
        </a:xfrm>
        <a:prstGeom xmlns:a="http://schemas.openxmlformats.org/drawingml/2006/main" prst="flowChartConnector">
          <a:avLst/>
        </a:prstGeom>
        <a:solidFill xmlns:a="http://schemas.openxmlformats.org/drawingml/2006/main">
          <a:srgbClr val="99221F"/>
        </a:solidFill>
        <a:ln xmlns:a="http://schemas.openxmlformats.org/drawingml/2006/main">
          <a:solidFill>
            <a:srgbClr val="99221F"/>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tlCol="0" anchor="t"/>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l"/>
          <a:endParaRPr lang="en-US" sz="1100"/>
        </a:p>
      </cdr:txBody>
    </cdr:sp>
  </cdr:relSizeAnchor>
  <cdr:relSizeAnchor xmlns:cdr="http://schemas.openxmlformats.org/drawingml/2006/chartDrawing">
    <cdr:from>
      <cdr:x>0.60905</cdr:x>
      <cdr:y>0.82681</cdr:y>
    </cdr:from>
    <cdr:to>
      <cdr:x>0.83482</cdr:x>
      <cdr:y>0.95447</cdr:y>
    </cdr:to>
    <cdr:sp macro="" textlink="">
      <cdr:nvSpPr>
        <cdr:cNvPr id="3" name="Flowchart: Connector 2" descr="Circle figure at the end of the thermometer picture"/>
        <cdr:cNvSpPr/>
      </cdr:nvSpPr>
      <cdr:spPr>
        <a:xfrm xmlns:a="http://schemas.openxmlformats.org/drawingml/2006/main">
          <a:off x="1722955" y="4187052"/>
          <a:ext cx="638686" cy="646486"/>
        </a:xfrm>
        <a:prstGeom xmlns:a="http://schemas.openxmlformats.org/drawingml/2006/main" prst="flowChartConnector">
          <a:avLst/>
        </a:prstGeom>
        <a:solidFill xmlns:a="http://schemas.openxmlformats.org/drawingml/2006/main">
          <a:srgbClr val="99221F"/>
        </a:solidFill>
        <a:ln xmlns:a="http://schemas.openxmlformats.org/drawingml/2006/main">
          <a:solidFill>
            <a:srgbClr val="99221F"/>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tlCol="0" anchor="t"/>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l"/>
          <a:endParaRPr lang="en-US" sz="1100"/>
        </a:p>
      </cdr:txBody>
    </cdr:sp>
  </cdr:relSizeAnchor>
</c:userShapes>
</file>

<file path=word/drawings/drawing24.xml><?xml version="1.0" encoding="utf-8"?>
<c:userShapes xmlns:c="http://schemas.openxmlformats.org/drawingml/2006/chart">
  <cdr:relSizeAnchor xmlns:cdr="http://schemas.openxmlformats.org/drawingml/2006/chartDrawing">
    <cdr:from>
      <cdr:x>0.22079</cdr:x>
      <cdr:y>0.8132</cdr:y>
    </cdr:from>
    <cdr:to>
      <cdr:x>0.44656</cdr:x>
      <cdr:y>0.94086</cdr:y>
    </cdr:to>
    <cdr:sp macro="" textlink="">
      <cdr:nvSpPr>
        <cdr:cNvPr id="2" name="Flowchart: Connector 1" descr="Circle figure at the end of the thermometer picture"/>
        <cdr:cNvSpPr/>
      </cdr:nvSpPr>
      <cdr:spPr>
        <a:xfrm xmlns:a="http://schemas.openxmlformats.org/drawingml/2006/main">
          <a:off x="624596" y="4118155"/>
          <a:ext cx="638687" cy="646486"/>
        </a:xfrm>
        <a:prstGeom xmlns:a="http://schemas.openxmlformats.org/drawingml/2006/main" prst="flowChartConnector">
          <a:avLst/>
        </a:prstGeom>
        <a:solidFill xmlns:a="http://schemas.openxmlformats.org/drawingml/2006/main">
          <a:srgbClr val="99221F"/>
        </a:solidFill>
        <a:ln xmlns:a="http://schemas.openxmlformats.org/drawingml/2006/main">
          <a:solidFill>
            <a:srgbClr val="99221F"/>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tlCol="0" anchor="t"/>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l"/>
          <a:endParaRPr lang="en-US" sz="1100"/>
        </a:p>
      </cdr:txBody>
    </cdr:sp>
  </cdr:relSizeAnchor>
  <cdr:relSizeAnchor xmlns:cdr="http://schemas.openxmlformats.org/drawingml/2006/chartDrawing">
    <cdr:from>
      <cdr:x>0.60905</cdr:x>
      <cdr:y>0.81986</cdr:y>
    </cdr:from>
    <cdr:to>
      <cdr:x>0.83482</cdr:x>
      <cdr:y>0.94752</cdr:y>
    </cdr:to>
    <cdr:sp macro="" textlink="">
      <cdr:nvSpPr>
        <cdr:cNvPr id="3" name="Flowchart: Connector 2" descr="Circle figure at the end of the thermometer picture"/>
        <cdr:cNvSpPr/>
      </cdr:nvSpPr>
      <cdr:spPr>
        <a:xfrm xmlns:a="http://schemas.openxmlformats.org/drawingml/2006/main">
          <a:off x="1722955" y="4151882"/>
          <a:ext cx="638686" cy="646486"/>
        </a:xfrm>
        <a:prstGeom xmlns:a="http://schemas.openxmlformats.org/drawingml/2006/main" prst="flowChartConnector">
          <a:avLst/>
        </a:prstGeom>
        <a:solidFill xmlns:a="http://schemas.openxmlformats.org/drawingml/2006/main">
          <a:srgbClr val="99221F"/>
        </a:solidFill>
        <a:ln xmlns:a="http://schemas.openxmlformats.org/drawingml/2006/main">
          <a:solidFill>
            <a:srgbClr val="99221F"/>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tlCol="0" anchor="t"/>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l"/>
          <a:endParaRPr lang="en-US" sz="1100"/>
        </a:p>
      </cdr:txBody>
    </cdr:sp>
  </cdr:relSizeAnchor>
</c:userShapes>
</file>

<file path=word/drawings/drawing25.xml><?xml version="1.0" encoding="utf-8"?>
<c:userShapes xmlns:c="http://schemas.openxmlformats.org/drawingml/2006/chart">
  <cdr:relSizeAnchor xmlns:cdr="http://schemas.openxmlformats.org/drawingml/2006/chartDrawing">
    <cdr:from>
      <cdr:x>0.24853</cdr:x>
      <cdr:y>0.79001</cdr:y>
    </cdr:from>
    <cdr:to>
      <cdr:x>0.4743</cdr:x>
      <cdr:y>0.91767</cdr:y>
    </cdr:to>
    <cdr:sp macro="" textlink="">
      <cdr:nvSpPr>
        <cdr:cNvPr id="2" name="Flowchart: Connector 1" descr="Circle figure at the end of the thermometer picture">
          <a:extLst xmlns:a="http://schemas.openxmlformats.org/drawingml/2006/main">
            <a:ext uri="{FF2B5EF4-FFF2-40B4-BE49-F238E27FC236}">
              <a16:creationId xmlns:a16="http://schemas.microsoft.com/office/drawing/2014/main" id="{2A0AA92F-C34E-4FBC-9567-B0BC82723099}"/>
            </a:ext>
          </a:extLst>
        </cdr:cNvPr>
        <cdr:cNvSpPr/>
      </cdr:nvSpPr>
      <cdr:spPr>
        <a:xfrm xmlns:a="http://schemas.openxmlformats.org/drawingml/2006/main">
          <a:off x="688975" y="3980628"/>
          <a:ext cx="625878" cy="643264"/>
        </a:xfrm>
        <a:prstGeom xmlns:a="http://schemas.openxmlformats.org/drawingml/2006/main" prst="flowChartConnector">
          <a:avLst/>
        </a:prstGeom>
        <a:solidFill xmlns:a="http://schemas.openxmlformats.org/drawingml/2006/main">
          <a:srgbClr val="99221F"/>
        </a:solidFill>
        <a:ln xmlns:a="http://schemas.openxmlformats.org/drawingml/2006/main">
          <a:solidFill>
            <a:srgbClr val="99221F"/>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tlCol="0" anchor="t"/>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l"/>
          <a:endParaRPr lang="en-US" sz="1100"/>
        </a:p>
      </cdr:txBody>
    </cdr:sp>
  </cdr:relSizeAnchor>
  <cdr:relSizeAnchor xmlns:cdr="http://schemas.openxmlformats.org/drawingml/2006/chartDrawing">
    <cdr:from>
      <cdr:x>0.63679</cdr:x>
      <cdr:y>0.78702</cdr:y>
    </cdr:from>
    <cdr:to>
      <cdr:x>0.86256</cdr:x>
      <cdr:y>0.91468</cdr:y>
    </cdr:to>
    <cdr:sp macro="" textlink="">
      <cdr:nvSpPr>
        <cdr:cNvPr id="3" name="Flowchart: Connector 2" descr="Circle figure at the end of the thermometer picture">
          <a:extLst xmlns:a="http://schemas.openxmlformats.org/drawingml/2006/main">
            <a:ext uri="{FF2B5EF4-FFF2-40B4-BE49-F238E27FC236}">
              <a16:creationId xmlns:a16="http://schemas.microsoft.com/office/drawing/2014/main" id="{723D0551-4FFA-43C3-85AC-C1596F771366}"/>
            </a:ext>
          </a:extLst>
        </cdr:cNvPr>
        <cdr:cNvSpPr/>
      </cdr:nvSpPr>
      <cdr:spPr>
        <a:xfrm xmlns:a="http://schemas.openxmlformats.org/drawingml/2006/main">
          <a:off x="1765300" y="3965575"/>
          <a:ext cx="625878" cy="643264"/>
        </a:xfrm>
        <a:prstGeom xmlns:a="http://schemas.openxmlformats.org/drawingml/2006/main" prst="flowChartConnector">
          <a:avLst/>
        </a:prstGeom>
        <a:solidFill xmlns:a="http://schemas.openxmlformats.org/drawingml/2006/main">
          <a:srgbClr val="99221F"/>
        </a:solidFill>
        <a:ln xmlns:a="http://schemas.openxmlformats.org/drawingml/2006/main">
          <a:solidFill>
            <a:srgbClr val="99221F"/>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tlCol="0" anchor="t"/>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l"/>
          <a:endParaRPr lang="en-US" sz="1100"/>
        </a:p>
      </cdr:txBody>
    </cdr:sp>
  </cdr:relSizeAnchor>
</c:userShapes>
</file>

<file path=word/drawings/drawing26.xml><?xml version="1.0" encoding="utf-8"?>
<c:userShapes xmlns:c="http://schemas.openxmlformats.org/drawingml/2006/chart">
  <cdr:relSizeAnchor xmlns:cdr="http://schemas.openxmlformats.org/drawingml/2006/chartDrawing">
    <cdr:from>
      <cdr:x>0.24853</cdr:x>
      <cdr:y>0.79001</cdr:y>
    </cdr:from>
    <cdr:to>
      <cdr:x>0.4743</cdr:x>
      <cdr:y>0.91767</cdr:y>
    </cdr:to>
    <cdr:sp macro="" textlink="">
      <cdr:nvSpPr>
        <cdr:cNvPr id="2" name="Flowchart: Connector 1" descr="Circle figure at the end of the thermometer picture">
          <a:extLst xmlns:a="http://schemas.openxmlformats.org/drawingml/2006/main">
            <a:ext uri="{FF2B5EF4-FFF2-40B4-BE49-F238E27FC236}">
              <a16:creationId xmlns:a16="http://schemas.microsoft.com/office/drawing/2014/main" id="{2A0AA92F-C34E-4FBC-9567-B0BC82723099}"/>
            </a:ext>
          </a:extLst>
        </cdr:cNvPr>
        <cdr:cNvSpPr/>
      </cdr:nvSpPr>
      <cdr:spPr>
        <a:xfrm xmlns:a="http://schemas.openxmlformats.org/drawingml/2006/main">
          <a:off x="688975" y="3980628"/>
          <a:ext cx="625878" cy="643264"/>
        </a:xfrm>
        <a:prstGeom xmlns:a="http://schemas.openxmlformats.org/drawingml/2006/main" prst="flowChartConnector">
          <a:avLst/>
        </a:prstGeom>
        <a:solidFill xmlns:a="http://schemas.openxmlformats.org/drawingml/2006/main">
          <a:srgbClr val="99221F"/>
        </a:solidFill>
        <a:ln xmlns:a="http://schemas.openxmlformats.org/drawingml/2006/main">
          <a:solidFill>
            <a:srgbClr val="99221F"/>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tlCol="0" anchor="t"/>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l"/>
          <a:endParaRPr lang="en-US" sz="1100"/>
        </a:p>
      </cdr:txBody>
    </cdr:sp>
  </cdr:relSizeAnchor>
  <cdr:relSizeAnchor xmlns:cdr="http://schemas.openxmlformats.org/drawingml/2006/chartDrawing">
    <cdr:from>
      <cdr:x>0.63679</cdr:x>
      <cdr:y>0.78702</cdr:y>
    </cdr:from>
    <cdr:to>
      <cdr:x>0.86256</cdr:x>
      <cdr:y>0.91468</cdr:y>
    </cdr:to>
    <cdr:sp macro="" textlink="">
      <cdr:nvSpPr>
        <cdr:cNvPr id="3" name="Flowchart: Connector 2" descr="Circle figure at the end of the thermometer picture">
          <a:extLst xmlns:a="http://schemas.openxmlformats.org/drawingml/2006/main">
            <a:ext uri="{FF2B5EF4-FFF2-40B4-BE49-F238E27FC236}">
              <a16:creationId xmlns:a16="http://schemas.microsoft.com/office/drawing/2014/main" id="{723D0551-4FFA-43C3-85AC-C1596F771366}"/>
            </a:ext>
          </a:extLst>
        </cdr:cNvPr>
        <cdr:cNvSpPr/>
      </cdr:nvSpPr>
      <cdr:spPr>
        <a:xfrm xmlns:a="http://schemas.openxmlformats.org/drawingml/2006/main">
          <a:off x="1765300" y="3965575"/>
          <a:ext cx="625878" cy="643264"/>
        </a:xfrm>
        <a:prstGeom xmlns:a="http://schemas.openxmlformats.org/drawingml/2006/main" prst="flowChartConnector">
          <a:avLst/>
        </a:prstGeom>
        <a:solidFill xmlns:a="http://schemas.openxmlformats.org/drawingml/2006/main">
          <a:srgbClr val="99221F"/>
        </a:solidFill>
        <a:ln xmlns:a="http://schemas.openxmlformats.org/drawingml/2006/main">
          <a:solidFill>
            <a:srgbClr val="99221F"/>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tlCol="0" anchor="t"/>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l"/>
          <a:endParaRPr lang="en-US" sz="1100"/>
        </a:p>
      </cdr:txBody>
    </cdr:sp>
  </cdr:relSizeAnchor>
</c:userShapes>
</file>

<file path=word/drawings/drawing27.xml><?xml version="1.0" encoding="utf-8"?>
<c:userShapes xmlns:c="http://schemas.openxmlformats.org/drawingml/2006/chart">
  <cdr:relSizeAnchor xmlns:cdr="http://schemas.openxmlformats.org/drawingml/2006/chartDrawing">
    <cdr:from>
      <cdr:x>0.24853</cdr:x>
      <cdr:y>0.79001</cdr:y>
    </cdr:from>
    <cdr:to>
      <cdr:x>0.4743</cdr:x>
      <cdr:y>0.91767</cdr:y>
    </cdr:to>
    <cdr:sp macro="" textlink="">
      <cdr:nvSpPr>
        <cdr:cNvPr id="2" name="Flowchart: Connector 1" descr="Circle figure at the end of the thermometer picture">
          <a:extLst xmlns:a="http://schemas.openxmlformats.org/drawingml/2006/main">
            <a:ext uri="{FF2B5EF4-FFF2-40B4-BE49-F238E27FC236}">
              <a16:creationId xmlns:a16="http://schemas.microsoft.com/office/drawing/2014/main" id="{2A0AA92F-C34E-4FBC-9567-B0BC82723099}"/>
            </a:ext>
          </a:extLst>
        </cdr:cNvPr>
        <cdr:cNvSpPr/>
      </cdr:nvSpPr>
      <cdr:spPr>
        <a:xfrm xmlns:a="http://schemas.openxmlformats.org/drawingml/2006/main">
          <a:off x="688975" y="3980628"/>
          <a:ext cx="625878" cy="643264"/>
        </a:xfrm>
        <a:prstGeom xmlns:a="http://schemas.openxmlformats.org/drawingml/2006/main" prst="flowChartConnector">
          <a:avLst/>
        </a:prstGeom>
        <a:solidFill xmlns:a="http://schemas.openxmlformats.org/drawingml/2006/main">
          <a:srgbClr val="99221F"/>
        </a:solidFill>
        <a:ln xmlns:a="http://schemas.openxmlformats.org/drawingml/2006/main">
          <a:solidFill>
            <a:srgbClr val="99221F"/>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tlCol="0" anchor="t"/>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l"/>
          <a:endParaRPr lang="en-US" sz="1100"/>
        </a:p>
      </cdr:txBody>
    </cdr:sp>
  </cdr:relSizeAnchor>
  <cdr:relSizeAnchor xmlns:cdr="http://schemas.openxmlformats.org/drawingml/2006/chartDrawing">
    <cdr:from>
      <cdr:x>0.63679</cdr:x>
      <cdr:y>0.78702</cdr:y>
    </cdr:from>
    <cdr:to>
      <cdr:x>0.86256</cdr:x>
      <cdr:y>0.91468</cdr:y>
    </cdr:to>
    <cdr:sp macro="" textlink="">
      <cdr:nvSpPr>
        <cdr:cNvPr id="3" name="Flowchart: Connector 2" descr="Circle figure at the end of the thermometer picture">
          <a:extLst xmlns:a="http://schemas.openxmlformats.org/drawingml/2006/main">
            <a:ext uri="{FF2B5EF4-FFF2-40B4-BE49-F238E27FC236}">
              <a16:creationId xmlns:a16="http://schemas.microsoft.com/office/drawing/2014/main" id="{723D0551-4FFA-43C3-85AC-C1596F771366}"/>
            </a:ext>
          </a:extLst>
        </cdr:cNvPr>
        <cdr:cNvSpPr/>
      </cdr:nvSpPr>
      <cdr:spPr>
        <a:xfrm xmlns:a="http://schemas.openxmlformats.org/drawingml/2006/main">
          <a:off x="1765300" y="3965575"/>
          <a:ext cx="625878" cy="643264"/>
        </a:xfrm>
        <a:prstGeom xmlns:a="http://schemas.openxmlformats.org/drawingml/2006/main" prst="flowChartConnector">
          <a:avLst/>
        </a:prstGeom>
        <a:solidFill xmlns:a="http://schemas.openxmlformats.org/drawingml/2006/main">
          <a:srgbClr val="99221F"/>
        </a:solidFill>
        <a:ln xmlns:a="http://schemas.openxmlformats.org/drawingml/2006/main">
          <a:solidFill>
            <a:srgbClr val="99221F"/>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tlCol="0" anchor="t"/>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l"/>
          <a:endParaRPr lang="en-US" sz="1100"/>
        </a:p>
      </cdr:txBody>
    </cdr:sp>
  </cdr:relSizeAnchor>
</c:userShapes>
</file>

<file path=word/drawings/drawing28.xml><?xml version="1.0" encoding="utf-8"?>
<c:userShapes xmlns:c="http://schemas.openxmlformats.org/drawingml/2006/chart">
  <cdr:relSizeAnchor xmlns:cdr="http://schemas.openxmlformats.org/drawingml/2006/chartDrawing">
    <cdr:from>
      <cdr:x>0.24853</cdr:x>
      <cdr:y>0.79001</cdr:y>
    </cdr:from>
    <cdr:to>
      <cdr:x>0.4743</cdr:x>
      <cdr:y>0.91767</cdr:y>
    </cdr:to>
    <cdr:sp macro="" textlink="">
      <cdr:nvSpPr>
        <cdr:cNvPr id="2" name="Flowchart: Connector 1" descr="Circle figure at the end of the thermometer picture">
          <a:extLst xmlns:a="http://schemas.openxmlformats.org/drawingml/2006/main">
            <a:ext uri="{FF2B5EF4-FFF2-40B4-BE49-F238E27FC236}">
              <a16:creationId xmlns:a16="http://schemas.microsoft.com/office/drawing/2014/main" id="{2A0AA92F-C34E-4FBC-9567-B0BC82723099}"/>
            </a:ext>
          </a:extLst>
        </cdr:cNvPr>
        <cdr:cNvSpPr/>
      </cdr:nvSpPr>
      <cdr:spPr>
        <a:xfrm xmlns:a="http://schemas.openxmlformats.org/drawingml/2006/main">
          <a:off x="688975" y="3980628"/>
          <a:ext cx="625878" cy="643264"/>
        </a:xfrm>
        <a:prstGeom xmlns:a="http://schemas.openxmlformats.org/drawingml/2006/main" prst="flowChartConnector">
          <a:avLst/>
        </a:prstGeom>
        <a:solidFill xmlns:a="http://schemas.openxmlformats.org/drawingml/2006/main">
          <a:srgbClr val="99221F"/>
        </a:solidFill>
        <a:ln xmlns:a="http://schemas.openxmlformats.org/drawingml/2006/main">
          <a:solidFill>
            <a:srgbClr val="99221F"/>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tlCol="0" anchor="t"/>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l"/>
          <a:endParaRPr lang="en-US" sz="1100"/>
        </a:p>
      </cdr:txBody>
    </cdr:sp>
  </cdr:relSizeAnchor>
  <cdr:relSizeAnchor xmlns:cdr="http://schemas.openxmlformats.org/drawingml/2006/chartDrawing">
    <cdr:from>
      <cdr:x>0.63679</cdr:x>
      <cdr:y>0.78702</cdr:y>
    </cdr:from>
    <cdr:to>
      <cdr:x>0.86256</cdr:x>
      <cdr:y>0.91468</cdr:y>
    </cdr:to>
    <cdr:sp macro="" textlink="">
      <cdr:nvSpPr>
        <cdr:cNvPr id="3" name="Flowchart: Connector 2" descr="Circle figure at the end of the thermometer picture">
          <a:extLst xmlns:a="http://schemas.openxmlformats.org/drawingml/2006/main">
            <a:ext uri="{FF2B5EF4-FFF2-40B4-BE49-F238E27FC236}">
              <a16:creationId xmlns:a16="http://schemas.microsoft.com/office/drawing/2014/main" id="{723D0551-4FFA-43C3-85AC-C1596F771366}"/>
            </a:ext>
          </a:extLst>
        </cdr:cNvPr>
        <cdr:cNvSpPr/>
      </cdr:nvSpPr>
      <cdr:spPr>
        <a:xfrm xmlns:a="http://schemas.openxmlformats.org/drawingml/2006/main">
          <a:off x="1765300" y="3965575"/>
          <a:ext cx="625878" cy="643264"/>
        </a:xfrm>
        <a:prstGeom xmlns:a="http://schemas.openxmlformats.org/drawingml/2006/main" prst="flowChartConnector">
          <a:avLst/>
        </a:prstGeom>
        <a:solidFill xmlns:a="http://schemas.openxmlformats.org/drawingml/2006/main">
          <a:srgbClr val="99221F"/>
        </a:solidFill>
        <a:ln xmlns:a="http://schemas.openxmlformats.org/drawingml/2006/main">
          <a:solidFill>
            <a:srgbClr val="99221F"/>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tlCol="0" anchor="t"/>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l"/>
          <a:endParaRPr lang="en-US" sz="1100"/>
        </a:p>
      </cdr:txBody>
    </cdr:sp>
  </cdr:relSizeAnchor>
</c:userShapes>
</file>

<file path=word/drawings/drawing29.xml><?xml version="1.0" encoding="utf-8"?>
<c:userShapes xmlns:c="http://schemas.openxmlformats.org/drawingml/2006/chart">
  <cdr:relSizeAnchor xmlns:cdr="http://schemas.openxmlformats.org/drawingml/2006/chartDrawing">
    <cdr:from>
      <cdr:x>0.24853</cdr:x>
      <cdr:y>0.79001</cdr:y>
    </cdr:from>
    <cdr:to>
      <cdr:x>0.4743</cdr:x>
      <cdr:y>0.91767</cdr:y>
    </cdr:to>
    <cdr:sp macro="" textlink="">
      <cdr:nvSpPr>
        <cdr:cNvPr id="2" name="Flowchart: Connector 1" descr="Circle figure at the end of the thermometer picture">
          <a:extLst xmlns:a="http://schemas.openxmlformats.org/drawingml/2006/main">
            <a:ext uri="{FF2B5EF4-FFF2-40B4-BE49-F238E27FC236}">
              <a16:creationId xmlns:a16="http://schemas.microsoft.com/office/drawing/2014/main" id="{2A0AA92F-C34E-4FBC-9567-B0BC82723099}"/>
            </a:ext>
          </a:extLst>
        </cdr:cNvPr>
        <cdr:cNvSpPr/>
      </cdr:nvSpPr>
      <cdr:spPr>
        <a:xfrm xmlns:a="http://schemas.openxmlformats.org/drawingml/2006/main">
          <a:off x="688975" y="3980628"/>
          <a:ext cx="625878" cy="643264"/>
        </a:xfrm>
        <a:prstGeom xmlns:a="http://schemas.openxmlformats.org/drawingml/2006/main" prst="flowChartConnector">
          <a:avLst/>
        </a:prstGeom>
        <a:solidFill xmlns:a="http://schemas.openxmlformats.org/drawingml/2006/main">
          <a:srgbClr val="99221F"/>
        </a:solidFill>
        <a:ln xmlns:a="http://schemas.openxmlformats.org/drawingml/2006/main">
          <a:solidFill>
            <a:srgbClr val="99221F"/>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tlCol="0" anchor="t"/>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l"/>
          <a:endParaRPr lang="en-US" sz="1100"/>
        </a:p>
      </cdr:txBody>
    </cdr:sp>
  </cdr:relSizeAnchor>
  <cdr:relSizeAnchor xmlns:cdr="http://schemas.openxmlformats.org/drawingml/2006/chartDrawing">
    <cdr:from>
      <cdr:x>0.63679</cdr:x>
      <cdr:y>0.78702</cdr:y>
    </cdr:from>
    <cdr:to>
      <cdr:x>0.86256</cdr:x>
      <cdr:y>0.91468</cdr:y>
    </cdr:to>
    <cdr:sp macro="" textlink="">
      <cdr:nvSpPr>
        <cdr:cNvPr id="3" name="Flowchart: Connector 2" descr="Circle figure at the end of the thermometer picture">
          <a:extLst xmlns:a="http://schemas.openxmlformats.org/drawingml/2006/main">
            <a:ext uri="{FF2B5EF4-FFF2-40B4-BE49-F238E27FC236}">
              <a16:creationId xmlns:a16="http://schemas.microsoft.com/office/drawing/2014/main" id="{723D0551-4FFA-43C3-85AC-C1596F771366}"/>
            </a:ext>
          </a:extLst>
        </cdr:cNvPr>
        <cdr:cNvSpPr/>
      </cdr:nvSpPr>
      <cdr:spPr>
        <a:xfrm xmlns:a="http://schemas.openxmlformats.org/drawingml/2006/main">
          <a:off x="1765300" y="3965575"/>
          <a:ext cx="625878" cy="643264"/>
        </a:xfrm>
        <a:prstGeom xmlns:a="http://schemas.openxmlformats.org/drawingml/2006/main" prst="flowChartConnector">
          <a:avLst/>
        </a:prstGeom>
        <a:solidFill xmlns:a="http://schemas.openxmlformats.org/drawingml/2006/main">
          <a:srgbClr val="99221F"/>
        </a:solidFill>
        <a:ln xmlns:a="http://schemas.openxmlformats.org/drawingml/2006/main">
          <a:solidFill>
            <a:srgbClr val="99221F"/>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tlCol="0" anchor="t"/>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l"/>
          <a:endParaRPr lang="en-US" sz="1100"/>
        </a:p>
      </cdr:txBody>
    </cdr:sp>
  </cdr:relSizeAnchor>
</c:userShapes>
</file>

<file path=word/drawings/drawing3.xml><?xml version="1.0" encoding="utf-8"?>
<c:userShapes xmlns:c="http://schemas.openxmlformats.org/drawingml/2006/chart">
  <cdr:relSizeAnchor xmlns:cdr="http://schemas.openxmlformats.org/drawingml/2006/chartDrawing">
    <cdr:from>
      <cdr:x>0.24853</cdr:x>
      <cdr:y>0.79001</cdr:y>
    </cdr:from>
    <cdr:to>
      <cdr:x>0.4743</cdr:x>
      <cdr:y>0.91767</cdr:y>
    </cdr:to>
    <cdr:sp macro="" textlink="">
      <cdr:nvSpPr>
        <cdr:cNvPr id="2" name="Flowchart: Connector 1" descr="Circle figure at the end of the thermometer picture">
          <a:extLst xmlns:a="http://schemas.openxmlformats.org/drawingml/2006/main">
            <a:ext uri="{FF2B5EF4-FFF2-40B4-BE49-F238E27FC236}">
              <a16:creationId xmlns:a16="http://schemas.microsoft.com/office/drawing/2014/main" id="{2A0AA92F-C34E-4FBC-9567-B0BC82723099}"/>
            </a:ext>
          </a:extLst>
        </cdr:cNvPr>
        <cdr:cNvSpPr/>
      </cdr:nvSpPr>
      <cdr:spPr>
        <a:xfrm xmlns:a="http://schemas.openxmlformats.org/drawingml/2006/main">
          <a:off x="688975" y="3980628"/>
          <a:ext cx="625878" cy="643264"/>
        </a:xfrm>
        <a:prstGeom xmlns:a="http://schemas.openxmlformats.org/drawingml/2006/main" prst="flowChartConnector">
          <a:avLst/>
        </a:prstGeom>
        <a:solidFill xmlns:a="http://schemas.openxmlformats.org/drawingml/2006/main">
          <a:srgbClr val="99221F"/>
        </a:solidFill>
        <a:ln xmlns:a="http://schemas.openxmlformats.org/drawingml/2006/main">
          <a:solidFill>
            <a:srgbClr val="99221F"/>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tlCol="0" anchor="t"/>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l"/>
          <a:endParaRPr lang="en-US" sz="1100"/>
        </a:p>
      </cdr:txBody>
    </cdr:sp>
  </cdr:relSizeAnchor>
  <cdr:relSizeAnchor xmlns:cdr="http://schemas.openxmlformats.org/drawingml/2006/chartDrawing">
    <cdr:from>
      <cdr:x>0.63679</cdr:x>
      <cdr:y>0.78702</cdr:y>
    </cdr:from>
    <cdr:to>
      <cdr:x>0.86256</cdr:x>
      <cdr:y>0.91468</cdr:y>
    </cdr:to>
    <cdr:sp macro="" textlink="">
      <cdr:nvSpPr>
        <cdr:cNvPr id="3" name="Flowchart: Connector 2" descr="Circle figure at the end of the thermometer picture">
          <a:extLst xmlns:a="http://schemas.openxmlformats.org/drawingml/2006/main">
            <a:ext uri="{FF2B5EF4-FFF2-40B4-BE49-F238E27FC236}">
              <a16:creationId xmlns:a16="http://schemas.microsoft.com/office/drawing/2014/main" id="{723D0551-4FFA-43C3-85AC-C1596F771366}"/>
            </a:ext>
          </a:extLst>
        </cdr:cNvPr>
        <cdr:cNvSpPr/>
      </cdr:nvSpPr>
      <cdr:spPr>
        <a:xfrm xmlns:a="http://schemas.openxmlformats.org/drawingml/2006/main">
          <a:off x="1765300" y="3965575"/>
          <a:ext cx="625878" cy="643264"/>
        </a:xfrm>
        <a:prstGeom xmlns:a="http://schemas.openxmlformats.org/drawingml/2006/main" prst="flowChartConnector">
          <a:avLst/>
        </a:prstGeom>
        <a:solidFill xmlns:a="http://schemas.openxmlformats.org/drawingml/2006/main">
          <a:srgbClr val="99221F"/>
        </a:solidFill>
        <a:ln xmlns:a="http://schemas.openxmlformats.org/drawingml/2006/main">
          <a:solidFill>
            <a:srgbClr val="99221F"/>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tlCol="0" anchor="t"/>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l"/>
          <a:endParaRPr lang="en-US" sz="1100"/>
        </a:p>
      </cdr:txBody>
    </cdr:sp>
  </cdr:relSizeAnchor>
</c:userShapes>
</file>

<file path=word/drawings/drawing30.xml><?xml version="1.0" encoding="utf-8"?>
<c:userShapes xmlns:c="http://schemas.openxmlformats.org/drawingml/2006/chart">
  <cdr:relSizeAnchor xmlns:cdr="http://schemas.openxmlformats.org/drawingml/2006/chartDrawing">
    <cdr:from>
      <cdr:x>0.63679</cdr:x>
      <cdr:y>0.80754</cdr:y>
    </cdr:from>
    <cdr:to>
      <cdr:x>0.86256</cdr:x>
      <cdr:y>0.9352</cdr:y>
    </cdr:to>
    <cdr:sp macro="" textlink="">
      <cdr:nvSpPr>
        <cdr:cNvPr id="3" name="Flowchart: Connector 2" descr="Circle figure at the end of the thermometer picture">
          <a:extLst xmlns:a="http://schemas.openxmlformats.org/drawingml/2006/main">
            <a:ext uri="{FF2B5EF4-FFF2-40B4-BE49-F238E27FC236}">
              <a16:creationId xmlns:a16="http://schemas.microsoft.com/office/drawing/2014/main" id="{723D0551-4FFA-43C3-85AC-C1596F771366}"/>
            </a:ext>
          </a:extLst>
        </cdr:cNvPr>
        <cdr:cNvSpPr/>
      </cdr:nvSpPr>
      <cdr:spPr>
        <a:xfrm xmlns:a="http://schemas.openxmlformats.org/drawingml/2006/main">
          <a:off x="1777574" y="4154614"/>
          <a:ext cx="630228" cy="656781"/>
        </a:xfrm>
        <a:prstGeom xmlns:a="http://schemas.openxmlformats.org/drawingml/2006/main" prst="flowChartConnector">
          <a:avLst/>
        </a:prstGeom>
        <a:solidFill xmlns:a="http://schemas.openxmlformats.org/drawingml/2006/main">
          <a:srgbClr val="99221F"/>
        </a:solidFill>
        <a:ln xmlns:a="http://schemas.openxmlformats.org/drawingml/2006/main">
          <a:solidFill>
            <a:srgbClr val="99221F"/>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tlCol="0" anchor="t"/>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l"/>
          <a:endParaRPr lang="en-US" sz="1100"/>
        </a:p>
      </cdr:txBody>
    </cdr:sp>
  </cdr:relSizeAnchor>
  <cdr:relSizeAnchor xmlns:cdr="http://schemas.openxmlformats.org/drawingml/2006/chartDrawing">
    <cdr:from>
      <cdr:x>0.24171</cdr:x>
      <cdr:y>0.80569</cdr:y>
    </cdr:from>
    <cdr:to>
      <cdr:x>0.46748</cdr:x>
      <cdr:y>0.93335</cdr:y>
    </cdr:to>
    <cdr:sp macro="" textlink="">
      <cdr:nvSpPr>
        <cdr:cNvPr id="2" name="Flowchart: Connector 1" descr="Circle figure at the end of the thermometer picture">
          <a:extLst xmlns:a="http://schemas.openxmlformats.org/drawingml/2006/main">
            <a:ext uri="{FF2B5EF4-FFF2-40B4-BE49-F238E27FC236}">
              <a16:creationId xmlns:a16="http://schemas.microsoft.com/office/drawing/2014/main" id="{2A0AA92F-C34E-4FBC-9567-B0BC82723099}"/>
            </a:ext>
          </a:extLst>
        </cdr:cNvPr>
        <cdr:cNvSpPr/>
      </cdr:nvSpPr>
      <cdr:spPr>
        <a:xfrm xmlns:a="http://schemas.openxmlformats.org/drawingml/2006/main">
          <a:off x="674712" y="4145089"/>
          <a:ext cx="630227" cy="656781"/>
        </a:xfrm>
        <a:prstGeom xmlns:a="http://schemas.openxmlformats.org/drawingml/2006/main" prst="flowChartConnector">
          <a:avLst/>
        </a:prstGeom>
        <a:solidFill xmlns:a="http://schemas.openxmlformats.org/drawingml/2006/main">
          <a:srgbClr val="99221F"/>
        </a:solidFill>
        <a:ln xmlns:a="http://schemas.openxmlformats.org/drawingml/2006/main">
          <a:solidFill>
            <a:srgbClr val="99221F"/>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tlCol="0" anchor="t"/>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l"/>
          <a:endParaRPr lang="en-US" sz="1100"/>
        </a:p>
      </cdr:txBody>
    </cdr:sp>
  </cdr:relSizeAnchor>
</c:userShapes>
</file>

<file path=word/drawings/drawing31.xml><?xml version="1.0" encoding="utf-8"?>
<c:userShapes xmlns:c="http://schemas.openxmlformats.org/drawingml/2006/chart">
  <cdr:relSizeAnchor xmlns:cdr="http://schemas.openxmlformats.org/drawingml/2006/chartDrawing">
    <cdr:from>
      <cdr:x>0.24853</cdr:x>
      <cdr:y>0.79001</cdr:y>
    </cdr:from>
    <cdr:to>
      <cdr:x>0.4743</cdr:x>
      <cdr:y>0.91767</cdr:y>
    </cdr:to>
    <cdr:sp macro="" textlink="">
      <cdr:nvSpPr>
        <cdr:cNvPr id="2" name="Flowchart: Connector 1" descr="Circle figure at the end of the thermometer picture">
          <a:extLst xmlns:a="http://schemas.openxmlformats.org/drawingml/2006/main">
            <a:ext uri="{FF2B5EF4-FFF2-40B4-BE49-F238E27FC236}">
              <a16:creationId xmlns:a16="http://schemas.microsoft.com/office/drawing/2014/main" id="{2A0AA92F-C34E-4FBC-9567-B0BC82723099}"/>
            </a:ext>
          </a:extLst>
        </cdr:cNvPr>
        <cdr:cNvSpPr/>
      </cdr:nvSpPr>
      <cdr:spPr>
        <a:xfrm xmlns:a="http://schemas.openxmlformats.org/drawingml/2006/main">
          <a:off x="688975" y="3980628"/>
          <a:ext cx="625878" cy="643264"/>
        </a:xfrm>
        <a:prstGeom xmlns:a="http://schemas.openxmlformats.org/drawingml/2006/main" prst="flowChartConnector">
          <a:avLst/>
        </a:prstGeom>
        <a:solidFill xmlns:a="http://schemas.openxmlformats.org/drawingml/2006/main">
          <a:srgbClr val="99221F"/>
        </a:solidFill>
        <a:ln xmlns:a="http://schemas.openxmlformats.org/drawingml/2006/main">
          <a:solidFill>
            <a:srgbClr val="99221F"/>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tlCol="0" anchor="t"/>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l"/>
          <a:endParaRPr lang="en-US" sz="1100"/>
        </a:p>
      </cdr:txBody>
    </cdr:sp>
  </cdr:relSizeAnchor>
  <cdr:relSizeAnchor xmlns:cdr="http://schemas.openxmlformats.org/drawingml/2006/chartDrawing">
    <cdr:from>
      <cdr:x>0.63679</cdr:x>
      <cdr:y>0.78702</cdr:y>
    </cdr:from>
    <cdr:to>
      <cdr:x>0.86256</cdr:x>
      <cdr:y>0.91468</cdr:y>
    </cdr:to>
    <cdr:sp macro="" textlink="">
      <cdr:nvSpPr>
        <cdr:cNvPr id="3" name="Flowchart: Connector 2" descr="Circle figure at the end of the thermometer picture">
          <a:extLst xmlns:a="http://schemas.openxmlformats.org/drawingml/2006/main">
            <a:ext uri="{FF2B5EF4-FFF2-40B4-BE49-F238E27FC236}">
              <a16:creationId xmlns:a16="http://schemas.microsoft.com/office/drawing/2014/main" id="{723D0551-4FFA-43C3-85AC-C1596F771366}"/>
            </a:ext>
          </a:extLst>
        </cdr:cNvPr>
        <cdr:cNvSpPr/>
      </cdr:nvSpPr>
      <cdr:spPr>
        <a:xfrm xmlns:a="http://schemas.openxmlformats.org/drawingml/2006/main">
          <a:off x="1765300" y="3965575"/>
          <a:ext cx="625878" cy="643264"/>
        </a:xfrm>
        <a:prstGeom xmlns:a="http://schemas.openxmlformats.org/drawingml/2006/main" prst="flowChartConnector">
          <a:avLst/>
        </a:prstGeom>
        <a:solidFill xmlns:a="http://schemas.openxmlformats.org/drawingml/2006/main">
          <a:srgbClr val="99221F"/>
        </a:solidFill>
        <a:ln xmlns:a="http://schemas.openxmlformats.org/drawingml/2006/main">
          <a:solidFill>
            <a:srgbClr val="99221F"/>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tlCol="0" anchor="t"/>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l"/>
          <a:endParaRPr lang="en-US" sz="1100"/>
        </a:p>
      </cdr:txBody>
    </cdr:sp>
  </cdr:relSizeAnchor>
</c:userShapes>
</file>

<file path=word/drawings/drawing32.xml><?xml version="1.0" encoding="utf-8"?>
<c:userShapes xmlns:c="http://schemas.openxmlformats.org/drawingml/2006/chart">
  <cdr:relSizeAnchor xmlns:cdr="http://schemas.openxmlformats.org/drawingml/2006/chartDrawing">
    <cdr:from>
      <cdr:x>0.24486</cdr:x>
      <cdr:y>0.80593</cdr:y>
    </cdr:from>
    <cdr:to>
      <cdr:x>0.47063</cdr:x>
      <cdr:y>0.93359</cdr:y>
    </cdr:to>
    <cdr:sp macro="" textlink="">
      <cdr:nvSpPr>
        <cdr:cNvPr id="2" name="Flowchart: Connector 1" descr="Circle figure at the end of the thermometer picture">
          <a:extLst xmlns:a="http://schemas.openxmlformats.org/drawingml/2006/main">
            <a:ext uri="{FF2B5EF4-FFF2-40B4-BE49-F238E27FC236}">
              <a16:creationId xmlns:a16="http://schemas.microsoft.com/office/drawing/2014/main" id="{2A0AA92F-C34E-4FBC-9567-B0BC82723099}"/>
            </a:ext>
          </a:extLst>
        </cdr:cNvPr>
        <cdr:cNvSpPr/>
      </cdr:nvSpPr>
      <cdr:spPr>
        <a:xfrm xmlns:a="http://schemas.openxmlformats.org/drawingml/2006/main">
          <a:off x="683614" y="4146728"/>
          <a:ext cx="630315" cy="656841"/>
        </a:xfrm>
        <a:prstGeom xmlns:a="http://schemas.openxmlformats.org/drawingml/2006/main" prst="flowChartConnector">
          <a:avLst/>
        </a:prstGeom>
        <a:solidFill xmlns:a="http://schemas.openxmlformats.org/drawingml/2006/main">
          <a:srgbClr val="99221F"/>
        </a:solidFill>
        <a:ln xmlns:a="http://schemas.openxmlformats.org/drawingml/2006/main">
          <a:solidFill>
            <a:srgbClr val="99221F"/>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tlCol="0" anchor="t"/>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l"/>
          <a:endParaRPr lang="en-US" sz="1100"/>
        </a:p>
      </cdr:txBody>
    </cdr:sp>
  </cdr:relSizeAnchor>
  <cdr:relSizeAnchor xmlns:cdr="http://schemas.openxmlformats.org/drawingml/2006/chartDrawing">
    <cdr:from>
      <cdr:x>0.64413</cdr:x>
      <cdr:y>0.80466</cdr:y>
    </cdr:from>
    <cdr:to>
      <cdr:x>0.8699</cdr:x>
      <cdr:y>0.93232</cdr:y>
    </cdr:to>
    <cdr:sp macro="" textlink="">
      <cdr:nvSpPr>
        <cdr:cNvPr id="3" name="Flowchart: Connector 2" descr="Circle figure at the end of the thermometer picture">
          <a:extLst xmlns:a="http://schemas.openxmlformats.org/drawingml/2006/main">
            <a:ext uri="{FF2B5EF4-FFF2-40B4-BE49-F238E27FC236}">
              <a16:creationId xmlns:a16="http://schemas.microsoft.com/office/drawing/2014/main" id="{723D0551-4FFA-43C3-85AC-C1596F771366}"/>
            </a:ext>
          </a:extLst>
        </cdr:cNvPr>
        <cdr:cNvSpPr/>
      </cdr:nvSpPr>
      <cdr:spPr>
        <a:xfrm xmlns:a="http://schemas.openxmlformats.org/drawingml/2006/main">
          <a:off x="1798301" y="4140174"/>
          <a:ext cx="630314" cy="656842"/>
        </a:xfrm>
        <a:prstGeom xmlns:a="http://schemas.openxmlformats.org/drawingml/2006/main" prst="flowChartConnector">
          <a:avLst/>
        </a:prstGeom>
        <a:solidFill xmlns:a="http://schemas.openxmlformats.org/drawingml/2006/main">
          <a:srgbClr val="99221F"/>
        </a:solidFill>
        <a:ln xmlns:a="http://schemas.openxmlformats.org/drawingml/2006/main">
          <a:solidFill>
            <a:srgbClr val="99221F"/>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tlCol="0" anchor="t"/>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l"/>
          <a:endParaRPr lang="en-US" sz="1100"/>
        </a:p>
      </cdr:txBody>
    </cdr:sp>
  </cdr:relSizeAnchor>
</c:userShapes>
</file>

<file path=word/drawings/drawing33.xml><?xml version="1.0" encoding="utf-8"?>
<c:userShapes xmlns:c="http://schemas.openxmlformats.org/drawingml/2006/chart">
  <cdr:relSizeAnchor xmlns:cdr="http://schemas.openxmlformats.org/drawingml/2006/chartDrawing">
    <cdr:from>
      <cdr:x>0.24853</cdr:x>
      <cdr:y>0.79001</cdr:y>
    </cdr:from>
    <cdr:to>
      <cdr:x>0.4743</cdr:x>
      <cdr:y>0.91767</cdr:y>
    </cdr:to>
    <cdr:sp macro="" textlink="">
      <cdr:nvSpPr>
        <cdr:cNvPr id="2" name="Flowchart: Connector 1" descr="Circle figure at the end of the thermometer picture">
          <a:extLst xmlns:a="http://schemas.openxmlformats.org/drawingml/2006/main">
            <a:ext uri="{FF2B5EF4-FFF2-40B4-BE49-F238E27FC236}">
              <a16:creationId xmlns:a16="http://schemas.microsoft.com/office/drawing/2014/main" id="{2A0AA92F-C34E-4FBC-9567-B0BC82723099}"/>
            </a:ext>
          </a:extLst>
        </cdr:cNvPr>
        <cdr:cNvSpPr/>
      </cdr:nvSpPr>
      <cdr:spPr>
        <a:xfrm xmlns:a="http://schemas.openxmlformats.org/drawingml/2006/main">
          <a:off x="688975" y="3980628"/>
          <a:ext cx="625878" cy="643264"/>
        </a:xfrm>
        <a:prstGeom xmlns:a="http://schemas.openxmlformats.org/drawingml/2006/main" prst="flowChartConnector">
          <a:avLst/>
        </a:prstGeom>
        <a:solidFill xmlns:a="http://schemas.openxmlformats.org/drawingml/2006/main">
          <a:srgbClr val="99221F"/>
        </a:solidFill>
        <a:ln xmlns:a="http://schemas.openxmlformats.org/drawingml/2006/main">
          <a:solidFill>
            <a:srgbClr val="99221F"/>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tlCol="0" anchor="t"/>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l"/>
          <a:endParaRPr lang="en-US" sz="1100"/>
        </a:p>
      </cdr:txBody>
    </cdr:sp>
  </cdr:relSizeAnchor>
  <cdr:relSizeAnchor xmlns:cdr="http://schemas.openxmlformats.org/drawingml/2006/chartDrawing">
    <cdr:from>
      <cdr:x>0.63679</cdr:x>
      <cdr:y>0.78702</cdr:y>
    </cdr:from>
    <cdr:to>
      <cdr:x>0.86256</cdr:x>
      <cdr:y>0.91468</cdr:y>
    </cdr:to>
    <cdr:sp macro="" textlink="">
      <cdr:nvSpPr>
        <cdr:cNvPr id="3" name="Flowchart: Connector 2" descr="Circle figure at the end of the thermometer picture">
          <a:extLst xmlns:a="http://schemas.openxmlformats.org/drawingml/2006/main">
            <a:ext uri="{FF2B5EF4-FFF2-40B4-BE49-F238E27FC236}">
              <a16:creationId xmlns:a16="http://schemas.microsoft.com/office/drawing/2014/main" id="{723D0551-4FFA-43C3-85AC-C1596F771366}"/>
            </a:ext>
          </a:extLst>
        </cdr:cNvPr>
        <cdr:cNvSpPr/>
      </cdr:nvSpPr>
      <cdr:spPr>
        <a:xfrm xmlns:a="http://schemas.openxmlformats.org/drawingml/2006/main">
          <a:off x="1765300" y="3965575"/>
          <a:ext cx="625878" cy="643264"/>
        </a:xfrm>
        <a:prstGeom xmlns:a="http://schemas.openxmlformats.org/drawingml/2006/main" prst="flowChartConnector">
          <a:avLst/>
        </a:prstGeom>
        <a:solidFill xmlns:a="http://schemas.openxmlformats.org/drawingml/2006/main">
          <a:srgbClr val="99221F"/>
        </a:solidFill>
        <a:ln xmlns:a="http://schemas.openxmlformats.org/drawingml/2006/main">
          <a:solidFill>
            <a:srgbClr val="99221F"/>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tlCol="0" anchor="t"/>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l"/>
          <a:endParaRPr lang="en-US" sz="1100"/>
        </a:p>
      </cdr:txBody>
    </cdr:sp>
  </cdr:relSizeAnchor>
</c:userShapes>
</file>

<file path=word/drawings/drawing34.xml><?xml version="1.0" encoding="utf-8"?>
<c:userShapes xmlns:c="http://schemas.openxmlformats.org/drawingml/2006/chart">
  <cdr:relSizeAnchor xmlns:cdr="http://schemas.openxmlformats.org/drawingml/2006/chartDrawing">
    <cdr:from>
      <cdr:x>0.24853</cdr:x>
      <cdr:y>0.79001</cdr:y>
    </cdr:from>
    <cdr:to>
      <cdr:x>0.4743</cdr:x>
      <cdr:y>0.91767</cdr:y>
    </cdr:to>
    <cdr:sp macro="" textlink="">
      <cdr:nvSpPr>
        <cdr:cNvPr id="2" name="Flowchart: Connector 1" descr="Circle figure at the end of the thermometer picture">
          <a:extLst xmlns:a="http://schemas.openxmlformats.org/drawingml/2006/main">
            <a:ext uri="{FF2B5EF4-FFF2-40B4-BE49-F238E27FC236}">
              <a16:creationId xmlns:a16="http://schemas.microsoft.com/office/drawing/2014/main" id="{2A0AA92F-C34E-4FBC-9567-B0BC82723099}"/>
            </a:ext>
          </a:extLst>
        </cdr:cNvPr>
        <cdr:cNvSpPr/>
      </cdr:nvSpPr>
      <cdr:spPr>
        <a:xfrm xmlns:a="http://schemas.openxmlformats.org/drawingml/2006/main">
          <a:off x="688975" y="3980628"/>
          <a:ext cx="625878" cy="643264"/>
        </a:xfrm>
        <a:prstGeom xmlns:a="http://schemas.openxmlformats.org/drawingml/2006/main" prst="flowChartConnector">
          <a:avLst/>
        </a:prstGeom>
        <a:solidFill xmlns:a="http://schemas.openxmlformats.org/drawingml/2006/main">
          <a:srgbClr val="F3C6C5"/>
        </a:solidFill>
        <a:ln xmlns:a="http://schemas.openxmlformats.org/drawingml/2006/main">
          <a:solidFill>
            <a:srgbClr val="FDBBBB"/>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tlCol="0" anchor="t"/>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l"/>
          <a:endParaRPr lang="en-US" sz="1100"/>
        </a:p>
      </cdr:txBody>
    </cdr:sp>
  </cdr:relSizeAnchor>
  <cdr:relSizeAnchor xmlns:cdr="http://schemas.openxmlformats.org/drawingml/2006/chartDrawing">
    <cdr:from>
      <cdr:x>0.64413</cdr:x>
      <cdr:y>0.79299</cdr:y>
    </cdr:from>
    <cdr:to>
      <cdr:x>0.8699</cdr:x>
      <cdr:y>0.92065</cdr:y>
    </cdr:to>
    <cdr:sp macro="" textlink="">
      <cdr:nvSpPr>
        <cdr:cNvPr id="3" name="Flowchart: Connector 2" descr="Circle figure at the end of the thermometer picture">
          <a:extLst xmlns:a="http://schemas.openxmlformats.org/drawingml/2006/main">
            <a:ext uri="{FF2B5EF4-FFF2-40B4-BE49-F238E27FC236}">
              <a16:creationId xmlns:a16="http://schemas.microsoft.com/office/drawing/2014/main" id="{723D0551-4FFA-43C3-85AC-C1596F771366}"/>
            </a:ext>
          </a:extLst>
        </cdr:cNvPr>
        <cdr:cNvSpPr/>
      </cdr:nvSpPr>
      <cdr:spPr>
        <a:xfrm xmlns:a="http://schemas.openxmlformats.org/drawingml/2006/main">
          <a:off x="1798301" y="4080134"/>
          <a:ext cx="630314" cy="656842"/>
        </a:xfrm>
        <a:prstGeom xmlns:a="http://schemas.openxmlformats.org/drawingml/2006/main" prst="flowChartConnector">
          <a:avLst/>
        </a:prstGeom>
        <a:solidFill xmlns:a="http://schemas.openxmlformats.org/drawingml/2006/main">
          <a:srgbClr val="D73D39"/>
        </a:solidFill>
        <a:ln xmlns:a="http://schemas.openxmlformats.org/drawingml/2006/main">
          <a:solidFill>
            <a:srgbClr val="D73D39"/>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tlCol="0" anchor="t"/>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l"/>
          <a:endParaRPr lang="en-US" sz="1100"/>
        </a:p>
      </cdr:txBody>
    </cdr:sp>
  </cdr:relSizeAnchor>
</c:userShapes>
</file>

<file path=word/drawings/drawing35.xml><?xml version="1.0" encoding="utf-8"?>
<c:userShapes xmlns:c="http://schemas.openxmlformats.org/drawingml/2006/chart">
  <cdr:relSizeAnchor xmlns:cdr="http://schemas.openxmlformats.org/drawingml/2006/chartDrawing">
    <cdr:from>
      <cdr:x>0.24853</cdr:x>
      <cdr:y>0.79001</cdr:y>
    </cdr:from>
    <cdr:to>
      <cdr:x>0.4743</cdr:x>
      <cdr:y>0.91767</cdr:y>
    </cdr:to>
    <cdr:sp macro="" textlink="">
      <cdr:nvSpPr>
        <cdr:cNvPr id="2" name="Flowchart: Connector 1" descr="Circle figure at the end of the thermometer picture">
          <a:extLst xmlns:a="http://schemas.openxmlformats.org/drawingml/2006/main">
            <a:ext uri="{FF2B5EF4-FFF2-40B4-BE49-F238E27FC236}">
              <a16:creationId xmlns:a16="http://schemas.microsoft.com/office/drawing/2014/main" id="{2A0AA92F-C34E-4FBC-9567-B0BC82723099}"/>
            </a:ext>
          </a:extLst>
        </cdr:cNvPr>
        <cdr:cNvSpPr/>
      </cdr:nvSpPr>
      <cdr:spPr>
        <a:xfrm xmlns:a="http://schemas.openxmlformats.org/drawingml/2006/main">
          <a:off x="688975" y="3980628"/>
          <a:ext cx="625878" cy="643264"/>
        </a:xfrm>
        <a:prstGeom xmlns:a="http://schemas.openxmlformats.org/drawingml/2006/main" prst="flowChartConnector">
          <a:avLst/>
        </a:prstGeom>
        <a:solidFill xmlns:a="http://schemas.openxmlformats.org/drawingml/2006/main">
          <a:srgbClr val="99221F"/>
        </a:solidFill>
        <a:ln xmlns:a="http://schemas.openxmlformats.org/drawingml/2006/main">
          <a:solidFill>
            <a:srgbClr val="99221F"/>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tlCol="0" anchor="t"/>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l"/>
          <a:endParaRPr lang="en-US" sz="1100"/>
        </a:p>
      </cdr:txBody>
    </cdr:sp>
  </cdr:relSizeAnchor>
  <cdr:relSizeAnchor xmlns:cdr="http://schemas.openxmlformats.org/drawingml/2006/chartDrawing">
    <cdr:from>
      <cdr:x>0.63679</cdr:x>
      <cdr:y>0.78702</cdr:y>
    </cdr:from>
    <cdr:to>
      <cdr:x>0.86256</cdr:x>
      <cdr:y>0.91468</cdr:y>
    </cdr:to>
    <cdr:sp macro="" textlink="">
      <cdr:nvSpPr>
        <cdr:cNvPr id="3" name="Flowchart: Connector 2" descr="Circle figure at the end of the thermometer picture">
          <a:extLst xmlns:a="http://schemas.openxmlformats.org/drawingml/2006/main">
            <a:ext uri="{FF2B5EF4-FFF2-40B4-BE49-F238E27FC236}">
              <a16:creationId xmlns:a16="http://schemas.microsoft.com/office/drawing/2014/main" id="{723D0551-4FFA-43C3-85AC-C1596F771366}"/>
            </a:ext>
          </a:extLst>
        </cdr:cNvPr>
        <cdr:cNvSpPr/>
      </cdr:nvSpPr>
      <cdr:spPr>
        <a:xfrm xmlns:a="http://schemas.openxmlformats.org/drawingml/2006/main">
          <a:off x="1765300" y="3965575"/>
          <a:ext cx="625878" cy="643264"/>
        </a:xfrm>
        <a:prstGeom xmlns:a="http://schemas.openxmlformats.org/drawingml/2006/main" prst="flowChartConnector">
          <a:avLst/>
        </a:prstGeom>
        <a:solidFill xmlns:a="http://schemas.openxmlformats.org/drawingml/2006/main">
          <a:srgbClr val="99221F"/>
        </a:solidFill>
        <a:ln xmlns:a="http://schemas.openxmlformats.org/drawingml/2006/main">
          <a:solidFill>
            <a:srgbClr val="99221F"/>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tlCol="0" anchor="t"/>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l"/>
          <a:endParaRPr lang="en-US" sz="1100"/>
        </a:p>
      </cdr:txBody>
    </cdr:sp>
  </cdr:relSizeAnchor>
</c:userShapes>
</file>

<file path=word/drawings/drawing36.xml><?xml version="1.0" encoding="utf-8"?>
<c:userShapes xmlns:c="http://schemas.openxmlformats.org/drawingml/2006/chart">
  <cdr:relSizeAnchor xmlns:cdr="http://schemas.openxmlformats.org/drawingml/2006/chartDrawing">
    <cdr:from>
      <cdr:x>0.24853</cdr:x>
      <cdr:y>0.79001</cdr:y>
    </cdr:from>
    <cdr:to>
      <cdr:x>0.4743</cdr:x>
      <cdr:y>0.91767</cdr:y>
    </cdr:to>
    <cdr:sp macro="" textlink="">
      <cdr:nvSpPr>
        <cdr:cNvPr id="2" name="Flowchart: Connector 1" descr="Circle figure at the end of the thermometer picture">
          <a:extLst xmlns:a="http://schemas.openxmlformats.org/drawingml/2006/main">
            <a:ext uri="{FF2B5EF4-FFF2-40B4-BE49-F238E27FC236}">
              <a16:creationId xmlns:a16="http://schemas.microsoft.com/office/drawing/2014/main" id="{2A0AA92F-C34E-4FBC-9567-B0BC82723099}"/>
            </a:ext>
          </a:extLst>
        </cdr:cNvPr>
        <cdr:cNvSpPr/>
      </cdr:nvSpPr>
      <cdr:spPr>
        <a:xfrm xmlns:a="http://schemas.openxmlformats.org/drawingml/2006/main">
          <a:off x="688975" y="3980628"/>
          <a:ext cx="625878" cy="643264"/>
        </a:xfrm>
        <a:prstGeom xmlns:a="http://schemas.openxmlformats.org/drawingml/2006/main" prst="flowChartConnector">
          <a:avLst/>
        </a:prstGeom>
        <a:solidFill xmlns:a="http://schemas.openxmlformats.org/drawingml/2006/main">
          <a:srgbClr val="99221F"/>
        </a:solidFill>
        <a:ln xmlns:a="http://schemas.openxmlformats.org/drawingml/2006/main">
          <a:solidFill>
            <a:srgbClr val="99221F"/>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tlCol="0" anchor="t"/>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l"/>
          <a:endParaRPr lang="en-US" sz="1100"/>
        </a:p>
      </cdr:txBody>
    </cdr:sp>
  </cdr:relSizeAnchor>
  <cdr:relSizeAnchor xmlns:cdr="http://schemas.openxmlformats.org/drawingml/2006/chartDrawing">
    <cdr:from>
      <cdr:x>0.63679</cdr:x>
      <cdr:y>0.78702</cdr:y>
    </cdr:from>
    <cdr:to>
      <cdr:x>0.86256</cdr:x>
      <cdr:y>0.91468</cdr:y>
    </cdr:to>
    <cdr:sp macro="" textlink="">
      <cdr:nvSpPr>
        <cdr:cNvPr id="3" name="Flowchart: Connector 2" descr="Circle figure at the end of the thermometer picture">
          <a:extLst xmlns:a="http://schemas.openxmlformats.org/drawingml/2006/main">
            <a:ext uri="{FF2B5EF4-FFF2-40B4-BE49-F238E27FC236}">
              <a16:creationId xmlns:a16="http://schemas.microsoft.com/office/drawing/2014/main" id="{723D0551-4FFA-43C3-85AC-C1596F771366}"/>
            </a:ext>
          </a:extLst>
        </cdr:cNvPr>
        <cdr:cNvSpPr/>
      </cdr:nvSpPr>
      <cdr:spPr>
        <a:xfrm xmlns:a="http://schemas.openxmlformats.org/drawingml/2006/main">
          <a:off x="1765300" y="3965575"/>
          <a:ext cx="625878" cy="643264"/>
        </a:xfrm>
        <a:prstGeom xmlns:a="http://schemas.openxmlformats.org/drawingml/2006/main" prst="flowChartConnector">
          <a:avLst/>
        </a:prstGeom>
        <a:solidFill xmlns:a="http://schemas.openxmlformats.org/drawingml/2006/main">
          <a:srgbClr val="99221F"/>
        </a:solidFill>
        <a:ln xmlns:a="http://schemas.openxmlformats.org/drawingml/2006/main">
          <a:solidFill>
            <a:srgbClr val="99221F"/>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tlCol="0" anchor="t"/>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l"/>
          <a:endParaRPr lang="en-US" sz="1100"/>
        </a:p>
      </cdr:txBody>
    </cdr:sp>
  </cdr:relSizeAnchor>
</c:userShapes>
</file>

<file path=word/drawings/drawing37.xml><?xml version="1.0" encoding="utf-8"?>
<c:userShapes xmlns:c="http://schemas.openxmlformats.org/drawingml/2006/chart">
  <cdr:relSizeAnchor xmlns:cdr="http://schemas.openxmlformats.org/drawingml/2006/chartDrawing">
    <cdr:from>
      <cdr:x>0.24853</cdr:x>
      <cdr:y>0.79001</cdr:y>
    </cdr:from>
    <cdr:to>
      <cdr:x>0.4743</cdr:x>
      <cdr:y>0.91767</cdr:y>
    </cdr:to>
    <cdr:sp macro="" textlink="">
      <cdr:nvSpPr>
        <cdr:cNvPr id="2" name="Flowchart: Connector 1" descr="Circle figure at the end of the thermometer picture">
          <a:extLst xmlns:a="http://schemas.openxmlformats.org/drawingml/2006/main">
            <a:ext uri="{FF2B5EF4-FFF2-40B4-BE49-F238E27FC236}">
              <a16:creationId xmlns:a16="http://schemas.microsoft.com/office/drawing/2014/main" id="{2A0AA92F-C34E-4FBC-9567-B0BC82723099}"/>
            </a:ext>
          </a:extLst>
        </cdr:cNvPr>
        <cdr:cNvSpPr/>
      </cdr:nvSpPr>
      <cdr:spPr>
        <a:xfrm xmlns:a="http://schemas.openxmlformats.org/drawingml/2006/main">
          <a:off x="688975" y="3980628"/>
          <a:ext cx="625878" cy="643264"/>
        </a:xfrm>
        <a:prstGeom xmlns:a="http://schemas.openxmlformats.org/drawingml/2006/main" prst="flowChartConnector">
          <a:avLst/>
        </a:prstGeom>
        <a:solidFill xmlns:a="http://schemas.openxmlformats.org/drawingml/2006/main">
          <a:srgbClr val="D73D39"/>
        </a:solidFill>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tlCol="0" anchor="t"/>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l"/>
          <a:endParaRPr lang="en-US" sz="1100"/>
        </a:p>
      </cdr:txBody>
    </cdr:sp>
  </cdr:relSizeAnchor>
  <cdr:relSizeAnchor xmlns:cdr="http://schemas.openxmlformats.org/drawingml/2006/chartDrawing">
    <cdr:from>
      <cdr:x>0.63679</cdr:x>
      <cdr:y>0.78702</cdr:y>
    </cdr:from>
    <cdr:to>
      <cdr:x>0.86256</cdr:x>
      <cdr:y>0.91468</cdr:y>
    </cdr:to>
    <cdr:sp macro="" textlink="">
      <cdr:nvSpPr>
        <cdr:cNvPr id="3" name="Flowchart: Connector 2" descr="Circle figure at the end of the thermometer picture">
          <a:extLst xmlns:a="http://schemas.openxmlformats.org/drawingml/2006/main">
            <a:ext uri="{FF2B5EF4-FFF2-40B4-BE49-F238E27FC236}">
              <a16:creationId xmlns:a16="http://schemas.microsoft.com/office/drawing/2014/main" id="{723D0551-4FFA-43C3-85AC-C1596F771366}"/>
            </a:ext>
          </a:extLst>
        </cdr:cNvPr>
        <cdr:cNvSpPr/>
      </cdr:nvSpPr>
      <cdr:spPr>
        <a:xfrm xmlns:a="http://schemas.openxmlformats.org/drawingml/2006/main">
          <a:off x="1765300" y="3965575"/>
          <a:ext cx="625878" cy="643264"/>
        </a:xfrm>
        <a:prstGeom xmlns:a="http://schemas.openxmlformats.org/drawingml/2006/main" prst="flowChartConnector">
          <a:avLst/>
        </a:prstGeom>
        <a:solidFill xmlns:a="http://schemas.openxmlformats.org/drawingml/2006/main">
          <a:srgbClr val="D73D39"/>
        </a:solidFill>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tlCol="0" anchor="t"/>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l"/>
          <a:endParaRPr lang="en-US" sz="1100"/>
        </a:p>
      </cdr:txBody>
    </cdr:sp>
  </cdr:relSizeAnchor>
</c:userShapes>
</file>

<file path=word/drawings/drawing38.xml><?xml version="1.0" encoding="utf-8"?>
<c:userShapes xmlns:c="http://schemas.openxmlformats.org/drawingml/2006/chart">
  <cdr:relSizeAnchor xmlns:cdr="http://schemas.openxmlformats.org/drawingml/2006/chartDrawing">
    <cdr:from>
      <cdr:x>0.24853</cdr:x>
      <cdr:y>0.79001</cdr:y>
    </cdr:from>
    <cdr:to>
      <cdr:x>0.4743</cdr:x>
      <cdr:y>0.91767</cdr:y>
    </cdr:to>
    <cdr:sp macro="" textlink="">
      <cdr:nvSpPr>
        <cdr:cNvPr id="2" name="Flowchart: Connector 1" descr="Circle figure at the end of the thermometer picture">
          <a:extLst xmlns:a="http://schemas.openxmlformats.org/drawingml/2006/main">
            <a:ext uri="{FF2B5EF4-FFF2-40B4-BE49-F238E27FC236}">
              <a16:creationId xmlns:a16="http://schemas.microsoft.com/office/drawing/2014/main" id="{2A0AA92F-C34E-4FBC-9567-B0BC82723099}"/>
            </a:ext>
          </a:extLst>
        </cdr:cNvPr>
        <cdr:cNvSpPr/>
      </cdr:nvSpPr>
      <cdr:spPr>
        <a:xfrm xmlns:a="http://schemas.openxmlformats.org/drawingml/2006/main">
          <a:off x="688975" y="3980628"/>
          <a:ext cx="625878" cy="643264"/>
        </a:xfrm>
        <a:prstGeom xmlns:a="http://schemas.openxmlformats.org/drawingml/2006/main" prst="flowChartConnector">
          <a:avLst/>
        </a:prstGeom>
        <a:solidFill xmlns:a="http://schemas.openxmlformats.org/drawingml/2006/main">
          <a:srgbClr val="F3C6C5"/>
        </a:solidFill>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tlCol="0" anchor="t"/>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l"/>
          <a:endParaRPr lang="en-US" sz="1100"/>
        </a:p>
      </cdr:txBody>
    </cdr:sp>
  </cdr:relSizeAnchor>
  <cdr:relSizeAnchor xmlns:cdr="http://schemas.openxmlformats.org/drawingml/2006/chartDrawing">
    <cdr:from>
      <cdr:x>0.63679</cdr:x>
      <cdr:y>0.78702</cdr:y>
    </cdr:from>
    <cdr:to>
      <cdr:x>0.86256</cdr:x>
      <cdr:y>0.91468</cdr:y>
    </cdr:to>
    <cdr:sp macro="" textlink="">
      <cdr:nvSpPr>
        <cdr:cNvPr id="3" name="Flowchart: Connector 2" descr="Circle figure at the end of the thermometer picture">
          <a:extLst xmlns:a="http://schemas.openxmlformats.org/drawingml/2006/main">
            <a:ext uri="{FF2B5EF4-FFF2-40B4-BE49-F238E27FC236}">
              <a16:creationId xmlns:a16="http://schemas.microsoft.com/office/drawing/2014/main" id="{723D0551-4FFA-43C3-85AC-C1596F771366}"/>
            </a:ext>
          </a:extLst>
        </cdr:cNvPr>
        <cdr:cNvSpPr/>
      </cdr:nvSpPr>
      <cdr:spPr>
        <a:xfrm xmlns:a="http://schemas.openxmlformats.org/drawingml/2006/main">
          <a:off x="1765300" y="3965575"/>
          <a:ext cx="625878" cy="643264"/>
        </a:xfrm>
        <a:prstGeom xmlns:a="http://schemas.openxmlformats.org/drawingml/2006/main" prst="flowChartConnector">
          <a:avLst/>
        </a:prstGeom>
        <a:solidFill xmlns:a="http://schemas.openxmlformats.org/drawingml/2006/main">
          <a:srgbClr val="F3C6C5"/>
        </a:solidFill>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tlCol="0" anchor="t"/>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l"/>
          <a:endParaRPr lang="en-US" sz="1100">
            <a:solidFill>
              <a:sysClr val="windowText" lastClr="000000"/>
            </a:solidFill>
          </a:endParaRPr>
        </a:p>
      </cdr:txBody>
    </cdr:sp>
  </cdr:relSizeAnchor>
</c:userShapes>
</file>

<file path=word/drawings/drawing39.xml><?xml version="1.0" encoding="utf-8"?>
<c:userShapes xmlns:c="http://schemas.openxmlformats.org/drawingml/2006/chart">
  <cdr:relSizeAnchor xmlns:cdr="http://schemas.openxmlformats.org/drawingml/2006/chartDrawing">
    <cdr:from>
      <cdr:x>0.24853</cdr:x>
      <cdr:y>0.79001</cdr:y>
    </cdr:from>
    <cdr:to>
      <cdr:x>0.4743</cdr:x>
      <cdr:y>0.91767</cdr:y>
    </cdr:to>
    <cdr:sp macro="" textlink="">
      <cdr:nvSpPr>
        <cdr:cNvPr id="2" name="Flowchart: Connector 1" descr="Circle figure at the end of the thermometer picture">
          <a:extLst xmlns:a="http://schemas.openxmlformats.org/drawingml/2006/main">
            <a:ext uri="{FF2B5EF4-FFF2-40B4-BE49-F238E27FC236}">
              <a16:creationId xmlns:a16="http://schemas.microsoft.com/office/drawing/2014/main" id="{2A0AA92F-C34E-4FBC-9567-B0BC82723099}"/>
            </a:ext>
          </a:extLst>
        </cdr:cNvPr>
        <cdr:cNvSpPr/>
      </cdr:nvSpPr>
      <cdr:spPr>
        <a:xfrm xmlns:a="http://schemas.openxmlformats.org/drawingml/2006/main">
          <a:off x="688975" y="3980628"/>
          <a:ext cx="625878" cy="643264"/>
        </a:xfrm>
        <a:prstGeom xmlns:a="http://schemas.openxmlformats.org/drawingml/2006/main" prst="flowChartConnector">
          <a:avLst/>
        </a:prstGeom>
        <a:solidFill xmlns:a="http://schemas.openxmlformats.org/drawingml/2006/main">
          <a:srgbClr val="EBA19F"/>
        </a:solidFill>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tlCol="0" anchor="t"/>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l"/>
          <a:endParaRPr lang="en-US" sz="1100"/>
        </a:p>
      </cdr:txBody>
    </cdr:sp>
  </cdr:relSizeAnchor>
  <cdr:relSizeAnchor xmlns:cdr="http://schemas.openxmlformats.org/drawingml/2006/chartDrawing">
    <cdr:from>
      <cdr:x>0.63679</cdr:x>
      <cdr:y>0.78702</cdr:y>
    </cdr:from>
    <cdr:to>
      <cdr:x>0.86256</cdr:x>
      <cdr:y>0.91468</cdr:y>
    </cdr:to>
    <cdr:sp macro="" textlink="">
      <cdr:nvSpPr>
        <cdr:cNvPr id="3" name="Flowchart: Connector 2" descr="Circle figure at the end of the thermometer picture">
          <a:extLst xmlns:a="http://schemas.openxmlformats.org/drawingml/2006/main">
            <a:ext uri="{FF2B5EF4-FFF2-40B4-BE49-F238E27FC236}">
              <a16:creationId xmlns:a16="http://schemas.microsoft.com/office/drawing/2014/main" id="{723D0551-4FFA-43C3-85AC-C1596F771366}"/>
            </a:ext>
          </a:extLst>
        </cdr:cNvPr>
        <cdr:cNvSpPr/>
      </cdr:nvSpPr>
      <cdr:spPr>
        <a:xfrm xmlns:a="http://schemas.openxmlformats.org/drawingml/2006/main">
          <a:off x="1765300" y="3965575"/>
          <a:ext cx="625878" cy="643264"/>
        </a:xfrm>
        <a:prstGeom xmlns:a="http://schemas.openxmlformats.org/drawingml/2006/main" prst="flowChartConnector">
          <a:avLst/>
        </a:prstGeom>
        <a:solidFill xmlns:a="http://schemas.openxmlformats.org/drawingml/2006/main">
          <a:srgbClr val="EBA19F"/>
        </a:solidFill>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tlCol="0" anchor="t"/>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l"/>
          <a:endParaRPr lang="en-US" sz="1100"/>
        </a:p>
      </cdr:txBody>
    </cdr:sp>
  </cdr:relSizeAnchor>
</c:userShapes>
</file>

<file path=word/drawings/drawing4.xml><?xml version="1.0" encoding="utf-8"?>
<c:userShapes xmlns:c="http://schemas.openxmlformats.org/drawingml/2006/chart">
  <cdr:relSizeAnchor xmlns:cdr="http://schemas.openxmlformats.org/drawingml/2006/chartDrawing">
    <cdr:from>
      <cdr:x>0.24853</cdr:x>
      <cdr:y>0.79001</cdr:y>
    </cdr:from>
    <cdr:to>
      <cdr:x>0.4743</cdr:x>
      <cdr:y>0.91767</cdr:y>
    </cdr:to>
    <cdr:sp macro="" textlink="">
      <cdr:nvSpPr>
        <cdr:cNvPr id="2" name="Flowchart: Connector 1" descr="Circle figure at the end of the thermometer picture">
          <a:extLst xmlns:a="http://schemas.openxmlformats.org/drawingml/2006/main">
            <a:ext uri="{FF2B5EF4-FFF2-40B4-BE49-F238E27FC236}">
              <a16:creationId xmlns:a16="http://schemas.microsoft.com/office/drawing/2014/main" id="{2A0AA92F-C34E-4FBC-9567-B0BC82723099}"/>
            </a:ext>
          </a:extLst>
        </cdr:cNvPr>
        <cdr:cNvSpPr/>
      </cdr:nvSpPr>
      <cdr:spPr>
        <a:xfrm xmlns:a="http://schemas.openxmlformats.org/drawingml/2006/main">
          <a:off x="688975" y="3980628"/>
          <a:ext cx="625878" cy="643264"/>
        </a:xfrm>
        <a:prstGeom xmlns:a="http://schemas.openxmlformats.org/drawingml/2006/main" prst="flowChartConnector">
          <a:avLst/>
        </a:prstGeom>
        <a:solidFill xmlns:a="http://schemas.openxmlformats.org/drawingml/2006/main">
          <a:srgbClr val="99221F"/>
        </a:solidFill>
        <a:ln xmlns:a="http://schemas.openxmlformats.org/drawingml/2006/main">
          <a:solidFill>
            <a:srgbClr val="99221F"/>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tlCol="0" anchor="t"/>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l"/>
          <a:endParaRPr lang="en-US" sz="1100"/>
        </a:p>
      </cdr:txBody>
    </cdr:sp>
  </cdr:relSizeAnchor>
  <cdr:relSizeAnchor xmlns:cdr="http://schemas.openxmlformats.org/drawingml/2006/chartDrawing">
    <cdr:from>
      <cdr:x>0.63679</cdr:x>
      <cdr:y>0.78702</cdr:y>
    </cdr:from>
    <cdr:to>
      <cdr:x>0.86256</cdr:x>
      <cdr:y>0.91468</cdr:y>
    </cdr:to>
    <cdr:sp macro="" textlink="">
      <cdr:nvSpPr>
        <cdr:cNvPr id="3" name="Flowchart: Connector 2" descr="Circle figure at the end of the thermometer picture">
          <a:extLst xmlns:a="http://schemas.openxmlformats.org/drawingml/2006/main">
            <a:ext uri="{FF2B5EF4-FFF2-40B4-BE49-F238E27FC236}">
              <a16:creationId xmlns:a16="http://schemas.microsoft.com/office/drawing/2014/main" id="{723D0551-4FFA-43C3-85AC-C1596F771366}"/>
            </a:ext>
          </a:extLst>
        </cdr:cNvPr>
        <cdr:cNvSpPr/>
      </cdr:nvSpPr>
      <cdr:spPr>
        <a:xfrm xmlns:a="http://schemas.openxmlformats.org/drawingml/2006/main">
          <a:off x="1765300" y="3965575"/>
          <a:ext cx="625878" cy="643264"/>
        </a:xfrm>
        <a:prstGeom xmlns:a="http://schemas.openxmlformats.org/drawingml/2006/main" prst="flowChartConnector">
          <a:avLst/>
        </a:prstGeom>
        <a:solidFill xmlns:a="http://schemas.openxmlformats.org/drawingml/2006/main">
          <a:srgbClr val="99221F"/>
        </a:solidFill>
        <a:ln xmlns:a="http://schemas.openxmlformats.org/drawingml/2006/main">
          <a:solidFill>
            <a:srgbClr val="99221F"/>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tlCol="0" anchor="t"/>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l"/>
          <a:endParaRPr lang="en-US" sz="1100"/>
        </a:p>
      </cdr:txBody>
    </cdr:sp>
  </cdr:relSizeAnchor>
</c:userShapes>
</file>

<file path=word/drawings/drawing40.xml><?xml version="1.0" encoding="utf-8"?>
<c:userShapes xmlns:c="http://schemas.openxmlformats.org/drawingml/2006/chart">
  <cdr:relSizeAnchor xmlns:cdr="http://schemas.openxmlformats.org/drawingml/2006/chartDrawing">
    <cdr:from>
      <cdr:x>0.66958</cdr:x>
      <cdr:y>0.23275</cdr:y>
    </cdr:from>
    <cdr:to>
      <cdr:x>0.82939</cdr:x>
      <cdr:y>0.83416</cdr:y>
    </cdr:to>
    <cdr:sp macro="" textlink="">
      <cdr:nvSpPr>
        <cdr:cNvPr id="4" name="Rectangle 3" descr="Vertical bar chart showing progress "/>
        <cdr:cNvSpPr/>
      </cdr:nvSpPr>
      <cdr:spPr>
        <a:xfrm xmlns:a="http://schemas.openxmlformats.org/drawingml/2006/main">
          <a:off x="1859754" y="1216241"/>
          <a:ext cx="443865" cy="3142615"/>
        </a:xfrm>
        <a:prstGeom xmlns:a="http://schemas.openxmlformats.org/drawingml/2006/main" prst="rect">
          <a:avLst/>
        </a:prstGeom>
      </cdr:spPr>
      <cdr:style>
        <a:lnRef xmlns:a="http://schemas.openxmlformats.org/drawingml/2006/main" idx="2">
          <a:schemeClr val="dk1"/>
        </a:lnRef>
        <a:fillRef xmlns:a="http://schemas.openxmlformats.org/drawingml/2006/main" idx="1">
          <a:schemeClr val="lt1"/>
        </a:fillRef>
        <a:effectRef xmlns:a="http://schemas.openxmlformats.org/drawingml/2006/main" idx="0">
          <a:schemeClr val="dk1"/>
        </a:effectRef>
        <a:fontRef xmlns:a="http://schemas.openxmlformats.org/drawingml/2006/main" idx="minor">
          <a:schemeClr val="dk1"/>
        </a:fontRef>
      </cdr:style>
      <cdr:txBody>
        <a:bodyPr xmlns:a="http://schemas.openxmlformats.org/drawingml/2006/main" rot="0" spcFirstLastPara="0" vert="horz" wrap="square" lIns="91440" tIns="45720" rIns="91440" bIns="45720" numCol="1" spcCol="0" rtlCol="0" fromWordArt="0" anchor="ctr" anchorCtr="0" forceAA="0" compatLnSpc="1">
          <a:prstTxWarp prst="textNoShape">
            <a:avLst/>
          </a:prstTxWarp>
          <a:noAutofit/>
        </a:bodyPr>
        <a:lstStyle xmlns:a="http://schemas.openxmlformats.org/drawingml/2006/main"/>
        <a:p xmlns:a="http://schemas.openxmlformats.org/drawingml/2006/main">
          <a:endParaRPr lang="en-US"/>
        </a:p>
      </cdr:txBody>
    </cdr:sp>
  </cdr:relSizeAnchor>
  <cdr:relSizeAnchor xmlns:cdr="http://schemas.openxmlformats.org/drawingml/2006/chartDrawing">
    <cdr:from>
      <cdr:x>0.63679</cdr:x>
      <cdr:y>0.78702</cdr:y>
    </cdr:from>
    <cdr:to>
      <cdr:x>0.86256</cdr:x>
      <cdr:y>0.91468</cdr:y>
    </cdr:to>
    <cdr:sp macro="" textlink="">
      <cdr:nvSpPr>
        <cdr:cNvPr id="3" name="Flowchart: Connector 2" descr="Circle figure at the end of the thermometer picture">
          <a:extLst xmlns:a="http://schemas.openxmlformats.org/drawingml/2006/main">
            <a:ext uri="{FF2B5EF4-FFF2-40B4-BE49-F238E27FC236}">
              <a16:creationId xmlns:a16="http://schemas.microsoft.com/office/drawing/2014/main" id="{723D0551-4FFA-43C3-85AC-C1596F771366}"/>
            </a:ext>
          </a:extLst>
        </cdr:cNvPr>
        <cdr:cNvSpPr/>
      </cdr:nvSpPr>
      <cdr:spPr>
        <a:xfrm xmlns:a="http://schemas.openxmlformats.org/drawingml/2006/main">
          <a:off x="1765300" y="3965575"/>
          <a:ext cx="625878" cy="643264"/>
        </a:xfrm>
        <a:prstGeom xmlns:a="http://schemas.openxmlformats.org/drawingml/2006/main" prst="flowChartConnector">
          <a:avLst/>
        </a:prstGeom>
        <a:solidFill xmlns:a="http://schemas.openxmlformats.org/drawingml/2006/main">
          <a:srgbClr val="FFE6E6"/>
        </a:solidFill>
        <a:ln xmlns:a="http://schemas.openxmlformats.org/drawingml/2006/main">
          <a:noFill/>
        </a:ln>
      </cdr:spPr>
      <cdr:style>
        <a:lnRef xmlns:a="http://schemas.openxmlformats.org/drawingml/2006/main" idx="2">
          <a:schemeClr val="dk1"/>
        </a:lnRef>
        <a:fillRef xmlns:a="http://schemas.openxmlformats.org/drawingml/2006/main" idx="1">
          <a:schemeClr val="lt1"/>
        </a:fillRef>
        <a:effectRef xmlns:a="http://schemas.openxmlformats.org/drawingml/2006/main" idx="0">
          <a:schemeClr val="dk1"/>
        </a:effectRef>
        <a:fontRef xmlns:a="http://schemas.openxmlformats.org/drawingml/2006/main" idx="minor">
          <a:schemeClr val="dk1"/>
        </a:fontRef>
      </cdr:style>
      <cdr:txBody>
        <a:bodyPr xmlns:a="http://schemas.openxmlformats.org/drawingml/2006/main" rtlCol="0" anchor="t"/>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l"/>
          <a:endParaRPr lang="en-US" sz="1100"/>
        </a:p>
      </cdr:txBody>
    </cdr:sp>
  </cdr:relSizeAnchor>
  <cdr:relSizeAnchor xmlns:cdr="http://schemas.openxmlformats.org/drawingml/2006/chartDrawing">
    <cdr:from>
      <cdr:x>0.26596</cdr:x>
      <cdr:y>0.23058</cdr:y>
    </cdr:from>
    <cdr:to>
      <cdr:x>0.42577</cdr:x>
      <cdr:y>0.83199</cdr:y>
    </cdr:to>
    <cdr:sp macro="" textlink="">
      <cdr:nvSpPr>
        <cdr:cNvPr id="6" name="Rectangle 5" descr="Vertical bar chart showing progress "/>
        <cdr:cNvSpPr/>
      </cdr:nvSpPr>
      <cdr:spPr>
        <a:xfrm xmlns:a="http://schemas.openxmlformats.org/drawingml/2006/main">
          <a:off x="738701" y="1204898"/>
          <a:ext cx="443865" cy="3142615"/>
        </a:xfrm>
        <a:prstGeom xmlns:a="http://schemas.openxmlformats.org/drawingml/2006/main" prst="rect">
          <a:avLst/>
        </a:prstGeom>
      </cdr:spPr>
      <cdr:style>
        <a:lnRef xmlns:a="http://schemas.openxmlformats.org/drawingml/2006/main" idx="2">
          <a:schemeClr val="dk1"/>
        </a:lnRef>
        <a:fillRef xmlns:a="http://schemas.openxmlformats.org/drawingml/2006/main" idx="1">
          <a:schemeClr val="lt1"/>
        </a:fillRef>
        <a:effectRef xmlns:a="http://schemas.openxmlformats.org/drawingml/2006/main" idx="0">
          <a:schemeClr val="dk1"/>
        </a:effectRef>
        <a:fontRef xmlns:a="http://schemas.openxmlformats.org/drawingml/2006/main" idx="minor">
          <a:schemeClr val="dk1"/>
        </a:fontRef>
      </cdr:style>
      <cdr:txBody>
        <a:bodyPr xmlns:a="http://schemas.openxmlformats.org/drawingml/2006/main" rot="0" spcFirstLastPara="0" vert="horz" wrap="square" lIns="91440" tIns="45720" rIns="91440" bIns="45720" numCol="1" spcCol="0" rtlCol="0" fromWordArt="0" anchor="ctr" anchorCtr="0" forceAA="0" compatLnSpc="1">
          <a:prstTxWarp prst="textNoShape">
            <a:avLst/>
          </a:prstTxWarp>
          <a:noAutofit/>
        </a:bodyPr>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endParaRPr lang="en-US"/>
        </a:p>
      </cdr:txBody>
    </cdr:sp>
  </cdr:relSizeAnchor>
  <cdr:relSizeAnchor xmlns:cdr="http://schemas.openxmlformats.org/drawingml/2006/chartDrawing">
    <cdr:from>
      <cdr:x>0.23317</cdr:x>
      <cdr:y>0.78485</cdr:y>
    </cdr:from>
    <cdr:to>
      <cdr:x>0.45894</cdr:x>
      <cdr:y>0.91251</cdr:y>
    </cdr:to>
    <cdr:sp macro="" textlink="">
      <cdr:nvSpPr>
        <cdr:cNvPr id="7" name="Flowchart: Connector 2" descr="Circle figure at the end of the thermometer picture"/>
        <cdr:cNvSpPr/>
      </cdr:nvSpPr>
      <cdr:spPr>
        <a:xfrm xmlns:a="http://schemas.openxmlformats.org/drawingml/2006/main">
          <a:off x="647625" y="4101163"/>
          <a:ext cx="627074" cy="667077"/>
        </a:xfrm>
        <a:prstGeom xmlns:a="http://schemas.openxmlformats.org/drawingml/2006/main" prst="flowChartConnector">
          <a:avLst/>
        </a:prstGeom>
        <a:solidFill xmlns:a="http://schemas.openxmlformats.org/drawingml/2006/main">
          <a:srgbClr val="FFE6E6"/>
        </a:solidFill>
        <a:ln xmlns:a="http://schemas.openxmlformats.org/drawingml/2006/main">
          <a:noFill/>
        </a:ln>
      </cdr:spPr>
      <cdr:style>
        <a:lnRef xmlns:a="http://schemas.openxmlformats.org/drawingml/2006/main" idx="2">
          <a:schemeClr val="dk1"/>
        </a:lnRef>
        <a:fillRef xmlns:a="http://schemas.openxmlformats.org/drawingml/2006/main" idx="1">
          <a:schemeClr val="lt1"/>
        </a:fillRef>
        <a:effectRef xmlns:a="http://schemas.openxmlformats.org/drawingml/2006/main" idx="0">
          <a:schemeClr val="dk1"/>
        </a:effectRef>
        <a:fontRef xmlns:a="http://schemas.openxmlformats.org/drawingml/2006/main" idx="minor">
          <a:schemeClr val="dk1"/>
        </a:fontRef>
      </cdr:style>
      <cdr:txBody>
        <a:bodyPr xmlns:a="http://schemas.openxmlformats.org/drawingml/2006/main" rtlCol="0" anchor="t"/>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l"/>
          <a:endParaRPr lang="en-US" sz="1100"/>
        </a:p>
      </cdr:txBody>
    </cdr:sp>
  </cdr:relSizeAnchor>
</c:userShapes>
</file>

<file path=word/drawings/drawing41.xml><?xml version="1.0" encoding="utf-8"?>
<c:userShapes xmlns:c="http://schemas.openxmlformats.org/drawingml/2006/chart">
  <cdr:relSizeAnchor xmlns:cdr="http://schemas.openxmlformats.org/drawingml/2006/chartDrawing">
    <cdr:from>
      <cdr:x>0.24853</cdr:x>
      <cdr:y>0.79001</cdr:y>
    </cdr:from>
    <cdr:to>
      <cdr:x>0.4743</cdr:x>
      <cdr:y>0.91767</cdr:y>
    </cdr:to>
    <cdr:sp macro="" textlink="">
      <cdr:nvSpPr>
        <cdr:cNvPr id="2" name="Flowchart: Connector 1" descr="Circle figure at the end of the thermometer picture">
          <a:extLst xmlns:a="http://schemas.openxmlformats.org/drawingml/2006/main">
            <a:ext uri="{FF2B5EF4-FFF2-40B4-BE49-F238E27FC236}">
              <a16:creationId xmlns:a16="http://schemas.microsoft.com/office/drawing/2014/main" id="{2A0AA92F-C34E-4FBC-9567-B0BC82723099}"/>
            </a:ext>
          </a:extLst>
        </cdr:cNvPr>
        <cdr:cNvSpPr/>
      </cdr:nvSpPr>
      <cdr:spPr>
        <a:xfrm xmlns:a="http://schemas.openxmlformats.org/drawingml/2006/main">
          <a:off x="688975" y="3980628"/>
          <a:ext cx="625878" cy="643264"/>
        </a:xfrm>
        <a:prstGeom xmlns:a="http://schemas.openxmlformats.org/drawingml/2006/main" prst="flowChartConnector">
          <a:avLst/>
        </a:prstGeom>
        <a:solidFill xmlns:a="http://schemas.openxmlformats.org/drawingml/2006/main">
          <a:srgbClr val="D73D39"/>
        </a:solidFill>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tlCol="0" anchor="t"/>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l"/>
          <a:endParaRPr lang="en-US" sz="1100"/>
        </a:p>
      </cdr:txBody>
    </cdr:sp>
  </cdr:relSizeAnchor>
  <cdr:relSizeAnchor xmlns:cdr="http://schemas.openxmlformats.org/drawingml/2006/chartDrawing">
    <cdr:from>
      <cdr:x>0.63679</cdr:x>
      <cdr:y>0.78702</cdr:y>
    </cdr:from>
    <cdr:to>
      <cdr:x>0.86256</cdr:x>
      <cdr:y>0.91468</cdr:y>
    </cdr:to>
    <cdr:sp macro="" textlink="">
      <cdr:nvSpPr>
        <cdr:cNvPr id="3" name="Flowchart: Connector 2" descr="Circle figure at the end of the thermometer picture">
          <a:extLst xmlns:a="http://schemas.openxmlformats.org/drawingml/2006/main">
            <a:ext uri="{FF2B5EF4-FFF2-40B4-BE49-F238E27FC236}">
              <a16:creationId xmlns:a16="http://schemas.microsoft.com/office/drawing/2014/main" id="{723D0551-4FFA-43C3-85AC-C1596F771366}"/>
            </a:ext>
          </a:extLst>
        </cdr:cNvPr>
        <cdr:cNvSpPr/>
      </cdr:nvSpPr>
      <cdr:spPr>
        <a:xfrm xmlns:a="http://schemas.openxmlformats.org/drawingml/2006/main">
          <a:off x="1765300" y="3965575"/>
          <a:ext cx="625878" cy="643264"/>
        </a:xfrm>
        <a:prstGeom xmlns:a="http://schemas.openxmlformats.org/drawingml/2006/main" prst="flowChartConnector">
          <a:avLst/>
        </a:prstGeom>
        <a:solidFill xmlns:a="http://schemas.openxmlformats.org/drawingml/2006/main">
          <a:srgbClr val="D73D39"/>
        </a:solidFill>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tlCol="0" anchor="t"/>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l"/>
          <a:endParaRPr lang="en-US" sz="1100"/>
        </a:p>
      </cdr:txBody>
    </cdr:sp>
  </cdr:relSizeAnchor>
</c:userShapes>
</file>

<file path=word/drawings/drawing42.xml><?xml version="1.0" encoding="utf-8"?>
<c:userShapes xmlns:c="http://schemas.openxmlformats.org/drawingml/2006/chart">
  <cdr:relSizeAnchor xmlns:cdr="http://schemas.openxmlformats.org/drawingml/2006/chartDrawing">
    <cdr:from>
      <cdr:x>0.24853</cdr:x>
      <cdr:y>0.79001</cdr:y>
    </cdr:from>
    <cdr:to>
      <cdr:x>0.4743</cdr:x>
      <cdr:y>0.91767</cdr:y>
    </cdr:to>
    <cdr:sp macro="" textlink="">
      <cdr:nvSpPr>
        <cdr:cNvPr id="2" name="Flowchart: Connector 1" descr="Circle figure at the end of the thermometer picture">
          <a:extLst xmlns:a="http://schemas.openxmlformats.org/drawingml/2006/main">
            <a:ext uri="{FF2B5EF4-FFF2-40B4-BE49-F238E27FC236}">
              <a16:creationId xmlns:a16="http://schemas.microsoft.com/office/drawing/2014/main" id="{2A0AA92F-C34E-4FBC-9567-B0BC82723099}"/>
            </a:ext>
          </a:extLst>
        </cdr:cNvPr>
        <cdr:cNvSpPr/>
      </cdr:nvSpPr>
      <cdr:spPr>
        <a:xfrm xmlns:a="http://schemas.openxmlformats.org/drawingml/2006/main">
          <a:off x="688975" y="3980628"/>
          <a:ext cx="625878" cy="643264"/>
        </a:xfrm>
        <a:prstGeom xmlns:a="http://schemas.openxmlformats.org/drawingml/2006/main" prst="flowChartConnector">
          <a:avLst/>
        </a:prstGeom>
        <a:solidFill xmlns:a="http://schemas.openxmlformats.org/drawingml/2006/main">
          <a:srgbClr val="99221F"/>
        </a:solidFill>
        <a:ln xmlns:a="http://schemas.openxmlformats.org/drawingml/2006/main">
          <a:solidFill>
            <a:srgbClr val="99221F"/>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tlCol="0" anchor="t"/>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l"/>
          <a:endParaRPr lang="en-US" sz="1100"/>
        </a:p>
      </cdr:txBody>
    </cdr:sp>
  </cdr:relSizeAnchor>
  <cdr:relSizeAnchor xmlns:cdr="http://schemas.openxmlformats.org/drawingml/2006/chartDrawing">
    <cdr:from>
      <cdr:x>0.63679</cdr:x>
      <cdr:y>0.78702</cdr:y>
    </cdr:from>
    <cdr:to>
      <cdr:x>0.86256</cdr:x>
      <cdr:y>0.91468</cdr:y>
    </cdr:to>
    <cdr:sp macro="" textlink="">
      <cdr:nvSpPr>
        <cdr:cNvPr id="3" name="Flowchart: Connector 2" descr="Circle figure at the end of the thermometer picture">
          <a:extLst xmlns:a="http://schemas.openxmlformats.org/drawingml/2006/main">
            <a:ext uri="{FF2B5EF4-FFF2-40B4-BE49-F238E27FC236}">
              <a16:creationId xmlns:a16="http://schemas.microsoft.com/office/drawing/2014/main" id="{723D0551-4FFA-43C3-85AC-C1596F771366}"/>
            </a:ext>
          </a:extLst>
        </cdr:cNvPr>
        <cdr:cNvSpPr/>
      </cdr:nvSpPr>
      <cdr:spPr>
        <a:xfrm xmlns:a="http://schemas.openxmlformats.org/drawingml/2006/main">
          <a:off x="1765300" y="3965575"/>
          <a:ext cx="625878" cy="643264"/>
        </a:xfrm>
        <a:prstGeom xmlns:a="http://schemas.openxmlformats.org/drawingml/2006/main" prst="flowChartConnector">
          <a:avLst/>
        </a:prstGeom>
        <a:solidFill xmlns:a="http://schemas.openxmlformats.org/drawingml/2006/main">
          <a:srgbClr val="99221F"/>
        </a:solidFill>
        <a:ln xmlns:a="http://schemas.openxmlformats.org/drawingml/2006/main">
          <a:solidFill>
            <a:srgbClr val="99221F"/>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tlCol="0" anchor="t"/>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l"/>
          <a:endParaRPr lang="en-US" sz="1100"/>
        </a:p>
      </cdr:txBody>
    </cdr:sp>
  </cdr:relSizeAnchor>
</c:userShapes>
</file>

<file path=word/drawings/drawing43.xml><?xml version="1.0" encoding="utf-8"?>
<c:userShapes xmlns:c="http://schemas.openxmlformats.org/drawingml/2006/chart">
  <cdr:relSizeAnchor xmlns:cdr="http://schemas.openxmlformats.org/drawingml/2006/chartDrawing">
    <cdr:from>
      <cdr:x>0.24853</cdr:x>
      <cdr:y>0.79001</cdr:y>
    </cdr:from>
    <cdr:to>
      <cdr:x>0.4743</cdr:x>
      <cdr:y>0.91767</cdr:y>
    </cdr:to>
    <cdr:sp macro="" textlink="">
      <cdr:nvSpPr>
        <cdr:cNvPr id="2" name="Flowchart: Connector 1" descr="Circle figure at the end of the thermometer picture">
          <a:extLst xmlns:a="http://schemas.openxmlformats.org/drawingml/2006/main">
            <a:ext uri="{FF2B5EF4-FFF2-40B4-BE49-F238E27FC236}">
              <a16:creationId xmlns:a16="http://schemas.microsoft.com/office/drawing/2014/main" id="{2A0AA92F-C34E-4FBC-9567-B0BC82723099}"/>
            </a:ext>
          </a:extLst>
        </cdr:cNvPr>
        <cdr:cNvSpPr/>
      </cdr:nvSpPr>
      <cdr:spPr>
        <a:xfrm xmlns:a="http://schemas.openxmlformats.org/drawingml/2006/main">
          <a:off x="688975" y="3980628"/>
          <a:ext cx="625878" cy="643264"/>
        </a:xfrm>
        <a:prstGeom xmlns:a="http://schemas.openxmlformats.org/drawingml/2006/main" prst="flowChartConnector">
          <a:avLst/>
        </a:prstGeom>
        <a:solidFill xmlns:a="http://schemas.openxmlformats.org/drawingml/2006/main">
          <a:srgbClr val="99221F"/>
        </a:solidFill>
        <a:ln xmlns:a="http://schemas.openxmlformats.org/drawingml/2006/main">
          <a:solidFill>
            <a:srgbClr val="99221F"/>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tlCol="0" anchor="t"/>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l"/>
          <a:endParaRPr lang="en-US" sz="1100"/>
        </a:p>
      </cdr:txBody>
    </cdr:sp>
  </cdr:relSizeAnchor>
  <cdr:relSizeAnchor xmlns:cdr="http://schemas.openxmlformats.org/drawingml/2006/chartDrawing">
    <cdr:from>
      <cdr:x>0.63679</cdr:x>
      <cdr:y>0.78702</cdr:y>
    </cdr:from>
    <cdr:to>
      <cdr:x>0.86256</cdr:x>
      <cdr:y>0.91468</cdr:y>
    </cdr:to>
    <cdr:sp macro="" textlink="">
      <cdr:nvSpPr>
        <cdr:cNvPr id="3" name="Flowchart: Connector 2" descr="Circle figure at the end of the thermometer picture">
          <a:extLst xmlns:a="http://schemas.openxmlformats.org/drawingml/2006/main">
            <a:ext uri="{FF2B5EF4-FFF2-40B4-BE49-F238E27FC236}">
              <a16:creationId xmlns:a16="http://schemas.microsoft.com/office/drawing/2014/main" id="{723D0551-4FFA-43C3-85AC-C1596F771366}"/>
            </a:ext>
          </a:extLst>
        </cdr:cNvPr>
        <cdr:cNvSpPr/>
      </cdr:nvSpPr>
      <cdr:spPr>
        <a:xfrm xmlns:a="http://schemas.openxmlformats.org/drawingml/2006/main">
          <a:off x="1765300" y="3965575"/>
          <a:ext cx="625878" cy="643264"/>
        </a:xfrm>
        <a:prstGeom xmlns:a="http://schemas.openxmlformats.org/drawingml/2006/main" prst="flowChartConnector">
          <a:avLst/>
        </a:prstGeom>
        <a:solidFill xmlns:a="http://schemas.openxmlformats.org/drawingml/2006/main">
          <a:srgbClr val="99221F"/>
        </a:solidFill>
        <a:ln xmlns:a="http://schemas.openxmlformats.org/drawingml/2006/main">
          <a:solidFill>
            <a:srgbClr val="99221F"/>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tlCol="0" anchor="t"/>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l"/>
          <a:endParaRPr lang="en-US" sz="1100"/>
        </a:p>
      </cdr:txBody>
    </cdr:sp>
  </cdr:relSizeAnchor>
</c:userShapes>
</file>

<file path=word/drawings/drawing44.xml><?xml version="1.0" encoding="utf-8"?>
<c:userShapes xmlns:c="http://schemas.openxmlformats.org/drawingml/2006/chart">
  <cdr:relSizeAnchor xmlns:cdr="http://schemas.openxmlformats.org/drawingml/2006/chartDrawing">
    <cdr:from>
      <cdr:x>0.24853</cdr:x>
      <cdr:y>0.79001</cdr:y>
    </cdr:from>
    <cdr:to>
      <cdr:x>0.4743</cdr:x>
      <cdr:y>0.91767</cdr:y>
    </cdr:to>
    <cdr:sp macro="" textlink="">
      <cdr:nvSpPr>
        <cdr:cNvPr id="2" name="Flowchart: Connector 1" descr="Circle figure at the end of the thermometer picture">
          <a:extLst xmlns:a="http://schemas.openxmlformats.org/drawingml/2006/main">
            <a:ext uri="{FF2B5EF4-FFF2-40B4-BE49-F238E27FC236}">
              <a16:creationId xmlns:a16="http://schemas.microsoft.com/office/drawing/2014/main" id="{2A0AA92F-C34E-4FBC-9567-B0BC82723099}"/>
            </a:ext>
          </a:extLst>
        </cdr:cNvPr>
        <cdr:cNvSpPr/>
      </cdr:nvSpPr>
      <cdr:spPr>
        <a:xfrm xmlns:a="http://schemas.openxmlformats.org/drawingml/2006/main">
          <a:off x="688975" y="3980628"/>
          <a:ext cx="625878" cy="643264"/>
        </a:xfrm>
        <a:prstGeom xmlns:a="http://schemas.openxmlformats.org/drawingml/2006/main" prst="flowChartConnector">
          <a:avLst/>
        </a:prstGeom>
        <a:solidFill xmlns:a="http://schemas.openxmlformats.org/drawingml/2006/main">
          <a:srgbClr val="99221F"/>
        </a:solidFill>
        <a:ln xmlns:a="http://schemas.openxmlformats.org/drawingml/2006/main">
          <a:solidFill>
            <a:srgbClr val="99221F"/>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tlCol="0" anchor="t"/>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l"/>
          <a:endParaRPr lang="en-US" sz="1100"/>
        </a:p>
      </cdr:txBody>
    </cdr:sp>
  </cdr:relSizeAnchor>
  <cdr:relSizeAnchor xmlns:cdr="http://schemas.openxmlformats.org/drawingml/2006/chartDrawing">
    <cdr:from>
      <cdr:x>0.63679</cdr:x>
      <cdr:y>0.78702</cdr:y>
    </cdr:from>
    <cdr:to>
      <cdr:x>0.86256</cdr:x>
      <cdr:y>0.91468</cdr:y>
    </cdr:to>
    <cdr:sp macro="" textlink="">
      <cdr:nvSpPr>
        <cdr:cNvPr id="3" name="Flowchart: Connector 2" descr="Circle figure at the end of the thermometer picture">
          <a:extLst xmlns:a="http://schemas.openxmlformats.org/drawingml/2006/main">
            <a:ext uri="{FF2B5EF4-FFF2-40B4-BE49-F238E27FC236}">
              <a16:creationId xmlns:a16="http://schemas.microsoft.com/office/drawing/2014/main" id="{723D0551-4FFA-43C3-85AC-C1596F771366}"/>
            </a:ext>
          </a:extLst>
        </cdr:cNvPr>
        <cdr:cNvSpPr/>
      </cdr:nvSpPr>
      <cdr:spPr>
        <a:xfrm xmlns:a="http://schemas.openxmlformats.org/drawingml/2006/main">
          <a:off x="1765300" y="3965575"/>
          <a:ext cx="625878" cy="643264"/>
        </a:xfrm>
        <a:prstGeom xmlns:a="http://schemas.openxmlformats.org/drawingml/2006/main" prst="flowChartConnector">
          <a:avLst/>
        </a:prstGeom>
        <a:solidFill xmlns:a="http://schemas.openxmlformats.org/drawingml/2006/main">
          <a:srgbClr val="99221F"/>
        </a:solidFill>
        <a:ln xmlns:a="http://schemas.openxmlformats.org/drawingml/2006/main">
          <a:solidFill>
            <a:srgbClr val="99221F"/>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tlCol="0" anchor="t"/>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l"/>
          <a:endParaRPr lang="en-US" sz="1100"/>
        </a:p>
      </cdr:txBody>
    </cdr:sp>
  </cdr:relSizeAnchor>
</c:userShapes>
</file>

<file path=word/drawings/drawing45.xml><?xml version="1.0" encoding="utf-8"?>
<c:userShapes xmlns:c="http://schemas.openxmlformats.org/drawingml/2006/chart">
  <cdr:relSizeAnchor xmlns:cdr="http://schemas.openxmlformats.org/drawingml/2006/chartDrawing">
    <cdr:from>
      <cdr:x>0.24486</cdr:x>
      <cdr:y>0.80593</cdr:y>
    </cdr:from>
    <cdr:to>
      <cdr:x>0.47063</cdr:x>
      <cdr:y>0.93359</cdr:y>
    </cdr:to>
    <cdr:sp macro="" textlink="">
      <cdr:nvSpPr>
        <cdr:cNvPr id="2" name="Flowchart: Connector 1" descr="Circle figure at the end of the thermometer picture">
          <a:extLst xmlns:a="http://schemas.openxmlformats.org/drawingml/2006/main">
            <a:ext uri="{FF2B5EF4-FFF2-40B4-BE49-F238E27FC236}">
              <a16:creationId xmlns:a16="http://schemas.microsoft.com/office/drawing/2014/main" id="{2A0AA92F-C34E-4FBC-9567-B0BC82723099}"/>
            </a:ext>
            <a:ext uri="{C183D7F6-B498-43B3-948B-1728B52AA6E4}">
              <adec:decorative xmlns="" xmlns:adec="http://schemas.microsoft.com/office/drawing/2017/decorative" val="1"/>
            </a:ext>
          </a:extLst>
        </cdr:cNvPr>
        <cdr:cNvSpPr/>
      </cdr:nvSpPr>
      <cdr:spPr>
        <a:xfrm xmlns:a="http://schemas.openxmlformats.org/drawingml/2006/main">
          <a:off x="683614" y="4146729"/>
          <a:ext cx="630315" cy="656841"/>
        </a:xfrm>
        <a:prstGeom xmlns:a="http://schemas.openxmlformats.org/drawingml/2006/main" prst="flowChartConnector">
          <a:avLst/>
        </a:prstGeom>
        <a:solidFill xmlns:a="http://schemas.openxmlformats.org/drawingml/2006/main">
          <a:srgbClr val="99221F"/>
        </a:solidFill>
        <a:ln xmlns:a="http://schemas.openxmlformats.org/drawingml/2006/main">
          <a:solidFill>
            <a:srgbClr val="99221F"/>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tlCol="0" anchor="t"/>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l"/>
          <a:endParaRPr lang="en-US" sz="1100"/>
        </a:p>
      </cdr:txBody>
    </cdr:sp>
  </cdr:relSizeAnchor>
  <cdr:relSizeAnchor xmlns:cdr="http://schemas.openxmlformats.org/drawingml/2006/chartDrawing">
    <cdr:from>
      <cdr:x>0.63679</cdr:x>
      <cdr:y>0.81091</cdr:y>
    </cdr:from>
    <cdr:to>
      <cdr:x>0.86256</cdr:x>
      <cdr:y>0.93857</cdr:y>
    </cdr:to>
    <cdr:sp macro="" textlink="">
      <cdr:nvSpPr>
        <cdr:cNvPr id="3" name="Flowchart: Connector 2" descr="Circle figure at the end of the thermometer picture">
          <a:extLst xmlns:a="http://schemas.openxmlformats.org/drawingml/2006/main">
            <a:ext uri="{FF2B5EF4-FFF2-40B4-BE49-F238E27FC236}">
              <a16:creationId xmlns:a16="http://schemas.microsoft.com/office/drawing/2014/main" id="{723D0551-4FFA-43C3-85AC-C1596F771366}"/>
            </a:ext>
            <a:ext uri="{C183D7F6-B498-43B3-948B-1728B52AA6E4}">
              <adec:decorative xmlns="" xmlns:adec="http://schemas.microsoft.com/office/drawing/2017/decorative" val="1"/>
            </a:ext>
          </a:extLst>
        </cdr:cNvPr>
        <cdr:cNvSpPr/>
      </cdr:nvSpPr>
      <cdr:spPr>
        <a:xfrm xmlns:a="http://schemas.openxmlformats.org/drawingml/2006/main">
          <a:off x="1777817" y="4172311"/>
          <a:ext cx="630314" cy="656842"/>
        </a:xfrm>
        <a:prstGeom xmlns:a="http://schemas.openxmlformats.org/drawingml/2006/main" prst="flowChartConnector">
          <a:avLst/>
        </a:prstGeom>
        <a:solidFill xmlns:a="http://schemas.openxmlformats.org/drawingml/2006/main">
          <a:srgbClr val="99221F"/>
        </a:solidFill>
        <a:ln xmlns:a="http://schemas.openxmlformats.org/drawingml/2006/main">
          <a:solidFill>
            <a:srgbClr val="99221F"/>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tlCol="0" anchor="t"/>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l"/>
          <a:endParaRPr lang="en-US" sz="1100"/>
        </a:p>
      </cdr:txBody>
    </cdr:sp>
  </cdr:relSizeAnchor>
</c:userShapes>
</file>

<file path=word/drawings/drawing46.xml><?xml version="1.0" encoding="utf-8"?>
<c:userShapes xmlns:c="http://schemas.openxmlformats.org/drawingml/2006/chart">
  <cdr:relSizeAnchor xmlns:cdr="http://schemas.openxmlformats.org/drawingml/2006/chartDrawing">
    <cdr:from>
      <cdr:x>0.24853</cdr:x>
      <cdr:y>0.79001</cdr:y>
    </cdr:from>
    <cdr:to>
      <cdr:x>0.4743</cdr:x>
      <cdr:y>0.91767</cdr:y>
    </cdr:to>
    <cdr:sp macro="" textlink="">
      <cdr:nvSpPr>
        <cdr:cNvPr id="2" name="Flowchart: Connector 1" descr="Circle figure at the end of the thermometer picture">
          <a:extLst xmlns:a="http://schemas.openxmlformats.org/drawingml/2006/main">
            <a:ext uri="{FF2B5EF4-FFF2-40B4-BE49-F238E27FC236}">
              <a16:creationId xmlns:a16="http://schemas.microsoft.com/office/drawing/2014/main" id="{2A0AA92F-C34E-4FBC-9567-B0BC82723099}"/>
            </a:ext>
            <a:ext uri="{C183D7F6-B498-43B3-948B-1728B52AA6E4}">
              <adec:decorative xmlns="" xmlns:adec="http://schemas.microsoft.com/office/drawing/2017/decorative" val="1"/>
            </a:ext>
          </a:extLst>
        </cdr:cNvPr>
        <cdr:cNvSpPr/>
      </cdr:nvSpPr>
      <cdr:spPr>
        <a:xfrm xmlns:a="http://schemas.openxmlformats.org/drawingml/2006/main">
          <a:off x="688975" y="3980628"/>
          <a:ext cx="625878" cy="643264"/>
        </a:xfrm>
        <a:prstGeom xmlns:a="http://schemas.openxmlformats.org/drawingml/2006/main" prst="flowChartConnector">
          <a:avLst/>
        </a:prstGeom>
        <a:solidFill xmlns:a="http://schemas.openxmlformats.org/drawingml/2006/main">
          <a:srgbClr val="99221F"/>
        </a:solidFill>
        <a:ln xmlns:a="http://schemas.openxmlformats.org/drawingml/2006/main">
          <a:solidFill>
            <a:srgbClr val="99221F"/>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tlCol="0" anchor="t"/>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l"/>
          <a:endParaRPr lang="en-US" sz="1100"/>
        </a:p>
      </cdr:txBody>
    </cdr:sp>
  </cdr:relSizeAnchor>
  <cdr:relSizeAnchor xmlns:cdr="http://schemas.openxmlformats.org/drawingml/2006/chartDrawing">
    <cdr:from>
      <cdr:x>0.63679</cdr:x>
      <cdr:y>0.78702</cdr:y>
    </cdr:from>
    <cdr:to>
      <cdr:x>0.86256</cdr:x>
      <cdr:y>0.91468</cdr:y>
    </cdr:to>
    <cdr:sp macro="" textlink="">
      <cdr:nvSpPr>
        <cdr:cNvPr id="3" name="Flowchart: Connector 2" descr="Circle figure at the end of the thermometer picture">
          <a:extLst xmlns:a="http://schemas.openxmlformats.org/drawingml/2006/main">
            <a:ext uri="{FF2B5EF4-FFF2-40B4-BE49-F238E27FC236}">
              <a16:creationId xmlns:a16="http://schemas.microsoft.com/office/drawing/2014/main" id="{723D0551-4FFA-43C3-85AC-C1596F771366}"/>
            </a:ext>
            <a:ext uri="{C183D7F6-B498-43B3-948B-1728B52AA6E4}">
              <adec:decorative xmlns="" xmlns:adec="http://schemas.microsoft.com/office/drawing/2017/decorative" val="1"/>
            </a:ext>
          </a:extLst>
        </cdr:cNvPr>
        <cdr:cNvSpPr/>
      </cdr:nvSpPr>
      <cdr:spPr>
        <a:xfrm xmlns:a="http://schemas.openxmlformats.org/drawingml/2006/main">
          <a:off x="1765300" y="3965575"/>
          <a:ext cx="625878" cy="643264"/>
        </a:xfrm>
        <a:prstGeom xmlns:a="http://schemas.openxmlformats.org/drawingml/2006/main" prst="flowChartConnector">
          <a:avLst/>
        </a:prstGeom>
        <a:solidFill xmlns:a="http://schemas.openxmlformats.org/drawingml/2006/main">
          <a:srgbClr val="99221F"/>
        </a:solidFill>
        <a:ln xmlns:a="http://schemas.openxmlformats.org/drawingml/2006/main">
          <a:solidFill>
            <a:srgbClr val="99221F"/>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tlCol="0" anchor="t"/>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l"/>
          <a:endParaRPr lang="en-US" sz="1100"/>
        </a:p>
      </cdr:txBody>
    </cdr:sp>
  </cdr:relSizeAnchor>
</c:userShapes>
</file>

<file path=word/drawings/drawing47.xml><?xml version="1.0" encoding="utf-8"?>
<c:userShapes xmlns:c="http://schemas.openxmlformats.org/drawingml/2006/chart">
  <cdr:relSizeAnchor xmlns:cdr="http://schemas.openxmlformats.org/drawingml/2006/chartDrawing">
    <cdr:from>
      <cdr:x>0.24853</cdr:x>
      <cdr:y>0.79001</cdr:y>
    </cdr:from>
    <cdr:to>
      <cdr:x>0.4743</cdr:x>
      <cdr:y>0.91767</cdr:y>
    </cdr:to>
    <cdr:sp macro="" textlink="">
      <cdr:nvSpPr>
        <cdr:cNvPr id="2" name="Flowchart: Connector 1" descr="Circle figure at the end of the thermometer picture">
          <a:extLst xmlns:a="http://schemas.openxmlformats.org/drawingml/2006/main">
            <a:ext uri="{FF2B5EF4-FFF2-40B4-BE49-F238E27FC236}">
              <a16:creationId xmlns:a16="http://schemas.microsoft.com/office/drawing/2014/main" id="{2A0AA92F-C34E-4FBC-9567-B0BC82723099}"/>
            </a:ext>
          </a:extLst>
        </cdr:cNvPr>
        <cdr:cNvSpPr/>
      </cdr:nvSpPr>
      <cdr:spPr>
        <a:xfrm xmlns:a="http://schemas.openxmlformats.org/drawingml/2006/main">
          <a:off x="688975" y="3980628"/>
          <a:ext cx="625878" cy="643264"/>
        </a:xfrm>
        <a:prstGeom xmlns:a="http://schemas.openxmlformats.org/drawingml/2006/main" prst="flowChartConnector">
          <a:avLst/>
        </a:prstGeom>
        <a:solidFill xmlns:a="http://schemas.openxmlformats.org/drawingml/2006/main">
          <a:srgbClr val="99221F"/>
        </a:solidFill>
        <a:ln xmlns:a="http://schemas.openxmlformats.org/drawingml/2006/main">
          <a:solidFill>
            <a:srgbClr val="99221F"/>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tlCol="0" anchor="t"/>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l"/>
          <a:endParaRPr lang="en-US" sz="1100"/>
        </a:p>
      </cdr:txBody>
    </cdr:sp>
  </cdr:relSizeAnchor>
  <cdr:relSizeAnchor xmlns:cdr="http://schemas.openxmlformats.org/drawingml/2006/chartDrawing">
    <cdr:from>
      <cdr:x>0.63679</cdr:x>
      <cdr:y>0.78702</cdr:y>
    </cdr:from>
    <cdr:to>
      <cdr:x>0.86256</cdr:x>
      <cdr:y>0.91468</cdr:y>
    </cdr:to>
    <cdr:sp macro="" textlink="">
      <cdr:nvSpPr>
        <cdr:cNvPr id="3" name="Flowchart: Connector 2" descr="Circle figure at the end of the thermometer picture">
          <a:extLst xmlns:a="http://schemas.openxmlformats.org/drawingml/2006/main">
            <a:ext uri="{FF2B5EF4-FFF2-40B4-BE49-F238E27FC236}">
              <a16:creationId xmlns:a16="http://schemas.microsoft.com/office/drawing/2014/main" id="{723D0551-4FFA-43C3-85AC-C1596F771366}"/>
            </a:ext>
          </a:extLst>
        </cdr:cNvPr>
        <cdr:cNvSpPr/>
      </cdr:nvSpPr>
      <cdr:spPr>
        <a:xfrm xmlns:a="http://schemas.openxmlformats.org/drawingml/2006/main">
          <a:off x="1765300" y="3965575"/>
          <a:ext cx="625878" cy="643264"/>
        </a:xfrm>
        <a:prstGeom xmlns:a="http://schemas.openxmlformats.org/drawingml/2006/main" prst="flowChartConnector">
          <a:avLst/>
        </a:prstGeom>
        <a:solidFill xmlns:a="http://schemas.openxmlformats.org/drawingml/2006/main">
          <a:srgbClr val="99221F"/>
        </a:solidFill>
        <a:ln xmlns:a="http://schemas.openxmlformats.org/drawingml/2006/main">
          <a:solidFill>
            <a:srgbClr val="99221F"/>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tlCol="0" anchor="t"/>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l"/>
          <a:endParaRPr lang="en-US" sz="1100"/>
        </a:p>
      </cdr:txBody>
    </cdr:sp>
  </cdr:relSizeAnchor>
</c:userShapes>
</file>

<file path=word/drawings/drawing48.xml><?xml version="1.0" encoding="utf-8"?>
<c:userShapes xmlns:c="http://schemas.openxmlformats.org/drawingml/2006/chart">
  <cdr:relSizeAnchor xmlns:cdr="http://schemas.openxmlformats.org/drawingml/2006/chartDrawing">
    <cdr:from>
      <cdr:x>0.24853</cdr:x>
      <cdr:y>0.79001</cdr:y>
    </cdr:from>
    <cdr:to>
      <cdr:x>0.4743</cdr:x>
      <cdr:y>0.91767</cdr:y>
    </cdr:to>
    <cdr:sp macro="" textlink="">
      <cdr:nvSpPr>
        <cdr:cNvPr id="2" name="Flowchart: Connector 1" descr="Circle figure at the end of the thermometer picture">
          <a:extLst xmlns:a="http://schemas.openxmlformats.org/drawingml/2006/main">
            <a:ext uri="{FF2B5EF4-FFF2-40B4-BE49-F238E27FC236}">
              <a16:creationId xmlns:a16="http://schemas.microsoft.com/office/drawing/2014/main" id="{2A0AA92F-C34E-4FBC-9567-B0BC82723099}"/>
            </a:ext>
          </a:extLst>
        </cdr:cNvPr>
        <cdr:cNvSpPr/>
      </cdr:nvSpPr>
      <cdr:spPr>
        <a:xfrm xmlns:a="http://schemas.openxmlformats.org/drawingml/2006/main">
          <a:off x="688975" y="3980628"/>
          <a:ext cx="625878" cy="643264"/>
        </a:xfrm>
        <a:prstGeom xmlns:a="http://schemas.openxmlformats.org/drawingml/2006/main" prst="flowChartConnector">
          <a:avLst/>
        </a:prstGeom>
        <a:solidFill xmlns:a="http://schemas.openxmlformats.org/drawingml/2006/main">
          <a:srgbClr val="99221F"/>
        </a:solidFill>
        <a:ln xmlns:a="http://schemas.openxmlformats.org/drawingml/2006/main">
          <a:solidFill>
            <a:srgbClr val="99221F"/>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tlCol="0" anchor="t"/>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l"/>
          <a:endParaRPr lang="en-US" sz="1100"/>
        </a:p>
      </cdr:txBody>
    </cdr:sp>
  </cdr:relSizeAnchor>
  <cdr:relSizeAnchor xmlns:cdr="http://schemas.openxmlformats.org/drawingml/2006/chartDrawing">
    <cdr:from>
      <cdr:x>0.63679</cdr:x>
      <cdr:y>0.78702</cdr:y>
    </cdr:from>
    <cdr:to>
      <cdr:x>0.86256</cdr:x>
      <cdr:y>0.91468</cdr:y>
    </cdr:to>
    <cdr:sp macro="" textlink="">
      <cdr:nvSpPr>
        <cdr:cNvPr id="3" name="Flowchart: Connector 2" descr="Circle figure at the end of the thermometer picture">
          <a:extLst xmlns:a="http://schemas.openxmlformats.org/drawingml/2006/main">
            <a:ext uri="{FF2B5EF4-FFF2-40B4-BE49-F238E27FC236}">
              <a16:creationId xmlns:a16="http://schemas.microsoft.com/office/drawing/2014/main" id="{723D0551-4FFA-43C3-85AC-C1596F771366}"/>
            </a:ext>
          </a:extLst>
        </cdr:cNvPr>
        <cdr:cNvSpPr/>
      </cdr:nvSpPr>
      <cdr:spPr>
        <a:xfrm xmlns:a="http://schemas.openxmlformats.org/drawingml/2006/main">
          <a:off x="1765300" y="3965575"/>
          <a:ext cx="625878" cy="643264"/>
        </a:xfrm>
        <a:prstGeom xmlns:a="http://schemas.openxmlformats.org/drawingml/2006/main" prst="flowChartConnector">
          <a:avLst/>
        </a:prstGeom>
        <a:solidFill xmlns:a="http://schemas.openxmlformats.org/drawingml/2006/main">
          <a:srgbClr val="99221F"/>
        </a:solidFill>
        <a:ln xmlns:a="http://schemas.openxmlformats.org/drawingml/2006/main">
          <a:solidFill>
            <a:srgbClr val="99221F"/>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tlCol="0" anchor="t"/>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l"/>
          <a:endParaRPr lang="en-US" sz="1100"/>
        </a:p>
      </cdr:txBody>
    </cdr:sp>
  </cdr:relSizeAnchor>
</c:userShapes>
</file>

<file path=word/drawings/drawing49.xml><?xml version="1.0" encoding="utf-8"?>
<c:userShapes xmlns:c="http://schemas.openxmlformats.org/drawingml/2006/chart">
  <cdr:relSizeAnchor xmlns:cdr="http://schemas.openxmlformats.org/drawingml/2006/chartDrawing">
    <cdr:from>
      <cdr:x>0.24853</cdr:x>
      <cdr:y>0.79001</cdr:y>
    </cdr:from>
    <cdr:to>
      <cdr:x>0.4743</cdr:x>
      <cdr:y>0.91767</cdr:y>
    </cdr:to>
    <cdr:sp macro="" textlink="">
      <cdr:nvSpPr>
        <cdr:cNvPr id="2" name="Flowchart: Connector 1" descr="Circle figure at the end of the thermometer picture">
          <a:extLst xmlns:a="http://schemas.openxmlformats.org/drawingml/2006/main">
            <a:ext uri="{FF2B5EF4-FFF2-40B4-BE49-F238E27FC236}">
              <a16:creationId xmlns:a16="http://schemas.microsoft.com/office/drawing/2014/main" id="{2A0AA92F-C34E-4FBC-9567-B0BC82723099}"/>
            </a:ext>
          </a:extLst>
        </cdr:cNvPr>
        <cdr:cNvSpPr/>
      </cdr:nvSpPr>
      <cdr:spPr>
        <a:xfrm xmlns:a="http://schemas.openxmlformats.org/drawingml/2006/main">
          <a:off x="688975" y="3980628"/>
          <a:ext cx="625878" cy="643264"/>
        </a:xfrm>
        <a:prstGeom xmlns:a="http://schemas.openxmlformats.org/drawingml/2006/main" prst="flowChartConnector">
          <a:avLst/>
        </a:prstGeom>
        <a:solidFill xmlns:a="http://schemas.openxmlformats.org/drawingml/2006/main">
          <a:srgbClr val="99221F"/>
        </a:solidFill>
        <a:ln xmlns:a="http://schemas.openxmlformats.org/drawingml/2006/main">
          <a:solidFill>
            <a:srgbClr val="99221F"/>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tlCol="0" anchor="t"/>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l"/>
          <a:endParaRPr lang="en-US" sz="1100"/>
        </a:p>
      </cdr:txBody>
    </cdr:sp>
  </cdr:relSizeAnchor>
  <cdr:relSizeAnchor xmlns:cdr="http://schemas.openxmlformats.org/drawingml/2006/chartDrawing">
    <cdr:from>
      <cdr:x>0.63312</cdr:x>
      <cdr:y>0.78702</cdr:y>
    </cdr:from>
    <cdr:to>
      <cdr:x>0.85889</cdr:x>
      <cdr:y>0.91468</cdr:y>
    </cdr:to>
    <cdr:sp macro="" textlink="">
      <cdr:nvSpPr>
        <cdr:cNvPr id="3" name="Flowchart: Connector 2" descr="Circle figure at the end of the thermometer picture">
          <a:extLst xmlns:a="http://schemas.openxmlformats.org/drawingml/2006/main">
            <a:ext uri="{FF2B5EF4-FFF2-40B4-BE49-F238E27FC236}">
              <a16:creationId xmlns:a16="http://schemas.microsoft.com/office/drawing/2014/main" id="{723D0551-4FFA-43C3-85AC-C1596F771366}"/>
            </a:ext>
          </a:extLst>
        </cdr:cNvPr>
        <cdr:cNvSpPr/>
      </cdr:nvSpPr>
      <cdr:spPr>
        <a:xfrm xmlns:a="http://schemas.openxmlformats.org/drawingml/2006/main">
          <a:off x="1767574" y="4049409"/>
          <a:ext cx="630314" cy="656842"/>
        </a:xfrm>
        <a:prstGeom xmlns:a="http://schemas.openxmlformats.org/drawingml/2006/main" prst="flowChartConnector">
          <a:avLst/>
        </a:prstGeom>
        <a:solidFill xmlns:a="http://schemas.openxmlformats.org/drawingml/2006/main">
          <a:srgbClr val="99221F"/>
        </a:solidFill>
        <a:ln xmlns:a="http://schemas.openxmlformats.org/drawingml/2006/main">
          <a:solidFill>
            <a:srgbClr val="99221F"/>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tlCol="0" anchor="t"/>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l"/>
          <a:endParaRPr lang="en-US" sz="1100"/>
        </a:p>
      </cdr:txBody>
    </cdr:sp>
  </cdr:relSizeAnchor>
</c:userShapes>
</file>

<file path=word/drawings/drawing5.xml><?xml version="1.0" encoding="utf-8"?>
<c:userShapes xmlns:c="http://schemas.openxmlformats.org/drawingml/2006/chart">
  <cdr:relSizeAnchor xmlns:cdr="http://schemas.openxmlformats.org/drawingml/2006/chartDrawing">
    <cdr:from>
      <cdr:x>0.24853</cdr:x>
      <cdr:y>0.79001</cdr:y>
    </cdr:from>
    <cdr:to>
      <cdr:x>0.4743</cdr:x>
      <cdr:y>0.91767</cdr:y>
    </cdr:to>
    <cdr:sp macro="" textlink="">
      <cdr:nvSpPr>
        <cdr:cNvPr id="2" name="Flowchart: Connector 1" descr="Circle figure at the end of the thermometer picture">
          <a:extLst xmlns:a="http://schemas.openxmlformats.org/drawingml/2006/main">
            <a:ext uri="{FF2B5EF4-FFF2-40B4-BE49-F238E27FC236}">
              <a16:creationId xmlns:a16="http://schemas.microsoft.com/office/drawing/2014/main" id="{2A0AA92F-C34E-4FBC-9567-B0BC82723099}"/>
            </a:ext>
          </a:extLst>
        </cdr:cNvPr>
        <cdr:cNvSpPr/>
      </cdr:nvSpPr>
      <cdr:spPr>
        <a:xfrm xmlns:a="http://schemas.openxmlformats.org/drawingml/2006/main">
          <a:off x="688975" y="3980628"/>
          <a:ext cx="625878" cy="643264"/>
        </a:xfrm>
        <a:prstGeom xmlns:a="http://schemas.openxmlformats.org/drawingml/2006/main" prst="flowChartConnector">
          <a:avLst/>
        </a:prstGeom>
        <a:solidFill xmlns:a="http://schemas.openxmlformats.org/drawingml/2006/main">
          <a:srgbClr val="99221F"/>
        </a:solidFill>
        <a:ln xmlns:a="http://schemas.openxmlformats.org/drawingml/2006/main">
          <a:solidFill>
            <a:srgbClr val="99221F"/>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tlCol="0" anchor="t"/>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l"/>
          <a:endParaRPr lang="en-US" sz="1100"/>
        </a:p>
      </cdr:txBody>
    </cdr:sp>
  </cdr:relSizeAnchor>
  <cdr:relSizeAnchor xmlns:cdr="http://schemas.openxmlformats.org/drawingml/2006/chartDrawing">
    <cdr:from>
      <cdr:x>0.63679</cdr:x>
      <cdr:y>0.78702</cdr:y>
    </cdr:from>
    <cdr:to>
      <cdr:x>0.86256</cdr:x>
      <cdr:y>0.91468</cdr:y>
    </cdr:to>
    <cdr:sp macro="" textlink="">
      <cdr:nvSpPr>
        <cdr:cNvPr id="3" name="Flowchart: Connector 2" descr="Circle figure at the end of the thermometer picture">
          <a:extLst xmlns:a="http://schemas.openxmlformats.org/drawingml/2006/main">
            <a:ext uri="{FF2B5EF4-FFF2-40B4-BE49-F238E27FC236}">
              <a16:creationId xmlns:a16="http://schemas.microsoft.com/office/drawing/2014/main" id="{723D0551-4FFA-43C3-85AC-C1596F771366}"/>
            </a:ext>
          </a:extLst>
        </cdr:cNvPr>
        <cdr:cNvSpPr/>
      </cdr:nvSpPr>
      <cdr:spPr>
        <a:xfrm xmlns:a="http://schemas.openxmlformats.org/drawingml/2006/main">
          <a:off x="1765300" y="3965575"/>
          <a:ext cx="625878" cy="643264"/>
        </a:xfrm>
        <a:prstGeom xmlns:a="http://schemas.openxmlformats.org/drawingml/2006/main" prst="flowChartConnector">
          <a:avLst/>
        </a:prstGeom>
        <a:solidFill xmlns:a="http://schemas.openxmlformats.org/drawingml/2006/main">
          <a:srgbClr val="99221F"/>
        </a:solidFill>
        <a:ln xmlns:a="http://schemas.openxmlformats.org/drawingml/2006/main">
          <a:solidFill>
            <a:srgbClr val="99221F"/>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tlCol="0" anchor="t"/>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l"/>
          <a:endParaRPr lang="en-US" sz="1100"/>
        </a:p>
      </cdr:txBody>
    </cdr:sp>
  </cdr:relSizeAnchor>
</c:userShapes>
</file>

<file path=word/drawings/drawing50.xml><?xml version="1.0" encoding="utf-8"?>
<c:userShapes xmlns:c="http://schemas.openxmlformats.org/drawingml/2006/chart">
  <cdr:relSizeAnchor xmlns:cdr="http://schemas.openxmlformats.org/drawingml/2006/chartDrawing">
    <cdr:from>
      <cdr:x>0.24853</cdr:x>
      <cdr:y>0.79001</cdr:y>
    </cdr:from>
    <cdr:to>
      <cdr:x>0.4743</cdr:x>
      <cdr:y>0.91767</cdr:y>
    </cdr:to>
    <cdr:sp macro="" textlink="">
      <cdr:nvSpPr>
        <cdr:cNvPr id="2" name="Flowchart: Connector 1" descr="Circle figure at the end of the thermometer picture">
          <a:extLst xmlns:a="http://schemas.openxmlformats.org/drawingml/2006/main">
            <a:ext uri="{FF2B5EF4-FFF2-40B4-BE49-F238E27FC236}">
              <a16:creationId xmlns:a16="http://schemas.microsoft.com/office/drawing/2014/main" id="{2A0AA92F-C34E-4FBC-9567-B0BC82723099}"/>
            </a:ext>
          </a:extLst>
        </cdr:cNvPr>
        <cdr:cNvSpPr/>
      </cdr:nvSpPr>
      <cdr:spPr>
        <a:xfrm xmlns:a="http://schemas.openxmlformats.org/drawingml/2006/main">
          <a:off x="688975" y="3980628"/>
          <a:ext cx="625878" cy="643264"/>
        </a:xfrm>
        <a:prstGeom xmlns:a="http://schemas.openxmlformats.org/drawingml/2006/main" prst="flowChartConnector">
          <a:avLst/>
        </a:prstGeom>
        <a:solidFill xmlns:a="http://schemas.openxmlformats.org/drawingml/2006/main">
          <a:srgbClr val="99221F"/>
        </a:solidFill>
        <a:ln xmlns:a="http://schemas.openxmlformats.org/drawingml/2006/main">
          <a:solidFill>
            <a:srgbClr val="99221F"/>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tlCol="0" anchor="t"/>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l"/>
          <a:endParaRPr lang="en-US" sz="1100"/>
        </a:p>
      </cdr:txBody>
    </cdr:sp>
  </cdr:relSizeAnchor>
  <cdr:relSizeAnchor xmlns:cdr="http://schemas.openxmlformats.org/drawingml/2006/chartDrawing">
    <cdr:from>
      <cdr:x>0.63312</cdr:x>
      <cdr:y>0.78702</cdr:y>
    </cdr:from>
    <cdr:to>
      <cdr:x>0.85889</cdr:x>
      <cdr:y>0.91468</cdr:y>
    </cdr:to>
    <cdr:sp macro="" textlink="">
      <cdr:nvSpPr>
        <cdr:cNvPr id="3" name="Flowchart: Connector 2" descr="Circle figure at the end of the thermometer picture">
          <a:extLst xmlns:a="http://schemas.openxmlformats.org/drawingml/2006/main">
            <a:ext uri="{FF2B5EF4-FFF2-40B4-BE49-F238E27FC236}">
              <a16:creationId xmlns:a16="http://schemas.microsoft.com/office/drawing/2014/main" id="{723D0551-4FFA-43C3-85AC-C1596F771366}"/>
            </a:ext>
          </a:extLst>
        </cdr:cNvPr>
        <cdr:cNvSpPr/>
      </cdr:nvSpPr>
      <cdr:spPr>
        <a:xfrm xmlns:a="http://schemas.openxmlformats.org/drawingml/2006/main">
          <a:off x="1767574" y="4049409"/>
          <a:ext cx="630314" cy="656842"/>
        </a:xfrm>
        <a:prstGeom xmlns:a="http://schemas.openxmlformats.org/drawingml/2006/main" prst="flowChartConnector">
          <a:avLst/>
        </a:prstGeom>
        <a:solidFill xmlns:a="http://schemas.openxmlformats.org/drawingml/2006/main">
          <a:srgbClr val="99221F"/>
        </a:solidFill>
        <a:ln xmlns:a="http://schemas.openxmlformats.org/drawingml/2006/main">
          <a:solidFill>
            <a:srgbClr val="99221F"/>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tlCol="0" anchor="t"/>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l"/>
          <a:endParaRPr lang="en-US" sz="1100"/>
        </a:p>
      </cdr:txBody>
    </cdr:sp>
  </cdr:relSizeAnchor>
</c:userShapes>
</file>

<file path=word/drawings/drawing51.xml><?xml version="1.0" encoding="utf-8"?>
<c:userShapes xmlns:c="http://schemas.openxmlformats.org/drawingml/2006/chart">
  <cdr:relSizeAnchor xmlns:cdr="http://schemas.openxmlformats.org/drawingml/2006/chartDrawing">
    <cdr:from>
      <cdr:x>0.24385</cdr:x>
      <cdr:y>0.80238</cdr:y>
    </cdr:from>
    <cdr:to>
      <cdr:x>0.46962</cdr:x>
      <cdr:y>0.93004</cdr:y>
    </cdr:to>
    <cdr:sp macro="" textlink="">
      <cdr:nvSpPr>
        <cdr:cNvPr id="4" name="Flowchart: Connector 3" descr="Activity #10 9% completed 75% activity, 45% completed 50% activity. 45% not started activity and 9% completed 75% output, 45% completed 50% outputs, 45% not started outputs"/>
        <cdr:cNvSpPr/>
      </cdr:nvSpPr>
      <cdr:spPr>
        <a:xfrm xmlns:a="http://schemas.openxmlformats.org/drawingml/2006/main">
          <a:off x="665370" y="4195819"/>
          <a:ext cx="616035" cy="667562"/>
        </a:xfrm>
        <a:prstGeom xmlns:a="http://schemas.openxmlformats.org/drawingml/2006/main" prst="flowChartConnector">
          <a:avLst/>
        </a:prstGeom>
        <a:solidFill xmlns:a="http://schemas.openxmlformats.org/drawingml/2006/main">
          <a:srgbClr val="D7352D"/>
        </a:solidFill>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tlCol="0" anchor="t"/>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l"/>
          <a:endParaRPr lang="en-US" sz="1100"/>
        </a:p>
      </cdr:txBody>
    </cdr:sp>
  </cdr:relSizeAnchor>
  <cdr:relSizeAnchor xmlns:cdr="http://schemas.openxmlformats.org/drawingml/2006/chartDrawing">
    <cdr:from>
      <cdr:x>0.64413</cdr:x>
      <cdr:y>0.79995</cdr:y>
    </cdr:from>
    <cdr:to>
      <cdr:x>0.8699</cdr:x>
      <cdr:y>0.92761</cdr:y>
    </cdr:to>
    <cdr:sp macro="" textlink="">
      <cdr:nvSpPr>
        <cdr:cNvPr id="3" name="Flowchart: Connector 2" descr="Circle figure at the end of the thermometer picture">
          <a:extLst xmlns:a="http://schemas.openxmlformats.org/drawingml/2006/main">
            <a:ext uri="{FF2B5EF4-FFF2-40B4-BE49-F238E27FC236}">
              <a16:creationId xmlns:a16="http://schemas.microsoft.com/office/drawing/2014/main" id="{723D0551-4FFA-43C3-85AC-C1596F771366}"/>
            </a:ext>
          </a:extLst>
        </cdr:cNvPr>
        <cdr:cNvSpPr/>
      </cdr:nvSpPr>
      <cdr:spPr>
        <a:xfrm xmlns:a="http://schemas.openxmlformats.org/drawingml/2006/main">
          <a:off x="1757570" y="4030753"/>
          <a:ext cx="616035" cy="643243"/>
        </a:xfrm>
        <a:prstGeom xmlns:a="http://schemas.openxmlformats.org/drawingml/2006/main" prst="flowChartConnector">
          <a:avLst/>
        </a:prstGeom>
        <a:solidFill xmlns:a="http://schemas.openxmlformats.org/drawingml/2006/main">
          <a:srgbClr val="D7352D"/>
        </a:solidFill>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tlCol="0" anchor="t"/>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l"/>
          <a:endParaRPr lang="en-US" sz="1100"/>
        </a:p>
      </cdr:txBody>
    </cdr:sp>
  </cdr:relSizeAnchor>
</c:userShapes>
</file>

<file path=word/drawings/drawing52.xml><?xml version="1.0" encoding="utf-8"?>
<c:userShapes xmlns:c="http://schemas.openxmlformats.org/drawingml/2006/chart">
  <cdr:relSizeAnchor xmlns:cdr="http://schemas.openxmlformats.org/drawingml/2006/chartDrawing">
    <cdr:from>
      <cdr:x>0.24853</cdr:x>
      <cdr:y>0.79001</cdr:y>
    </cdr:from>
    <cdr:to>
      <cdr:x>0.4743</cdr:x>
      <cdr:y>0.91767</cdr:y>
    </cdr:to>
    <cdr:sp macro="" textlink="">
      <cdr:nvSpPr>
        <cdr:cNvPr id="2" name="Flowchart: Connector 1" descr="Circle figure at the end of the thermometer picture">
          <a:extLst xmlns:a="http://schemas.openxmlformats.org/drawingml/2006/main">
            <a:ext uri="{FF2B5EF4-FFF2-40B4-BE49-F238E27FC236}">
              <a16:creationId xmlns:a16="http://schemas.microsoft.com/office/drawing/2014/main" id="{2A0AA92F-C34E-4FBC-9567-B0BC82723099}"/>
            </a:ext>
          </a:extLst>
        </cdr:cNvPr>
        <cdr:cNvSpPr/>
      </cdr:nvSpPr>
      <cdr:spPr>
        <a:xfrm xmlns:a="http://schemas.openxmlformats.org/drawingml/2006/main">
          <a:off x="688975" y="3980628"/>
          <a:ext cx="625878" cy="643264"/>
        </a:xfrm>
        <a:prstGeom xmlns:a="http://schemas.openxmlformats.org/drawingml/2006/main" prst="flowChartConnector">
          <a:avLst/>
        </a:prstGeom>
        <a:solidFill xmlns:a="http://schemas.openxmlformats.org/drawingml/2006/main">
          <a:srgbClr val="99221F"/>
        </a:solidFill>
        <a:ln xmlns:a="http://schemas.openxmlformats.org/drawingml/2006/main">
          <a:solidFill>
            <a:srgbClr val="99221F"/>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tlCol="0" anchor="t"/>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l"/>
          <a:endParaRPr lang="en-US" sz="1100"/>
        </a:p>
      </cdr:txBody>
    </cdr:sp>
  </cdr:relSizeAnchor>
  <cdr:relSizeAnchor xmlns:cdr="http://schemas.openxmlformats.org/drawingml/2006/chartDrawing">
    <cdr:from>
      <cdr:x>0.63312</cdr:x>
      <cdr:y>0.78702</cdr:y>
    </cdr:from>
    <cdr:to>
      <cdr:x>0.85889</cdr:x>
      <cdr:y>0.91468</cdr:y>
    </cdr:to>
    <cdr:sp macro="" textlink="">
      <cdr:nvSpPr>
        <cdr:cNvPr id="3" name="Flowchart: Connector 2" descr="Circle figure at the end of the thermometer picture">
          <a:extLst xmlns:a="http://schemas.openxmlformats.org/drawingml/2006/main">
            <a:ext uri="{FF2B5EF4-FFF2-40B4-BE49-F238E27FC236}">
              <a16:creationId xmlns:a16="http://schemas.microsoft.com/office/drawing/2014/main" id="{723D0551-4FFA-43C3-85AC-C1596F771366}"/>
            </a:ext>
          </a:extLst>
        </cdr:cNvPr>
        <cdr:cNvSpPr/>
      </cdr:nvSpPr>
      <cdr:spPr>
        <a:xfrm xmlns:a="http://schemas.openxmlformats.org/drawingml/2006/main">
          <a:off x="1767574" y="4049409"/>
          <a:ext cx="630314" cy="656842"/>
        </a:xfrm>
        <a:prstGeom xmlns:a="http://schemas.openxmlformats.org/drawingml/2006/main" prst="flowChartConnector">
          <a:avLst/>
        </a:prstGeom>
        <a:solidFill xmlns:a="http://schemas.openxmlformats.org/drawingml/2006/main">
          <a:srgbClr val="99221F"/>
        </a:solidFill>
        <a:ln xmlns:a="http://schemas.openxmlformats.org/drawingml/2006/main">
          <a:solidFill>
            <a:srgbClr val="99221F"/>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tlCol="0" anchor="t"/>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l"/>
          <a:endParaRPr lang="en-US" sz="1100"/>
        </a:p>
      </cdr:txBody>
    </cdr:sp>
  </cdr:relSizeAnchor>
</c:userShapes>
</file>

<file path=word/drawings/drawing53.xml><?xml version="1.0" encoding="utf-8"?>
<c:userShapes xmlns:c="http://schemas.openxmlformats.org/drawingml/2006/chart">
  <cdr:relSizeAnchor xmlns:cdr="http://schemas.openxmlformats.org/drawingml/2006/chartDrawing">
    <cdr:from>
      <cdr:x>0.24505</cdr:x>
      <cdr:y>0.78615</cdr:y>
    </cdr:from>
    <cdr:to>
      <cdr:x>0.47082</cdr:x>
      <cdr:y>0.91381</cdr:y>
    </cdr:to>
    <cdr:sp macro="" textlink="">
      <cdr:nvSpPr>
        <cdr:cNvPr id="2" name="Flowchart: Connector 1" descr="Circle figure at the end of the thermometer picture">
          <a:extLst xmlns:a="http://schemas.openxmlformats.org/drawingml/2006/main">
            <a:ext uri="{FF2B5EF4-FFF2-40B4-BE49-F238E27FC236}">
              <a16:creationId xmlns:a16="http://schemas.microsoft.com/office/drawing/2014/main" id="{2A0AA92F-C34E-4FBC-9567-B0BC82723099}"/>
            </a:ext>
          </a:extLst>
        </cdr:cNvPr>
        <cdr:cNvSpPr/>
      </cdr:nvSpPr>
      <cdr:spPr>
        <a:xfrm xmlns:a="http://schemas.openxmlformats.org/drawingml/2006/main">
          <a:off x="670387" y="3876530"/>
          <a:ext cx="617647" cy="629498"/>
        </a:xfrm>
        <a:prstGeom xmlns:a="http://schemas.openxmlformats.org/drawingml/2006/main" prst="flowChartConnector">
          <a:avLst/>
        </a:prstGeom>
        <a:solidFill xmlns:a="http://schemas.openxmlformats.org/drawingml/2006/main">
          <a:srgbClr val="99221F"/>
        </a:solidFill>
        <a:ln xmlns:a="http://schemas.openxmlformats.org/drawingml/2006/main">
          <a:solidFill>
            <a:srgbClr val="99221F"/>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tlCol="0" anchor="t"/>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l"/>
          <a:endParaRPr lang="en-US" sz="1100"/>
        </a:p>
      </cdr:txBody>
    </cdr:sp>
  </cdr:relSizeAnchor>
  <cdr:relSizeAnchor xmlns:cdr="http://schemas.openxmlformats.org/drawingml/2006/chartDrawing">
    <cdr:from>
      <cdr:x>0.63331</cdr:x>
      <cdr:y>0.78702</cdr:y>
    </cdr:from>
    <cdr:to>
      <cdr:x>0.85908</cdr:x>
      <cdr:y>0.91468</cdr:y>
    </cdr:to>
    <cdr:sp macro="" textlink="">
      <cdr:nvSpPr>
        <cdr:cNvPr id="3" name="Flowchart: Connector 2" descr="Circle figure at the end of the thermometer picture">
          <a:extLst xmlns:a="http://schemas.openxmlformats.org/drawingml/2006/main">
            <a:ext uri="{FF2B5EF4-FFF2-40B4-BE49-F238E27FC236}">
              <a16:creationId xmlns:a16="http://schemas.microsoft.com/office/drawing/2014/main" id="{723D0551-4FFA-43C3-85AC-C1596F771366}"/>
            </a:ext>
          </a:extLst>
        </cdr:cNvPr>
        <cdr:cNvSpPr/>
      </cdr:nvSpPr>
      <cdr:spPr>
        <a:xfrm xmlns:a="http://schemas.openxmlformats.org/drawingml/2006/main">
          <a:off x="1732563" y="3880837"/>
          <a:ext cx="617647" cy="629498"/>
        </a:xfrm>
        <a:prstGeom xmlns:a="http://schemas.openxmlformats.org/drawingml/2006/main" prst="flowChartConnector">
          <a:avLst/>
        </a:prstGeom>
        <a:solidFill xmlns:a="http://schemas.openxmlformats.org/drawingml/2006/main">
          <a:srgbClr val="99221F"/>
        </a:solidFill>
        <a:ln xmlns:a="http://schemas.openxmlformats.org/drawingml/2006/main">
          <a:solidFill>
            <a:srgbClr val="99221F"/>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tlCol="0" anchor="t"/>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l"/>
          <a:endParaRPr lang="en-US" sz="1100"/>
        </a:p>
      </cdr:txBody>
    </cdr:sp>
  </cdr:relSizeAnchor>
</c:userShapes>
</file>

<file path=word/drawings/drawing54.xml><?xml version="1.0" encoding="utf-8"?>
<c:userShapes xmlns:c="http://schemas.openxmlformats.org/drawingml/2006/chart">
  <cdr:relSizeAnchor xmlns:cdr="http://schemas.openxmlformats.org/drawingml/2006/chartDrawing">
    <cdr:from>
      <cdr:x>0.24505</cdr:x>
      <cdr:y>0.78615</cdr:y>
    </cdr:from>
    <cdr:to>
      <cdr:x>0.47082</cdr:x>
      <cdr:y>0.91381</cdr:y>
    </cdr:to>
    <cdr:sp macro="" textlink="">
      <cdr:nvSpPr>
        <cdr:cNvPr id="2" name="Flowchart: Connector 1" descr="Circle figure at the end of the thermometer picture">
          <a:extLst xmlns:a="http://schemas.openxmlformats.org/drawingml/2006/main">
            <a:ext uri="{FF2B5EF4-FFF2-40B4-BE49-F238E27FC236}">
              <a16:creationId xmlns:a16="http://schemas.microsoft.com/office/drawing/2014/main" id="{2A0AA92F-C34E-4FBC-9567-B0BC82723099}"/>
            </a:ext>
          </a:extLst>
        </cdr:cNvPr>
        <cdr:cNvSpPr/>
      </cdr:nvSpPr>
      <cdr:spPr>
        <a:xfrm xmlns:a="http://schemas.openxmlformats.org/drawingml/2006/main">
          <a:off x="670387" y="3876530"/>
          <a:ext cx="617647" cy="629498"/>
        </a:xfrm>
        <a:prstGeom xmlns:a="http://schemas.openxmlformats.org/drawingml/2006/main" prst="flowChartConnector">
          <a:avLst/>
        </a:prstGeom>
        <a:solidFill xmlns:a="http://schemas.openxmlformats.org/drawingml/2006/main">
          <a:srgbClr val="99221F"/>
        </a:solidFill>
        <a:ln xmlns:a="http://schemas.openxmlformats.org/drawingml/2006/main">
          <a:solidFill>
            <a:srgbClr val="99221F"/>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tlCol="0" anchor="t"/>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l"/>
          <a:endParaRPr lang="en-US" sz="1100"/>
        </a:p>
      </cdr:txBody>
    </cdr:sp>
  </cdr:relSizeAnchor>
  <cdr:relSizeAnchor xmlns:cdr="http://schemas.openxmlformats.org/drawingml/2006/chartDrawing">
    <cdr:from>
      <cdr:x>0.63331</cdr:x>
      <cdr:y>0.78702</cdr:y>
    </cdr:from>
    <cdr:to>
      <cdr:x>0.85908</cdr:x>
      <cdr:y>0.91468</cdr:y>
    </cdr:to>
    <cdr:sp macro="" textlink="">
      <cdr:nvSpPr>
        <cdr:cNvPr id="3" name="Flowchart: Connector 2" descr="Circle figure at the end of the thermometer picture">
          <a:extLst xmlns:a="http://schemas.openxmlformats.org/drawingml/2006/main">
            <a:ext uri="{FF2B5EF4-FFF2-40B4-BE49-F238E27FC236}">
              <a16:creationId xmlns:a16="http://schemas.microsoft.com/office/drawing/2014/main" id="{723D0551-4FFA-43C3-85AC-C1596F771366}"/>
            </a:ext>
          </a:extLst>
        </cdr:cNvPr>
        <cdr:cNvSpPr/>
      </cdr:nvSpPr>
      <cdr:spPr>
        <a:xfrm xmlns:a="http://schemas.openxmlformats.org/drawingml/2006/main">
          <a:off x="1732563" y="3880837"/>
          <a:ext cx="617647" cy="629498"/>
        </a:xfrm>
        <a:prstGeom xmlns:a="http://schemas.openxmlformats.org/drawingml/2006/main" prst="flowChartConnector">
          <a:avLst/>
        </a:prstGeom>
        <a:solidFill xmlns:a="http://schemas.openxmlformats.org/drawingml/2006/main">
          <a:srgbClr val="99221F"/>
        </a:solidFill>
        <a:ln xmlns:a="http://schemas.openxmlformats.org/drawingml/2006/main">
          <a:solidFill>
            <a:srgbClr val="99221F"/>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tlCol="0" anchor="t"/>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l"/>
          <a:endParaRPr lang="en-US" sz="1100"/>
        </a:p>
      </cdr:txBody>
    </cdr:sp>
  </cdr:relSizeAnchor>
</c:userShapes>
</file>

<file path=word/drawings/drawing55.xml><?xml version="1.0" encoding="utf-8"?>
<c:userShapes xmlns:c="http://schemas.openxmlformats.org/drawingml/2006/chart">
  <cdr:relSizeAnchor xmlns:cdr="http://schemas.openxmlformats.org/drawingml/2006/chartDrawing">
    <cdr:from>
      <cdr:x>0.24505</cdr:x>
      <cdr:y>0.78615</cdr:y>
    </cdr:from>
    <cdr:to>
      <cdr:x>0.47082</cdr:x>
      <cdr:y>0.91381</cdr:y>
    </cdr:to>
    <cdr:sp macro="" textlink="">
      <cdr:nvSpPr>
        <cdr:cNvPr id="2" name="Flowchart: Connector 1" descr="Circle figure at the end of the thermometer picture">
          <a:extLst xmlns:a="http://schemas.openxmlformats.org/drawingml/2006/main">
            <a:ext uri="{FF2B5EF4-FFF2-40B4-BE49-F238E27FC236}">
              <a16:creationId xmlns:a16="http://schemas.microsoft.com/office/drawing/2014/main" id="{2A0AA92F-C34E-4FBC-9567-B0BC82723099}"/>
            </a:ext>
          </a:extLst>
        </cdr:cNvPr>
        <cdr:cNvSpPr/>
      </cdr:nvSpPr>
      <cdr:spPr>
        <a:xfrm xmlns:a="http://schemas.openxmlformats.org/drawingml/2006/main">
          <a:off x="670387" y="3876530"/>
          <a:ext cx="617647" cy="629498"/>
        </a:xfrm>
        <a:prstGeom xmlns:a="http://schemas.openxmlformats.org/drawingml/2006/main" prst="flowChartConnector">
          <a:avLst/>
        </a:prstGeom>
        <a:solidFill xmlns:a="http://schemas.openxmlformats.org/drawingml/2006/main">
          <a:srgbClr val="99221F"/>
        </a:solidFill>
        <a:ln xmlns:a="http://schemas.openxmlformats.org/drawingml/2006/main">
          <a:solidFill>
            <a:srgbClr val="99221F"/>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tlCol="0" anchor="t"/>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l"/>
          <a:endParaRPr lang="en-US" sz="1100"/>
        </a:p>
      </cdr:txBody>
    </cdr:sp>
  </cdr:relSizeAnchor>
  <cdr:relSizeAnchor xmlns:cdr="http://schemas.openxmlformats.org/drawingml/2006/chartDrawing">
    <cdr:from>
      <cdr:x>0.63331</cdr:x>
      <cdr:y>0.78702</cdr:y>
    </cdr:from>
    <cdr:to>
      <cdr:x>0.85908</cdr:x>
      <cdr:y>0.91468</cdr:y>
    </cdr:to>
    <cdr:sp macro="" textlink="">
      <cdr:nvSpPr>
        <cdr:cNvPr id="3" name="Flowchart: Connector 2" descr="Circle figure at the end of the thermometer picture">
          <a:extLst xmlns:a="http://schemas.openxmlformats.org/drawingml/2006/main">
            <a:ext uri="{FF2B5EF4-FFF2-40B4-BE49-F238E27FC236}">
              <a16:creationId xmlns:a16="http://schemas.microsoft.com/office/drawing/2014/main" id="{723D0551-4FFA-43C3-85AC-C1596F771366}"/>
            </a:ext>
          </a:extLst>
        </cdr:cNvPr>
        <cdr:cNvSpPr/>
      </cdr:nvSpPr>
      <cdr:spPr>
        <a:xfrm xmlns:a="http://schemas.openxmlformats.org/drawingml/2006/main">
          <a:off x="1732563" y="3880837"/>
          <a:ext cx="617647" cy="629498"/>
        </a:xfrm>
        <a:prstGeom xmlns:a="http://schemas.openxmlformats.org/drawingml/2006/main" prst="flowChartConnector">
          <a:avLst/>
        </a:prstGeom>
        <a:solidFill xmlns:a="http://schemas.openxmlformats.org/drawingml/2006/main">
          <a:srgbClr val="99221F"/>
        </a:solidFill>
        <a:ln xmlns:a="http://schemas.openxmlformats.org/drawingml/2006/main">
          <a:solidFill>
            <a:srgbClr val="99221F"/>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tlCol="0" anchor="t"/>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l"/>
          <a:endParaRPr lang="en-US" sz="1100"/>
        </a:p>
      </cdr:txBody>
    </cdr:sp>
  </cdr:relSizeAnchor>
</c:userShapes>
</file>

<file path=word/drawings/drawing56.xml><?xml version="1.0" encoding="utf-8"?>
<c:userShapes xmlns:c="http://schemas.openxmlformats.org/drawingml/2006/chart">
  <cdr:relSizeAnchor xmlns:cdr="http://schemas.openxmlformats.org/drawingml/2006/chartDrawing">
    <cdr:from>
      <cdr:x>0.24505</cdr:x>
      <cdr:y>0.78615</cdr:y>
    </cdr:from>
    <cdr:to>
      <cdr:x>0.47082</cdr:x>
      <cdr:y>0.91381</cdr:y>
    </cdr:to>
    <cdr:sp macro="" textlink="">
      <cdr:nvSpPr>
        <cdr:cNvPr id="2" name="Flowchart: Connector 1" descr="Circle figure at the end of the thermometer picture">
          <a:extLst xmlns:a="http://schemas.openxmlformats.org/drawingml/2006/main">
            <a:ext uri="{FF2B5EF4-FFF2-40B4-BE49-F238E27FC236}">
              <a16:creationId xmlns:a16="http://schemas.microsoft.com/office/drawing/2014/main" id="{2A0AA92F-C34E-4FBC-9567-B0BC82723099}"/>
            </a:ext>
          </a:extLst>
        </cdr:cNvPr>
        <cdr:cNvSpPr/>
      </cdr:nvSpPr>
      <cdr:spPr>
        <a:xfrm xmlns:a="http://schemas.openxmlformats.org/drawingml/2006/main">
          <a:off x="670387" y="3876530"/>
          <a:ext cx="617647" cy="629498"/>
        </a:xfrm>
        <a:prstGeom xmlns:a="http://schemas.openxmlformats.org/drawingml/2006/main" prst="flowChartConnector">
          <a:avLst/>
        </a:prstGeom>
        <a:solidFill xmlns:a="http://schemas.openxmlformats.org/drawingml/2006/main">
          <a:srgbClr val="99221F"/>
        </a:solidFill>
        <a:ln xmlns:a="http://schemas.openxmlformats.org/drawingml/2006/main">
          <a:solidFill>
            <a:srgbClr val="99221F"/>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tlCol="0" anchor="t"/>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l"/>
          <a:endParaRPr lang="en-US" sz="1100"/>
        </a:p>
      </cdr:txBody>
    </cdr:sp>
  </cdr:relSizeAnchor>
  <cdr:relSizeAnchor xmlns:cdr="http://schemas.openxmlformats.org/drawingml/2006/chartDrawing">
    <cdr:from>
      <cdr:x>0.63331</cdr:x>
      <cdr:y>0.78702</cdr:y>
    </cdr:from>
    <cdr:to>
      <cdr:x>0.85908</cdr:x>
      <cdr:y>0.91468</cdr:y>
    </cdr:to>
    <cdr:sp macro="" textlink="">
      <cdr:nvSpPr>
        <cdr:cNvPr id="3" name="Flowchart: Connector 2" descr="Circle figure at the end of the thermometer picture">
          <a:extLst xmlns:a="http://schemas.openxmlformats.org/drawingml/2006/main">
            <a:ext uri="{FF2B5EF4-FFF2-40B4-BE49-F238E27FC236}">
              <a16:creationId xmlns:a16="http://schemas.microsoft.com/office/drawing/2014/main" id="{723D0551-4FFA-43C3-85AC-C1596F771366}"/>
            </a:ext>
          </a:extLst>
        </cdr:cNvPr>
        <cdr:cNvSpPr/>
      </cdr:nvSpPr>
      <cdr:spPr>
        <a:xfrm xmlns:a="http://schemas.openxmlformats.org/drawingml/2006/main">
          <a:off x="1732563" y="3880837"/>
          <a:ext cx="617647" cy="629498"/>
        </a:xfrm>
        <a:prstGeom xmlns:a="http://schemas.openxmlformats.org/drawingml/2006/main" prst="flowChartConnector">
          <a:avLst/>
        </a:prstGeom>
        <a:solidFill xmlns:a="http://schemas.openxmlformats.org/drawingml/2006/main">
          <a:srgbClr val="99221F"/>
        </a:solidFill>
        <a:ln xmlns:a="http://schemas.openxmlformats.org/drawingml/2006/main">
          <a:solidFill>
            <a:srgbClr val="99221F"/>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tlCol="0" anchor="t"/>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l"/>
          <a:endParaRPr lang="en-US" sz="1100"/>
        </a:p>
      </cdr:txBody>
    </cdr:sp>
  </cdr:relSizeAnchor>
</c:userShapes>
</file>

<file path=word/drawings/drawing57.xml><?xml version="1.0" encoding="utf-8"?>
<c:userShapes xmlns:c="http://schemas.openxmlformats.org/drawingml/2006/chart">
  <cdr:relSizeAnchor xmlns:cdr="http://schemas.openxmlformats.org/drawingml/2006/chartDrawing">
    <cdr:from>
      <cdr:x>0.24505</cdr:x>
      <cdr:y>0.78615</cdr:y>
    </cdr:from>
    <cdr:to>
      <cdr:x>0.47082</cdr:x>
      <cdr:y>0.91381</cdr:y>
    </cdr:to>
    <cdr:sp macro="" textlink="">
      <cdr:nvSpPr>
        <cdr:cNvPr id="2" name="Flowchart: Connector 1" descr="Circle figure at the end of the thermometer picture">
          <a:extLst xmlns:a="http://schemas.openxmlformats.org/drawingml/2006/main">
            <a:ext uri="{FF2B5EF4-FFF2-40B4-BE49-F238E27FC236}">
              <a16:creationId xmlns:a16="http://schemas.microsoft.com/office/drawing/2014/main" id="{2A0AA92F-C34E-4FBC-9567-B0BC82723099}"/>
            </a:ext>
          </a:extLst>
        </cdr:cNvPr>
        <cdr:cNvSpPr/>
      </cdr:nvSpPr>
      <cdr:spPr>
        <a:xfrm xmlns:a="http://schemas.openxmlformats.org/drawingml/2006/main">
          <a:off x="670387" y="3876530"/>
          <a:ext cx="617647" cy="629498"/>
        </a:xfrm>
        <a:prstGeom xmlns:a="http://schemas.openxmlformats.org/drawingml/2006/main" prst="flowChartConnector">
          <a:avLst/>
        </a:prstGeom>
        <a:solidFill xmlns:a="http://schemas.openxmlformats.org/drawingml/2006/main">
          <a:srgbClr val="99221F"/>
        </a:solidFill>
        <a:ln xmlns:a="http://schemas.openxmlformats.org/drawingml/2006/main">
          <a:solidFill>
            <a:srgbClr val="99221F"/>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tlCol="0" anchor="t"/>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l"/>
          <a:endParaRPr lang="en-US" sz="1100"/>
        </a:p>
      </cdr:txBody>
    </cdr:sp>
  </cdr:relSizeAnchor>
  <cdr:relSizeAnchor xmlns:cdr="http://schemas.openxmlformats.org/drawingml/2006/chartDrawing">
    <cdr:from>
      <cdr:x>0.63331</cdr:x>
      <cdr:y>0.78702</cdr:y>
    </cdr:from>
    <cdr:to>
      <cdr:x>0.85908</cdr:x>
      <cdr:y>0.91468</cdr:y>
    </cdr:to>
    <cdr:sp macro="" textlink="">
      <cdr:nvSpPr>
        <cdr:cNvPr id="3" name="Flowchart: Connector 2" descr="Circle figure at the end of the thermometer picture">
          <a:extLst xmlns:a="http://schemas.openxmlformats.org/drawingml/2006/main">
            <a:ext uri="{FF2B5EF4-FFF2-40B4-BE49-F238E27FC236}">
              <a16:creationId xmlns:a16="http://schemas.microsoft.com/office/drawing/2014/main" id="{723D0551-4FFA-43C3-85AC-C1596F771366}"/>
            </a:ext>
          </a:extLst>
        </cdr:cNvPr>
        <cdr:cNvSpPr/>
      </cdr:nvSpPr>
      <cdr:spPr>
        <a:xfrm xmlns:a="http://schemas.openxmlformats.org/drawingml/2006/main">
          <a:off x="1732563" y="3880837"/>
          <a:ext cx="617647" cy="629498"/>
        </a:xfrm>
        <a:prstGeom xmlns:a="http://schemas.openxmlformats.org/drawingml/2006/main" prst="flowChartConnector">
          <a:avLst/>
        </a:prstGeom>
        <a:solidFill xmlns:a="http://schemas.openxmlformats.org/drawingml/2006/main">
          <a:srgbClr val="99221F"/>
        </a:solidFill>
        <a:ln xmlns:a="http://schemas.openxmlformats.org/drawingml/2006/main">
          <a:solidFill>
            <a:srgbClr val="99221F"/>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tlCol="0" anchor="t"/>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l"/>
          <a:endParaRPr lang="en-US" sz="1100"/>
        </a:p>
      </cdr:txBody>
    </cdr:sp>
  </cdr:relSizeAnchor>
</c:userShapes>
</file>

<file path=word/drawings/drawing58.xml><?xml version="1.0" encoding="utf-8"?>
<c:userShapes xmlns:c="http://schemas.openxmlformats.org/drawingml/2006/chart">
  <cdr:relSizeAnchor xmlns:cdr="http://schemas.openxmlformats.org/drawingml/2006/chartDrawing">
    <cdr:from>
      <cdr:x>0.24505</cdr:x>
      <cdr:y>0.78615</cdr:y>
    </cdr:from>
    <cdr:to>
      <cdr:x>0.47082</cdr:x>
      <cdr:y>0.91381</cdr:y>
    </cdr:to>
    <cdr:sp macro="" textlink="">
      <cdr:nvSpPr>
        <cdr:cNvPr id="2" name="Flowchart: Connector 1" descr="Circle figure at the end of the thermometer picture">
          <a:extLst xmlns:a="http://schemas.openxmlformats.org/drawingml/2006/main">
            <a:ext uri="{FF2B5EF4-FFF2-40B4-BE49-F238E27FC236}">
              <a16:creationId xmlns:a16="http://schemas.microsoft.com/office/drawing/2014/main" id="{2A0AA92F-C34E-4FBC-9567-B0BC82723099}"/>
            </a:ext>
          </a:extLst>
        </cdr:cNvPr>
        <cdr:cNvSpPr/>
      </cdr:nvSpPr>
      <cdr:spPr>
        <a:xfrm xmlns:a="http://schemas.openxmlformats.org/drawingml/2006/main">
          <a:off x="670387" y="3876530"/>
          <a:ext cx="617647" cy="629498"/>
        </a:xfrm>
        <a:prstGeom xmlns:a="http://schemas.openxmlformats.org/drawingml/2006/main" prst="flowChartConnector">
          <a:avLst/>
        </a:prstGeom>
        <a:solidFill xmlns:a="http://schemas.openxmlformats.org/drawingml/2006/main">
          <a:srgbClr val="99221F"/>
        </a:solidFill>
        <a:ln xmlns:a="http://schemas.openxmlformats.org/drawingml/2006/main">
          <a:solidFill>
            <a:srgbClr val="99221F"/>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tlCol="0" anchor="t"/>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l"/>
          <a:endParaRPr lang="en-US" sz="1100"/>
        </a:p>
      </cdr:txBody>
    </cdr:sp>
  </cdr:relSizeAnchor>
  <cdr:relSizeAnchor xmlns:cdr="http://schemas.openxmlformats.org/drawingml/2006/chartDrawing">
    <cdr:from>
      <cdr:x>0.63331</cdr:x>
      <cdr:y>0.78702</cdr:y>
    </cdr:from>
    <cdr:to>
      <cdr:x>0.85908</cdr:x>
      <cdr:y>0.91468</cdr:y>
    </cdr:to>
    <cdr:sp macro="" textlink="">
      <cdr:nvSpPr>
        <cdr:cNvPr id="3" name="Flowchart: Connector 2" descr="Circle figure at the end of the thermometer picture">
          <a:extLst xmlns:a="http://schemas.openxmlformats.org/drawingml/2006/main">
            <a:ext uri="{FF2B5EF4-FFF2-40B4-BE49-F238E27FC236}">
              <a16:creationId xmlns:a16="http://schemas.microsoft.com/office/drawing/2014/main" id="{723D0551-4FFA-43C3-85AC-C1596F771366}"/>
            </a:ext>
          </a:extLst>
        </cdr:cNvPr>
        <cdr:cNvSpPr/>
      </cdr:nvSpPr>
      <cdr:spPr>
        <a:xfrm xmlns:a="http://schemas.openxmlformats.org/drawingml/2006/main">
          <a:off x="1732563" y="3880837"/>
          <a:ext cx="617647" cy="629498"/>
        </a:xfrm>
        <a:prstGeom xmlns:a="http://schemas.openxmlformats.org/drawingml/2006/main" prst="flowChartConnector">
          <a:avLst/>
        </a:prstGeom>
        <a:solidFill xmlns:a="http://schemas.openxmlformats.org/drawingml/2006/main">
          <a:srgbClr val="99221F"/>
        </a:solidFill>
        <a:ln xmlns:a="http://schemas.openxmlformats.org/drawingml/2006/main">
          <a:solidFill>
            <a:srgbClr val="99221F"/>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tlCol="0" anchor="t"/>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l"/>
          <a:endParaRPr lang="en-US" sz="1100"/>
        </a:p>
      </cdr:txBody>
    </cdr:sp>
  </cdr:relSizeAnchor>
</c:userShapes>
</file>

<file path=word/drawings/drawing59.xml><?xml version="1.0" encoding="utf-8"?>
<c:userShapes xmlns:c="http://schemas.openxmlformats.org/drawingml/2006/chart">
  <cdr:relSizeAnchor xmlns:cdr="http://schemas.openxmlformats.org/drawingml/2006/chartDrawing">
    <cdr:from>
      <cdr:x>0.24505</cdr:x>
      <cdr:y>0.78615</cdr:y>
    </cdr:from>
    <cdr:to>
      <cdr:x>0.47082</cdr:x>
      <cdr:y>0.91381</cdr:y>
    </cdr:to>
    <cdr:sp macro="" textlink="">
      <cdr:nvSpPr>
        <cdr:cNvPr id="2" name="Flowchart: Connector 1" descr="Circle figure at the end of the thermometer picture">
          <a:extLst xmlns:a="http://schemas.openxmlformats.org/drawingml/2006/main">
            <a:ext uri="{FF2B5EF4-FFF2-40B4-BE49-F238E27FC236}">
              <a16:creationId xmlns:a16="http://schemas.microsoft.com/office/drawing/2014/main" id="{2A0AA92F-C34E-4FBC-9567-B0BC82723099}"/>
            </a:ext>
          </a:extLst>
        </cdr:cNvPr>
        <cdr:cNvSpPr/>
      </cdr:nvSpPr>
      <cdr:spPr>
        <a:xfrm xmlns:a="http://schemas.openxmlformats.org/drawingml/2006/main">
          <a:off x="670387" y="3876530"/>
          <a:ext cx="617647" cy="629498"/>
        </a:xfrm>
        <a:prstGeom xmlns:a="http://schemas.openxmlformats.org/drawingml/2006/main" prst="flowChartConnector">
          <a:avLst/>
        </a:prstGeom>
        <a:solidFill xmlns:a="http://schemas.openxmlformats.org/drawingml/2006/main">
          <a:srgbClr val="99221F"/>
        </a:solidFill>
        <a:ln xmlns:a="http://schemas.openxmlformats.org/drawingml/2006/main">
          <a:solidFill>
            <a:srgbClr val="99221F"/>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tlCol="0" anchor="t"/>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l"/>
          <a:endParaRPr lang="en-US" sz="1100"/>
        </a:p>
      </cdr:txBody>
    </cdr:sp>
  </cdr:relSizeAnchor>
  <cdr:relSizeAnchor xmlns:cdr="http://schemas.openxmlformats.org/drawingml/2006/chartDrawing">
    <cdr:from>
      <cdr:x>0.63331</cdr:x>
      <cdr:y>0.78702</cdr:y>
    </cdr:from>
    <cdr:to>
      <cdr:x>0.85908</cdr:x>
      <cdr:y>0.91468</cdr:y>
    </cdr:to>
    <cdr:sp macro="" textlink="">
      <cdr:nvSpPr>
        <cdr:cNvPr id="3" name="Flowchart: Connector 2" descr="Circle figure at the end of the thermometer picture">
          <a:extLst xmlns:a="http://schemas.openxmlformats.org/drawingml/2006/main">
            <a:ext uri="{FF2B5EF4-FFF2-40B4-BE49-F238E27FC236}">
              <a16:creationId xmlns:a16="http://schemas.microsoft.com/office/drawing/2014/main" id="{723D0551-4FFA-43C3-85AC-C1596F771366}"/>
            </a:ext>
          </a:extLst>
        </cdr:cNvPr>
        <cdr:cNvSpPr/>
      </cdr:nvSpPr>
      <cdr:spPr>
        <a:xfrm xmlns:a="http://schemas.openxmlformats.org/drawingml/2006/main">
          <a:off x="1732563" y="3880837"/>
          <a:ext cx="617647" cy="629498"/>
        </a:xfrm>
        <a:prstGeom xmlns:a="http://schemas.openxmlformats.org/drawingml/2006/main" prst="flowChartConnector">
          <a:avLst/>
        </a:prstGeom>
        <a:solidFill xmlns:a="http://schemas.openxmlformats.org/drawingml/2006/main">
          <a:srgbClr val="99221F"/>
        </a:solidFill>
        <a:ln xmlns:a="http://schemas.openxmlformats.org/drawingml/2006/main">
          <a:solidFill>
            <a:srgbClr val="99221F"/>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tlCol="0" anchor="t"/>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l"/>
          <a:endParaRPr lang="en-US" sz="1100"/>
        </a:p>
      </cdr:txBody>
    </cdr:sp>
  </cdr:relSizeAnchor>
</c:userShapes>
</file>

<file path=word/drawings/drawing6.xml><?xml version="1.0" encoding="utf-8"?>
<c:userShapes xmlns:c="http://schemas.openxmlformats.org/drawingml/2006/chart">
  <cdr:relSizeAnchor xmlns:cdr="http://schemas.openxmlformats.org/drawingml/2006/chartDrawing">
    <cdr:from>
      <cdr:x>0.24853</cdr:x>
      <cdr:y>0.79001</cdr:y>
    </cdr:from>
    <cdr:to>
      <cdr:x>0.4743</cdr:x>
      <cdr:y>0.91767</cdr:y>
    </cdr:to>
    <cdr:sp macro="" textlink="">
      <cdr:nvSpPr>
        <cdr:cNvPr id="2" name="Flowchart: Connector 1" descr="Circle figure at the end of the thermometer picture">
          <a:extLst xmlns:a="http://schemas.openxmlformats.org/drawingml/2006/main">
            <a:ext uri="{FF2B5EF4-FFF2-40B4-BE49-F238E27FC236}">
              <a16:creationId xmlns:a16="http://schemas.microsoft.com/office/drawing/2014/main" id="{2A0AA92F-C34E-4FBC-9567-B0BC82723099}"/>
            </a:ext>
          </a:extLst>
        </cdr:cNvPr>
        <cdr:cNvSpPr/>
      </cdr:nvSpPr>
      <cdr:spPr>
        <a:xfrm xmlns:a="http://schemas.openxmlformats.org/drawingml/2006/main">
          <a:off x="688975" y="3980628"/>
          <a:ext cx="625878" cy="643264"/>
        </a:xfrm>
        <a:prstGeom xmlns:a="http://schemas.openxmlformats.org/drawingml/2006/main" prst="flowChartConnector">
          <a:avLst/>
        </a:prstGeom>
        <a:solidFill xmlns:a="http://schemas.openxmlformats.org/drawingml/2006/main">
          <a:srgbClr val="99221F"/>
        </a:solidFill>
        <a:ln xmlns:a="http://schemas.openxmlformats.org/drawingml/2006/main">
          <a:solidFill>
            <a:srgbClr val="99221F"/>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tlCol="0" anchor="t"/>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l"/>
          <a:endParaRPr lang="en-US" sz="1100"/>
        </a:p>
      </cdr:txBody>
    </cdr:sp>
  </cdr:relSizeAnchor>
  <cdr:relSizeAnchor xmlns:cdr="http://schemas.openxmlformats.org/drawingml/2006/chartDrawing">
    <cdr:from>
      <cdr:x>0.63679</cdr:x>
      <cdr:y>0.78702</cdr:y>
    </cdr:from>
    <cdr:to>
      <cdr:x>0.86256</cdr:x>
      <cdr:y>0.91468</cdr:y>
    </cdr:to>
    <cdr:sp macro="" textlink="">
      <cdr:nvSpPr>
        <cdr:cNvPr id="3" name="Flowchart: Connector 2" descr="Circle figure at the end of the thermometer picture">
          <a:extLst xmlns:a="http://schemas.openxmlformats.org/drawingml/2006/main">
            <a:ext uri="{FF2B5EF4-FFF2-40B4-BE49-F238E27FC236}">
              <a16:creationId xmlns:a16="http://schemas.microsoft.com/office/drawing/2014/main" id="{723D0551-4FFA-43C3-85AC-C1596F771366}"/>
            </a:ext>
          </a:extLst>
        </cdr:cNvPr>
        <cdr:cNvSpPr/>
      </cdr:nvSpPr>
      <cdr:spPr>
        <a:xfrm xmlns:a="http://schemas.openxmlformats.org/drawingml/2006/main">
          <a:off x="1765300" y="3965575"/>
          <a:ext cx="625878" cy="643264"/>
        </a:xfrm>
        <a:prstGeom xmlns:a="http://schemas.openxmlformats.org/drawingml/2006/main" prst="flowChartConnector">
          <a:avLst/>
        </a:prstGeom>
        <a:solidFill xmlns:a="http://schemas.openxmlformats.org/drawingml/2006/main">
          <a:srgbClr val="99221F"/>
        </a:solidFill>
        <a:ln xmlns:a="http://schemas.openxmlformats.org/drawingml/2006/main">
          <a:solidFill>
            <a:srgbClr val="99221F"/>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tlCol="0" anchor="t"/>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l"/>
          <a:endParaRPr lang="en-US" sz="1100"/>
        </a:p>
      </cdr:txBody>
    </cdr:sp>
  </cdr:relSizeAnchor>
</c:userShapes>
</file>

<file path=word/drawings/drawing60.xml><?xml version="1.0" encoding="utf-8"?>
<c:userShapes xmlns:c="http://schemas.openxmlformats.org/drawingml/2006/chart">
  <cdr:relSizeAnchor xmlns:cdr="http://schemas.openxmlformats.org/drawingml/2006/chartDrawing">
    <cdr:from>
      <cdr:x>0.22148</cdr:x>
      <cdr:y>0.82851</cdr:y>
    </cdr:from>
    <cdr:to>
      <cdr:x>0.44725</cdr:x>
      <cdr:y>0.95617</cdr:y>
    </cdr:to>
    <cdr:sp macro="" textlink="">
      <cdr:nvSpPr>
        <cdr:cNvPr id="2" name="Flowchart: Connector 1" descr="Circle figure at the end of the thermometer picture">
          <a:extLst xmlns:a="http://schemas.openxmlformats.org/drawingml/2006/main">
            <a:ext uri="{FF2B5EF4-FFF2-40B4-BE49-F238E27FC236}">
              <a16:creationId xmlns:a16="http://schemas.microsoft.com/office/drawing/2014/main" id="{2A0AA92F-C34E-4FBC-9567-B0BC82723099}"/>
            </a:ext>
          </a:extLst>
        </cdr:cNvPr>
        <cdr:cNvSpPr/>
      </cdr:nvSpPr>
      <cdr:spPr>
        <a:xfrm xmlns:a="http://schemas.openxmlformats.org/drawingml/2006/main">
          <a:off x="626553" y="4285102"/>
          <a:ext cx="638687" cy="660267"/>
        </a:xfrm>
        <a:prstGeom xmlns:a="http://schemas.openxmlformats.org/drawingml/2006/main" prst="flowChartConnector">
          <a:avLst/>
        </a:prstGeom>
        <a:solidFill xmlns:a="http://schemas.openxmlformats.org/drawingml/2006/main">
          <a:srgbClr val="99221F"/>
        </a:solidFill>
        <a:ln xmlns:a="http://schemas.openxmlformats.org/drawingml/2006/main">
          <a:solidFill>
            <a:srgbClr val="99221F"/>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tlCol="0" anchor="t"/>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l"/>
          <a:endParaRPr lang="en-US" sz="1100"/>
        </a:p>
      </cdr:txBody>
    </cdr:sp>
  </cdr:relSizeAnchor>
  <cdr:relSizeAnchor xmlns:cdr="http://schemas.openxmlformats.org/drawingml/2006/chartDrawing">
    <cdr:from>
      <cdr:x>0.61647</cdr:x>
      <cdr:y>0.82754</cdr:y>
    </cdr:from>
    <cdr:to>
      <cdr:x>0.84225</cdr:x>
      <cdr:y>0.9552</cdr:y>
    </cdr:to>
    <cdr:sp macro="" textlink="">
      <cdr:nvSpPr>
        <cdr:cNvPr id="3" name="Flowchart: Connector 2" descr="Circle figure at the end of the thermometer picture">
          <a:extLst xmlns:a="http://schemas.openxmlformats.org/drawingml/2006/main">
            <a:ext uri="{FF2B5EF4-FFF2-40B4-BE49-F238E27FC236}">
              <a16:creationId xmlns:a16="http://schemas.microsoft.com/office/drawing/2014/main" id="{723D0551-4FFA-43C3-85AC-C1596F771366}"/>
            </a:ext>
          </a:extLst>
        </cdr:cNvPr>
        <cdr:cNvSpPr/>
      </cdr:nvSpPr>
      <cdr:spPr>
        <a:xfrm xmlns:a="http://schemas.openxmlformats.org/drawingml/2006/main">
          <a:off x="1743962" y="4280076"/>
          <a:ext cx="638687" cy="660268"/>
        </a:xfrm>
        <a:prstGeom xmlns:a="http://schemas.openxmlformats.org/drawingml/2006/main" prst="flowChartConnector">
          <a:avLst/>
        </a:prstGeom>
        <a:solidFill xmlns:a="http://schemas.openxmlformats.org/drawingml/2006/main">
          <a:srgbClr val="99221F"/>
        </a:solidFill>
        <a:ln xmlns:a="http://schemas.openxmlformats.org/drawingml/2006/main">
          <a:solidFill>
            <a:srgbClr val="99221F"/>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tlCol="0" anchor="t"/>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l"/>
          <a:endParaRPr lang="en-US" sz="1100"/>
        </a:p>
      </cdr:txBody>
    </cdr:sp>
  </cdr:relSizeAnchor>
</c:userShapes>
</file>

<file path=word/drawings/drawing61.xml><?xml version="1.0" encoding="utf-8"?>
<c:userShapes xmlns:c="http://schemas.openxmlformats.org/drawingml/2006/chart">
  <cdr:relSizeAnchor xmlns:cdr="http://schemas.openxmlformats.org/drawingml/2006/chartDrawing">
    <cdr:from>
      <cdr:x>0.22148</cdr:x>
      <cdr:y>0.82851</cdr:y>
    </cdr:from>
    <cdr:to>
      <cdr:x>0.44725</cdr:x>
      <cdr:y>0.95617</cdr:y>
    </cdr:to>
    <cdr:sp macro="" textlink="">
      <cdr:nvSpPr>
        <cdr:cNvPr id="2" name="Flowchart: Connector 1" descr="Circle figure at the end of the thermometer picture">
          <a:extLst xmlns:a="http://schemas.openxmlformats.org/drawingml/2006/main">
            <a:ext uri="{FF2B5EF4-FFF2-40B4-BE49-F238E27FC236}">
              <a16:creationId xmlns:a16="http://schemas.microsoft.com/office/drawing/2014/main" id="{2A0AA92F-C34E-4FBC-9567-B0BC82723099}"/>
            </a:ext>
          </a:extLst>
        </cdr:cNvPr>
        <cdr:cNvSpPr/>
      </cdr:nvSpPr>
      <cdr:spPr>
        <a:xfrm xmlns:a="http://schemas.openxmlformats.org/drawingml/2006/main">
          <a:off x="626553" y="4285102"/>
          <a:ext cx="638687" cy="660267"/>
        </a:xfrm>
        <a:prstGeom xmlns:a="http://schemas.openxmlformats.org/drawingml/2006/main" prst="flowChartConnector">
          <a:avLst/>
        </a:prstGeom>
        <a:solidFill xmlns:a="http://schemas.openxmlformats.org/drawingml/2006/main">
          <a:srgbClr val="99221F"/>
        </a:solidFill>
        <a:ln xmlns:a="http://schemas.openxmlformats.org/drawingml/2006/main">
          <a:solidFill>
            <a:srgbClr val="99221F"/>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tlCol="0" anchor="t"/>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l"/>
          <a:endParaRPr lang="en-US" sz="1100"/>
        </a:p>
      </cdr:txBody>
    </cdr:sp>
  </cdr:relSizeAnchor>
  <cdr:relSizeAnchor xmlns:cdr="http://schemas.openxmlformats.org/drawingml/2006/chartDrawing">
    <cdr:from>
      <cdr:x>0.61647</cdr:x>
      <cdr:y>0.82754</cdr:y>
    </cdr:from>
    <cdr:to>
      <cdr:x>0.84225</cdr:x>
      <cdr:y>0.9552</cdr:y>
    </cdr:to>
    <cdr:sp macro="" textlink="">
      <cdr:nvSpPr>
        <cdr:cNvPr id="3" name="Flowchart: Connector 2" descr="Circle figure at the end of the thermometer picture">
          <a:extLst xmlns:a="http://schemas.openxmlformats.org/drawingml/2006/main">
            <a:ext uri="{FF2B5EF4-FFF2-40B4-BE49-F238E27FC236}">
              <a16:creationId xmlns:a16="http://schemas.microsoft.com/office/drawing/2014/main" id="{723D0551-4FFA-43C3-85AC-C1596F771366}"/>
            </a:ext>
          </a:extLst>
        </cdr:cNvPr>
        <cdr:cNvSpPr/>
      </cdr:nvSpPr>
      <cdr:spPr>
        <a:xfrm xmlns:a="http://schemas.openxmlformats.org/drawingml/2006/main">
          <a:off x="1743962" y="4280076"/>
          <a:ext cx="638687" cy="660268"/>
        </a:xfrm>
        <a:prstGeom xmlns:a="http://schemas.openxmlformats.org/drawingml/2006/main" prst="flowChartConnector">
          <a:avLst/>
        </a:prstGeom>
        <a:solidFill xmlns:a="http://schemas.openxmlformats.org/drawingml/2006/main">
          <a:srgbClr val="99221F"/>
        </a:solidFill>
        <a:ln xmlns:a="http://schemas.openxmlformats.org/drawingml/2006/main">
          <a:solidFill>
            <a:srgbClr val="99221F"/>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tlCol="0" anchor="t"/>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l"/>
          <a:endParaRPr lang="en-US" sz="1100"/>
        </a:p>
      </cdr:txBody>
    </cdr:sp>
  </cdr:relSizeAnchor>
</c:userShapes>
</file>

<file path=word/drawings/drawing62.xml><?xml version="1.0" encoding="utf-8"?>
<c:userShapes xmlns:c="http://schemas.openxmlformats.org/drawingml/2006/chart">
  <cdr:relSizeAnchor xmlns:cdr="http://schemas.openxmlformats.org/drawingml/2006/chartDrawing">
    <cdr:from>
      <cdr:x>0.22148</cdr:x>
      <cdr:y>0.82851</cdr:y>
    </cdr:from>
    <cdr:to>
      <cdr:x>0.44725</cdr:x>
      <cdr:y>0.95617</cdr:y>
    </cdr:to>
    <cdr:sp macro="" textlink="">
      <cdr:nvSpPr>
        <cdr:cNvPr id="2" name="Flowchart: Connector 1" descr="Circle figure at the end of the thermometer picture">
          <a:extLst xmlns:a="http://schemas.openxmlformats.org/drawingml/2006/main">
            <a:ext uri="{FF2B5EF4-FFF2-40B4-BE49-F238E27FC236}">
              <a16:creationId xmlns:a16="http://schemas.microsoft.com/office/drawing/2014/main" id="{2A0AA92F-C34E-4FBC-9567-B0BC82723099}"/>
            </a:ext>
          </a:extLst>
        </cdr:cNvPr>
        <cdr:cNvSpPr/>
      </cdr:nvSpPr>
      <cdr:spPr>
        <a:xfrm xmlns:a="http://schemas.openxmlformats.org/drawingml/2006/main">
          <a:off x="626553" y="4285102"/>
          <a:ext cx="638687" cy="660267"/>
        </a:xfrm>
        <a:prstGeom xmlns:a="http://schemas.openxmlformats.org/drawingml/2006/main" prst="flowChartConnector">
          <a:avLst/>
        </a:prstGeom>
        <a:solidFill xmlns:a="http://schemas.openxmlformats.org/drawingml/2006/main">
          <a:srgbClr val="99221F"/>
        </a:solidFill>
        <a:ln xmlns:a="http://schemas.openxmlformats.org/drawingml/2006/main">
          <a:solidFill>
            <a:srgbClr val="99221F"/>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tlCol="0" anchor="t"/>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l"/>
          <a:endParaRPr lang="en-US" sz="1100"/>
        </a:p>
      </cdr:txBody>
    </cdr:sp>
  </cdr:relSizeAnchor>
  <cdr:relSizeAnchor xmlns:cdr="http://schemas.openxmlformats.org/drawingml/2006/chartDrawing">
    <cdr:from>
      <cdr:x>0.61647</cdr:x>
      <cdr:y>0.82754</cdr:y>
    </cdr:from>
    <cdr:to>
      <cdr:x>0.84225</cdr:x>
      <cdr:y>0.9552</cdr:y>
    </cdr:to>
    <cdr:sp macro="" textlink="">
      <cdr:nvSpPr>
        <cdr:cNvPr id="3" name="Flowchart: Connector 2" descr="Circle figure at the end of the thermometer picture">
          <a:extLst xmlns:a="http://schemas.openxmlformats.org/drawingml/2006/main">
            <a:ext uri="{FF2B5EF4-FFF2-40B4-BE49-F238E27FC236}">
              <a16:creationId xmlns:a16="http://schemas.microsoft.com/office/drawing/2014/main" id="{723D0551-4FFA-43C3-85AC-C1596F771366}"/>
            </a:ext>
          </a:extLst>
        </cdr:cNvPr>
        <cdr:cNvSpPr/>
      </cdr:nvSpPr>
      <cdr:spPr>
        <a:xfrm xmlns:a="http://schemas.openxmlformats.org/drawingml/2006/main">
          <a:off x="1743962" y="4280076"/>
          <a:ext cx="638687" cy="660268"/>
        </a:xfrm>
        <a:prstGeom xmlns:a="http://schemas.openxmlformats.org/drawingml/2006/main" prst="flowChartConnector">
          <a:avLst/>
        </a:prstGeom>
        <a:solidFill xmlns:a="http://schemas.openxmlformats.org/drawingml/2006/main">
          <a:srgbClr val="99221F"/>
        </a:solidFill>
        <a:ln xmlns:a="http://schemas.openxmlformats.org/drawingml/2006/main">
          <a:solidFill>
            <a:srgbClr val="99221F"/>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tlCol="0" anchor="t"/>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l"/>
          <a:endParaRPr lang="en-US" sz="1100"/>
        </a:p>
      </cdr:txBody>
    </cdr:sp>
  </cdr:relSizeAnchor>
</c:userShapes>
</file>

<file path=word/drawings/drawing63.xml><?xml version="1.0" encoding="utf-8"?>
<c:userShapes xmlns:c="http://schemas.openxmlformats.org/drawingml/2006/chart">
  <cdr:relSizeAnchor xmlns:cdr="http://schemas.openxmlformats.org/drawingml/2006/chartDrawing">
    <cdr:from>
      <cdr:x>0.22148</cdr:x>
      <cdr:y>0.82851</cdr:y>
    </cdr:from>
    <cdr:to>
      <cdr:x>0.44725</cdr:x>
      <cdr:y>0.95617</cdr:y>
    </cdr:to>
    <cdr:sp macro="" textlink="">
      <cdr:nvSpPr>
        <cdr:cNvPr id="2" name="Flowchart: Connector 1" descr="Circle figure at the end of the thermometer picture">
          <a:extLst xmlns:a="http://schemas.openxmlformats.org/drawingml/2006/main">
            <a:ext uri="{FF2B5EF4-FFF2-40B4-BE49-F238E27FC236}">
              <a16:creationId xmlns:a16="http://schemas.microsoft.com/office/drawing/2014/main" id="{2A0AA92F-C34E-4FBC-9567-B0BC82723099}"/>
            </a:ext>
          </a:extLst>
        </cdr:cNvPr>
        <cdr:cNvSpPr/>
      </cdr:nvSpPr>
      <cdr:spPr>
        <a:xfrm xmlns:a="http://schemas.openxmlformats.org/drawingml/2006/main">
          <a:off x="626553" y="4285102"/>
          <a:ext cx="638687" cy="660267"/>
        </a:xfrm>
        <a:prstGeom xmlns:a="http://schemas.openxmlformats.org/drawingml/2006/main" prst="flowChartConnector">
          <a:avLst/>
        </a:prstGeom>
        <a:solidFill xmlns:a="http://schemas.openxmlformats.org/drawingml/2006/main">
          <a:srgbClr val="99221F"/>
        </a:solidFill>
        <a:ln xmlns:a="http://schemas.openxmlformats.org/drawingml/2006/main">
          <a:solidFill>
            <a:srgbClr val="99221F"/>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tlCol="0" anchor="t"/>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l"/>
          <a:endParaRPr lang="en-US" sz="1100"/>
        </a:p>
      </cdr:txBody>
    </cdr:sp>
  </cdr:relSizeAnchor>
  <cdr:relSizeAnchor xmlns:cdr="http://schemas.openxmlformats.org/drawingml/2006/chartDrawing">
    <cdr:from>
      <cdr:x>0.61647</cdr:x>
      <cdr:y>0.82754</cdr:y>
    </cdr:from>
    <cdr:to>
      <cdr:x>0.84225</cdr:x>
      <cdr:y>0.9552</cdr:y>
    </cdr:to>
    <cdr:sp macro="" textlink="">
      <cdr:nvSpPr>
        <cdr:cNvPr id="3" name="Flowchart: Connector 2" descr="Circle figure at the end of the thermometer picture">
          <a:extLst xmlns:a="http://schemas.openxmlformats.org/drawingml/2006/main">
            <a:ext uri="{FF2B5EF4-FFF2-40B4-BE49-F238E27FC236}">
              <a16:creationId xmlns:a16="http://schemas.microsoft.com/office/drawing/2014/main" id="{723D0551-4FFA-43C3-85AC-C1596F771366}"/>
            </a:ext>
          </a:extLst>
        </cdr:cNvPr>
        <cdr:cNvSpPr/>
      </cdr:nvSpPr>
      <cdr:spPr>
        <a:xfrm xmlns:a="http://schemas.openxmlformats.org/drawingml/2006/main">
          <a:off x="1743962" y="4280076"/>
          <a:ext cx="638687" cy="660268"/>
        </a:xfrm>
        <a:prstGeom xmlns:a="http://schemas.openxmlformats.org/drawingml/2006/main" prst="flowChartConnector">
          <a:avLst/>
        </a:prstGeom>
        <a:solidFill xmlns:a="http://schemas.openxmlformats.org/drawingml/2006/main">
          <a:srgbClr val="99221F"/>
        </a:solidFill>
        <a:ln xmlns:a="http://schemas.openxmlformats.org/drawingml/2006/main">
          <a:solidFill>
            <a:srgbClr val="99221F"/>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tlCol="0" anchor="t"/>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l"/>
          <a:endParaRPr lang="en-US" sz="1100"/>
        </a:p>
      </cdr:txBody>
    </cdr:sp>
  </cdr:relSizeAnchor>
</c:userShapes>
</file>

<file path=word/drawings/drawing64.xml><?xml version="1.0" encoding="utf-8"?>
<c:userShapes xmlns:c="http://schemas.openxmlformats.org/drawingml/2006/chart">
  <cdr:relSizeAnchor xmlns:cdr="http://schemas.openxmlformats.org/drawingml/2006/chartDrawing">
    <cdr:from>
      <cdr:x>0.22148</cdr:x>
      <cdr:y>0.82851</cdr:y>
    </cdr:from>
    <cdr:to>
      <cdr:x>0.44725</cdr:x>
      <cdr:y>0.95617</cdr:y>
    </cdr:to>
    <cdr:sp macro="" textlink="">
      <cdr:nvSpPr>
        <cdr:cNvPr id="2" name="Flowchart: Connector 1" descr="Circle figure at the end of the thermometer picture">
          <a:extLst xmlns:a="http://schemas.openxmlformats.org/drawingml/2006/main">
            <a:ext uri="{FF2B5EF4-FFF2-40B4-BE49-F238E27FC236}">
              <a16:creationId xmlns:a16="http://schemas.microsoft.com/office/drawing/2014/main" id="{2A0AA92F-C34E-4FBC-9567-B0BC82723099}"/>
            </a:ext>
          </a:extLst>
        </cdr:cNvPr>
        <cdr:cNvSpPr/>
      </cdr:nvSpPr>
      <cdr:spPr>
        <a:xfrm xmlns:a="http://schemas.openxmlformats.org/drawingml/2006/main">
          <a:off x="626553" y="4285102"/>
          <a:ext cx="638687" cy="660267"/>
        </a:xfrm>
        <a:prstGeom xmlns:a="http://schemas.openxmlformats.org/drawingml/2006/main" prst="flowChartConnector">
          <a:avLst/>
        </a:prstGeom>
        <a:solidFill xmlns:a="http://schemas.openxmlformats.org/drawingml/2006/main">
          <a:srgbClr val="99221F"/>
        </a:solidFill>
        <a:ln xmlns:a="http://schemas.openxmlformats.org/drawingml/2006/main">
          <a:solidFill>
            <a:srgbClr val="99221F"/>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tlCol="0" anchor="t"/>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l"/>
          <a:endParaRPr lang="en-US" sz="1100"/>
        </a:p>
      </cdr:txBody>
    </cdr:sp>
  </cdr:relSizeAnchor>
  <cdr:relSizeAnchor xmlns:cdr="http://schemas.openxmlformats.org/drawingml/2006/chartDrawing">
    <cdr:from>
      <cdr:x>0.61647</cdr:x>
      <cdr:y>0.82754</cdr:y>
    </cdr:from>
    <cdr:to>
      <cdr:x>0.84225</cdr:x>
      <cdr:y>0.9552</cdr:y>
    </cdr:to>
    <cdr:sp macro="" textlink="">
      <cdr:nvSpPr>
        <cdr:cNvPr id="3" name="Flowchart: Connector 2" descr="Circle figure at the end of the thermometer picture">
          <a:extLst xmlns:a="http://schemas.openxmlformats.org/drawingml/2006/main">
            <a:ext uri="{FF2B5EF4-FFF2-40B4-BE49-F238E27FC236}">
              <a16:creationId xmlns:a16="http://schemas.microsoft.com/office/drawing/2014/main" id="{723D0551-4FFA-43C3-85AC-C1596F771366}"/>
            </a:ext>
          </a:extLst>
        </cdr:cNvPr>
        <cdr:cNvSpPr/>
      </cdr:nvSpPr>
      <cdr:spPr>
        <a:xfrm xmlns:a="http://schemas.openxmlformats.org/drawingml/2006/main">
          <a:off x="1743962" y="4280076"/>
          <a:ext cx="638687" cy="660268"/>
        </a:xfrm>
        <a:prstGeom xmlns:a="http://schemas.openxmlformats.org/drawingml/2006/main" prst="flowChartConnector">
          <a:avLst/>
        </a:prstGeom>
        <a:solidFill xmlns:a="http://schemas.openxmlformats.org/drawingml/2006/main">
          <a:srgbClr val="99221F"/>
        </a:solidFill>
        <a:ln xmlns:a="http://schemas.openxmlformats.org/drawingml/2006/main">
          <a:solidFill>
            <a:srgbClr val="99221F"/>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tlCol="0" anchor="t"/>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l"/>
          <a:endParaRPr lang="en-US" sz="1100"/>
        </a:p>
      </cdr:txBody>
    </cdr:sp>
  </cdr:relSizeAnchor>
</c:userShapes>
</file>

<file path=word/drawings/drawing65.xml><?xml version="1.0" encoding="utf-8"?>
<c:userShapes xmlns:c="http://schemas.openxmlformats.org/drawingml/2006/chart">
  <cdr:relSizeAnchor xmlns:cdr="http://schemas.openxmlformats.org/drawingml/2006/chartDrawing">
    <cdr:from>
      <cdr:x>0.24853</cdr:x>
      <cdr:y>0.79001</cdr:y>
    </cdr:from>
    <cdr:to>
      <cdr:x>0.4743</cdr:x>
      <cdr:y>0.91767</cdr:y>
    </cdr:to>
    <cdr:sp macro="" textlink="">
      <cdr:nvSpPr>
        <cdr:cNvPr id="2" name="Flowchart: Connector 1" descr="Circle figure at the end of the thermometer picture">
          <a:extLst xmlns:a="http://schemas.openxmlformats.org/drawingml/2006/main">
            <a:ext uri="{FF2B5EF4-FFF2-40B4-BE49-F238E27FC236}">
              <a16:creationId xmlns:a16="http://schemas.microsoft.com/office/drawing/2014/main" id="{2A0AA92F-C34E-4FBC-9567-B0BC82723099}"/>
            </a:ext>
          </a:extLst>
        </cdr:cNvPr>
        <cdr:cNvSpPr/>
      </cdr:nvSpPr>
      <cdr:spPr>
        <a:xfrm xmlns:a="http://schemas.openxmlformats.org/drawingml/2006/main">
          <a:off x="688975" y="3980628"/>
          <a:ext cx="625878" cy="643264"/>
        </a:xfrm>
        <a:prstGeom xmlns:a="http://schemas.openxmlformats.org/drawingml/2006/main" prst="flowChartConnector">
          <a:avLst/>
        </a:prstGeom>
        <a:solidFill xmlns:a="http://schemas.openxmlformats.org/drawingml/2006/main">
          <a:srgbClr val="99221F"/>
        </a:solidFill>
        <a:ln xmlns:a="http://schemas.openxmlformats.org/drawingml/2006/main">
          <a:solidFill>
            <a:srgbClr val="99221F"/>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tlCol="0" anchor="t"/>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l"/>
          <a:endParaRPr lang="en-US" sz="1100"/>
        </a:p>
      </cdr:txBody>
    </cdr:sp>
  </cdr:relSizeAnchor>
  <cdr:relSizeAnchor xmlns:cdr="http://schemas.openxmlformats.org/drawingml/2006/chartDrawing">
    <cdr:from>
      <cdr:x>0.63679</cdr:x>
      <cdr:y>0.78702</cdr:y>
    </cdr:from>
    <cdr:to>
      <cdr:x>0.86256</cdr:x>
      <cdr:y>0.91468</cdr:y>
    </cdr:to>
    <cdr:sp macro="" textlink="">
      <cdr:nvSpPr>
        <cdr:cNvPr id="3" name="Flowchart: Connector 2" descr="Circle figure at the end of the thermometer picture">
          <a:extLst xmlns:a="http://schemas.openxmlformats.org/drawingml/2006/main">
            <a:ext uri="{FF2B5EF4-FFF2-40B4-BE49-F238E27FC236}">
              <a16:creationId xmlns:a16="http://schemas.microsoft.com/office/drawing/2014/main" id="{723D0551-4FFA-43C3-85AC-C1596F771366}"/>
            </a:ext>
          </a:extLst>
        </cdr:cNvPr>
        <cdr:cNvSpPr/>
      </cdr:nvSpPr>
      <cdr:spPr>
        <a:xfrm xmlns:a="http://schemas.openxmlformats.org/drawingml/2006/main">
          <a:off x="1765300" y="3965575"/>
          <a:ext cx="625878" cy="643264"/>
        </a:xfrm>
        <a:prstGeom xmlns:a="http://schemas.openxmlformats.org/drawingml/2006/main" prst="flowChartConnector">
          <a:avLst/>
        </a:prstGeom>
        <a:solidFill xmlns:a="http://schemas.openxmlformats.org/drawingml/2006/main">
          <a:srgbClr val="99221F"/>
        </a:solidFill>
        <a:ln xmlns:a="http://schemas.openxmlformats.org/drawingml/2006/main">
          <a:solidFill>
            <a:srgbClr val="99221F"/>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tlCol="0" anchor="t"/>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l"/>
          <a:endParaRPr lang="en-US" sz="1100"/>
        </a:p>
      </cdr:txBody>
    </cdr:sp>
  </cdr:relSizeAnchor>
</c:userShapes>
</file>

<file path=word/drawings/drawing66.xml><?xml version="1.0" encoding="utf-8"?>
<c:userShapes xmlns:c="http://schemas.openxmlformats.org/drawingml/2006/chart">
  <cdr:relSizeAnchor xmlns:cdr="http://schemas.openxmlformats.org/drawingml/2006/chartDrawing">
    <cdr:from>
      <cdr:x>0.24853</cdr:x>
      <cdr:y>0.79001</cdr:y>
    </cdr:from>
    <cdr:to>
      <cdr:x>0.4743</cdr:x>
      <cdr:y>0.91767</cdr:y>
    </cdr:to>
    <cdr:sp macro="" textlink="">
      <cdr:nvSpPr>
        <cdr:cNvPr id="2" name="Flowchart: Connector 1" descr="Circle figure at the end of the thermometer picture">
          <a:extLst xmlns:a="http://schemas.openxmlformats.org/drawingml/2006/main">
            <a:ext uri="{FF2B5EF4-FFF2-40B4-BE49-F238E27FC236}">
              <a16:creationId xmlns:a16="http://schemas.microsoft.com/office/drawing/2014/main" id="{2A0AA92F-C34E-4FBC-9567-B0BC82723099}"/>
            </a:ext>
          </a:extLst>
        </cdr:cNvPr>
        <cdr:cNvSpPr/>
      </cdr:nvSpPr>
      <cdr:spPr>
        <a:xfrm xmlns:a="http://schemas.openxmlformats.org/drawingml/2006/main">
          <a:off x="688975" y="3980628"/>
          <a:ext cx="625878" cy="643264"/>
        </a:xfrm>
        <a:prstGeom xmlns:a="http://schemas.openxmlformats.org/drawingml/2006/main" prst="flowChartConnector">
          <a:avLst/>
        </a:prstGeom>
        <a:solidFill xmlns:a="http://schemas.openxmlformats.org/drawingml/2006/main">
          <a:srgbClr val="99221F"/>
        </a:solidFill>
        <a:ln xmlns:a="http://schemas.openxmlformats.org/drawingml/2006/main">
          <a:solidFill>
            <a:srgbClr val="99221F"/>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tlCol="0" anchor="t"/>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l"/>
          <a:endParaRPr lang="en-US" sz="1100"/>
        </a:p>
      </cdr:txBody>
    </cdr:sp>
  </cdr:relSizeAnchor>
  <cdr:relSizeAnchor xmlns:cdr="http://schemas.openxmlformats.org/drawingml/2006/chartDrawing">
    <cdr:from>
      <cdr:x>0.63679</cdr:x>
      <cdr:y>0.78702</cdr:y>
    </cdr:from>
    <cdr:to>
      <cdr:x>0.86256</cdr:x>
      <cdr:y>0.91468</cdr:y>
    </cdr:to>
    <cdr:sp macro="" textlink="">
      <cdr:nvSpPr>
        <cdr:cNvPr id="3" name="Flowchart: Connector 2" descr="Circle figure at the end of the thermometer picture">
          <a:extLst xmlns:a="http://schemas.openxmlformats.org/drawingml/2006/main">
            <a:ext uri="{FF2B5EF4-FFF2-40B4-BE49-F238E27FC236}">
              <a16:creationId xmlns:a16="http://schemas.microsoft.com/office/drawing/2014/main" id="{723D0551-4FFA-43C3-85AC-C1596F771366}"/>
            </a:ext>
          </a:extLst>
        </cdr:cNvPr>
        <cdr:cNvSpPr/>
      </cdr:nvSpPr>
      <cdr:spPr>
        <a:xfrm xmlns:a="http://schemas.openxmlformats.org/drawingml/2006/main">
          <a:off x="1765300" y="3965575"/>
          <a:ext cx="625878" cy="643264"/>
        </a:xfrm>
        <a:prstGeom xmlns:a="http://schemas.openxmlformats.org/drawingml/2006/main" prst="flowChartConnector">
          <a:avLst/>
        </a:prstGeom>
        <a:solidFill xmlns:a="http://schemas.openxmlformats.org/drawingml/2006/main">
          <a:srgbClr val="99221F"/>
        </a:solidFill>
        <a:ln xmlns:a="http://schemas.openxmlformats.org/drawingml/2006/main">
          <a:solidFill>
            <a:srgbClr val="99221F"/>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tlCol="0" anchor="t"/>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l"/>
          <a:endParaRPr lang="en-US" sz="1100"/>
        </a:p>
      </cdr:txBody>
    </cdr:sp>
  </cdr:relSizeAnchor>
</c:userShapes>
</file>

<file path=word/drawings/drawing67.xml><?xml version="1.0" encoding="utf-8"?>
<c:userShapes xmlns:c="http://schemas.openxmlformats.org/drawingml/2006/chart">
  <cdr:relSizeAnchor xmlns:cdr="http://schemas.openxmlformats.org/drawingml/2006/chartDrawing">
    <cdr:from>
      <cdr:x>0.2522</cdr:x>
      <cdr:y>0.80394</cdr:y>
    </cdr:from>
    <cdr:to>
      <cdr:x>0.47797</cdr:x>
      <cdr:y>0.9316</cdr:y>
    </cdr:to>
    <cdr:sp macro="" textlink="">
      <cdr:nvSpPr>
        <cdr:cNvPr id="2" name="Flowchart: Connector 1" descr="Circle figure at the end of the thermometer picture">
          <a:extLst xmlns:a="http://schemas.openxmlformats.org/drawingml/2006/main">
            <a:ext uri="{FF2B5EF4-FFF2-40B4-BE49-F238E27FC236}">
              <a16:creationId xmlns:a16="http://schemas.microsoft.com/office/drawing/2014/main" id="{2A0AA92F-C34E-4FBC-9567-B0BC82723099}"/>
            </a:ext>
          </a:extLst>
        </cdr:cNvPr>
        <cdr:cNvSpPr/>
      </cdr:nvSpPr>
      <cdr:spPr>
        <a:xfrm xmlns:a="http://schemas.openxmlformats.org/drawingml/2006/main">
          <a:off x="704097" y="4136487"/>
          <a:ext cx="630315" cy="656841"/>
        </a:xfrm>
        <a:prstGeom xmlns:a="http://schemas.openxmlformats.org/drawingml/2006/main" prst="flowChartConnector">
          <a:avLst/>
        </a:prstGeom>
        <a:solidFill xmlns:a="http://schemas.openxmlformats.org/drawingml/2006/main">
          <a:srgbClr val="99221F"/>
        </a:solidFill>
        <a:ln xmlns:a="http://schemas.openxmlformats.org/drawingml/2006/main">
          <a:solidFill>
            <a:srgbClr val="99221F"/>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tlCol="0" anchor="t"/>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l"/>
          <a:endParaRPr lang="en-US" sz="1100"/>
        </a:p>
      </cdr:txBody>
    </cdr:sp>
  </cdr:relSizeAnchor>
  <cdr:relSizeAnchor xmlns:cdr="http://schemas.openxmlformats.org/drawingml/2006/chartDrawing">
    <cdr:from>
      <cdr:x>0.64413</cdr:x>
      <cdr:y>0.80267</cdr:y>
    </cdr:from>
    <cdr:to>
      <cdr:x>0.8699</cdr:x>
      <cdr:y>0.93033</cdr:y>
    </cdr:to>
    <cdr:sp macro="" textlink="">
      <cdr:nvSpPr>
        <cdr:cNvPr id="3" name="Flowchart: Connector 2" descr="Circle figure at the end of the thermometer picture">
          <a:extLst xmlns:a="http://schemas.openxmlformats.org/drawingml/2006/main">
            <a:ext uri="{FF2B5EF4-FFF2-40B4-BE49-F238E27FC236}">
              <a16:creationId xmlns:a16="http://schemas.microsoft.com/office/drawing/2014/main" id="{723D0551-4FFA-43C3-85AC-C1596F771366}"/>
            </a:ext>
          </a:extLst>
        </cdr:cNvPr>
        <cdr:cNvSpPr/>
      </cdr:nvSpPr>
      <cdr:spPr>
        <a:xfrm xmlns:a="http://schemas.openxmlformats.org/drawingml/2006/main">
          <a:off x="1798302" y="4129932"/>
          <a:ext cx="630314" cy="656842"/>
        </a:xfrm>
        <a:prstGeom xmlns:a="http://schemas.openxmlformats.org/drawingml/2006/main" prst="flowChartConnector">
          <a:avLst/>
        </a:prstGeom>
        <a:solidFill xmlns:a="http://schemas.openxmlformats.org/drawingml/2006/main">
          <a:srgbClr val="D73B33"/>
        </a:solidFill>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tlCol="0" anchor="t"/>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l"/>
          <a:endParaRPr lang="en-US" sz="1100">
            <a:solidFill>
              <a:srgbClr val="D73B33"/>
            </a:solidFill>
          </a:endParaRPr>
        </a:p>
      </cdr:txBody>
    </cdr:sp>
  </cdr:relSizeAnchor>
</c:userShapes>
</file>

<file path=word/drawings/drawing68.xml><?xml version="1.0" encoding="utf-8"?>
<c:userShapes xmlns:c="http://schemas.openxmlformats.org/drawingml/2006/chart">
  <cdr:relSizeAnchor xmlns:cdr="http://schemas.openxmlformats.org/drawingml/2006/chartDrawing">
    <cdr:from>
      <cdr:x>0.68443</cdr:x>
      <cdr:y>0.2372</cdr:y>
    </cdr:from>
    <cdr:to>
      <cdr:x>0.84344</cdr:x>
      <cdr:y>0.84804</cdr:y>
    </cdr:to>
    <cdr:sp macro="" textlink="">
      <cdr:nvSpPr>
        <cdr:cNvPr id="4" name="Rectangle 3" descr="Vertical bar chart showing progress "/>
        <cdr:cNvSpPr/>
      </cdr:nvSpPr>
      <cdr:spPr>
        <a:xfrm xmlns:a="http://schemas.openxmlformats.org/drawingml/2006/main">
          <a:off x="1910552" y="1220362"/>
          <a:ext cx="443870" cy="3142617"/>
        </a:xfrm>
        <a:prstGeom xmlns:a="http://schemas.openxmlformats.org/drawingml/2006/main" prst="rect">
          <a:avLst/>
        </a:prstGeom>
      </cdr:spPr>
      <cdr:style>
        <a:lnRef xmlns:a="http://schemas.openxmlformats.org/drawingml/2006/main" idx="2">
          <a:schemeClr val="dk1"/>
        </a:lnRef>
        <a:fillRef xmlns:a="http://schemas.openxmlformats.org/drawingml/2006/main" idx="1">
          <a:schemeClr val="lt1"/>
        </a:fillRef>
        <a:effectRef xmlns:a="http://schemas.openxmlformats.org/drawingml/2006/main" idx="0">
          <a:schemeClr val="dk1"/>
        </a:effectRef>
        <a:fontRef xmlns:a="http://schemas.openxmlformats.org/drawingml/2006/main" idx="minor">
          <a:schemeClr val="dk1"/>
        </a:fontRef>
      </cdr:style>
      <cdr:txBody>
        <a:bodyPr xmlns:a="http://schemas.openxmlformats.org/drawingml/2006/main" rot="0" spcFirstLastPara="0" vert="horz" wrap="square" lIns="91440" tIns="45720" rIns="91440" bIns="45720" numCol="1" spcCol="0" rtlCol="0" fromWordArt="0" anchor="ctr" anchorCtr="0" forceAA="0" compatLnSpc="1">
          <a:prstTxWarp prst="textNoShape">
            <a:avLst/>
          </a:prstTxWarp>
          <a:noAutofit/>
        </a:bodyPr>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endParaRPr lang="en-US"/>
        </a:p>
      </cdr:txBody>
    </cdr:sp>
  </cdr:relSizeAnchor>
  <cdr:relSizeAnchor xmlns:cdr="http://schemas.openxmlformats.org/drawingml/2006/chartDrawing">
    <cdr:from>
      <cdr:x>0.6518</cdr:x>
      <cdr:y>0.78535</cdr:y>
    </cdr:from>
    <cdr:to>
      <cdr:x>0.87644</cdr:x>
      <cdr:y>0.91501</cdr:y>
    </cdr:to>
    <cdr:sp macro="" textlink="">
      <cdr:nvSpPr>
        <cdr:cNvPr id="5" name="Flowchart: Connector 2" descr="Circle figure at the end of the thermometer picture"/>
        <cdr:cNvSpPr/>
      </cdr:nvSpPr>
      <cdr:spPr>
        <a:xfrm xmlns:a="http://schemas.openxmlformats.org/drawingml/2006/main">
          <a:off x="1819474" y="4040439"/>
          <a:ext cx="627073" cy="667071"/>
        </a:xfrm>
        <a:prstGeom xmlns:a="http://schemas.openxmlformats.org/drawingml/2006/main" prst="flowChartConnector">
          <a:avLst/>
        </a:prstGeom>
        <a:solidFill xmlns:a="http://schemas.openxmlformats.org/drawingml/2006/main">
          <a:srgbClr val="FFE6E6"/>
        </a:solidFill>
        <a:ln xmlns:a="http://schemas.openxmlformats.org/drawingml/2006/main">
          <a:noFill/>
        </a:ln>
      </cdr:spPr>
      <cdr:style>
        <a:lnRef xmlns:a="http://schemas.openxmlformats.org/drawingml/2006/main" idx="2">
          <a:schemeClr val="dk1"/>
        </a:lnRef>
        <a:fillRef xmlns:a="http://schemas.openxmlformats.org/drawingml/2006/main" idx="1">
          <a:schemeClr val="lt1"/>
        </a:fillRef>
        <a:effectRef xmlns:a="http://schemas.openxmlformats.org/drawingml/2006/main" idx="0">
          <a:schemeClr val="dk1"/>
        </a:effectRef>
        <a:fontRef xmlns:a="http://schemas.openxmlformats.org/drawingml/2006/main" idx="minor">
          <a:schemeClr val="dk1"/>
        </a:fontRef>
      </cdr:style>
      <cdr:txBody>
        <a:bodyPr xmlns:a="http://schemas.openxmlformats.org/drawingml/2006/main"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gn="l"/>
          <a:endParaRPr lang="en-US" sz="1100"/>
        </a:p>
      </cdr:txBody>
    </cdr:sp>
  </cdr:relSizeAnchor>
  <cdr:relSizeAnchor xmlns:cdr="http://schemas.openxmlformats.org/drawingml/2006/chartDrawing">
    <cdr:from>
      <cdr:x>0.28283</cdr:x>
      <cdr:y>0.235</cdr:y>
    </cdr:from>
    <cdr:to>
      <cdr:x>0.44184</cdr:x>
      <cdr:y>0.84584</cdr:y>
    </cdr:to>
    <cdr:sp macro="" textlink="">
      <cdr:nvSpPr>
        <cdr:cNvPr id="6" name="Rectangle 5" descr="Vertical bar chart showing progress "/>
        <cdr:cNvSpPr/>
      </cdr:nvSpPr>
      <cdr:spPr>
        <a:xfrm xmlns:a="http://schemas.openxmlformats.org/drawingml/2006/main">
          <a:off x="789501" y="1209023"/>
          <a:ext cx="443871" cy="3142617"/>
        </a:xfrm>
        <a:prstGeom xmlns:a="http://schemas.openxmlformats.org/drawingml/2006/main" prst="rect">
          <a:avLst/>
        </a:prstGeom>
      </cdr:spPr>
      <cdr:style>
        <a:lnRef xmlns:a="http://schemas.openxmlformats.org/drawingml/2006/main" idx="2">
          <a:schemeClr val="dk1"/>
        </a:lnRef>
        <a:fillRef xmlns:a="http://schemas.openxmlformats.org/drawingml/2006/main" idx="1">
          <a:schemeClr val="lt1"/>
        </a:fillRef>
        <a:effectRef xmlns:a="http://schemas.openxmlformats.org/drawingml/2006/main" idx="0">
          <a:schemeClr val="dk1"/>
        </a:effectRef>
        <a:fontRef xmlns:a="http://schemas.openxmlformats.org/drawingml/2006/main" idx="minor">
          <a:schemeClr val="dk1"/>
        </a:fontRef>
      </cdr:style>
      <cdr:txBody>
        <a:bodyPr xmlns:a="http://schemas.openxmlformats.org/drawingml/2006/main" rot="0" spcFirstLastPara="0" vert="horz" wrap="square" lIns="91440" tIns="45720" rIns="91440" bIns="45720" numCol="1" spcCol="0" rtlCol="0" fromWordArt="0" anchor="ctr" anchorCtr="0" forceAA="0" compatLnSpc="1">
          <a:prstTxWarp prst="textNoShape">
            <a:avLst/>
          </a:prstTxWarp>
          <a:noAutofit/>
        </a:bodyPr>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endParaRPr lang="en-US"/>
        </a:p>
      </cdr:txBody>
    </cdr:sp>
  </cdr:relSizeAnchor>
  <cdr:relSizeAnchor xmlns:cdr="http://schemas.openxmlformats.org/drawingml/2006/chartDrawing">
    <cdr:from>
      <cdr:x>0.2502</cdr:x>
      <cdr:y>0.79611</cdr:y>
    </cdr:from>
    <cdr:to>
      <cdr:x>0.47484</cdr:x>
      <cdr:y>0.92577</cdr:y>
    </cdr:to>
    <cdr:sp macro="" textlink="">
      <cdr:nvSpPr>
        <cdr:cNvPr id="7" name="Flowchart: Connector 2" descr="No activities or outputs"/>
        <cdr:cNvSpPr/>
      </cdr:nvSpPr>
      <cdr:spPr>
        <a:xfrm xmlns:a="http://schemas.openxmlformats.org/drawingml/2006/main">
          <a:off x="698423" y="4095796"/>
          <a:ext cx="627074" cy="667071"/>
        </a:xfrm>
        <a:prstGeom xmlns:a="http://schemas.openxmlformats.org/drawingml/2006/main" prst="flowChartConnector">
          <a:avLst/>
        </a:prstGeom>
        <a:solidFill xmlns:a="http://schemas.openxmlformats.org/drawingml/2006/main">
          <a:srgbClr val="FFE6E6"/>
        </a:solidFill>
        <a:ln xmlns:a="http://schemas.openxmlformats.org/drawingml/2006/main">
          <a:noFill/>
        </a:ln>
      </cdr:spPr>
      <cdr:style>
        <a:lnRef xmlns:a="http://schemas.openxmlformats.org/drawingml/2006/main" idx="2">
          <a:schemeClr val="dk1"/>
        </a:lnRef>
        <a:fillRef xmlns:a="http://schemas.openxmlformats.org/drawingml/2006/main" idx="1">
          <a:schemeClr val="lt1"/>
        </a:fillRef>
        <a:effectRef xmlns:a="http://schemas.openxmlformats.org/drawingml/2006/main" idx="0">
          <a:schemeClr val="dk1"/>
        </a:effectRef>
        <a:fontRef xmlns:a="http://schemas.openxmlformats.org/drawingml/2006/main" idx="minor">
          <a:schemeClr val="dk1"/>
        </a:fontRef>
      </cdr:style>
      <cdr:txBody>
        <a:bodyPr xmlns:a="http://schemas.openxmlformats.org/drawingml/2006/main"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gn="l"/>
          <a:endParaRPr lang="en-US" sz="1100"/>
        </a:p>
      </cdr:txBody>
    </cdr:sp>
  </cdr:relSizeAnchor>
</c:userShapes>
</file>

<file path=word/drawings/drawing69.xml><?xml version="1.0" encoding="utf-8"?>
<c:userShapes xmlns:c="http://schemas.openxmlformats.org/drawingml/2006/chart">
  <cdr:relSizeAnchor xmlns:cdr="http://schemas.openxmlformats.org/drawingml/2006/chartDrawing">
    <cdr:from>
      <cdr:x>0.68443</cdr:x>
      <cdr:y>0.23358</cdr:y>
    </cdr:from>
    <cdr:to>
      <cdr:x>0.84344</cdr:x>
      <cdr:y>0.84441</cdr:y>
    </cdr:to>
    <cdr:sp macro="" textlink="">
      <cdr:nvSpPr>
        <cdr:cNvPr id="4" name="Rectangle 3" descr="Vertical bar chart"/>
        <cdr:cNvSpPr/>
      </cdr:nvSpPr>
      <cdr:spPr>
        <a:xfrm xmlns:a="http://schemas.openxmlformats.org/drawingml/2006/main">
          <a:off x="1910552" y="1201701"/>
          <a:ext cx="443870" cy="3142617"/>
        </a:xfrm>
        <a:prstGeom xmlns:a="http://schemas.openxmlformats.org/drawingml/2006/main" prst="rect">
          <a:avLst/>
        </a:prstGeom>
      </cdr:spPr>
      <cdr:style>
        <a:lnRef xmlns:a="http://schemas.openxmlformats.org/drawingml/2006/main" idx="2">
          <a:schemeClr val="dk1"/>
        </a:lnRef>
        <a:fillRef xmlns:a="http://schemas.openxmlformats.org/drawingml/2006/main" idx="1">
          <a:schemeClr val="lt1"/>
        </a:fillRef>
        <a:effectRef xmlns:a="http://schemas.openxmlformats.org/drawingml/2006/main" idx="0">
          <a:schemeClr val="dk1"/>
        </a:effectRef>
        <a:fontRef xmlns:a="http://schemas.openxmlformats.org/drawingml/2006/main" idx="minor">
          <a:schemeClr val="dk1"/>
        </a:fontRef>
      </cdr:style>
      <cdr:txBody>
        <a:bodyPr xmlns:a="http://schemas.openxmlformats.org/drawingml/2006/main" rot="0" spcFirstLastPara="0" vert="horz" wrap="square" lIns="91440" tIns="45720" rIns="91440" bIns="45720" numCol="1" spcCol="0" rtlCol="0" fromWordArt="0" anchor="ctr" anchorCtr="0" forceAA="0" compatLnSpc="1">
          <a:prstTxWarp prst="textNoShape">
            <a:avLst/>
          </a:prstTxWarp>
          <a:noAutofit/>
        </a:bodyPr>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endParaRPr lang="en-US"/>
        </a:p>
      </cdr:txBody>
    </cdr:sp>
  </cdr:relSizeAnchor>
  <cdr:relSizeAnchor xmlns:cdr="http://schemas.openxmlformats.org/drawingml/2006/chartDrawing">
    <cdr:from>
      <cdr:x>0.63815</cdr:x>
      <cdr:y>0.79654</cdr:y>
    </cdr:from>
    <cdr:to>
      <cdr:x>0.86279</cdr:x>
      <cdr:y>0.9262</cdr:y>
    </cdr:to>
    <cdr:sp macro="" textlink="">
      <cdr:nvSpPr>
        <cdr:cNvPr id="5" name="Flowchart: Connector 2" descr="No activity or outputs"/>
        <cdr:cNvSpPr/>
      </cdr:nvSpPr>
      <cdr:spPr>
        <a:xfrm xmlns:a="http://schemas.openxmlformats.org/drawingml/2006/main">
          <a:off x="1781374" y="4098015"/>
          <a:ext cx="627073" cy="667071"/>
        </a:xfrm>
        <a:prstGeom xmlns:a="http://schemas.openxmlformats.org/drawingml/2006/main" prst="flowChartConnector">
          <a:avLst/>
        </a:prstGeom>
        <a:solidFill xmlns:a="http://schemas.openxmlformats.org/drawingml/2006/main">
          <a:srgbClr val="FFE6E6"/>
        </a:solidFill>
        <a:ln xmlns:a="http://schemas.openxmlformats.org/drawingml/2006/main">
          <a:noFill/>
        </a:ln>
      </cdr:spPr>
      <cdr:style>
        <a:lnRef xmlns:a="http://schemas.openxmlformats.org/drawingml/2006/main" idx="2">
          <a:schemeClr val="dk1"/>
        </a:lnRef>
        <a:fillRef xmlns:a="http://schemas.openxmlformats.org/drawingml/2006/main" idx="1">
          <a:schemeClr val="lt1"/>
        </a:fillRef>
        <a:effectRef xmlns:a="http://schemas.openxmlformats.org/drawingml/2006/main" idx="0">
          <a:schemeClr val="dk1"/>
        </a:effectRef>
        <a:fontRef xmlns:a="http://schemas.openxmlformats.org/drawingml/2006/main" idx="minor">
          <a:schemeClr val="dk1"/>
        </a:fontRef>
      </cdr:style>
      <cdr:txBody>
        <a:bodyPr xmlns:a="http://schemas.openxmlformats.org/drawingml/2006/main"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gn="l"/>
          <a:endParaRPr lang="en-US" sz="1100"/>
        </a:p>
      </cdr:txBody>
    </cdr:sp>
  </cdr:relSizeAnchor>
  <cdr:relSizeAnchor xmlns:cdr="http://schemas.openxmlformats.org/drawingml/2006/chartDrawing">
    <cdr:from>
      <cdr:x>0.28283</cdr:x>
      <cdr:y>0.23137</cdr:y>
    </cdr:from>
    <cdr:to>
      <cdr:x>0.44184</cdr:x>
      <cdr:y>0.84221</cdr:y>
    </cdr:to>
    <cdr:sp macro="" textlink="">
      <cdr:nvSpPr>
        <cdr:cNvPr id="6" name="Rectangle 5" descr="Vertical bar chart"/>
        <cdr:cNvSpPr/>
      </cdr:nvSpPr>
      <cdr:spPr>
        <a:xfrm xmlns:a="http://schemas.openxmlformats.org/drawingml/2006/main">
          <a:off x="789501" y="1190362"/>
          <a:ext cx="443871" cy="3142617"/>
        </a:xfrm>
        <a:prstGeom xmlns:a="http://schemas.openxmlformats.org/drawingml/2006/main" prst="rect">
          <a:avLst/>
        </a:prstGeom>
      </cdr:spPr>
      <cdr:style>
        <a:lnRef xmlns:a="http://schemas.openxmlformats.org/drawingml/2006/main" idx="2">
          <a:schemeClr val="dk1"/>
        </a:lnRef>
        <a:fillRef xmlns:a="http://schemas.openxmlformats.org/drawingml/2006/main" idx="1">
          <a:schemeClr val="lt1"/>
        </a:fillRef>
        <a:effectRef xmlns:a="http://schemas.openxmlformats.org/drawingml/2006/main" idx="0">
          <a:schemeClr val="dk1"/>
        </a:effectRef>
        <a:fontRef xmlns:a="http://schemas.openxmlformats.org/drawingml/2006/main" idx="minor">
          <a:schemeClr val="dk1"/>
        </a:fontRef>
      </cdr:style>
      <cdr:txBody>
        <a:bodyPr xmlns:a="http://schemas.openxmlformats.org/drawingml/2006/main" rot="0" spcFirstLastPara="0" vert="horz" wrap="square" lIns="91440" tIns="45720" rIns="91440" bIns="45720" numCol="1" spcCol="0" rtlCol="0" fromWordArt="0" anchor="ctr" anchorCtr="0" forceAA="0" compatLnSpc="1">
          <a:prstTxWarp prst="textNoShape">
            <a:avLst/>
          </a:prstTxWarp>
          <a:noAutofit/>
        </a:bodyPr>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endParaRPr lang="en-US"/>
        </a:p>
      </cdr:txBody>
    </cdr:sp>
  </cdr:relSizeAnchor>
  <cdr:relSizeAnchor xmlns:cdr="http://schemas.openxmlformats.org/drawingml/2006/chartDrawing">
    <cdr:from>
      <cdr:x>0.25361</cdr:x>
      <cdr:y>0.79063</cdr:y>
    </cdr:from>
    <cdr:to>
      <cdr:x>0.47825</cdr:x>
      <cdr:y>0.92029</cdr:y>
    </cdr:to>
    <cdr:sp macro="" textlink="">
      <cdr:nvSpPr>
        <cdr:cNvPr id="7" name="Flowchart: Connector 2" descr="Circle figure at the end of the thermometer picture"/>
        <cdr:cNvSpPr/>
      </cdr:nvSpPr>
      <cdr:spPr>
        <a:xfrm xmlns:a="http://schemas.openxmlformats.org/drawingml/2006/main">
          <a:off x="707948" y="4067595"/>
          <a:ext cx="627074" cy="667071"/>
        </a:xfrm>
        <a:prstGeom xmlns:a="http://schemas.openxmlformats.org/drawingml/2006/main" prst="flowChartConnector">
          <a:avLst/>
        </a:prstGeom>
        <a:solidFill xmlns:a="http://schemas.openxmlformats.org/drawingml/2006/main">
          <a:srgbClr val="FFE6E6"/>
        </a:solidFill>
        <a:ln xmlns:a="http://schemas.openxmlformats.org/drawingml/2006/main">
          <a:noFill/>
        </a:ln>
      </cdr:spPr>
      <cdr:style>
        <a:lnRef xmlns:a="http://schemas.openxmlformats.org/drawingml/2006/main" idx="2">
          <a:schemeClr val="dk1"/>
        </a:lnRef>
        <a:fillRef xmlns:a="http://schemas.openxmlformats.org/drawingml/2006/main" idx="1">
          <a:schemeClr val="lt1"/>
        </a:fillRef>
        <a:effectRef xmlns:a="http://schemas.openxmlformats.org/drawingml/2006/main" idx="0">
          <a:schemeClr val="dk1"/>
        </a:effectRef>
        <a:fontRef xmlns:a="http://schemas.openxmlformats.org/drawingml/2006/main" idx="minor">
          <a:schemeClr val="dk1"/>
        </a:fontRef>
      </cdr:style>
      <cdr:txBody>
        <a:bodyPr xmlns:a="http://schemas.openxmlformats.org/drawingml/2006/main"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gn="l"/>
          <a:endParaRPr lang="en-US" sz="1100"/>
        </a:p>
      </cdr:txBody>
    </cdr:sp>
  </cdr:relSizeAnchor>
</c:userShapes>
</file>

<file path=word/drawings/drawing7.xml><?xml version="1.0" encoding="utf-8"?>
<c:userShapes xmlns:c="http://schemas.openxmlformats.org/drawingml/2006/chart">
  <cdr:relSizeAnchor xmlns:cdr="http://schemas.openxmlformats.org/drawingml/2006/chartDrawing">
    <cdr:from>
      <cdr:x>0.24853</cdr:x>
      <cdr:y>0.79001</cdr:y>
    </cdr:from>
    <cdr:to>
      <cdr:x>0.4743</cdr:x>
      <cdr:y>0.91767</cdr:y>
    </cdr:to>
    <cdr:sp macro="" textlink="">
      <cdr:nvSpPr>
        <cdr:cNvPr id="2" name="Flowchart: Connector 1" descr="Circle figure at the end of the thermometer picture">
          <a:extLst xmlns:a="http://schemas.openxmlformats.org/drawingml/2006/main">
            <a:ext uri="{FF2B5EF4-FFF2-40B4-BE49-F238E27FC236}">
              <a16:creationId xmlns:a16="http://schemas.microsoft.com/office/drawing/2014/main" id="{2A0AA92F-C34E-4FBC-9567-B0BC82723099}"/>
            </a:ext>
          </a:extLst>
        </cdr:cNvPr>
        <cdr:cNvSpPr/>
      </cdr:nvSpPr>
      <cdr:spPr>
        <a:xfrm xmlns:a="http://schemas.openxmlformats.org/drawingml/2006/main">
          <a:off x="688975" y="3980628"/>
          <a:ext cx="625878" cy="643264"/>
        </a:xfrm>
        <a:prstGeom xmlns:a="http://schemas.openxmlformats.org/drawingml/2006/main" prst="flowChartConnector">
          <a:avLst/>
        </a:prstGeom>
        <a:solidFill xmlns:a="http://schemas.openxmlformats.org/drawingml/2006/main">
          <a:srgbClr val="99221F"/>
        </a:solidFill>
        <a:ln xmlns:a="http://schemas.openxmlformats.org/drawingml/2006/main">
          <a:solidFill>
            <a:srgbClr val="99221F"/>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tlCol="0" anchor="t"/>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l"/>
          <a:endParaRPr lang="en-US" sz="1100"/>
        </a:p>
      </cdr:txBody>
    </cdr:sp>
  </cdr:relSizeAnchor>
  <cdr:relSizeAnchor xmlns:cdr="http://schemas.openxmlformats.org/drawingml/2006/chartDrawing">
    <cdr:from>
      <cdr:x>0.63679</cdr:x>
      <cdr:y>0.78702</cdr:y>
    </cdr:from>
    <cdr:to>
      <cdr:x>0.86256</cdr:x>
      <cdr:y>0.91468</cdr:y>
    </cdr:to>
    <cdr:sp macro="" textlink="">
      <cdr:nvSpPr>
        <cdr:cNvPr id="3" name="Flowchart: Connector 2" descr="Circle figure at the end of the thermometer picture">
          <a:extLst xmlns:a="http://schemas.openxmlformats.org/drawingml/2006/main">
            <a:ext uri="{FF2B5EF4-FFF2-40B4-BE49-F238E27FC236}">
              <a16:creationId xmlns:a16="http://schemas.microsoft.com/office/drawing/2014/main" id="{723D0551-4FFA-43C3-85AC-C1596F771366}"/>
            </a:ext>
          </a:extLst>
        </cdr:cNvPr>
        <cdr:cNvSpPr/>
      </cdr:nvSpPr>
      <cdr:spPr>
        <a:xfrm xmlns:a="http://schemas.openxmlformats.org/drawingml/2006/main">
          <a:off x="1765300" y="3965575"/>
          <a:ext cx="625878" cy="643264"/>
        </a:xfrm>
        <a:prstGeom xmlns:a="http://schemas.openxmlformats.org/drawingml/2006/main" prst="flowChartConnector">
          <a:avLst/>
        </a:prstGeom>
        <a:solidFill xmlns:a="http://schemas.openxmlformats.org/drawingml/2006/main">
          <a:srgbClr val="99221F"/>
        </a:solidFill>
        <a:ln xmlns:a="http://schemas.openxmlformats.org/drawingml/2006/main">
          <a:solidFill>
            <a:srgbClr val="99221F"/>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tlCol="0" anchor="t"/>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l"/>
          <a:endParaRPr lang="en-US" sz="1100"/>
        </a:p>
      </cdr:txBody>
    </cdr:sp>
  </cdr:relSizeAnchor>
</c:userShapes>
</file>

<file path=word/drawings/drawing70.xml><?xml version="1.0" encoding="utf-8"?>
<c:userShapes xmlns:c="http://schemas.openxmlformats.org/drawingml/2006/chart">
  <cdr:relSizeAnchor xmlns:cdr="http://schemas.openxmlformats.org/drawingml/2006/chartDrawing">
    <cdr:from>
      <cdr:x>0.23753</cdr:x>
      <cdr:y>0.792</cdr:y>
    </cdr:from>
    <cdr:to>
      <cdr:x>0.4633</cdr:x>
      <cdr:y>0.91966</cdr:y>
    </cdr:to>
    <cdr:sp macro="" textlink="">
      <cdr:nvSpPr>
        <cdr:cNvPr id="2" name="Flowchart: Connector 1" descr="Circle figure at the end of the thermometer picture">
          <a:extLst xmlns:a="http://schemas.openxmlformats.org/drawingml/2006/main">
            <a:ext uri="{FF2B5EF4-FFF2-40B4-BE49-F238E27FC236}">
              <a16:creationId xmlns:a16="http://schemas.microsoft.com/office/drawing/2014/main" id="{2A0AA92F-C34E-4FBC-9567-B0BC82723099}"/>
            </a:ext>
          </a:extLst>
        </cdr:cNvPr>
        <cdr:cNvSpPr/>
      </cdr:nvSpPr>
      <cdr:spPr>
        <a:xfrm xmlns:a="http://schemas.openxmlformats.org/drawingml/2006/main">
          <a:off x="663136" y="4075023"/>
          <a:ext cx="630314" cy="656841"/>
        </a:xfrm>
        <a:prstGeom xmlns:a="http://schemas.openxmlformats.org/drawingml/2006/main" prst="flowChartConnector">
          <a:avLst/>
        </a:prstGeom>
        <a:solidFill xmlns:a="http://schemas.openxmlformats.org/drawingml/2006/main">
          <a:srgbClr val="99221F"/>
        </a:solidFill>
        <a:ln xmlns:a="http://schemas.openxmlformats.org/drawingml/2006/main">
          <a:solidFill>
            <a:srgbClr val="99221F"/>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tlCol="0" anchor="t"/>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l"/>
          <a:endParaRPr lang="en-US" sz="1100"/>
        </a:p>
      </cdr:txBody>
    </cdr:sp>
  </cdr:relSizeAnchor>
  <cdr:relSizeAnchor xmlns:cdr="http://schemas.openxmlformats.org/drawingml/2006/chartDrawing">
    <cdr:from>
      <cdr:x>0.63312</cdr:x>
      <cdr:y>0.7967</cdr:y>
    </cdr:from>
    <cdr:to>
      <cdr:x>0.85889</cdr:x>
      <cdr:y>0.92436</cdr:y>
    </cdr:to>
    <cdr:sp macro="" textlink="">
      <cdr:nvSpPr>
        <cdr:cNvPr id="3" name="Flowchart: Connector 2" descr="Circle figure at the end of the thermometer picture">
          <a:extLst xmlns:a="http://schemas.openxmlformats.org/drawingml/2006/main">
            <a:ext uri="{FF2B5EF4-FFF2-40B4-BE49-F238E27FC236}">
              <a16:creationId xmlns:a16="http://schemas.microsoft.com/office/drawing/2014/main" id="{723D0551-4FFA-43C3-85AC-C1596F771366}"/>
            </a:ext>
          </a:extLst>
        </cdr:cNvPr>
        <cdr:cNvSpPr/>
      </cdr:nvSpPr>
      <cdr:spPr>
        <a:xfrm xmlns:a="http://schemas.openxmlformats.org/drawingml/2006/main">
          <a:off x="1767583" y="4099205"/>
          <a:ext cx="630314" cy="656842"/>
        </a:xfrm>
        <a:prstGeom xmlns:a="http://schemas.openxmlformats.org/drawingml/2006/main" prst="flowChartConnector">
          <a:avLst/>
        </a:prstGeom>
        <a:solidFill xmlns:a="http://schemas.openxmlformats.org/drawingml/2006/main">
          <a:srgbClr val="99221F"/>
        </a:solidFill>
        <a:ln xmlns:a="http://schemas.openxmlformats.org/drawingml/2006/main">
          <a:solidFill>
            <a:srgbClr val="99221F"/>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tlCol="0" anchor="t"/>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l"/>
          <a:endParaRPr lang="en-US" sz="1100"/>
        </a:p>
      </cdr:txBody>
    </cdr:sp>
  </cdr:relSizeAnchor>
</c:userShapes>
</file>

<file path=word/drawings/drawing71.xml><?xml version="1.0" encoding="utf-8"?>
<c:userShapes xmlns:c="http://schemas.openxmlformats.org/drawingml/2006/chart">
  <cdr:relSizeAnchor xmlns:cdr="http://schemas.openxmlformats.org/drawingml/2006/chartDrawing">
    <cdr:from>
      <cdr:x>0.24853</cdr:x>
      <cdr:y>0.79001</cdr:y>
    </cdr:from>
    <cdr:to>
      <cdr:x>0.4743</cdr:x>
      <cdr:y>0.91767</cdr:y>
    </cdr:to>
    <cdr:sp macro="" textlink="">
      <cdr:nvSpPr>
        <cdr:cNvPr id="2" name="Flowchart: Connector 1" descr="Circle figure at the end of the thermometer picture">
          <a:extLst xmlns:a="http://schemas.openxmlformats.org/drawingml/2006/main">
            <a:ext uri="{FF2B5EF4-FFF2-40B4-BE49-F238E27FC236}">
              <a16:creationId xmlns:a16="http://schemas.microsoft.com/office/drawing/2014/main" id="{2A0AA92F-C34E-4FBC-9567-B0BC82723099}"/>
            </a:ext>
          </a:extLst>
        </cdr:cNvPr>
        <cdr:cNvSpPr/>
      </cdr:nvSpPr>
      <cdr:spPr>
        <a:xfrm xmlns:a="http://schemas.openxmlformats.org/drawingml/2006/main">
          <a:off x="688975" y="3980628"/>
          <a:ext cx="625878" cy="643264"/>
        </a:xfrm>
        <a:prstGeom xmlns:a="http://schemas.openxmlformats.org/drawingml/2006/main" prst="flowChartConnector">
          <a:avLst/>
        </a:prstGeom>
        <a:solidFill xmlns:a="http://schemas.openxmlformats.org/drawingml/2006/main">
          <a:srgbClr val="99221F"/>
        </a:solidFill>
        <a:ln xmlns:a="http://schemas.openxmlformats.org/drawingml/2006/main">
          <a:solidFill>
            <a:srgbClr val="99221F"/>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tlCol="0" anchor="t"/>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l"/>
          <a:endParaRPr lang="en-US" sz="1100"/>
        </a:p>
      </cdr:txBody>
    </cdr:sp>
  </cdr:relSizeAnchor>
  <cdr:relSizeAnchor xmlns:cdr="http://schemas.openxmlformats.org/drawingml/2006/chartDrawing">
    <cdr:from>
      <cdr:x>0.64171</cdr:x>
      <cdr:y>0.79501</cdr:y>
    </cdr:from>
    <cdr:to>
      <cdr:x>0.86748</cdr:x>
      <cdr:y>0.92267</cdr:y>
    </cdr:to>
    <cdr:sp macro="" textlink="">
      <cdr:nvSpPr>
        <cdr:cNvPr id="3" name="Flowchart: Connector 2" descr="Circle figure at the end of the thermometer picture">
          <a:extLst xmlns:a="http://schemas.openxmlformats.org/drawingml/2006/main">
            <a:ext uri="{FF2B5EF4-FFF2-40B4-BE49-F238E27FC236}">
              <a16:creationId xmlns:a16="http://schemas.microsoft.com/office/drawing/2014/main" id="{723D0551-4FFA-43C3-85AC-C1596F771366}"/>
            </a:ext>
          </a:extLst>
        </cdr:cNvPr>
        <cdr:cNvSpPr/>
      </cdr:nvSpPr>
      <cdr:spPr>
        <a:xfrm xmlns:a="http://schemas.openxmlformats.org/drawingml/2006/main">
          <a:off x="1750982" y="4005824"/>
          <a:ext cx="616044" cy="643244"/>
        </a:xfrm>
        <a:prstGeom xmlns:a="http://schemas.openxmlformats.org/drawingml/2006/main" prst="flowChartConnector">
          <a:avLst/>
        </a:prstGeom>
        <a:solidFill xmlns:a="http://schemas.openxmlformats.org/drawingml/2006/main">
          <a:srgbClr val="99221F"/>
        </a:solidFill>
        <a:ln xmlns:a="http://schemas.openxmlformats.org/drawingml/2006/main">
          <a:solidFill>
            <a:srgbClr val="99221F"/>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tlCol="0" anchor="t"/>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l"/>
          <a:endParaRPr lang="en-US" sz="1100"/>
        </a:p>
      </cdr:txBody>
    </cdr:sp>
  </cdr:relSizeAnchor>
</c:userShapes>
</file>

<file path=word/drawings/drawing72.xml><?xml version="1.0" encoding="utf-8"?>
<c:userShapes xmlns:c="http://schemas.openxmlformats.org/drawingml/2006/chart">
  <cdr:relSizeAnchor xmlns:cdr="http://schemas.openxmlformats.org/drawingml/2006/chartDrawing">
    <cdr:from>
      <cdr:x>0.24853</cdr:x>
      <cdr:y>0.79001</cdr:y>
    </cdr:from>
    <cdr:to>
      <cdr:x>0.4743</cdr:x>
      <cdr:y>0.91767</cdr:y>
    </cdr:to>
    <cdr:sp macro="" textlink="">
      <cdr:nvSpPr>
        <cdr:cNvPr id="2" name="Flowchart: Connector 1" descr="Circle figure at the end of the thermometer picture">
          <a:extLst xmlns:a="http://schemas.openxmlformats.org/drawingml/2006/main">
            <a:ext uri="{FF2B5EF4-FFF2-40B4-BE49-F238E27FC236}">
              <a16:creationId xmlns:a16="http://schemas.microsoft.com/office/drawing/2014/main" id="{2A0AA92F-C34E-4FBC-9567-B0BC82723099}"/>
            </a:ext>
          </a:extLst>
        </cdr:cNvPr>
        <cdr:cNvSpPr/>
      </cdr:nvSpPr>
      <cdr:spPr>
        <a:xfrm xmlns:a="http://schemas.openxmlformats.org/drawingml/2006/main">
          <a:off x="688975" y="3980628"/>
          <a:ext cx="625878" cy="643264"/>
        </a:xfrm>
        <a:prstGeom xmlns:a="http://schemas.openxmlformats.org/drawingml/2006/main" prst="flowChartConnector">
          <a:avLst/>
        </a:prstGeom>
        <a:solidFill xmlns:a="http://schemas.openxmlformats.org/drawingml/2006/main">
          <a:srgbClr val="99221F"/>
        </a:solidFill>
        <a:ln xmlns:a="http://schemas.openxmlformats.org/drawingml/2006/main">
          <a:solidFill>
            <a:srgbClr val="99221F"/>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tlCol="0" anchor="t"/>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l"/>
          <a:endParaRPr lang="en-US" sz="1100"/>
        </a:p>
      </cdr:txBody>
    </cdr:sp>
  </cdr:relSizeAnchor>
  <cdr:relSizeAnchor xmlns:cdr="http://schemas.openxmlformats.org/drawingml/2006/chartDrawing">
    <cdr:from>
      <cdr:x>0.63679</cdr:x>
      <cdr:y>0.78702</cdr:y>
    </cdr:from>
    <cdr:to>
      <cdr:x>0.86256</cdr:x>
      <cdr:y>0.91468</cdr:y>
    </cdr:to>
    <cdr:sp macro="" textlink="">
      <cdr:nvSpPr>
        <cdr:cNvPr id="3" name="Flowchart: Connector 2" descr="Circle figure at the end of the thermometer picture">
          <a:extLst xmlns:a="http://schemas.openxmlformats.org/drawingml/2006/main">
            <a:ext uri="{FF2B5EF4-FFF2-40B4-BE49-F238E27FC236}">
              <a16:creationId xmlns:a16="http://schemas.microsoft.com/office/drawing/2014/main" id="{723D0551-4FFA-43C3-85AC-C1596F771366}"/>
            </a:ext>
          </a:extLst>
        </cdr:cNvPr>
        <cdr:cNvSpPr/>
      </cdr:nvSpPr>
      <cdr:spPr>
        <a:xfrm xmlns:a="http://schemas.openxmlformats.org/drawingml/2006/main">
          <a:off x="1765300" y="3965575"/>
          <a:ext cx="625878" cy="643264"/>
        </a:xfrm>
        <a:prstGeom xmlns:a="http://schemas.openxmlformats.org/drawingml/2006/main" prst="flowChartConnector">
          <a:avLst/>
        </a:prstGeom>
        <a:solidFill xmlns:a="http://schemas.openxmlformats.org/drawingml/2006/main">
          <a:srgbClr val="99221F"/>
        </a:solidFill>
        <a:ln xmlns:a="http://schemas.openxmlformats.org/drawingml/2006/main">
          <a:solidFill>
            <a:srgbClr val="99221F"/>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tlCol="0" anchor="t"/>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l"/>
          <a:endParaRPr lang="en-US" sz="1100"/>
        </a:p>
      </cdr:txBody>
    </cdr:sp>
  </cdr:relSizeAnchor>
</c:userShapes>
</file>

<file path=word/drawings/drawing73.xml><?xml version="1.0" encoding="utf-8"?>
<c:userShapes xmlns:c="http://schemas.openxmlformats.org/drawingml/2006/chart">
  <cdr:relSizeAnchor xmlns:cdr="http://schemas.openxmlformats.org/drawingml/2006/chartDrawing">
    <cdr:from>
      <cdr:x>0.24853</cdr:x>
      <cdr:y>0.79568</cdr:y>
    </cdr:from>
    <cdr:to>
      <cdr:x>0.4743</cdr:x>
      <cdr:y>0.92334</cdr:y>
    </cdr:to>
    <cdr:sp macro="" textlink="">
      <cdr:nvSpPr>
        <cdr:cNvPr id="2" name="Flowchart: Connector 1" descr="Circle figure at the end of the thermometer picture">
          <a:extLst xmlns:a="http://schemas.openxmlformats.org/drawingml/2006/main">
            <a:ext uri="{FF2B5EF4-FFF2-40B4-BE49-F238E27FC236}">
              <a16:creationId xmlns:a16="http://schemas.microsoft.com/office/drawing/2014/main" id="{2A0AA92F-C34E-4FBC-9567-B0BC82723099}"/>
            </a:ext>
          </a:extLst>
        </cdr:cNvPr>
        <cdr:cNvSpPr/>
      </cdr:nvSpPr>
      <cdr:spPr>
        <a:xfrm xmlns:a="http://schemas.openxmlformats.org/drawingml/2006/main">
          <a:off x="678138" y="4009218"/>
          <a:ext cx="616035" cy="643244"/>
        </a:xfrm>
        <a:prstGeom xmlns:a="http://schemas.openxmlformats.org/drawingml/2006/main" prst="flowChartConnector">
          <a:avLst/>
        </a:prstGeom>
        <a:solidFill xmlns:a="http://schemas.openxmlformats.org/drawingml/2006/main">
          <a:srgbClr val="99221F"/>
        </a:solidFill>
        <a:ln xmlns:a="http://schemas.openxmlformats.org/drawingml/2006/main">
          <a:solidFill>
            <a:srgbClr val="99221F"/>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tlCol="0" anchor="t"/>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l"/>
          <a:endParaRPr lang="en-US" sz="1100"/>
        </a:p>
      </cdr:txBody>
    </cdr:sp>
  </cdr:relSizeAnchor>
  <cdr:relSizeAnchor xmlns:cdr="http://schemas.openxmlformats.org/drawingml/2006/chartDrawing">
    <cdr:from>
      <cdr:x>0.6333</cdr:x>
      <cdr:y>0.79836</cdr:y>
    </cdr:from>
    <cdr:to>
      <cdr:x>0.85907</cdr:x>
      <cdr:y>0.92602</cdr:y>
    </cdr:to>
    <cdr:sp macro="" textlink="">
      <cdr:nvSpPr>
        <cdr:cNvPr id="3" name="Flowchart: Connector 2" descr="Circle figure at the end of the thermometer picture">
          <a:extLst xmlns:a="http://schemas.openxmlformats.org/drawingml/2006/main">
            <a:ext uri="{FF2B5EF4-FFF2-40B4-BE49-F238E27FC236}">
              <a16:creationId xmlns:a16="http://schemas.microsoft.com/office/drawing/2014/main" id="{723D0551-4FFA-43C3-85AC-C1596F771366}"/>
            </a:ext>
          </a:extLst>
        </cdr:cNvPr>
        <cdr:cNvSpPr/>
      </cdr:nvSpPr>
      <cdr:spPr>
        <a:xfrm xmlns:a="http://schemas.openxmlformats.org/drawingml/2006/main">
          <a:off x="1728017" y="4022727"/>
          <a:ext cx="616035" cy="643244"/>
        </a:xfrm>
        <a:prstGeom xmlns:a="http://schemas.openxmlformats.org/drawingml/2006/main" prst="flowChartConnector">
          <a:avLst/>
        </a:prstGeom>
        <a:solidFill xmlns:a="http://schemas.openxmlformats.org/drawingml/2006/main">
          <a:srgbClr val="99221F"/>
        </a:solidFill>
        <a:ln xmlns:a="http://schemas.openxmlformats.org/drawingml/2006/main">
          <a:solidFill>
            <a:srgbClr val="99221F"/>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tlCol="0" anchor="t"/>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l"/>
          <a:endParaRPr lang="en-US" sz="1100"/>
        </a:p>
      </cdr:txBody>
    </cdr:sp>
  </cdr:relSizeAnchor>
</c:userShapes>
</file>

<file path=word/drawings/drawing74.xml><?xml version="1.0" encoding="utf-8"?>
<c:userShapes xmlns:c="http://schemas.openxmlformats.org/drawingml/2006/chart">
  <cdr:relSizeAnchor xmlns:cdr="http://schemas.openxmlformats.org/drawingml/2006/chartDrawing">
    <cdr:from>
      <cdr:x>0.23994</cdr:x>
      <cdr:y>0.78729</cdr:y>
    </cdr:from>
    <cdr:to>
      <cdr:x>0.46571</cdr:x>
      <cdr:y>0.91495</cdr:y>
    </cdr:to>
    <cdr:sp macro="" textlink="">
      <cdr:nvSpPr>
        <cdr:cNvPr id="2" name="Flowchart: Connector 1" descr="Circle figure at the end of the thermometer picture">
          <a:extLst xmlns:a="http://schemas.openxmlformats.org/drawingml/2006/main">
            <a:ext uri="{FF2B5EF4-FFF2-40B4-BE49-F238E27FC236}">
              <a16:creationId xmlns:a16="http://schemas.microsoft.com/office/drawing/2014/main" id="{2A0AA92F-C34E-4FBC-9567-B0BC82723099}"/>
            </a:ext>
          </a:extLst>
        </cdr:cNvPr>
        <cdr:cNvSpPr/>
      </cdr:nvSpPr>
      <cdr:spPr>
        <a:xfrm xmlns:a="http://schemas.openxmlformats.org/drawingml/2006/main">
          <a:off x="654718" y="3966952"/>
          <a:ext cx="616043" cy="643244"/>
        </a:xfrm>
        <a:prstGeom xmlns:a="http://schemas.openxmlformats.org/drawingml/2006/main" prst="flowChartConnector">
          <a:avLst/>
        </a:prstGeom>
        <a:solidFill xmlns:a="http://schemas.openxmlformats.org/drawingml/2006/main">
          <a:srgbClr val="99221F"/>
        </a:solidFill>
        <a:ln xmlns:a="http://schemas.openxmlformats.org/drawingml/2006/main">
          <a:solidFill>
            <a:srgbClr val="99221F"/>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tlCol="0" anchor="t"/>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l"/>
          <a:endParaRPr lang="en-US" sz="1100"/>
        </a:p>
      </cdr:txBody>
    </cdr:sp>
  </cdr:relSizeAnchor>
  <cdr:relSizeAnchor xmlns:cdr="http://schemas.openxmlformats.org/drawingml/2006/chartDrawing">
    <cdr:from>
      <cdr:x>0.63679</cdr:x>
      <cdr:y>0.79494</cdr:y>
    </cdr:from>
    <cdr:to>
      <cdr:x>0.86256</cdr:x>
      <cdr:y>0.9226</cdr:y>
    </cdr:to>
    <cdr:sp macro="" textlink="">
      <cdr:nvSpPr>
        <cdr:cNvPr id="3" name="Flowchart: Connector 2" descr="Circle figure at the end of the thermometer picture">
          <a:extLst xmlns:a="http://schemas.openxmlformats.org/drawingml/2006/main">
            <a:ext uri="{FF2B5EF4-FFF2-40B4-BE49-F238E27FC236}">
              <a16:creationId xmlns:a16="http://schemas.microsoft.com/office/drawing/2014/main" id="{723D0551-4FFA-43C3-85AC-C1596F771366}"/>
            </a:ext>
          </a:extLst>
        </cdr:cNvPr>
        <cdr:cNvSpPr/>
      </cdr:nvSpPr>
      <cdr:spPr>
        <a:xfrm xmlns:a="http://schemas.openxmlformats.org/drawingml/2006/main">
          <a:off x="1737567" y="4005460"/>
          <a:ext cx="616044" cy="643244"/>
        </a:xfrm>
        <a:prstGeom xmlns:a="http://schemas.openxmlformats.org/drawingml/2006/main" prst="flowChartConnector">
          <a:avLst/>
        </a:prstGeom>
        <a:solidFill xmlns:a="http://schemas.openxmlformats.org/drawingml/2006/main">
          <a:srgbClr val="99221F"/>
        </a:solidFill>
        <a:ln xmlns:a="http://schemas.openxmlformats.org/drawingml/2006/main">
          <a:solidFill>
            <a:srgbClr val="99221F"/>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tlCol="0" anchor="t"/>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l"/>
          <a:endParaRPr lang="en-US" sz="1100"/>
        </a:p>
      </cdr:txBody>
    </cdr:sp>
  </cdr:relSizeAnchor>
</c:userShapes>
</file>

<file path=word/drawings/drawing75.xml><?xml version="1.0" encoding="utf-8"?>
<c:userShapes xmlns:c="http://schemas.openxmlformats.org/drawingml/2006/chart">
  <cdr:relSizeAnchor xmlns:cdr="http://schemas.openxmlformats.org/drawingml/2006/chartDrawing">
    <cdr:from>
      <cdr:x>0.24853</cdr:x>
      <cdr:y>0.79001</cdr:y>
    </cdr:from>
    <cdr:to>
      <cdr:x>0.4743</cdr:x>
      <cdr:y>0.91767</cdr:y>
    </cdr:to>
    <cdr:sp macro="" textlink="">
      <cdr:nvSpPr>
        <cdr:cNvPr id="2" name="Flowchart: Connector 1" descr="Circle figure at the end of the thermometer picture">
          <a:extLst xmlns:a="http://schemas.openxmlformats.org/drawingml/2006/main">
            <a:ext uri="{FF2B5EF4-FFF2-40B4-BE49-F238E27FC236}">
              <a16:creationId xmlns:a16="http://schemas.microsoft.com/office/drawing/2014/main" id="{2A0AA92F-C34E-4FBC-9567-B0BC82723099}"/>
            </a:ext>
          </a:extLst>
        </cdr:cNvPr>
        <cdr:cNvSpPr/>
      </cdr:nvSpPr>
      <cdr:spPr>
        <a:xfrm xmlns:a="http://schemas.openxmlformats.org/drawingml/2006/main">
          <a:off x="688975" y="3980628"/>
          <a:ext cx="625878" cy="643264"/>
        </a:xfrm>
        <a:prstGeom xmlns:a="http://schemas.openxmlformats.org/drawingml/2006/main" prst="flowChartConnector">
          <a:avLst/>
        </a:prstGeom>
        <a:solidFill xmlns:a="http://schemas.openxmlformats.org/drawingml/2006/main">
          <a:srgbClr val="99221F"/>
        </a:solidFill>
        <a:ln xmlns:a="http://schemas.openxmlformats.org/drawingml/2006/main">
          <a:solidFill>
            <a:srgbClr val="99221F"/>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tlCol="0" anchor="t"/>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l"/>
          <a:endParaRPr lang="en-US" sz="1100"/>
        </a:p>
      </cdr:txBody>
    </cdr:sp>
  </cdr:relSizeAnchor>
  <cdr:relSizeAnchor xmlns:cdr="http://schemas.openxmlformats.org/drawingml/2006/chartDrawing">
    <cdr:from>
      <cdr:x>0.63679</cdr:x>
      <cdr:y>0.78702</cdr:y>
    </cdr:from>
    <cdr:to>
      <cdr:x>0.86256</cdr:x>
      <cdr:y>0.91468</cdr:y>
    </cdr:to>
    <cdr:sp macro="" textlink="">
      <cdr:nvSpPr>
        <cdr:cNvPr id="3" name="Flowchart: Connector 2" descr="Circle figure at the end of the thermometer picture">
          <a:extLst xmlns:a="http://schemas.openxmlformats.org/drawingml/2006/main">
            <a:ext uri="{FF2B5EF4-FFF2-40B4-BE49-F238E27FC236}">
              <a16:creationId xmlns:a16="http://schemas.microsoft.com/office/drawing/2014/main" id="{723D0551-4FFA-43C3-85AC-C1596F771366}"/>
            </a:ext>
          </a:extLst>
        </cdr:cNvPr>
        <cdr:cNvSpPr/>
      </cdr:nvSpPr>
      <cdr:spPr>
        <a:xfrm xmlns:a="http://schemas.openxmlformats.org/drawingml/2006/main">
          <a:off x="1765300" y="3965575"/>
          <a:ext cx="625878" cy="643264"/>
        </a:xfrm>
        <a:prstGeom xmlns:a="http://schemas.openxmlformats.org/drawingml/2006/main" prst="flowChartConnector">
          <a:avLst/>
        </a:prstGeom>
        <a:solidFill xmlns:a="http://schemas.openxmlformats.org/drawingml/2006/main">
          <a:srgbClr val="99221F"/>
        </a:solidFill>
        <a:ln xmlns:a="http://schemas.openxmlformats.org/drawingml/2006/main">
          <a:solidFill>
            <a:srgbClr val="99221F"/>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tlCol="0" anchor="t"/>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l"/>
          <a:endParaRPr lang="en-US" sz="1100"/>
        </a:p>
      </cdr:txBody>
    </cdr:sp>
  </cdr:relSizeAnchor>
</c:userShapes>
</file>

<file path=word/drawings/drawing76.xml><?xml version="1.0" encoding="utf-8"?>
<c:userShapes xmlns:c="http://schemas.openxmlformats.org/drawingml/2006/chart">
  <cdr:relSizeAnchor xmlns:cdr="http://schemas.openxmlformats.org/drawingml/2006/chartDrawing">
    <cdr:from>
      <cdr:x>0.25059</cdr:x>
      <cdr:y>0.80429</cdr:y>
    </cdr:from>
    <cdr:to>
      <cdr:x>0.47636</cdr:x>
      <cdr:y>0.93195</cdr:y>
    </cdr:to>
    <cdr:sp macro="" textlink="">
      <cdr:nvSpPr>
        <cdr:cNvPr id="2" name="Flowchart: Connector 1" descr="Circle figure at the end of the thermometer picture">
          <a:extLst xmlns:a="http://schemas.openxmlformats.org/drawingml/2006/main">
            <a:ext uri="{FF2B5EF4-FFF2-40B4-BE49-F238E27FC236}">
              <a16:creationId xmlns:a16="http://schemas.microsoft.com/office/drawing/2014/main" id="{2A0AA92F-C34E-4FBC-9567-B0BC82723099}"/>
            </a:ext>
          </a:extLst>
        </cdr:cNvPr>
        <cdr:cNvSpPr/>
      </cdr:nvSpPr>
      <cdr:spPr>
        <a:xfrm xmlns:a="http://schemas.openxmlformats.org/drawingml/2006/main">
          <a:off x="683763" y="4052581"/>
          <a:ext cx="616035" cy="643244"/>
        </a:xfrm>
        <a:prstGeom xmlns:a="http://schemas.openxmlformats.org/drawingml/2006/main" prst="flowChartConnector">
          <a:avLst/>
        </a:prstGeom>
        <a:solidFill xmlns:a="http://schemas.openxmlformats.org/drawingml/2006/main">
          <a:srgbClr val="99221F"/>
        </a:solidFill>
        <a:ln xmlns:a="http://schemas.openxmlformats.org/drawingml/2006/main">
          <a:solidFill>
            <a:srgbClr val="99221F"/>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tlCol="0" anchor="t"/>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l"/>
          <a:endParaRPr lang="en-US" sz="1100"/>
        </a:p>
      </cdr:txBody>
    </cdr:sp>
  </cdr:relSizeAnchor>
  <cdr:relSizeAnchor xmlns:cdr="http://schemas.openxmlformats.org/drawingml/2006/chartDrawing">
    <cdr:from>
      <cdr:x>0.6333</cdr:x>
      <cdr:y>0.80429</cdr:y>
    </cdr:from>
    <cdr:to>
      <cdr:x>0.85907</cdr:x>
      <cdr:y>0.93195</cdr:y>
    </cdr:to>
    <cdr:sp macro="" textlink="">
      <cdr:nvSpPr>
        <cdr:cNvPr id="3" name="Flowchart: Connector 2" descr="Circle figure at the end of the thermometer picture">
          <a:extLst xmlns:a="http://schemas.openxmlformats.org/drawingml/2006/main">
            <a:ext uri="{FF2B5EF4-FFF2-40B4-BE49-F238E27FC236}">
              <a16:creationId xmlns:a16="http://schemas.microsoft.com/office/drawing/2014/main" id="{723D0551-4FFA-43C3-85AC-C1596F771366}"/>
            </a:ext>
          </a:extLst>
        </cdr:cNvPr>
        <cdr:cNvSpPr/>
      </cdr:nvSpPr>
      <cdr:spPr>
        <a:xfrm xmlns:a="http://schemas.openxmlformats.org/drawingml/2006/main">
          <a:off x="1728017" y="4052581"/>
          <a:ext cx="616035" cy="643244"/>
        </a:xfrm>
        <a:prstGeom xmlns:a="http://schemas.openxmlformats.org/drawingml/2006/main" prst="flowChartConnector">
          <a:avLst/>
        </a:prstGeom>
        <a:solidFill xmlns:a="http://schemas.openxmlformats.org/drawingml/2006/main">
          <a:srgbClr val="99221F"/>
        </a:solidFill>
        <a:ln xmlns:a="http://schemas.openxmlformats.org/drawingml/2006/main">
          <a:solidFill>
            <a:srgbClr val="99221F"/>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tlCol="0" anchor="t"/>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l"/>
          <a:endParaRPr lang="en-US" sz="1100"/>
        </a:p>
      </cdr:txBody>
    </cdr:sp>
  </cdr:relSizeAnchor>
</c:userShapes>
</file>

<file path=word/drawings/drawing77.xml><?xml version="1.0" encoding="utf-8"?>
<c:userShapes xmlns:c="http://schemas.openxmlformats.org/drawingml/2006/chart">
  <cdr:relSizeAnchor xmlns:cdr="http://schemas.openxmlformats.org/drawingml/2006/chartDrawing">
    <cdr:from>
      <cdr:x>0.24853</cdr:x>
      <cdr:y>0.79001</cdr:y>
    </cdr:from>
    <cdr:to>
      <cdr:x>0.4743</cdr:x>
      <cdr:y>0.91767</cdr:y>
    </cdr:to>
    <cdr:sp macro="" textlink="">
      <cdr:nvSpPr>
        <cdr:cNvPr id="2" name="Flowchart: Connector 1" descr="Circle figure at the end of the thermometer picture">
          <a:extLst xmlns:a="http://schemas.openxmlformats.org/drawingml/2006/main">
            <a:ext uri="{FF2B5EF4-FFF2-40B4-BE49-F238E27FC236}">
              <a16:creationId xmlns:a16="http://schemas.microsoft.com/office/drawing/2014/main" id="{2A0AA92F-C34E-4FBC-9567-B0BC82723099}"/>
            </a:ext>
          </a:extLst>
        </cdr:cNvPr>
        <cdr:cNvSpPr/>
      </cdr:nvSpPr>
      <cdr:spPr>
        <a:xfrm xmlns:a="http://schemas.openxmlformats.org/drawingml/2006/main">
          <a:off x="688975" y="3980628"/>
          <a:ext cx="625878" cy="643264"/>
        </a:xfrm>
        <a:prstGeom xmlns:a="http://schemas.openxmlformats.org/drawingml/2006/main" prst="flowChartConnector">
          <a:avLst/>
        </a:prstGeom>
        <a:solidFill xmlns:a="http://schemas.openxmlformats.org/drawingml/2006/main">
          <a:srgbClr val="99221F"/>
        </a:solidFill>
        <a:ln xmlns:a="http://schemas.openxmlformats.org/drawingml/2006/main">
          <a:solidFill>
            <a:srgbClr val="99221F"/>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tlCol="0" anchor="t"/>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l"/>
          <a:endParaRPr lang="en-US" sz="1100"/>
        </a:p>
      </cdr:txBody>
    </cdr:sp>
  </cdr:relSizeAnchor>
  <cdr:relSizeAnchor xmlns:cdr="http://schemas.openxmlformats.org/drawingml/2006/chartDrawing">
    <cdr:from>
      <cdr:x>0.63679</cdr:x>
      <cdr:y>0.78702</cdr:y>
    </cdr:from>
    <cdr:to>
      <cdr:x>0.86256</cdr:x>
      <cdr:y>0.91468</cdr:y>
    </cdr:to>
    <cdr:sp macro="" textlink="">
      <cdr:nvSpPr>
        <cdr:cNvPr id="3" name="Flowchart: Connector 2" descr="Circle figure at the end of the thermometer picture">
          <a:extLst xmlns:a="http://schemas.openxmlformats.org/drawingml/2006/main">
            <a:ext uri="{FF2B5EF4-FFF2-40B4-BE49-F238E27FC236}">
              <a16:creationId xmlns:a16="http://schemas.microsoft.com/office/drawing/2014/main" id="{723D0551-4FFA-43C3-85AC-C1596F771366}"/>
            </a:ext>
          </a:extLst>
        </cdr:cNvPr>
        <cdr:cNvSpPr/>
      </cdr:nvSpPr>
      <cdr:spPr>
        <a:xfrm xmlns:a="http://schemas.openxmlformats.org/drawingml/2006/main">
          <a:off x="1765300" y="3965575"/>
          <a:ext cx="625878" cy="643264"/>
        </a:xfrm>
        <a:prstGeom xmlns:a="http://schemas.openxmlformats.org/drawingml/2006/main" prst="flowChartConnector">
          <a:avLst/>
        </a:prstGeom>
        <a:solidFill xmlns:a="http://schemas.openxmlformats.org/drawingml/2006/main">
          <a:srgbClr val="99221F"/>
        </a:solidFill>
        <a:ln xmlns:a="http://schemas.openxmlformats.org/drawingml/2006/main">
          <a:solidFill>
            <a:srgbClr val="99221F"/>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tlCol="0" anchor="t"/>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l"/>
          <a:endParaRPr lang="en-US" sz="1100"/>
        </a:p>
      </cdr:txBody>
    </cdr:sp>
  </cdr:relSizeAnchor>
</c:userShapes>
</file>

<file path=word/drawings/drawing78.xml><?xml version="1.0" encoding="utf-8"?>
<c:userShapes xmlns:c="http://schemas.openxmlformats.org/drawingml/2006/chart">
  <cdr:relSizeAnchor xmlns:cdr="http://schemas.openxmlformats.org/drawingml/2006/chartDrawing">
    <cdr:from>
      <cdr:x>0.24853</cdr:x>
      <cdr:y>0.79001</cdr:y>
    </cdr:from>
    <cdr:to>
      <cdr:x>0.4743</cdr:x>
      <cdr:y>0.91767</cdr:y>
    </cdr:to>
    <cdr:sp macro="" textlink="">
      <cdr:nvSpPr>
        <cdr:cNvPr id="2" name="Flowchart: Connector 1" descr="Circle figure at the end of the thermometer picture">
          <a:extLst xmlns:a="http://schemas.openxmlformats.org/drawingml/2006/main">
            <a:ext uri="{FF2B5EF4-FFF2-40B4-BE49-F238E27FC236}">
              <a16:creationId xmlns:a16="http://schemas.microsoft.com/office/drawing/2014/main" id="{2A0AA92F-C34E-4FBC-9567-B0BC82723099}"/>
            </a:ext>
          </a:extLst>
        </cdr:cNvPr>
        <cdr:cNvSpPr/>
      </cdr:nvSpPr>
      <cdr:spPr>
        <a:xfrm xmlns:a="http://schemas.openxmlformats.org/drawingml/2006/main">
          <a:off x="688975" y="3980628"/>
          <a:ext cx="625878" cy="643264"/>
        </a:xfrm>
        <a:prstGeom xmlns:a="http://schemas.openxmlformats.org/drawingml/2006/main" prst="flowChartConnector">
          <a:avLst/>
        </a:prstGeom>
        <a:solidFill xmlns:a="http://schemas.openxmlformats.org/drawingml/2006/main">
          <a:srgbClr val="99221F"/>
        </a:solidFill>
        <a:ln xmlns:a="http://schemas.openxmlformats.org/drawingml/2006/main">
          <a:solidFill>
            <a:srgbClr val="99221F"/>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tlCol="0" anchor="t"/>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l"/>
          <a:endParaRPr lang="en-US" sz="1100"/>
        </a:p>
      </cdr:txBody>
    </cdr:sp>
  </cdr:relSizeAnchor>
  <cdr:relSizeAnchor xmlns:cdr="http://schemas.openxmlformats.org/drawingml/2006/chartDrawing">
    <cdr:from>
      <cdr:x>0.63679</cdr:x>
      <cdr:y>0.78702</cdr:y>
    </cdr:from>
    <cdr:to>
      <cdr:x>0.86256</cdr:x>
      <cdr:y>0.91468</cdr:y>
    </cdr:to>
    <cdr:sp macro="" textlink="">
      <cdr:nvSpPr>
        <cdr:cNvPr id="3" name="Flowchart: Connector 2" descr="Circle figure at the end of the thermometer picture">
          <a:extLst xmlns:a="http://schemas.openxmlformats.org/drawingml/2006/main">
            <a:ext uri="{FF2B5EF4-FFF2-40B4-BE49-F238E27FC236}">
              <a16:creationId xmlns:a16="http://schemas.microsoft.com/office/drawing/2014/main" id="{723D0551-4FFA-43C3-85AC-C1596F771366}"/>
            </a:ext>
          </a:extLst>
        </cdr:cNvPr>
        <cdr:cNvSpPr/>
      </cdr:nvSpPr>
      <cdr:spPr>
        <a:xfrm xmlns:a="http://schemas.openxmlformats.org/drawingml/2006/main">
          <a:off x="1765300" y="3965575"/>
          <a:ext cx="625878" cy="643264"/>
        </a:xfrm>
        <a:prstGeom xmlns:a="http://schemas.openxmlformats.org/drawingml/2006/main" prst="flowChartConnector">
          <a:avLst/>
        </a:prstGeom>
        <a:solidFill xmlns:a="http://schemas.openxmlformats.org/drawingml/2006/main">
          <a:srgbClr val="99221F"/>
        </a:solidFill>
        <a:ln xmlns:a="http://schemas.openxmlformats.org/drawingml/2006/main">
          <a:solidFill>
            <a:srgbClr val="99221F"/>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tlCol="0" anchor="t"/>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l"/>
          <a:endParaRPr lang="en-US" sz="1100"/>
        </a:p>
      </cdr:txBody>
    </cdr:sp>
  </cdr:relSizeAnchor>
</c:userShapes>
</file>

<file path=word/drawings/drawing79.xml><?xml version="1.0" encoding="utf-8"?>
<c:userShapes xmlns:c="http://schemas.openxmlformats.org/drawingml/2006/chart">
  <cdr:relSizeAnchor xmlns:cdr="http://schemas.openxmlformats.org/drawingml/2006/chartDrawing">
    <cdr:from>
      <cdr:x>0.24853</cdr:x>
      <cdr:y>0.79001</cdr:y>
    </cdr:from>
    <cdr:to>
      <cdr:x>0.4743</cdr:x>
      <cdr:y>0.91767</cdr:y>
    </cdr:to>
    <cdr:sp macro="" textlink="">
      <cdr:nvSpPr>
        <cdr:cNvPr id="2" name="Flowchart: Connector 1" descr="Circle figure at the end of the thermometer picture">
          <a:extLst xmlns:a="http://schemas.openxmlformats.org/drawingml/2006/main">
            <a:ext uri="{FF2B5EF4-FFF2-40B4-BE49-F238E27FC236}">
              <a16:creationId xmlns:a16="http://schemas.microsoft.com/office/drawing/2014/main" id="{2A0AA92F-C34E-4FBC-9567-B0BC82723099}"/>
            </a:ext>
          </a:extLst>
        </cdr:cNvPr>
        <cdr:cNvSpPr/>
      </cdr:nvSpPr>
      <cdr:spPr>
        <a:xfrm xmlns:a="http://schemas.openxmlformats.org/drawingml/2006/main">
          <a:off x="688975" y="3980628"/>
          <a:ext cx="625878" cy="643264"/>
        </a:xfrm>
        <a:prstGeom xmlns:a="http://schemas.openxmlformats.org/drawingml/2006/main" prst="flowChartConnector">
          <a:avLst/>
        </a:prstGeom>
        <a:solidFill xmlns:a="http://schemas.openxmlformats.org/drawingml/2006/main">
          <a:srgbClr val="DC5350"/>
        </a:solidFill>
        <a:ln xmlns:a="http://schemas.openxmlformats.org/drawingml/2006/main">
          <a:solidFill>
            <a:srgbClr val="DC5350"/>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tlCol="0" anchor="t"/>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l"/>
          <a:endParaRPr lang="en-US" sz="1100"/>
        </a:p>
      </cdr:txBody>
    </cdr:sp>
  </cdr:relSizeAnchor>
  <cdr:relSizeAnchor xmlns:cdr="http://schemas.openxmlformats.org/drawingml/2006/chartDrawing">
    <cdr:from>
      <cdr:x>0.63679</cdr:x>
      <cdr:y>0.78702</cdr:y>
    </cdr:from>
    <cdr:to>
      <cdr:x>0.86256</cdr:x>
      <cdr:y>0.91468</cdr:y>
    </cdr:to>
    <cdr:sp macro="" textlink="">
      <cdr:nvSpPr>
        <cdr:cNvPr id="3" name="Flowchart: Connector 2" descr="Circle figure at the end of the thermometer picture">
          <a:extLst xmlns:a="http://schemas.openxmlformats.org/drawingml/2006/main">
            <a:ext uri="{FF2B5EF4-FFF2-40B4-BE49-F238E27FC236}">
              <a16:creationId xmlns:a16="http://schemas.microsoft.com/office/drawing/2014/main" id="{723D0551-4FFA-43C3-85AC-C1596F771366}"/>
            </a:ext>
          </a:extLst>
        </cdr:cNvPr>
        <cdr:cNvSpPr/>
      </cdr:nvSpPr>
      <cdr:spPr>
        <a:xfrm xmlns:a="http://schemas.openxmlformats.org/drawingml/2006/main">
          <a:off x="1765300" y="3965575"/>
          <a:ext cx="625878" cy="643264"/>
        </a:xfrm>
        <a:prstGeom xmlns:a="http://schemas.openxmlformats.org/drawingml/2006/main" prst="flowChartConnector">
          <a:avLst/>
        </a:prstGeom>
        <a:solidFill xmlns:a="http://schemas.openxmlformats.org/drawingml/2006/main">
          <a:srgbClr val="DC5350"/>
        </a:solidFill>
        <a:ln xmlns:a="http://schemas.openxmlformats.org/drawingml/2006/main">
          <a:solidFill>
            <a:srgbClr val="DC5350"/>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tlCol="0" anchor="t"/>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l"/>
          <a:endParaRPr lang="en-US" sz="1100"/>
        </a:p>
      </cdr:txBody>
    </cdr:sp>
  </cdr:relSizeAnchor>
</c:userShapes>
</file>

<file path=word/drawings/drawing8.xml><?xml version="1.0" encoding="utf-8"?>
<c:userShapes xmlns:c="http://schemas.openxmlformats.org/drawingml/2006/chart">
  <cdr:relSizeAnchor xmlns:cdr="http://schemas.openxmlformats.org/drawingml/2006/chartDrawing">
    <cdr:from>
      <cdr:x>0.24853</cdr:x>
      <cdr:y>0.79316</cdr:y>
    </cdr:from>
    <cdr:to>
      <cdr:x>0.4743</cdr:x>
      <cdr:y>0.92082</cdr:y>
    </cdr:to>
    <cdr:sp macro="" textlink="">
      <cdr:nvSpPr>
        <cdr:cNvPr id="2" name="Flowchart: Connector 1" descr="Circle figure at the end of the thermometer picture">
          <a:extLst xmlns:a="http://schemas.openxmlformats.org/drawingml/2006/main">
            <a:ext uri="{FF2B5EF4-FFF2-40B4-BE49-F238E27FC236}">
              <a16:creationId xmlns:a16="http://schemas.microsoft.com/office/drawing/2014/main" id="{2A0AA92F-C34E-4FBC-9567-B0BC82723099}"/>
            </a:ext>
          </a:extLst>
        </cdr:cNvPr>
        <cdr:cNvSpPr/>
      </cdr:nvSpPr>
      <cdr:spPr>
        <a:xfrm xmlns:a="http://schemas.openxmlformats.org/drawingml/2006/main">
          <a:off x="692821" y="4063108"/>
          <a:ext cx="629373" cy="653961"/>
        </a:xfrm>
        <a:prstGeom xmlns:a="http://schemas.openxmlformats.org/drawingml/2006/main" prst="flowChartConnector">
          <a:avLst/>
        </a:prstGeom>
        <a:solidFill xmlns:a="http://schemas.openxmlformats.org/drawingml/2006/main">
          <a:srgbClr val="99221F"/>
        </a:solidFill>
        <a:ln xmlns:a="http://schemas.openxmlformats.org/drawingml/2006/main">
          <a:solidFill>
            <a:srgbClr val="99221F"/>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tlCol="0" anchor="t"/>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l"/>
          <a:endParaRPr lang="en-US" sz="1100"/>
        </a:p>
      </cdr:txBody>
    </cdr:sp>
  </cdr:relSizeAnchor>
  <cdr:relSizeAnchor xmlns:cdr="http://schemas.openxmlformats.org/drawingml/2006/chartDrawing">
    <cdr:from>
      <cdr:x>0.63679</cdr:x>
      <cdr:y>0.79647</cdr:y>
    </cdr:from>
    <cdr:to>
      <cdr:x>0.86256</cdr:x>
      <cdr:y>0.92413</cdr:y>
    </cdr:to>
    <cdr:sp macro="" textlink="">
      <cdr:nvSpPr>
        <cdr:cNvPr id="3" name="Flowchart: Connector 2" descr="Circle figure at the end of the thermometer picture">
          <a:extLst xmlns:a="http://schemas.openxmlformats.org/drawingml/2006/main">
            <a:ext uri="{FF2B5EF4-FFF2-40B4-BE49-F238E27FC236}">
              <a16:creationId xmlns:a16="http://schemas.microsoft.com/office/drawing/2014/main" id="{723D0551-4FFA-43C3-85AC-C1596F771366}"/>
            </a:ext>
          </a:extLst>
        </cdr:cNvPr>
        <cdr:cNvSpPr/>
      </cdr:nvSpPr>
      <cdr:spPr>
        <a:xfrm xmlns:a="http://schemas.openxmlformats.org/drawingml/2006/main">
          <a:off x="1775164" y="4080081"/>
          <a:ext cx="629373" cy="653960"/>
        </a:xfrm>
        <a:prstGeom xmlns:a="http://schemas.openxmlformats.org/drawingml/2006/main" prst="flowChartConnector">
          <a:avLst/>
        </a:prstGeom>
        <a:solidFill xmlns:a="http://schemas.openxmlformats.org/drawingml/2006/main">
          <a:srgbClr val="99221F"/>
        </a:solidFill>
        <a:ln xmlns:a="http://schemas.openxmlformats.org/drawingml/2006/main">
          <a:solidFill>
            <a:srgbClr val="99221F"/>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tlCol="0" anchor="t"/>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l"/>
          <a:endParaRPr lang="en-US" sz="1100"/>
        </a:p>
      </cdr:txBody>
    </cdr:sp>
  </cdr:relSizeAnchor>
</c:userShapes>
</file>

<file path=word/drawings/drawing9.xml><?xml version="1.0" encoding="utf-8"?>
<c:userShapes xmlns:c="http://schemas.openxmlformats.org/drawingml/2006/chart">
  <cdr:relSizeAnchor xmlns:cdr="http://schemas.openxmlformats.org/drawingml/2006/chartDrawing">
    <cdr:from>
      <cdr:x>0.24853</cdr:x>
      <cdr:y>0.79001</cdr:y>
    </cdr:from>
    <cdr:to>
      <cdr:x>0.4743</cdr:x>
      <cdr:y>0.91767</cdr:y>
    </cdr:to>
    <cdr:sp macro="" textlink="">
      <cdr:nvSpPr>
        <cdr:cNvPr id="2" name="Flowchart: Connector 1" descr="Circle figure at the end of the thermometer picture">
          <a:extLst xmlns:a="http://schemas.openxmlformats.org/drawingml/2006/main">
            <a:ext uri="{FF2B5EF4-FFF2-40B4-BE49-F238E27FC236}">
              <a16:creationId xmlns:a16="http://schemas.microsoft.com/office/drawing/2014/main" id="{2A0AA92F-C34E-4FBC-9567-B0BC82723099}"/>
            </a:ext>
          </a:extLst>
        </cdr:cNvPr>
        <cdr:cNvSpPr/>
      </cdr:nvSpPr>
      <cdr:spPr>
        <a:xfrm xmlns:a="http://schemas.openxmlformats.org/drawingml/2006/main">
          <a:off x="688975" y="3980628"/>
          <a:ext cx="625878" cy="643264"/>
        </a:xfrm>
        <a:prstGeom xmlns:a="http://schemas.openxmlformats.org/drawingml/2006/main" prst="flowChartConnector">
          <a:avLst/>
        </a:prstGeom>
        <a:solidFill xmlns:a="http://schemas.openxmlformats.org/drawingml/2006/main">
          <a:srgbClr val="99221F"/>
        </a:solidFill>
        <a:ln xmlns:a="http://schemas.openxmlformats.org/drawingml/2006/main">
          <a:solidFill>
            <a:srgbClr val="99221F"/>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tlCol="0" anchor="t"/>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l"/>
          <a:endParaRPr lang="en-US" sz="1100"/>
        </a:p>
      </cdr:txBody>
    </cdr:sp>
  </cdr:relSizeAnchor>
  <cdr:relSizeAnchor xmlns:cdr="http://schemas.openxmlformats.org/drawingml/2006/chartDrawing">
    <cdr:from>
      <cdr:x>0.63679</cdr:x>
      <cdr:y>0.78702</cdr:y>
    </cdr:from>
    <cdr:to>
      <cdr:x>0.86256</cdr:x>
      <cdr:y>0.91468</cdr:y>
    </cdr:to>
    <cdr:sp macro="" textlink="">
      <cdr:nvSpPr>
        <cdr:cNvPr id="3" name="Flowchart: Connector 2" descr="Circle figure at the end of the thermometer picture">
          <a:extLst xmlns:a="http://schemas.openxmlformats.org/drawingml/2006/main">
            <a:ext uri="{FF2B5EF4-FFF2-40B4-BE49-F238E27FC236}">
              <a16:creationId xmlns:a16="http://schemas.microsoft.com/office/drawing/2014/main" id="{723D0551-4FFA-43C3-85AC-C1596F771366}"/>
            </a:ext>
          </a:extLst>
        </cdr:cNvPr>
        <cdr:cNvSpPr/>
      </cdr:nvSpPr>
      <cdr:spPr>
        <a:xfrm xmlns:a="http://schemas.openxmlformats.org/drawingml/2006/main">
          <a:off x="1765300" y="3965575"/>
          <a:ext cx="625878" cy="643264"/>
        </a:xfrm>
        <a:prstGeom xmlns:a="http://schemas.openxmlformats.org/drawingml/2006/main" prst="flowChartConnector">
          <a:avLst/>
        </a:prstGeom>
        <a:solidFill xmlns:a="http://schemas.openxmlformats.org/drawingml/2006/main">
          <a:srgbClr val="99221F"/>
        </a:solidFill>
        <a:ln xmlns:a="http://schemas.openxmlformats.org/drawingml/2006/main">
          <a:solidFill>
            <a:srgbClr val="99221F"/>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tlCol="0" anchor="t"/>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l"/>
          <a:endParaRPr lang="en-US" sz="1100"/>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Custom 1">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1F3864"/>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Custom 1">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1F3864"/>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Custom 1">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1F3864"/>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xml><?xml version="1.0" encoding="utf-8"?>
<a:themeOverride xmlns:a="http://schemas.openxmlformats.org/drawingml/2006/main">
  <a:clrScheme name="Custom 1">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1F3864"/>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xml><?xml version="1.0" encoding="utf-8"?>
<a:themeOverride xmlns:a="http://schemas.openxmlformats.org/drawingml/2006/main">
  <a:clrScheme name="Custom 1">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1F3864"/>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4.xml><?xml version="1.0" encoding="utf-8"?>
<a:themeOverride xmlns:a="http://schemas.openxmlformats.org/drawingml/2006/main">
  <a:clrScheme name="Custom 1">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1F3864"/>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5.xml><?xml version="1.0" encoding="utf-8"?>
<a:themeOverride xmlns:a="http://schemas.openxmlformats.org/drawingml/2006/main">
  <a:clrScheme name="Custom 1">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1F3864"/>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6.xml><?xml version="1.0" encoding="utf-8"?>
<a:themeOverride xmlns:a="http://schemas.openxmlformats.org/drawingml/2006/main">
  <a:clrScheme name="Custom 1">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1F3864"/>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7.xml><?xml version="1.0" encoding="utf-8"?>
<a:themeOverride xmlns:a="http://schemas.openxmlformats.org/drawingml/2006/main">
  <a:clrScheme name="Custom 1">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1F3864"/>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8.xml><?xml version="1.0" encoding="utf-8"?>
<a:themeOverride xmlns:a="http://schemas.openxmlformats.org/drawingml/2006/main">
  <a:clrScheme name="Custom 1">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1F3864"/>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9.xml><?xml version="1.0" encoding="utf-8"?>
<a:themeOverride xmlns:a="http://schemas.openxmlformats.org/drawingml/2006/main">
  <a:clrScheme name="Custom 1">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1F3864"/>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Custom 1">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1F3864"/>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0.xml><?xml version="1.0" encoding="utf-8"?>
<a:themeOverride xmlns:a="http://schemas.openxmlformats.org/drawingml/2006/main">
  <a:clrScheme name="Custom 1">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1F3864"/>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1.xml><?xml version="1.0" encoding="utf-8"?>
<a:themeOverride xmlns:a="http://schemas.openxmlformats.org/drawingml/2006/main">
  <a:clrScheme name="Custom 1">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1F3864"/>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2.xml><?xml version="1.0" encoding="utf-8"?>
<a:themeOverride xmlns:a="http://schemas.openxmlformats.org/drawingml/2006/main">
  <a:clrScheme name="Custom 1">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1F3864"/>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3.xml><?xml version="1.0" encoding="utf-8"?>
<a:themeOverride xmlns:a="http://schemas.openxmlformats.org/drawingml/2006/main">
  <a:clrScheme name="Custom 1">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1F3864"/>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4.xml><?xml version="1.0" encoding="utf-8"?>
<a:themeOverride xmlns:a="http://schemas.openxmlformats.org/drawingml/2006/main">
  <a:clrScheme name="Custom 1">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1F3864"/>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5.xml><?xml version="1.0" encoding="utf-8"?>
<a:themeOverride xmlns:a="http://schemas.openxmlformats.org/drawingml/2006/main">
  <a:clrScheme name="Custom 1">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1F3864"/>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6.xml><?xml version="1.0" encoding="utf-8"?>
<a:themeOverride xmlns:a="http://schemas.openxmlformats.org/drawingml/2006/main">
  <a:clrScheme name="Custom 1">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1F3864"/>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7.xml><?xml version="1.0" encoding="utf-8"?>
<a:themeOverride xmlns:a="http://schemas.openxmlformats.org/drawingml/2006/main">
  <a:clrScheme name="Custom 1">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1F3864"/>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8.xml><?xml version="1.0" encoding="utf-8"?>
<a:themeOverride xmlns:a="http://schemas.openxmlformats.org/drawingml/2006/main">
  <a:clrScheme name="Custom 1">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1F3864"/>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9.xml><?xml version="1.0" encoding="utf-8"?>
<a:themeOverride xmlns:a="http://schemas.openxmlformats.org/drawingml/2006/main">
  <a:clrScheme name="Custom 1">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1F3864"/>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0.xml><?xml version="1.0" encoding="utf-8"?>
<a:themeOverride xmlns:a="http://schemas.openxmlformats.org/drawingml/2006/main">
  <a:clrScheme name="Custom 1">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1F3864"/>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1.xml><?xml version="1.0" encoding="utf-8"?>
<a:themeOverride xmlns:a="http://schemas.openxmlformats.org/drawingml/2006/main">
  <a:clrScheme name="Custom 1">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1F3864"/>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2.xml><?xml version="1.0" encoding="utf-8"?>
<a:themeOverride xmlns:a="http://schemas.openxmlformats.org/drawingml/2006/main">
  <a:clrScheme name="Custom 1">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1F3864"/>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3.xml><?xml version="1.0" encoding="utf-8"?>
<a:themeOverride xmlns:a="http://schemas.openxmlformats.org/drawingml/2006/main">
  <a:clrScheme name="Custom 1">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1F3864"/>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4.xml><?xml version="1.0" encoding="utf-8"?>
<a:themeOverride xmlns:a="http://schemas.openxmlformats.org/drawingml/2006/main">
  <a:clrScheme name="Custom 1">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1F3864"/>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5.xml><?xml version="1.0" encoding="utf-8"?>
<a:themeOverride xmlns:a="http://schemas.openxmlformats.org/drawingml/2006/main">
  <a:clrScheme name="Custom 1">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1F3864"/>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6.xml><?xml version="1.0" encoding="utf-8"?>
<a:themeOverride xmlns:a="http://schemas.openxmlformats.org/drawingml/2006/main">
  <a:clrScheme name="Custom 1">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1F3864"/>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7.xml><?xml version="1.0" encoding="utf-8"?>
<a:themeOverride xmlns:a="http://schemas.openxmlformats.org/drawingml/2006/main">
  <a:clrScheme name="Custom 1">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1F3864"/>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8.xml><?xml version="1.0" encoding="utf-8"?>
<a:themeOverride xmlns:a="http://schemas.openxmlformats.org/drawingml/2006/main">
  <a:clrScheme name="Custom 1">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1F3864"/>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9.xml><?xml version="1.0" encoding="utf-8"?>
<a:themeOverride xmlns:a="http://schemas.openxmlformats.org/drawingml/2006/main">
  <a:clrScheme name="Custom 1">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1F3864"/>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0.xml><?xml version="1.0" encoding="utf-8"?>
<a:themeOverride xmlns:a="http://schemas.openxmlformats.org/drawingml/2006/main">
  <a:clrScheme name="Custom 1">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1F3864"/>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1.xml><?xml version="1.0" encoding="utf-8"?>
<a:themeOverride xmlns:a="http://schemas.openxmlformats.org/drawingml/2006/main">
  <a:clrScheme name="Custom 1">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1F3864"/>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2.xml><?xml version="1.0" encoding="utf-8"?>
<a:themeOverride xmlns:a="http://schemas.openxmlformats.org/drawingml/2006/main">
  <a:clrScheme name="Custom 1">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1F3864"/>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3.xml><?xml version="1.0" encoding="utf-8"?>
<a:themeOverride xmlns:a="http://schemas.openxmlformats.org/drawingml/2006/main">
  <a:clrScheme name="Custom 1">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1F3864"/>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4.xml><?xml version="1.0" encoding="utf-8"?>
<a:themeOverride xmlns:a="http://schemas.openxmlformats.org/drawingml/2006/main">
  <a:clrScheme name="Custom 1">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1F3864"/>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5.xml><?xml version="1.0" encoding="utf-8"?>
<a:themeOverride xmlns:a="http://schemas.openxmlformats.org/drawingml/2006/main">
  <a:clrScheme name="Custom 1">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1F3864"/>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6.xml><?xml version="1.0" encoding="utf-8"?>
<a:themeOverride xmlns:a="http://schemas.openxmlformats.org/drawingml/2006/main">
  <a:clrScheme name="Custom 1">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1F3864"/>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7.xml><?xml version="1.0" encoding="utf-8"?>
<a:themeOverride xmlns:a="http://schemas.openxmlformats.org/drawingml/2006/main">
  <a:clrScheme name="Custom 1">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1F3864"/>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8.xml><?xml version="1.0" encoding="utf-8"?>
<a:themeOverride xmlns:a="http://schemas.openxmlformats.org/drawingml/2006/main">
  <a:clrScheme name="Custom 1">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1F3864"/>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9.xml><?xml version="1.0" encoding="utf-8"?>
<a:themeOverride xmlns:a="http://schemas.openxmlformats.org/drawingml/2006/main">
  <a:clrScheme name="Custom 1">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1F3864"/>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Custom 1">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1F3864"/>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0.xml><?xml version="1.0" encoding="utf-8"?>
<a:themeOverride xmlns:a="http://schemas.openxmlformats.org/drawingml/2006/main">
  <a:clrScheme name="Custom 1">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1F3864"/>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1.xml><?xml version="1.0" encoding="utf-8"?>
<a:themeOverride xmlns:a="http://schemas.openxmlformats.org/drawingml/2006/main">
  <a:clrScheme name="Custom 1">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1F3864"/>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2.xml><?xml version="1.0" encoding="utf-8"?>
<a:themeOverride xmlns:a="http://schemas.openxmlformats.org/drawingml/2006/main">
  <a:clrScheme name="Custom 1">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1F3864"/>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3.xml><?xml version="1.0" encoding="utf-8"?>
<a:themeOverride xmlns:a="http://schemas.openxmlformats.org/drawingml/2006/main">
  <a:clrScheme name="Custom 1">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1F3864"/>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4.xml><?xml version="1.0" encoding="utf-8"?>
<a:themeOverride xmlns:a="http://schemas.openxmlformats.org/drawingml/2006/main">
  <a:clrScheme name="Custom 1">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1F3864"/>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5.xml><?xml version="1.0" encoding="utf-8"?>
<a:themeOverride xmlns:a="http://schemas.openxmlformats.org/drawingml/2006/main">
  <a:clrScheme name="Custom 1">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1F3864"/>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6.xml><?xml version="1.0" encoding="utf-8"?>
<a:themeOverride xmlns:a="http://schemas.openxmlformats.org/drawingml/2006/main">
  <a:clrScheme name="Custom 1">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1F3864"/>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7.xml><?xml version="1.0" encoding="utf-8"?>
<a:themeOverride xmlns:a="http://schemas.openxmlformats.org/drawingml/2006/main">
  <a:clrScheme name="Custom 1">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1F3864"/>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8.xml><?xml version="1.0" encoding="utf-8"?>
<a:themeOverride xmlns:a="http://schemas.openxmlformats.org/drawingml/2006/main">
  <a:clrScheme name="Custom 1">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1F3864"/>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9.xml><?xml version="1.0" encoding="utf-8"?>
<a:themeOverride xmlns:a="http://schemas.openxmlformats.org/drawingml/2006/main">
  <a:clrScheme name="Custom 1">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1F3864"/>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Custom 1">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1F3864"/>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0.xml><?xml version="1.0" encoding="utf-8"?>
<a:themeOverride xmlns:a="http://schemas.openxmlformats.org/drawingml/2006/main">
  <a:clrScheme name="Custom 1">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1F3864"/>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1.xml><?xml version="1.0" encoding="utf-8"?>
<a:themeOverride xmlns:a="http://schemas.openxmlformats.org/drawingml/2006/main">
  <a:clrScheme name="Custom 1">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1F3864"/>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2.xml><?xml version="1.0" encoding="utf-8"?>
<a:themeOverride xmlns:a="http://schemas.openxmlformats.org/drawingml/2006/main">
  <a:clrScheme name="Custom 1">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1F3864"/>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3.xml><?xml version="1.0" encoding="utf-8"?>
<a:themeOverride xmlns:a="http://schemas.openxmlformats.org/drawingml/2006/main">
  <a:clrScheme name="Custom 1">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1F3864"/>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4.xml><?xml version="1.0" encoding="utf-8"?>
<a:themeOverride xmlns:a="http://schemas.openxmlformats.org/drawingml/2006/main">
  <a:clrScheme name="Custom 1">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1F3864"/>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5.xml><?xml version="1.0" encoding="utf-8"?>
<a:themeOverride xmlns:a="http://schemas.openxmlformats.org/drawingml/2006/main">
  <a:clrScheme name="Custom 1">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1F3864"/>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6.xml><?xml version="1.0" encoding="utf-8"?>
<a:themeOverride xmlns:a="http://schemas.openxmlformats.org/drawingml/2006/main">
  <a:clrScheme name="Custom 1">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1F3864"/>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7.xml><?xml version="1.0" encoding="utf-8"?>
<a:themeOverride xmlns:a="http://schemas.openxmlformats.org/drawingml/2006/main">
  <a:clrScheme name="Custom 1">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1F3864"/>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8.xml><?xml version="1.0" encoding="utf-8"?>
<a:themeOverride xmlns:a="http://schemas.openxmlformats.org/drawingml/2006/main">
  <a:clrScheme name="Custom 1">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1F3864"/>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9.xml><?xml version="1.0" encoding="utf-8"?>
<a:themeOverride xmlns:a="http://schemas.openxmlformats.org/drawingml/2006/main">
  <a:clrScheme name="Custom 1">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1F3864"/>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Custom 1">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1F3864"/>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0.xml><?xml version="1.0" encoding="utf-8"?>
<a:themeOverride xmlns:a="http://schemas.openxmlformats.org/drawingml/2006/main">
  <a:clrScheme name="Custom 1">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1F3864"/>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1.xml><?xml version="1.0" encoding="utf-8"?>
<a:themeOverride xmlns:a="http://schemas.openxmlformats.org/drawingml/2006/main">
  <a:clrScheme name="Custom 1">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1F3864"/>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2.xml><?xml version="1.0" encoding="utf-8"?>
<a:themeOverride xmlns:a="http://schemas.openxmlformats.org/drawingml/2006/main">
  <a:clrScheme name="Custom 1">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1F3864"/>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3.xml><?xml version="1.0" encoding="utf-8"?>
<a:themeOverride xmlns:a="http://schemas.openxmlformats.org/drawingml/2006/main">
  <a:clrScheme name="Custom 1">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1F3864"/>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4.xml><?xml version="1.0" encoding="utf-8"?>
<a:themeOverride xmlns:a="http://schemas.openxmlformats.org/drawingml/2006/main">
  <a:clrScheme name="Custom 1">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1F3864"/>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5.xml><?xml version="1.0" encoding="utf-8"?>
<a:themeOverride xmlns:a="http://schemas.openxmlformats.org/drawingml/2006/main">
  <a:clrScheme name="Custom 1">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1F3864"/>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6.xml><?xml version="1.0" encoding="utf-8"?>
<a:themeOverride xmlns:a="http://schemas.openxmlformats.org/drawingml/2006/main">
  <a:clrScheme name="Custom 1">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1F3864"/>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7.xml><?xml version="1.0" encoding="utf-8"?>
<a:themeOverride xmlns:a="http://schemas.openxmlformats.org/drawingml/2006/main">
  <a:clrScheme name="Custom 1">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1F3864"/>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8.xml><?xml version="1.0" encoding="utf-8"?>
<a:themeOverride xmlns:a="http://schemas.openxmlformats.org/drawingml/2006/main">
  <a:clrScheme name="Custom 1">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1F3864"/>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9.xml><?xml version="1.0" encoding="utf-8"?>
<a:themeOverride xmlns:a="http://schemas.openxmlformats.org/drawingml/2006/main">
  <a:clrScheme name="Custom 1">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1F3864"/>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Custom 1">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1F3864"/>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0.xml><?xml version="1.0" encoding="utf-8"?>
<a:themeOverride xmlns:a="http://schemas.openxmlformats.org/drawingml/2006/main">
  <a:clrScheme name="Custom 1">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1F3864"/>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1.xml><?xml version="1.0" encoding="utf-8"?>
<a:themeOverride xmlns:a="http://schemas.openxmlformats.org/drawingml/2006/main">
  <a:clrScheme name="Custom 1">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1F3864"/>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2.xml><?xml version="1.0" encoding="utf-8"?>
<a:themeOverride xmlns:a="http://schemas.openxmlformats.org/drawingml/2006/main">
  <a:clrScheme name="Custom 1">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1F3864"/>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3.xml><?xml version="1.0" encoding="utf-8"?>
<a:themeOverride xmlns:a="http://schemas.openxmlformats.org/drawingml/2006/main">
  <a:clrScheme name="Custom 1">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1F3864"/>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4.xml><?xml version="1.0" encoding="utf-8"?>
<a:themeOverride xmlns:a="http://schemas.openxmlformats.org/drawingml/2006/main">
  <a:clrScheme name="Custom 1">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1F3864"/>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5.xml><?xml version="1.0" encoding="utf-8"?>
<a:themeOverride xmlns:a="http://schemas.openxmlformats.org/drawingml/2006/main">
  <a:clrScheme name="Custom 1">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1F3864"/>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6.xml><?xml version="1.0" encoding="utf-8"?>
<a:themeOverride xmlns:a="http://schemas.openxmlformats.org/drawingml/2006/main">
  <a:clrScheme name="Custom 1">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1F3864"/>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7.xml><?xml version="1.0" encoding="utf-8"?>
<a:themeOverride xmlns:a="http://schemas.openxmlformats.org/drawingml/2006/main">
  <a:clrScheme name="Custom 1">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1F3864"/>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8.xml><?xml version="1.0" encoding="utf-8"?>
<a:themeOverride xmlns:a="http://schemas.openxmlformats.org/drawingml/2006/main">
  <a:clrScheme name="Custom 1">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1F3864"/>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9.xml><?xml version="1.0" encoding="utf-8"?>
<a:themeOverride xmlns:a="http://schemas.openxmlformats.org/drawingml/2006/main">
  <a:clrScheme name="Custom 1">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1F3864"/>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Custom 1">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1F3864"/>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0.xml><?xml version="1.0" encoding="utf-8"?>
<a:themeOverride xmlns:a="http://schemas.openxmlformats.org/drawingml/2006/main">
  <a:clrScheme name="Custom 1">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1F3864"/>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94F3C16-4FDA-4CFF-B6F3-5711B9C2EEE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234</TotalTime>
  <Pages>203</Pages>
  <Words>45057</Words>
  <Characters>256829</Characters>
  <Application>Microsoft Office Word</Application>
  <DocSecurity>0</DocSecurity>
  <Lines>2140</Lines>
  <Paragraphs>602</Paragraphs>
  <ScaleCrop>false</ScaleCrop>
  <HeadingPairs>
    <vt:vector size="2" baseType="variant">
      <vt:variant>
        <vt:lpstr>Title</vt:lpstr>
      </vt:variant>
      <vt:variant>
        <vt:i4>1</vt:i4>
      </vt:variant>
    </vt:vector>
  </HeadingPairs>
  <TitlesOfParts>
    <vt:vector size="1" baseType="lpstr">
      <vt:lpstr>WINTAC YEAR FOUR, QUARTER FOUR</vt:lpstr>
    </vt:vector>
  </TitlesOfParts>
  <Company/>
  <LinksUpToDate>false</LinksUpToDate>
  <CharactersWithSpaces>301284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WINTAC YEAR FOUR, QUARTER FOUR</dc:title>
  <dc:subject/>
  <dc:creator>madya</dc:creator>
  <cp:keywords/>
  <dc:description/>
  <cp:lastModifiedBy>M</cp:lastModifiedBy>
  <cp:revision>3</cp:revision>
  <cp:lastPrinted>2019-12-24T13:29:00Z</cp:lastPrinted>
  <dcterms:created xsi:type="dcterms:W3CDTF">2020-07-14T20:07:00Z</dcterms:created>
  <dcterms:modified xsi:type="dcterms:W3CDTF">2020-07-15T00:10:00Z</dcterms:modified>
</cp:coreProperties>
</file>