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66791145"/>
        <w:docPartObj>
          <w:docPartGallery w:val="Cover Pages"/>
          <w:docPartUnique/>
        </w:docPartObj>
      </w:sdtPr>
      <w:sdtEndPr/>
      <w:sdtContent>
        <w:bookmarkStart w:id="0" w:name="_GoBack" w:displacedByCustomXml="prev"/>
        <w:p w:rsidR="0045221A" w:rsidRDefault="0045221A">
          <w:r>
            <w:rPr>
              <w:noProof/>
              <w:lang w:eastAsia="ko-KR"/>
            </w:rPr>
            <mc:AlternateContent>
              <mc:Choice Requires="wpg">
                <w:drawing>
                  <wp:anchor distT="0" distB="0" distL="114300" distR="114300" simplePos="0" relativeHeight="251659264" behindDoc="1" locked="0" layoutInCell="1" allowOverlap="1" wp14:anchorId="7679D647" wp14:editId="3B1E5A0E">
                    <wp:simplePos x="0" y="0"/>
                    <wp:positionH relativeFrom="page">
                      <wp:align>center</wp:align>
                    </wp:positionH>
                    <wp:positionV relativeFrom="page">
                      <wp:align>center</wp:align>
                    </wp:positionV>
                    <wp:extent cx="6864812" cy="9123528"/>
                    <wp:effectExtent l="0" t="0" r="2540" b="635"/>
                    <wp:wrapNone/>
                    <wp:docPr id="193" name="Group 193" descr="WINTAC&#10;Annual Performance and Financial Report: Year One"/>
                    <wp:cNvGraphicFramePr/>
                    <a:graphic xmlns:a="http://schemas.openxmlformats.org/drawingml/2006/main">
                      <a:graphicData uri="http://schemas.microsoft.com/office/word/2010/wordprocessingGroup">
                        <wpg:wgp>
                          <wpg:cNvGrpSpPr/>
                          <wpg:grpSpPr>
                            <a:xfrm>
                              <a:off x="0" y="0"/>
                              <a:ext cx="6864812" cy="9123528"/>
                              <a:chOff x="0" y="0"/>
                              <a:chExt cx="6864812"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142C0" w:rsidRDefault="009142C0" w:rsidP="003E79F0">
                                  <w:pPr>
                                    <w:pStyle w:val="NoSpacing"/>
                                    <w:spacing w:before="120"/>
                                    <w:jc w:val="center"/>
                                    <w:rPr>
                                      <w:color w:val="FFFFFF" w:themeColor="background1"/>
                                    </w:rPr>
                                  </w:pPr>
                                  <w:r>
                                    <w:rPr>
                                      <w:color w:val="FFFFFF" w:themeColor="background1"/>
                                    </w:rPr>
                                    <w:t>Caren Sax, Chaz Compton and Chip Kenney</w:t>
                                  </w:r>
                                </w:p>
                                <w:p w:rsidR="009142C0" w:rsidRDefault="009142C0" w:rsidP="003E79F0">
                                  <w:pPr>
                                    <w:pStyle w:val="NoSpacing"/>
                                    <w:spacing w:before="120"/>
                                    <w:jc w:val="center"/>
                                    <w:rPr>
                                      <w:color w:val="FFFFFF" w:themeColor="background1"/>
                                    </w:rPr>
                                  </w:pPr>
                                  <w:r>
                                    <w:rPr>
                                      <w:color w:val="FFFFFF" w:themeColor="background1"/>
                                    </w:rPr>
                                    <w:t>Year One – 10-1-2015 to 9-30-2016</w:t>
                                  </w:r>
                                </w:p>
                                <w:p w:rsidR="009142C0" w:rsidRDefault="009142C0">
                                  <w:pPr>
                                    <w:pStyle w:val="NoSpacing"/>
                                    <w:spacing w:before="120"/>
                                    <w:jc w:val="center"/>
                                    <w:rPr>
                                      <w:color w:val="FFFFFF" w:themeColor="background1"/>
                                    </w:rPr>
                                  </w:pPr>
                                  <w:r>
                                    <w:rPr>
                                      <w:caps/>
                                      <w:color w:val="FFFFFF" w:themeColor="background1"/>
                                    </w:rPr>
                                    <w:t>San Diego State university interwork institute</w:t>
                                  </w:r>
                                  <w:r>
                                    <w:rPr>
                                      <w:color w:val="FFFFFF" w:themeColor="background1"/>
                                    </w:rPr>
                                    <w:t>  </w:t>
                                  </w:r>
                                </w:p>
                                <w:p w:rsidR="009142C0" w:rsidRDefault="009142C0">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12" y="1374486"/>
                                <a:ext cx="6858000" cy="348246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42C0" w:rsidRDefault="009142C0">
                                  <w:pPr>
                                    <w:pStyle w:val="NoSpacing"/>
                                    <w:jc w:val="center"/>
                                    <w:rPr>
                                      <w:rFonts w:asciiTheme="majorHAnsi" w:eastAsiaTheme="majorEastAsia" w:hAnsiTheme="majorHAnsi" w:cstheme="majorBidi"/>
                                      <w:caps/>
                                      <w:color w:val="5B9BD5" w:themeColor="accent1"/>
                                      <w:sz w:val="72"/>
                                      <w:szCs w:val="72"/>
                                    </w:rPr>
                                  </w:pPr>
                                  <w:r w:rsidRPr="0045221A">
                                    <w:rPr>
                                      <w:noProof/>
                                      <w:lang w:eastAsia="ko-KR"/>
                                    </w:rPr>
                                    <w:drawing>
                                      <wp:inline distT="0" distB="0" distL="0" distR="0" wp14:anchorId="047C1B8D" wp14:editId="28399DDB">
                                        <wp:extent cx="5234305" cy="1414780"/>
                                        <wp:effectExtent l="0" t="0" r="4445" b="0"/>
                                        <wp:docPr id="4" name="Picture 4" descr="WINT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4305" cy="1414780"/>
                                                </a:xfrm>
                                                <a:prstGeom prst="rect">
                                                  <a:avLst/>
                                                </a:prstGeom>
                                                <a:noFill/>
                                                <a:ln>
                                                  <a:noFill/>
                                                </a:ln>
                                              </pic:spPr>
                                            </pic:pic>
                                          </a:graphicData>
                                        </a:graphic>
                                      </wp:inline>
                                    </w:drawing>
                                  </w:r>
                                </w:p>
                                <w:p w:rsidR="009142C0" w:rsidRPr="0045221A" w:rsidRDefault="009142C0" w:rsidP="00175958">
                                  <w:pPr>
                                    <w:pStyle w:val="NoSpacing"/>
                                    <w:jc w:val="center"/>
                                    <w:rPr>
                                      <w:rFonts w:ascii="Cambria" w:eastAsiaTheme="majorEastAsia" w:hAnsi="Cambria" w:cstheme="majorBidi"/>
                                      <w:caps/>
                                      <w:color w:val="5B9BD5" w:themeColor="accent1"/>
                                      <w:sz w:val="72"/>
                                      <w:szCs w:val="72"/>
                                    </w:rPr>
                                  </w:pPr>
                                  <w:r>
                                    <w:rPr>
                                      <w:rFonts w:ascii="Cambria" w:eastAsiaTheme="majorEastAsia" w:hAnsi="Cambria" w:cstheme="majorBidi"/>
                                      <w:caps/>
                                      <w:color w:val="5B9BD5" w:themeColor="accent1"/>
                                      <w:sz w:val="72"/>
                                      <w:szCs w:val="72"/>
                                    </w:rPr>
                                    <w:t>ANNUAL PERFORMANCE AND FINANCIAL</w:t>
                                  </w:r>
                                  <w:r w:rsidRPr="0045221A">
                                    <w:rPr>
                                      <w:rFonts w:ascii="Cambria" w:eastAsiaTheme="majorEastAsia" w:hAnsi="Cambria" w:cstheme="majorBidi"/>
                                      <w:caps/>
                                      <w:color w:val="5B9BD5" w:themeColor="accent1"/>
                                      <w:sz w:val="72"/>
                                      <w:szCs w:val="72"/>
                                    </w:rPr>
                                    <w:t xml:space="preserve"> Report</w:t>
                                  </w:r>
                                  <w:r>
                                    <w:rPr>
                                      <w:rFonts w:ascii="Cambria" w:eastAsiaTheme="majorEastAsia" w:hAnsi="Cambria" w:cstheme="majorBidi"/>
                                      <w:caps/>
                                      <w:color w:val="5B9BD5" w:themeColor="accent1"/>
                                      <w:sz w:val="72"/>
                                      <w:szCs w:val="72"/>
                                    </w:rPr>
                                    <w:t>: yEAR oNE</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7679D647" id="Group 193" o:spid="_x0000_s1026" alt="WINTAC&#10;Annual Performance and Financial Report: Year One"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p w:rsidR="009142C0" w:rsidRDefault="009142C0" w:rsidP="003E79F0">
                            <w:pPr>
                              <w:pStyle w:val="NoSpacing"/>
                              <w:spacing w:before="120"/>
                              <w:jc w:val="center"/>
                              <w:rPr>
                                <w:color w:val="FFFFFF" w:themeColor="background1"/>
                              </w:rPr>
                            </w:pPr>
                            <w:r>
                              <w:rPr>
                                <w:color w:val="FFFFFF" w:themeColor="background1"/>
                              </w:rPr>
                              <w:t>Caren Sax, Chaz Compton and Chip Kenney</w:t>
                            </w:r>
                          </w:p>
                          <w:p w:rsidR="009142C0" w:rsidRDefault="009142C0" w:rsidP="003E79F0">
                            <w:pPr>
                              <w:pStyle w:val="NoSpacing"/>
                              <w:spacing w:before="120"/>
                              <w:jc w:val="center"/>
                              <w:rPr>
                                <w:color w:val="FFFFFF" w:themeColor="background1"/>
                              </w:rPr>
                            </w:pPr>
                            <w:r>
                              <w:rPr>
                                <w:color w:val="FFFFFF" w:themeColor="background1"/>
                              </w:rPr>
                              <w:t>Year One – 10-1-2015 to 9-30-2016</w:t>
                            </w:r>
                          </w:p>
                          <w:p w:rsidR="009142C0" w:rsidRDefault="009142C0">
                            <w:pPr>
                              <w:pStyle w:val="NoSpacing"/>
                              <w:spacing w:before="120"/>
                              <w:jc w:val="center"/>
                              <w:rPr>
                                <w:color w:val="FFFFFF" w:themeColor="background1"/>
                              </w:rPr>
                            </w:pPr>
                            <w:r>
                              <w:rPr>
                                <w:caps/>
                                <w:color w:val="FFFFFF" w:themeColor="background1"/>
                              </w:rPr>
                              <w:t>San Diego State university interwork institute</w:t>
                            </w:r>
                            <w:r>
                              <w:rPr>
                                <w:color w:val="FFFFFF" w:themeColor="background1"/>
                              </w:rPr>
                              <w:t>  </w:t>
                            </w:r>
                          </w:p>
                          <w:p w:rsidR="009142C0" w:rsidRDefault="009142C0">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44;width:68580;height:34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rsidR="009142C0" w:rsidRDefault="009142C0">
                            <w:pPr>
                              <w:pStyle w:val="NoSpacing"/>
                              <w:jc w:val="center"/>
                              <w:rPr>
                                <w:rFonts w:asciiTheme="majorHAnsi" w:eastAsiaTheme="majorEastAsia" w:hAnsiTheme="majorHAnsi" w:cstheme="majorBidi"/>
                                <w:caps/>
                                <w:color w:val="5B9BD5" w:themeColor="accent1"/>
                                <w:sz w:val="72"/>
                                <w:szCs w:val="72"/>
                              </w:rPr>
                            </w:pPr>
                            <w:r w:rsidRPr="0045221A">
                              <w:rPr>
                                <w:noProof/>
                                <w:lang w:eastAsia="ko-KR"/>
                              </w:rPr>
                              <w:drawing>
                                <wp:inline distT="0" distB="0" distL="0" distR="0" wp14:anchorId="047C1B8D" wp14:editId="28399DDB">
                                  <wp:extent cx="5234305" cy="1414780"/>
                                  <wp:effectExtent l="0" t="0" r="4445" b="0"/>
                                  <wp:docPr id="4" name="Picture 4" descr="WINT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4305" cy="1414780"/>
                                          </a:xfrm>
                                          <a:prstGeom prst="rect">
                                            <a:avLst/>
                                          </a:prstGeom>
                                          <a:noFill/>
                                          <a:ln>
                                            <a:noFill/>
                                          </a:ln>
                                        </pic:spPr>
                                      </pic:pic>
                                    </a:graphicData>
                                  </a:graphic>
                                </wp:inline>
                              </w:drawing>
                            </w:r>
                          </w:p>
                          <w:p w:rsidR="009142C0" w:rsidRPr="0045221A" w:rsidRDefault="009142C0" w:rsidP="00175958">
                            <w:pPr>
                              <w:pStyle w:val="NoSpacing"/>
                              <w:jc w:val="center"/>
                              <w:rPr>
                                <w:rFonts w:ascii="Cambria" w:eastAsiaTheme="majorEastAsia" w:hAnsi="Cambria" w:cstheme="majorBidi"/>
                                <w:caps/>
                                <w:color w:val="5B9BD5" w:themeColor="accent1"/>
                                <w:sz w:val="72"/>
                                <w:szCs w:val="72"/>
                              </w:rPr>
                            </w:pPr>
                            <w:r>
                              <w:rPr>
                                <w:rFonts w:ascii="Cambria" w:eastAsiaTheme="majorEastAsia" w:hAnsi="Cambria" w:cstheme="majorBidi"/>
                                <w:caps/>
                                <w:color w:val="5B9BD5" w:themeColor="accent1"/>
                                <w:sz w:val="72"/>
                                <w:szCs w:val="72"/>
                              </w:rPr>
                              <w:t>ANNUAL PERFORMANCE AND FINANCIAL</w:t>
                            </w:r>
                            <w:r w:rsidRPr="0045221A">
                              <w:rPr>
                                <w:rFonts w:ascii="Cambria" w:eastAsiaTheme="majorEastAsia" w:hAnsi="Cambria" w:cstheme="majorBidi"/>
                                <w:caps/>
                                <w:color w:val="5B9BD5" w:themeColor="accent1"/>
                                <w:sz w:val="72"/>
                                <w:szCs w:val="72"/>
                              </w:rPr>
                              <w:t xml:space="preserve"> Report</w:t>
                            </w:r>
                            <w:r>
                              <w:rPr>
                                <w:rFonts w:ascii="Cambria" w:eastAsiaTheme="majorEastAsia" w:hAnsi="Cambria" w:cstheme="majorBidi"/>
                                <w:caps/>
                                <w:color w:val="5B9BD5" w:themeColor="accent1"/>
                                <w:sz w:val="72"/>
                                <w:szCs w:val="72"/>
                              </w:rPr>
                              <w:t>: yEAR oNE</w:t>
                            </w:r>
                          </w:p>
                        </w:txbxContent>
                      </v:textbox>
                    </v:shape>
                    <w10:wrap anchorx="page" anchory="page"/>
                  </v:group>
                </w:pict>
              </mc:Fallback>
            </mc:AlternateContent>
          </w:r>
          <w:bookmarkEnd w:id="0"/>
        </w:p>
        <w:p w:rsidR="0045221A" w:rsidRDefault="0045221A">
          <w:r>
            <w:br w:type="page"/>
          </w:r>
        </w:p>
      </w:sdtContent>
    </w:sdt>
    <w:p w:rsidR="001C7EA8" w:rsidRPr="001C7EA8" w:rsidRDefault="001C7EA8" w:rsidP="001C7EA8">
      <w:pPr>
        <w:pStyle w:val="IntenseQuote"/>
        <w:rPr>
          <w:b/>
          <w:i w:val="0"/>
          <w:sz w:val="40"/>
        </w:rPr>
      </w:pPr>
      <w:r w:rsidRPr="001C7EA8">
        <w:rPr>
          <w:b/>
          <w:i w:val="0"/>
          <w:sz w:val="40"/>
        </w:rPr>
        <w:lastRenderedPageBreak/>
        <w:t>PART A</w:t>
      </w:r>
      <w:r>
        <w:rPr>
          <w:b/>
          <w:i w:val="0"/>
          <w:sz w:val="40"/>
        </w:rPr>
        <w:t>: Narrative</w:t>
      </w:r>
    </w:p>
    <w:p w:rsidR="008A3695" w:rsidRDefault="008A3695" w:rsidP="008A3695">
      <w:pPr>
        <w:pStyle w:val="NoSpacing"/>
      </w:pPr>
    </w:p>
    <w:p w:rsidR="00292209" w:rsidRPr="009A0D0E" w:rsidRDefault="00292209" w:rsidP="009A0D0E">
      <w:pPr>
        <w:pStyle w:val="NoSpacing"/>
        <w:shd w:val="clear" w:color="auto" w:fill="E2EFD9" w:themeFill="accent6" w:themeFillTint="33"/>
        <w:jc w:val="center"/>
        <w:rPr>
          <w:b/>
          <w:sz w:val="28"/>
        </w:rPr>
      </w:pPr>
      <w:r w:rsidRPr="009A0D0E">
        <w:rPr>
          <w:b/>
          <w:sz w:val="28"/>
        </w:rPr>
        <w:t>Section I:  Outreach Activities</w:t>
      </w:r>
    </w:p>
    <w:p w:rsidR="00292209" w:rsidRDefault="00292209" w:rsidP="008A3695">
      <w:pPr>
        <w:pStyle w:val="NoSpacing"/>
      </w:pPr>
    </w:p>
    <w:p w:rsidR="00CD5D98" w:rsidRDefault="00CD5D98" w:rsidP="00176425">
      <w:pPr>
        <w:pStyle w:val="NoSpacing"/>
        <w:ind w:firstLine="720"/>
      </w:pPr>
      <w:r>
        <w:t>The outreach activities for the WINTAC were completed by the end of the third quarter.  The beginning of the project consisted of the assignment of State Liaisons that outreached directly to the State VR agencies.  This process was augmented by follow-up to the national needs assessment survey conducted as a collaboration with the other technical assistance centers.  The outreach that occurred at the end of the first year of the project was all a part of some kind of follow-up activity, and not an initial contact.  The WINTAC communicates with VR programs though the State liaisons, the website, the CSAVR communication network (weekly newsletters), the CSAVR conferences, ongoing universal, targeted and intensive TA efforts, and periodic presentations to other core Workforce Development partners.  There is not a need to conduct outreach efforts to VR programs any longer.  The WINTAC is well known enough, we believe, to move beyond basic information about our role and purpose, to providing technical assistance in all of its forms.</w:t>
      </w:r>
    </w:p>
    <w:p w:rsidR="00292209" w:rsidRDefault="00292209" w:rsidP="008A3695">
      <w:pPr>
        <w:pStyle w:val="NoSpacing"/>
      </w:pPr>
    </w:p>
    <w:p w:rsidR="00CD5D98" w:rsidRDefault="00CD5D98" w:rsidP="008A3695">
      <w:pPr>
        <w:pStyle w:val="NoSpacing"/>
      </w:pPr>
    </w:p>
    <w:p w:rsidR="008A3695" w:rsidRPr="0045221A" w:rsidRDefault="008A3695" w:rsidP="0045221A">
      <w:pPr>
        <w:pStyle w:val="NoSpacing"/>
        <w:shd w:val="clear" w:color="auto" w:fill="FBE4D5" w:themeFill="accent2" w:themeFillTint="33"/>
        <w:jc w:val="center"/>
        <w:rPr>
          <w:b/>
          <w:sz w:val="28"/>
        </w:rPr>
      </w:pPr>
      <w:r w:rsidRPr="0045221A">
        <w:rPr>
          <w:b/>
          <w:sz w:val="28"/>
        </w:rPr>
        <w:t xml:space="preserve">Section </w:t>
      </w:r>
      <w:r w:rsidR="009A0D0E">
        <w:rPr>
          <w:b/>
          <w:sz w:val="28"/>
        </w:rPr>
        <w:t>I</w:t>
      </w:r>
      <w:r w:rsidRPr="0045221A">
        <w:rPr>
          <w:b/>
          <w:sz w:val="28"/>
        </w:rPr>
        <w:t>I:  Universal TA Quarterly Reporting</w:t>
      </w:r>
    </w:p>
    <w:p w:rsidR="008A3695" w:rsidRDefault="008A3695" w:rsidP="008A3695">
      <w:pPr>
        <w:pStyle w:val="NoSpacing"/>
      </w:pPr>
    </w:p>
    <w:p w:rsidR="00774727" w:rsidRDefault="00774727" w:rsidP="00176425">
      <w:pPr>
        <w:pStyle w:val="NoSpacing"/>
        <w:ind w:firstLine="720"/>
      </w:pPr>
      <w:r>
        <w:t>The frequency and number of contacts to the WINTAC have increased steadily over the course of the first year of the project.  The vast majority of the contacts have been from and to State VR agencies</w:t>
      </w:r>
      <w:r w:rsidR="001A0C9C">
        <w:t>.  S</w:t>
      </w:r>
      <w:r>
        <w:t xml:space="preserve">everal other types of organizations have initiated contact and asked questions and received TA from the WINTAC.  Table </w:t>
      </w:r>
      <w:r w:rsidR="001F4904">
        <w:t>1</w:t>
      </w:r>
      <w:r>
        <w:t xml:space="preserve"> below identifies the number of center contacts by entity through the end of Year One.</w:t>
      </w:r>
    </w:p>
    <w:p w:rsidR="00774727" w:rsidRDefault="00774727" w:rsidP="00774727">
      <w:pPr>
        <w:pStyle w:val="NoSpacing"/>
      </w:pPr>
    </w:p>
    <w:p w:rsidR="001F4904" w:rsidRDefault="001F4904" w:rsidP="00774727">
      <w:pPr>
        <w:pStyle w:val="NoSpacing"/>
      </w:pPr>
      <w:r>
        <w:t>Table 1</w:t>
      </w:r>
    </w:p>
    <w:tbl>
      <w:tblPr>
        <w:tblW w:w="7120" w:type="dxa"/>
        <w:tblLook w:val="04A0" w:firstRow="1" w:lastRow="0" w:firstColumn="1" w:lastColumn="0" w:noHBand="0" w:noVBand="1"/>
      </w:tblPr>
      <w:tblGrid>
        <w:gridCol w:w="6040"/>
        <w:gridCol w:w="1080"/>
      </w:tblGrid>
      <w:tr w:rsidR="007702D6" w:rsidRPr="007702D6" w:rsidTr="007702D6">
        <w:trPr>
          <w:trHeight w:val="315"/>
        </w:trPr>
        <w:tc>
          <w:tcPr>
            <w:tcW w:w="7120" w:type="dxa"/>
            <w:gridSpan w:val="2"/>
            <w:tcBorders>
              <w:top w:val="single" w:sz="8" w:space="0" w:color="auto"/>
              <w:left w:val="single" w:sz="8" w:space="0" w:color="auto"/>
              <w:bottom w:val="single" w:sz="8" w:space="0" w:color="auto"/>
              <w:right w:val="single" w:sz="8" w:space="0" w:color="000000"/>
            </w:tcBorders>
            <w:shd w:val="clear" w:color="000000" w:fill="FCE4D6"/>
            <w:vAlign w:val="center"/>
            <w:hideMark/>
          </w:tcPr>
          <w:p w:rsidR="007702D6" w:rsidRPr="007702D6" w:rsidRDefault="007702D6" w:rsidP="007702D6">
            <w:pPr>
              <w:spacing w:after="0" w:line="240" w:lineRule="auto"/>
              <w:jc w:val="center"/>
              <w:rPr>
                <w:rFonts w:eastAsia="Times New Roman"/>
                <w:b/>
                <w:bCs/>
                <w:color w:val="000000"/>
              </w:rPr>
            </w:pPr>
            <w:r w:rsidRPr="007702D6">
              <w:rPr>
                <w:rFonts w:eastAsia="Times New Roman"/>
                <w:b/>
                <w:bCs/>
                <w:color w:val="000000"/>
              </w:rPr>
              <w:t>Center Contacts by Entity - Year One Total</w:t>
            </w:r>
          </w:p>
        </w:tc>
      </w:tr>
      <w:tr w:rsidR="007702D6" w:rsidRPr="007702D6" w:rsidTr="007702D6">
        <w:trPr>
          <w:trHeight w:val="608"/>
        </w:trPr>
        <w:tc>
          <w:tcPr>
            <w:tcW w:w="6040" w:type="dxa"/>
            <w:tcBorders>
              <w:top w:val="nil"/>
              <w:left w:val="single" w:sz="8" w:space="0" w:color="auto"/>
              <w:bottom w:val="single" w:sz="8" w:space="0" w:color="auto"/>
              <w:right w:val="single" w:sz="8" w:space="0" w:color="auto"/>
            </w:tcBorders>
            <w:shd w:val="clear" w:color="000000" w:fill="F8CBAD"/>
            <w:vAlign w:val="center"/>
            <w:hideMark/>
          </w:tcPr>
          <w:p w:rsidR="007702D6" w:rsidRPr="007702D6" w:rsidRDefault="007702D6" w:rsidP="007702D6">
            <w:pPr>
              <w:spacing w:after="0" w:line="240" w:lineRule="auto"/>
              <w:jc w:val="center"/>
              <w:rPr>
                <w:rFonts w:eastAsia="Times New Roman"/>
                <w:b/>
                <w:bCs/>
                <w:color w:val="000000"/>
              </w:rPr>
            </w:pPr>
            <w:r w:rsidRPr="007702D6">
              <w:rPr>
                <w:rFonts w:eastAsia="Times New Roman"/>
                <w:b/>
                <w:bCs/>
                <w:color w:val="000000"/>
              </w:rPr>
              <w:t>Entity</w:t>
            </w:r>
          </w:p>
        </w:tc>
        <w:tc>
          <w:tcPr>
            <w:tcW w:w="1080" w:type="dxa"/>
            <w:tcBorders>
              <w:top w:val="nil"/>
              <w:left w:val="nil"/>
              <w:bottom w:val="single" w:sz="8" w:space="0" w:color="auto"/>
              <w:right w:val="single" w:sz="8" w:space="0" w:color="auto"/>
            </w:tcBorders>
            <w:shd w:val="clear" w:color="000000" w:fill="F8CBAD"/>
            <w:vAlign w:val="center"/>
            <w:hideMark/>
          </w:tcPr>
          <w:p w:rsidR="007702D6" w:rsidRPr="007702D6" w:rsidRDefault="007702D6" w:rsidP="007702D6">
            <w:pPr>
              <w:spacing w:after="0" w:line="240" w:lineRule="auto"/>
              <w:jc w:val="center"/>
              <w:rPr>
                <w:rFonts w:eastAsia="Times New Roman"/>
                <w:b/>
                <w:bCs/>
                <w:color w:val="000000"/>
              </w:rPr>
            </w:pPr>
            <w:r w:rsidRPr="007702D6">
              <w:rPr>
                <w:rFonts w:eastAsia="Times New Roman"/>
                <w:b/>
                <w:bCs/>
                <w:color w:val="000000"/>
              </w:rPr>
              <w:t>Number</w:t>
            </w:r>
          </w:p>
        </w:tc>
      </w:tr>
      <w:tr w:rsidR="007702D6" w:rsidRPr="007702D6" w:rsidTr="007702D6">
        <w:trPr>
          <w:trHeight w:val="315"/>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rPr>
                <w:rFonts w:eastAsia="Times New Roman"/>
                <w:color w:val="000000"/>
              </w:rPr>
            </w:pPr>
            <w:r w:rsidRPr="007702D6">
              <w:rPr>
                <w:rFonts w:eastAsia="Times New Roman"/>
                <w:color w:val="000000"/>
              </w:rPr>
              <w:t>State VR Agency to WINTAC</w:t>
            </w:r>
          </w:p>
        </w:tc>
        <w:tc>
          <w:tcPr>
            <w:tcW w:w="1080" w:type="dxa"/>
            <w:tcBorders>
              <w:top w:val="nil"/>
              <w:left w:val="nil"/>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jc w:val="right"/>
              <w:rPr>
                <w:rFonts w:eastAsia="Times New Roman"/>
                <w:color w:val="000000"/>
              </w:rPr>
            </w:pPr>
            <w:r w:rsidRPr="007702D6">
              <w:rPr>
                <w:rFonts w:eastAsia="Times New Roman"/>
                <w:color w:val="000000"/>
              </w:rPr>
              <w:t>420</w:t>
            </w:r>
          </w:p>
        </w:tc>
      </w:tr>
      <w:tr w:rsidR="007702D6" w:rsidRPr="007702D6" w:rsidTr="007702D6">
        <w:trPr>
          <w:trHeight w:val="315"/>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rPr>
                <w:rFonts w:eastAsia="Times New Roman"/>
                <w:color w:val="000000"/>
              </w:rPr>
            </w:pPr>
            <w:r w:rsidRPr="007702D6">
              <w:rPr>
                <w:rFonts w:eastAsia="Times New Roman"/>
                <w:color w:val="000000"/>
              </w:rPr>
              <w:t>Federal Agency to WINTAC</w:t>
            </w:r>
          </w:p>
        </w:tc>
        <w:tc>
          <w:tcPr>
            <w:tcW w:w="1080" w:type="dxa"/>
            <w:tcBorders>
              <w:top w:val="nil"/>
              <w:left w:val="nil"/>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jc w:val="right"/>
              <w:rPr>
                <w:rFonts w:eastAsia="Times New Roman"/>
                <w:color w:val="000000"/>
              </w:rPr>
            </w:pPr>
            <w:r w:rsidRPr="007702D6">
              <w:rPr>
                <w:rFonts w:eastAsia="Times New Roman"/>
                <w:color w:val="000000"/>
              </w:rPr>
              <w:t>6</w:t>
            </w:r>
          </w:p>
        </w:tc>
      </w:tr>
      <w:tr w:rsidR="007702D6" w:rsidRPr="007702D6" w:rsidTr="007702D6">
        <w:trPr>
          <w:trHeight w:val="623"/>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rPr>
                <w:rFonts w:eastAsia="Times New Roman"/>
                <w:color w:val="000000"/>
              </w:rPr>
            </w:pPr>
            <w:r w:rsidRPr="007702D6">
              <w:rPr>
                <w:rFonts w:eastAsia="Times New Roman"/>
                <w:color w:val="000000"/>
              </w:rPr>
              <w:t>WINTAC to State VR Agency</w:t>
            </w:r>
          </w:p>
        </w:tc>
        <w:tc>
          <w:tcPr>
            <w:tcW w:w="1080" w:type="dxa"/>
            <w:tcBorders>
              <w:top w:val="nil"/>
              <w:left w:val="nil"/>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jc w:val="right"/>
              <w:rPr>
                <w:rFonts w:eastAsia="Times New Roman"/>
                <w:color w:val="000000"/>
              </w:rPr>
            </w:pPr>
            <w:r w:rsidRPr="007702D6">
              <w:rPr>
                <w:rFonts w:eastAsia="Times New Roman"/>
                <w:color w:val="000000"/>
              </w:rPr>
              <w:t>26</w:t>
            </w:r>
          </w:p>
        </w:tc>
      </w:tr>
      <w:tr w:rsidR="007702D6" w:rsidRPr="007702D6" w:rsidTr="007702D6">
        <w:trPr>
          <w:trHeight w:val="623"/>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rPr>
                <w:rFonts w:eastAsia="Times New Roman"/>
                <w:color w:val="000000"/>
              </w:rPr>
            </w:pPr>
            <w:r w:rsidRPr="007702D6">
              <w:rPr>
                <w:rFonts w:eastAsia="Times New Roman"/>
                <w:color w:val="000000"/>
              </w:rPr>
              <w:t>WINTAC to Federal Agency</w:t>
            </w:r>
          </w:p>
        </w:tc>
        <w:tc>
          <w:tcPr>
            <w:tcW w:w="1080" w:type="dxa"/>
            <w:tcBorders>
              <w:top w:val="nil"/>
              <w:left w:val="nil"/>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jc w:val="right"/>
              <w:rPr>
                <w:rFonts w:eastAsia="Times New Roman"/>
                <w:color w:val="000000"/>
              </w:rPr>
            </w:pPr>
            <w:r w:rsidRPr="007702D6">
              <w:rPr>
                <w:rFonts w:eastAsia="Times New Roman"/>
                <w:color w:val="000000"/>
              </w:rPr>
              <w:t>47</w:t>
            </w:r>
          </w:p>
        </w:tc>
      </w:tr>
      <w:tr w:rsidR="007702D6" w:rsidRPr="007702D6" w:rsidTr="007702D6">
        <w:trPr>
          <w:trHeight w:val="315"/>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rPr>
                <w:rFonts w:eastAsia="Times New Roman"/>
                <w:color w:val="000000"/>
              </w:rPr>
            </w:pPr>
            <w:r w:rsidRPr="007702D6">
              <w:rPr>
                <w:rFonts w:eastAsia="Times New Roman"/>
                <w:color w:val="000000"/>
              </w:rPr>
              <w:t>Secondary or Postsecondary Education</w:t>
            </w:r>
          </w:p>
        </w:tc>
        <w:tc>
          <w:tcPr>
            <w:tcW w:w="1080" w:type="dxa"/>
            <w:tcBorders>
              <w:top w:val="nil"/>
              <w:left w:val="nil"/>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jc w:val="right"/>
              <w:rPr>
                <w:rFonts w:eastAsia="Times New Roman"/>
                <w:color w:val="000000"/>
              </w:rPr>
            </w:pPr>
            <w:r w:rsidRPr="007702D6">
              <w:rPr>
                <w:rFonts w:eastAsia="Times New Roman"/>
                <w:color w:val="000000"/>
              </w:rPr>
              <w:t>43</w:t>
            </w:r>
          </w:p>
        </w:tc>
      </w:tr>
      <w:tr w:rsidR="007702D6" w:rsidRPr="007702D6" w:rsidTr="007702D6">
        <w:trPr>
          <w:trHeight w:val="315"/>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rPr>
                <w:rFonts w:eastAsia="Times New Roman"/>
                <w:color w:val="000000"/>
              </w:rPr>
            </w:pPr>
            <w:r w:rsidRPr="007702D6">
              <w:rPr>
                <w:rFonts w:eastAsia="Times New Roman"/>
                <w:color w:val="000000"/>
              </w:rPr>
              <w:t>Community Rehabilitation Program</w:t>
            </w:r>
          </w:p>
        </w:tc>
        <w:tc>
          <w:tcPr>
            <w:tcW w:w="1080" w:type="dxa"/>
            <w:tcBorders>
              <w:top w:val="nil"/>
              <w:left w:val="nil"/>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jc w:val="right"/>
              <w:rPr>
                <w:rFonts w:eastAsia="Times New Roman"/>
                <w:color w:val="000000"/>
              </w:rPr>
            </w:pPr>
            <w:r w:rsidRPr="007702D6">
              <w:rPr>
                <w:rFonts w:eastAsia="Times New Roman"/>
                <w:color w:val="000000"/>
              </w:rPr>
              <w:t>54</w:t>
            </w:r>
          </w:p>
        </w:tc>
      </w:tr>
      <w:tr w:rsidR="007702D6" w:rsidRPr="007702D6" w:rsidTr="007702D6">
        <w:trPr>
          <w:trHeight w:val="315"/>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rPr>
                <w:rFonts w:eastAsia="Times New Roman"/>
                <w:color w:val="000000"/>
              </w:rPr>
            </w:pPr>
            <w:r w:rsidRPr="007702D6">
              <w:rPr>
                <w:rFonts w:eastAsia="Times New Roman"/>
                <w:color w:val="000000"/>
              </w:rPr>
              <w:t>Other Rehabilitation Professional</w:t>
            </w:r>
          </w:p>
        </w:tc>
        <w:tc>
          <w:tcPr>
            <w:tcW w:w="1080" w:type="dxa"/>
            <w:tcBorders>
              <w:top w:val="nil"/>
              <w:left w:val="nil"/>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jc w:val="right"/>
              <w:rPr>
                <w:rFonts w:eastAsia="Times New Roman"/>
                <w:color w:val="000000"/>
              </w:rPr>
            </w:pPr>
            <w:r w:rsidRPr="007702D6">
              <w:rPr>
                <w:rFonts w:eastAsia="Times New Roman"/>
                <w:color w:val="000000"/>
              </w:rPr>
              <w:t>4</w:t>
            </w:r>
          </w:p>
        </w:tc>
      </w:tr>
      <w:tr w:rsidR="007702D6" w:rsidRPr="007702D6" w:rsidTr="007702D6">
        <w:trPr>
          <w:trHeight w:val="315"/>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rPr>
                <w:rFonts w:eastAsia="Times New Roman"/>
                <w:color w:val="000000"/>
              </w:rPr>
            </w:pPr>
            <w:r w:rsidRPr="007702D6">
              <w:rPr>
                <w:rFonts w:eastAsia="Times New Roman"/>
                <w:color w:val="000000"/>
              </w:rPr>
              <w:t>Other public organizations (Including other TACs)</w:t>
            </w:r>
          </w:p>
        </w:tc>
        <w:tc>
          <w:tcPr>
            <w:tcW w:w="1080" w:type="dxa"/>
            <w:tcBorders>
              <w:top w:val="nil"/>
              <w:left w:val="nil"/>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jc w:val="right"/>
              <w:rPr>
                <w:rFonts w:eastAsia="Times New Roman"/>
                <w:color w:val="000000"/>
              </w:rPr>
            </w:pPr>
            <w:r w:rsidRPr="007702D6">
              <w:rPr>
                <w:rFonts w:eastAsia="Times New Roman"/>
                <w:color w:val="000000"/>
              </w:rPr>
              <w:t>65</w:t>
            </w:r>
          </w:p>
        </w:tc>
      </w:tr>
      <w:tr w:rsidR="007702D6" w:rsidRPr="007702D6" w:rsidTr="007702D6">
        <w:trPr>
          <w:trHeight w:val="315"/>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rPr>
                <w:rFonts w:eastAsia="Times New Roman"/>
                <w:color w:val="000000"/>
              </w:rPr>
            </w:pPr>
            <w:r w:rsidRPr="007702D6">
              <w:rPr>
                <w:rFonts w:eastAsia="Times New Roman"/>
                <w:color w:val="000000"/>
              </w:rPr>
              <w:lastRenderedPageBreak/>
              <w:t>Other private organizations</w:t>
            </w:r>
          </w:p>
        </w:tc>
        <w:tc>
          <w:tcPr>
            <w:tcW w:w="1080" w:type="dxa"/>
            <w:tcBorders>
              <w:top w:val="nil"/>
              <w:left w:val="nil"/>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jc w:val="right"/>
              <w:rPr>
                <w:rFonts w:eastAsia="Times New Roman"/>
                <w:color w:val="000000"/>
              </w:rPr>
            </w:pPr>
            <w:r w:rsidRPr="007702D6">
              <w:rPr>
                <w:rFonts w:eastAsia="Times New Roman"/>
                <w:color w:val="000000"/>
              </w:rPr>
              <w:t>5</w:t>
            </w:r>
          </w:p>
        </w:tc>
      </w:tr>
      <w:tr w:rsidR="007702D6" w:rsidRPr="007702D6" w:rsidTr="007702D6">
        <w:trPr>
          <w:trHeight w:val="315"/>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rPr>
                <w:rFonts w:eastAsia="Times New Roman"/>
                <w:color w:val="000000"/>
              </w:rPr>
            </w:pPr>
            <w:r w:rsidRPr="007702D6">
              <w:rPr>
                <w:rFonts w:eastAsia="Times New Roman"/>
                <w:color w:val="000000"/>
              </w:rPr>
              <w:t>Individual</w:t>
            </w:r>
          </w:p>
        </w:tc>
        <w:tc>
          <w:tcPr>
            <w:tcW w:w="1080" w:type="dxa"/>
            <w:tcBorders>
              <w:top w:val="nil"/>
              <w:left w:val="nil"/>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jc w:val="right"/>
              <w:rPr>
                <w:rFonts w:eastAsia="Times New Roman"/>
                <w:color w:val="000000"/>
              </w:rPr>
            </w:pPr>
            <w:r w:rsidRPr="007702D6">
              <w:rPr>
                <w:rFonts w:eastAsia="Times New Roman"/>
                <w:color w:val="000000"/>
              </w:rPr>
              <w:t>5</w:t>
            </w:r>
          </w:p>
        </w:tc>
      </w:tr>
      <w:tr w:rsidR="007702D6" w:rsidRPr="007702D6" w:rsidTr="007702D6">
        <w:trPr>
          <w:trHeight w:val="315"/>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rPr>
                <w:rFonts w:eastAsia="Times New Roman"/>
                <w:color w:val="000000"/>
              </w:rPr>
            </w:pPr>
            <w:r w:rsidRPr="007702D6">
              <w:rPr>
                <w:rFonts w:eastAsia="Times New Roman"/>
                <w:color w:val="000000"/>
              </w:rPr>
              <w:t>Other</w:t>
            </w:r>
          </w:p>
        </w:tc>
        <w:tc>
          <w:tcPr>
            <w:tcW w:w="1080" w:type="dxa"/>
            <w:tcBorders>
              <w:top w:val="nil"/>
              <w:left w:val="nil"/>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jc w:val="right"/>
              <w:rPr>
                <w:rFonts w:eastAsia="Times New Roman"/>
                <w:color w:val="000000"/>
              </w:rPr>
            </w:pPr>
            <w:r w:rsidRPr="007702D6">
              <w:rPr>
                <w:rFonts w:eastAsia="Times New Roman"/>
                <w:color w:val="000000"/>
              </w:rPr>
              <w:t>142</w:t>
            </w:r>
          </w:p>
        </w:tc>
      </w:tr>
      <w:tr w:rsidR="007702D6" w:rsidRPr="007702D6" w:rsidTr="007702D6">
        <w:trPr>
          <w:trHeight w:val="315"/>
        </w:trPr>
        <w:tc>
          <w:tcPr>
            <w:tcW w:w="6040" w:type="dxa"/>
            <w:tcBorders>
              <w:top w:val="nil"/>
              <w:left w:val="single" w:sz="8" w:space="0" w:color="auto"/>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jc w:val="right"/>
              <w:rPr>
                <w:rFonts w:eastAsia="Times New Roman"/>
                <w:b/>
                <w:bCs/>
                <w:color w:val="000000"/>
              </w:rPr>
            </w:pPr>
            <w:r w:rsidRPr="007702D6">
              <w:rPr>
                <w:rFonts w:eastAsia="Times New Roman"/>
                <w:b/>
                <w:bCs/>
                <w:color w:val="000000"/>
              </w:rPr>
              <w:t>Total:</w:t>
            </w:r>
          </w:p>
        </w:tc>
        <w:tc>
          <w:tcPr>
            <w:tcW w:w="1080" w:type="dxa"/>
            <w:tcBorders>
              <w:top w:val="nil"/>
              <w:left w:val="nil"/>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jc w:val="right"/>
              <w:rPr>
                <w:rFonts w:eastAsia="Times New Roman"/>
                <w:color w:val="000000"/>
              </w:rPr>
            </w:pPr>
            <w:r w:rsidRPr="007702D6">
              <w:rPr>
                <w:rFonts w:eastAsia="Times New Roman"/>
                <w:color w:val="000000"/>
              </w:rPr>
              <w:t>817</w:t>
            </w:r>
          </w:p>
        </w:tc>
      </w:tr>
    </w:tbl>
    <w:p w:rsidR="00774727" w:rsidRDefault="00774727" w:rsidP="00774727">
      <w:pPr>
        <w:pStyle w:val="NoSpacing"/>
      </w:pPr>
    </w:p>
    <w:p w:rsidR="00BE0D03" w:rsidRDefault="00774727" w:rsidP="00BE0D03">
      <w:pPr>
        <w:pStyle w:val="NoSpacing"/>
      </w:pPr>
      <w:r>
        <w:tab/>
        <w:t xml:space="preserve">The </w:t>
      </w:r>
      <w:r w:rsidR="00BE0D03">
        <w:t xml:space="preserve">WINTAC gathered data on the type of requests coming to the center.  Table </w:t>
      </w:r>
      <w:r w:rsidR="001F4904">
        <w:t>2</w:t>
      </w:r>
      <w:r w:rsidR="00BE0D03">
        <w:t xml:space="preserve"> below indicates that information on pre-employment transition services was the most frequent request, with information on the common performance measures second, and Section 511 third.  Many of the requests noted below developed into targeted and/or intensive TA. </w:t>
      </w:r>
    </w:p>
    <w:p w:rsidR="00774727" w:rsidRDefault="00774727" w:rsidP="00774727">
      <w:pPr>
        <w:pStyle w:val="NoSpacing"/>
      </w:pPr>
    </w:p>
    <w:p w:rsidR="001F4904" w:rsidRDefault="001F4904" w:rsidP="00774727">
      <w:pPr>
        <w:pStyle w:val="NoSpacing"/>
      </w:pPr>
      <w:r>
        <w:t>Table 2</w:t>
      </w:r>
    </w:p>
    <w:tbl>
      <w:tblPr>
        <w:tblW w:w="7840" w:type="dxa"/>
        <w:tblLook w:val="04A0" w:firstRow="1" w:lastRow="0" w:firstColumn="1" w:lastColumn="0" w:noHBand="0" w:noVBand="1"/>
      </w:tblPr>
      <w:tblGrid>
        <w:gridCol w:w="5160"/>
        <w:gridCol w:w="1080"/>
        <w:gridCol w:w="1600"/>
      </w:tblGrid>
      <w:tr w:rsidR="007702D6" w:rsidRPr="007702D6" w:rsidTr="007702D6">
        <w:trPr>
          <w:trHeight w:val="315"/>
        </w:trPr>
        <w:tc>
          <w:tcPr>
            <w:tcW w:w="7840" w:type="dxa"/>
            <w:gridSpan w:val="3"/>
            <w:tcBorders>
              <w:top w:val="single" w:sz="8" w:space="0" w:color="auto"/>
              <w:left w:val="single" w:sz="8" w:space="0" w:color="auto"/>
              <w:bottom w:val="single" w:sz="8" w:space="0" w:color="auto"/>
              <w:right w:val="single" w:sz="8" w:space="0" w:color="000000"/>
            </w:tcBorders>
            <w:shd w:val="clear" w:color="000000" w:fill="FCE4D6"/>
            <w:vAlign w:val="center"/>
            <w:hideMark/>
          </w:tcPr>
          <w:p w:rsidR="007702D6" w:rsidRPr="007702D6" w:rsidRDefault="007702D6" w:rsidP="007702D6">
            <w:pPr>
              <w:spacing w:after="0" w:line="240" w:lineRule="auto"/>
              <w:jc w:val="center"/>
              <w:rPr>
                <w:rFonts w:eastAsia="Times New Roman"/>
                <w:b/>
                <w:bCs/>
                <w:color w:val="000000"/>
              </w:rPr>
            </w:pPr>
            <w:r w:rsidRPr="007702D6">
              <w:rPr>
                <w:rFonts w:eastAsia="Times New Roman"/>
                <w:b/>
                <w:bCs/>
                <w:color w:val="000000"/>
              </w:rPr>
              <w:t>Number of WINTAC Contacts by Type of Request - Year One Total</w:t>
            </w:r>
          </w:p>
        </w:tc>
      </w:tr>
      <w:tr w:rsidR="007702D6" w:rsidRPr="007702D6" w:rsidTr="007702D6">
        <w:trPr>
          <w:trHeight w:val="608"/>
        </w:trPr>
        <w:tc>
          <w:tcPr>
            <w:tcW w:w="5160" w:type="dxa"/>
            <w:tcBorders>
              <w:top w:val="nil"/>
              <w:left w:val="single" w:sz="8" w:space="0" w:color="auto"/>
              <w:bottom w:val="single" w:sz="8" w:space="0" w:color="auto"/>
              <w:right w:val="single" w:sz="8" w:space="0" w:color="auto"/>
            </w:tcBorders>
            <w:shd w:val="clear" w:color="000000" w:fill="F8CBAD"/>
            <w:vAlign w:val="center"/>
            <w:hideMark/>
          </w:tcPr>
          <w:p w:rsidR="007702D6" w:rsidRPr="007702D6" w:rsidRDefault="007702D6" w:rsidP="007702D6">
            <w:pPr>
              <w:spacing w:after="0" w:line="240" w:lineRule="auto"/>
              <w:jc w:val="center"/>
              <w:rPr>
                <w:rFonts w:eastAsia="Times New Roman"/>
                <w:b/>
                <w:bCs/>
                <w:color w:val="000000"/>
              </w:rPr>
            </w:pPr>
            <w:r w:rsidRPr="007702D6">
              <w:rPr>
                <w:rFonts w:eastAsia="Times New Roman"/>
                <w:b/>
                <w:bCs/>
                <w:color w:val="000000"/>
              </w:rPr>
              <w:t>Type</w:t>
            </w:r>
          </w:p>
        </w:tc>
        <w:tc>
          <w:tcPr>
            <w:tcW w:w="1080" w:type="dxa"/>
            <w:tcBorders>
              <w:top w:val="nil"/>
              <w:left w:val="nil"/>
              <w:bottom w:val="single" w:sz="8" w:space="0" w:color="auto"/>
              <w:right w:val="single" w:sz="8" w:space="0" w:color="auto"/>
            </w:tcBorders>
            <w:shd w:val="clear" w:color="000000" w:fill="F8CBAD"/>
            <w:vAlign w:val="center"/>
            <w:hideMark/>
          </w:tcPr>
          <w:p w:rsidR="007702D6" w:rsidRPr="007702D6" w:rsidRDefault="007702D6" w:rsidP="007702D6">
            <w:pPr>
              <w:spacing w:after="0" w:line="240" w:lineRule="auto"/>
              <w:jc w:val="center"/>
              <w:rPr>
                <w:rFonts w:eastAsia="Times New Roman"/>
                <w:b/>
                <w:bCs/>
                <w:color w:val="000000"/>
              </w:rPr>
            </w:pPr>
            <w:r w:rsidRPr="007702D6">
              <w:rPr>
                <w:rFonts w:eastAsia="Times New Roman"/>
                <w:b/>
                <w:bCs/>
                <w:color w:val="000000"/>
              </w:rPr>
              <w:t xml:space="preserve">Number </w:t>
            </w:r>
          </w:p>
        </w:tc>
        <w:tc>
          <w:tcPr>
            <w:tcW w:w="1600" w:type="dxa"/>
            <w:tcBorders>
              <w:top w:val="nil"/>
              <w:left w:val="nil"/>
              <w:bottom w:val="single" w:sz="8" w:space="0" w:color="auto"/>
              <w:right w:val="single" w:sz="8" w:space="0" w:color="auto"/>
            </w:tcBorders>
            <w:shd w:val="clear" w:color="000000" w:fill="F8CBAD"/>
            <w:vAlign w:val="center"/>
            <w:hideMark/>
          </w:tcPr>
          <w:p w:rsidR="007702D6" w:rsidRPr="007702D6" w:rsidRDefault="007702D6" w:rsidP="007702D6">
            <w:pPr>
              <w:spacing w:after="0" w:line="240" w:lineRule="auto"/>
              <w:jc w:val="center"/>
              <w:rPr>
                <w:rFonts w:eastAsia="Times New Roman"/>
                <w:b/>
                <w:bCs/>
                <w:color w:val="000000"/>
              </w:rPr>
            </w:pPr>
            <w:r w:rsidRPr="007702D6">
              <w:rPr>
                <w:rFonts w:eastAsia="Times New Roman"/>
                <w:b/>
                <w:bCs/>
                <w:color w:val="000000"/>
              </w:rPr>
              <w:t># Agreed to Follow-up</w:t>
            </w:r>
          </w:p>
        </w:tc>
      </w:tr>
      <w:tr w:rsidR="007702D6" w:rsidRPr="007702D6" w:rsidTr="007702D6">
        <w:trPr>
          <w:trHeight w:val="315"/>
        </w:trPr>
        <w:tc>
          <w:tcPr>
            <w:tcW w:w="5160" w:type="dxa"/>
            <w:tcBorders>
              <w:top w:val="nil"/>
              <w:left w:val="single" w:sz="8" w:space="0" w:color="auto"/>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rPr>
                <w:rFonts w:eastAsia="Times New Roman"/>
                <w:color w:val="000000"/>
              </w:rPr>
            </w:pPr>
            <w:r w:rsidRPr="007702D6">
              <w:rPr>
                <w:rFonts w:eastAsia="Times New Roman"/>
                <w:color w:val="000000"/>
              </w:rPr>
              <w:t>Information on implementation of Pre-ETS</w:t>
            </w:r>
          </w:p>
        </w:tc>
        <w:tc>
          <w:tcPr>
            <w:tcW w:w="1080" w:type="dxa"/>
            <w:tcBorders>
              <w:top w:val="nil"/>
              <w:left w:val="nil"/>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jc w:val="right"/>
              <w:rPr>
                <w:rFonts w:eastAsia="Times New Roman"/>
                <w:color w:val="000000"/>
              </w:rPr>
            </w:pPr>
            <w:r w:rsidRPr="007702D6">
              <w:rPr>
                <w:rFonts w:eastAsia="Times New Roman"/>
                <w:color w:val="000000"/>
              </w:rPr>
              <w:t>218</w:t>
            </w:r>
          </w:p>
        </w:tc>
        <w:tc>
          <w:tcPr>
            <w:tcW w:w="1600" w:type="dxa"/>
            <w:tcBorders>
              <w:top w:val="nil"/>
              <w:left w:val="nil"/>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jc w:val="right"/>
              <w:rPr>
                <w:rFonts w:eastAsia="Times New Roman"/>
                <w:color w:val="000000"/>
              </w:rPr>
            </w:pPr>
            <w:r w:rsidRPr="007702D6">
              <w:rPr>
                <w:rFonts w:eastAsia="Times New Roman"/>
                <w:color w:val="000000"/>
              </w:rPr>
              <w:t>96</w:t>
            </w:r>
          </w:p>
        </w:tc>
      </w:tr>
      <w:tr w:rsidR="007702D6" w:rsidRPr="007702D6" w:rsidTr="007702D6">
        <w:trPr>
          <w:trHeight w:val="315"/>
        </w:trPr>
        <w:tc>
          <w:tcPr>
            <w:tcW w:w="5160" w:type="dxa"/>
            <w:tcBorders>
              <w:top w:val="nil"/>
              <w:left w:val="single" w:sz="8" w:space="0" w:color="auto"/>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rPr>
                <w:rFonts w:eastAsia="Times New Roman"/>
                <w:color w:val="000000"/>
              </w:rPr>
            </w:pPr>
            <w:r w:rsidRPr="007702D6">
              <w:rPr>
                <w:rFonts w:eastAsia="Times New Roman"/>
                <w:color w:val="000000"/>
              </w:rPr>
              <w:t>Information on Section 511 implementation</w:t>
            </w:r>
          </w:p>
        </w:tc>
        <w:tc>
          <w:tcPr>
            <w:tcW w:w="1080" w:type="dxa"/>
            <w:tcBorders>
              <w:top w:val="nil"/>
              <w:left w:val="nil"/>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jc w:val="right"/>
              <w:rPr>
                <w:rFonts w:eastAsia="Times New Roman"/>
                <w:color w:val="000000"/>
              </w:rPr>
            </w:pPr>
            <w:r w:rsidRPr="007702D6">
              <w:rPr>
                <w:rFonts w:eastAsia="Times New Roman"/>
                <w:color w:val="000000"/>
              </w:rPr>
              <w:t>112</w:t>
            </w:r>
          </w:p>
        </w:tc>
        <w:tc>
          <w:tcPr>
            <w:tcW w:w="1600" w:type="dxa"/>
            <w:tcBorders>
              <w:top w:val="nil"/>
              <w:left w:val="nil"/>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jc w:val="right"/>
              <w:rPr>
                <w:rFonts w:eastAsia="Times New Roman"/>
                <w:color w:val="000000"/>
              </w:rPr>
            </w:pPr>
            <w:r w:rsidRPr="007702D6">
              <w:rPr>
                <w:rFonts w:eastAsia="Times New Roman"/>
                <w:color w:val="000000"/>
              </w:rPr>
              <w:t>46</w:t>
            </w:r>
          </w:p>
        </w:tc>
      </w:tr>
      <w:tr w:rsidR="007702D6" w:rsidRPr="007702D6" w:rsidTr="007702D6">
        <w:trPr>
          <w:trHeight w:val="623"/>
        </w:trPr>
        <w:tc>
          <w:tcPr>
            <w:tcW w:w="5160" w:type="dxa"/>
            <w:tcBorders>
              <w:top w:val="nil"/>
              <w:left w:val="single" w:sz="8" w:space="0" w:color="auto"/>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rPr>
                <w:rFonts w:eastAsia="Times New Roman"/>
                <w:color w:val="000000"/>
              </w:rPr>
            </w:pPr>
            <w:r w:rsidRPr="007702D6">
              <w:rPr>
                <w:rFonts w:eastAsia="Times New Roman"/>
                <w:color w:val="000000"/>
              </w:rPr>
              <w:t>Information on customized and supported employment</w:t>
            </w:r>
          </w:p>
        </w:tc>
        <w:tc>
          <w:tcPr>
            <w:tcW w:w="1080" w:type="dxa"/>
            <w:tcBorders>
              <w:top w:val="nil"/>
              <w:left w:val="nil"/>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jc w:val="right"/>
              <w:rPr>
                <w:rFonts w:eastAsia="Times New Roman"/>
                <w:color w:val="000000"/>
              </w:rPr>
            </w:pPr>
            <w:r w:rsidRPr="007702D6">
              <w:rPr>
                <w:rFonts w:eastAsia="Times New Roman"/>
                <w:color w:val="000000"/>
              </w:rPr>
              <w:t>93</w:t>
            </w:r>
          </w:p>
        </w:tc>
        <w:tc>
          <w:tcPr>
            <w:tcW w:w="1600" w:type="dxa"/>
            <w:tcBorders>
              <w:top w:val="nil"/>
              <w:left w:val="nil"/>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jc w:val="right"/>
              <w:rPr>
                <w:rFonts w:eastAsia="Times New Roman"/>
                <w:color w:val="000000"/>
              </w:rPr>
            </w:pPr>
            <w:r w:rsidRPr="007702D6">
              <w:rPr>
                <w:rFonts w:eastAsia="Times New Roman"/>
                <w:color w:val="000000"/>
              </w:rPr>
              <w:t>42</w:t>
            </w:r>
          </w:p>
        </w:tc>
      </w:tr>
      <w:tr w:rsidR="007702D6" w:rsidRPr="007702D6" w:rsidTr="007702D6">
        <w:trPr>
          <w:trHeight w:val="623"/>
        </w:trPr>
        <w:tc>
          <w:tcPr>
            <w:tcW w:w="5160" w:type="dxa"/>
            <w:tcBorders>
              <w:top w:val="nil"/>
              <w:left w:val="single" w:sz="8" w:space="0" w:color="auto"/>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rPr>
                <w:rFonts w:eastAsia="Times New Roman"/>
                <w:color w:val="000000"/>
              </w:rPr>
            </w:pPr>
            <w:r w:rsidRPr="007702D6">
              <w:rPr>
                <w:rFonts w:eastAsia="Times New Roman"/>
                <w:color w:val="000000"/>
              </w:rPr>
              <w:t>Integration of VR into the Workforce Development System</w:t>
            </w:r>
          </w:p>
        </w:tc>
        <w:tc>
          <w:tcPr>
            <w:tcW w:w="1080" w:type="dxa"/>
            <w:tcBorders>
              <w:top w:val="nil"/>
              <w:left w:val="nil"/>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jc w:val="right"/>
              <w:rPr>
                <w:rFonts w:eastAsia="Times New Roman"/>
                <w:color w:val="000000"/>
              </w:rPr>
            </w:pPr>
            <w:r w:rsidRPr="007702D6">
              <w:rPr>
                <w:rFonts w:eastAsia="Times New Roman"/>
                <w:color w:val="000000"/>
              </w:rPr>
              <w:t>52</w:t>
            </w:r>
          </w:p>
        </w:tc>
        <w:tc>
          <w:tcPr>
            <w:tcW w:w="1600" w:type="dxa"/>
            <w:tcBorders>
              <w:top w:val="nil"/>
              <w:left w:val="nil"/>
              <w:bottom w:val="single" w:sz="8" w:space="0" w:color="auto"/>
              <w:right w:val="single" w:sz="8" w:space="0" w:color="auto"/>
            </w:tcBorders>
            <w:shd w:val="clear" w:color="auto" w:fill="auto"/>
            <w:vAlign w:val="center"/>
            <w:hideMark/>
          </w:tcPr>
          <w:p w:rsidR="007702D6" w:rsidRPr="007702D6" w:rsidRDefault="007702D6" w:rsidP="001A0C9C">
            <w:pPr>
              <w:spacing w:after="0" w:line="240" w:lineRule="auto"/>
              <w:rPr>
                <w:rFonts w:eastAsia="Times New Roman"/>
                <w:color w:val="000000"/>
              </w:rPr>
            </w:pPr>
            <w:r w:rsidRPr="007702D6">
              <w:rPr>
                <w:rFonts w:eastAsia="Times New Roman"/>
                <w:color w:val="000000"/>
              </w:rPr>
              <w:t>36</w:t>
            </w:r>
          </w:p>
        </w:tc>
      </w:tr>
      <w:tr w:rsidR="007702D6" w:rsidRPr="007702D6" w:rsidTr="007702D6">
        <w:trPr>
          <w:trHeight w:val="315"/>
        </w:trPr>
        <w:tc>
          <w:tcPr>
            <w:tcW w:w="5160" w:type="dxa"/>
            <w:tcBorders>
              <w:top w:val="nil"/>
              <w:left w:val="single" w:sz="8" w:space="0" w:color="auto"/>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rPr>
                <w:rFonts w:eastAsia="Times New Roman"/>
                <w:color w:val="000000"/>
              </w:rPr>
            </w:pPr>
            <w:r w:rsidRPr="007702D6">
              <w:rPr>
                <w:rFonts w:eastAsia="Times New Roman"/>
                <w:color w:val="000000"/>
              </w:rPr>
              <w:t>Information on common performance measures</w:t>
            </w:r>
          </w:p>
        </w:tc>
        <w:tc>
          <w:tcPr>
            <w:tcW w:w="1080" w:type="dxa"/>
            <w:tcBorders>
              <w:top w:val="nil"/>
              <w:left w:val="nil"/>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jc w:val="right"/>
              <w:rPr>
                <w:rFonts w:eastAsia="Times New Roman"/>
                <w:color w:val="000000"/>
              </w:rPr>
            </w:pPr>
            <w:r w:rsidRPr="007702D6">
              <w:rPr>
                <w:rFonts w:eastAsia="Times New Roman"/>
                <w:color w:val="000000"/>
              </w:rPr>
              <w:t>112</w:t>
            </w:r>
          </w:p>
        </w:tc>
        <w:tc>
          <w:tcPr>
            <w:tcW w:w="1600" w:type="dxa"/>
            <w:tcBorders>
              <w:top w:val="nil"/>
              <w:left w:val="nil"/>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jc w:val="right"/>
              <w:rPr>
                <w:rFonts w:eastAsia="Times New Roman"/>
                <w:color w:val="000000"/>
              </w:rPr>
            </w:pPr>
            <w:r w:rsidRPr="007702D6">
              <w:rPr>
                <w:rFonts w:eastAsia="Times New Roman"/>
                <w:color w:val="000000"/>
              </w:rPr>
              <w:t>76</w:t>
            </w:r>
          </w:p>
        </w:tc>
      </w:tr>
      <w:tr w:rsidR="007702D6" w:rsidRPr="007702D6" w:rsidTr="007702D6">
        <w:trPr>
          <w:trHeight w:val="315"/>
        </w:trPr>
        <w:tc>
          <w:tcPr>
            <w:tcW w:w="5160" w:type="dxa"/>
            <w:tcBorders>
              <w:top w:val="nil"/>
              <w:left w:val="single" w:sz="8" w:space="0" w:color="auto"/>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rPr>
                <w:rFonts w:eastAsia="Times New Roman"/>
                <w:color w:val="000000"/>
              </w:rPr>
            </w:pPr>
            <w:r w:rsidRPr="007702D6">
              <w:rPr>
                <w:rFonts w:eastAsia="Times New Roman"/>
                <w:color w:val="000000"/>
              </w:rPr>
              <w:t>General information about WINTAC</w:t>
            </w:r>
          </w:p>
        </w:tc>
        <w:tc>
          <w:tcPr>
            <w:tcW w:w="1080" w:type="dxa"/>
            <w:tcBorders>
              <w:top w:val="nil"/>
              <w:left w:val="nil"/>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jc w:val="right"/>
              <w:rPr>
                <w:rFonts w:eastAsia="Times New Roman"/>
                <w:color w:val="000000"/>
              </w:rPr>
            </w:pPr>
            <w:r w:rsidRPr="007702D6">
              <w:rPr>
                <w:rFonts w:eastAsia="Times New Roman"/>
                <w:color w:val="000000"/>
              </w:rPr>
              <w:t>73</w:t>
            </w:r>
          </w:p>
        </w:tc>
        <w:tc>
          <w:tcPr>
            <w:tcW w:w="1600" w:type="dxa"/>
            <w:tcBorders>
              <w:top w:val="nil"/>
              <w:left w:val="nil"/>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jc w:val="right"/>
              <w:rPr>
                <w:rFonts w:eastAsia="Times New Roman"/>
                <w:color w:val="000000"/>
              </w:rPr>
            </w:pPr>
            <w:r w:rsidRPr="007702D6">
              <w:rPr>
                <w:rFonts w:eastAsia="Times New Roman"/>
                <w:color w:val="000000"/>
              </w:rPr>
              <w:t> </w:t>
            </w:r>
          </w:p>
        </w:tc>
      </w:tr>
      <w:tr w:rsidR="007702D6" w:rsidRPr="007702D6" w:rsidTr="007702D6">
        <w:trPr>
          <w:trHeight w:val="315"/>
        </w:trPr>
        <w:tc>
          <w:tcPr>
            <w:tcW w:w="5160" w:type="dxa"/>
            <w:tcBorders>
              <w:top w:val="nil"/>
              <w:left w:val="single" w:sz="8" w:space="0" w:color="auto"/>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rPr>
                <w:rFonts w:eastAsia="Times New Roman"/>
                <w:color w:val="000000"/>
              </w:rPr>
            </w:pPr>
            <w:r w:rsidRPr="007702D6">
              <w:rPr>
                <w:rFonts w:eastAsia="Times New Roman"/>
                <w:color w:val="000000"/>
              </w:rPr>
              <w:t>Available resources on WIOA</w:t>
            </w:r>
          </w:p>
        </w:tc>
        <w:tc>
          <w:tcPr>
            <w:tcW w:w="1080" w:type="dxa"/>
            <w:tcBorders>
              <w:top w:val="nil"/>
              <w:left w:val="nil"/>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jc w:val="right"/>
              <w:rPr>
                <w:rFonts w:eastAsia="Times New Roman"/>
                <w:color w:val="000000"/>
              </w:rPr>
            </w:pPr>
            <w:r w:rsidRPr="007702D6">
              <w:rPr>
                <w:rFonts w:eastAsia="Times New Roman"/>
                <w:color w:val="000000"/>
              </w:rPr>
              <w:t>9</w:t>
            </w:r>
          </w:p>
        </w:tc>
        <w:tc>
          <w:tcPr>
            <w:tcW w:w="1600" w:type="dxa"/>
            <w:tcBorders>
              <w:top w:val="nil"/>
              <w:left w:val="nil"/>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jc w:val="right"/>
              <w:rPr>
                <w:rFonts w:eastAsia="Times New Roman"/>
                <w:color w:val="000000"/>
              </w:rPr>
            </w:pPr>
            <w:r w:rsidRPr="007702D6">
              <w:rPr>
                <w:rFonts w:eastAsia="Times New Roman"/>
                <w:color w:val="000000"/>
              </w:rPr>
              <w:t> </w:t>
            </w:r>
          </w:p>
        </w:tc>
      </w:tr>
      <w:tr w:rsidR="007702D6" w:rsidRPr="007702D6" w:rsidTr="007702D6">
        <w:trPr>
          <w:trHeight w:val="315"/>
        </w:trPr>
        <w:tc>
          <w:tcPr>
            <w:tcW w:w="5160" w:type="dxa"/>
            <w:tcBorders>
              <w:top w:val="nil"/>
              <w:left w:val="single" w:sz="8" w:space="0" w:color="auto"/>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rPr>
                <w:rFonts w:eastAsia="Times New Roman"/>
                <w:color w:val="000000"/>
              </w:rPr>
            </w:pPr>
            <w:r w:rsidRPr="007702D6">
              <w:rPr>
                <w:rFonts w:eastAsia="Times New Roman"/>
                <w:color w:val="000000"/>
              </w:rPr>
              <w:t>Other (WIPPS)</w:t>
            </w:r>
          </w:p>
        </w:tc>
        <w:tc>
          <w:tcPr>
            <w:tcW w:w="1080" w:type="dxa"/>
            <w:tcBorders>
              <w:top w:val="nil"/>
              <w:left w:val="nil"/>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jc w:val="right"/>
              <w:rPr>
                <w:rFonts w:eastAsia="Times New Roman"/>
                <w:color w:val="000000"/>
              </w:rPr>
            </w:pPr>
            <w:r w:rsidRPr="007702D6">
              <w:rPr>
                <w:rFonts w:eastAsia="Times New Roman"/>
                <w:color w:val="000000"/>
              </w:rPr>
              <w:t>21</w:t>
            </w:r>
          </w:p>
        </w:tc>
        <w:tc>
          <w:tcPr>
            <w:tcW w:w="1600" w:type="dxa"/>
            <w:tcBorders>
              <w:top w:val="nil"/>
              <w:left w:val="nil"/>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jc w:val="right"/>
              <w:rPr>
                <w:rFonts w:eastAsia="Times New Roman"/>
                <w:color w:val="000000"/>
              </w:rPr>
            </w:pPr>
            <w:r w:rsidRPr="007702D6">
              <w:rPr>
                <w:rFonts w:eastAsia="Times New Roman"/>
                <w:color w:val="000000"/>
              </w:rPr>
              <w:t>8</w:t>
            </w:r>
          </w:p>
        </w:tc>
      </w:tr>
      <w:tr w:rsidR="007702D6" w:rsidRPr="007702D6" w:rsidTr="007702D6">
        <w:trPr>
          <w:trHeight w:val="315"/>
        </w:trPr>
        <w:tc>
          <w:tcPr>
            <w:tcW w:w="5160" w:type="dxa"/>
            <w:tcBorders>
              <w:top w:val="nil"/>
              <w:left w:val="single" w:sz="8" w:space="0" w:color="auto"/>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jc w:val="right"/>
              <w:rPr>
                <w:rFonts w:eastAsia="Times New Roman"/>
                <w:b/>
                <w:bCs/>
                <w:color w:val="000000"/>
              </w:rPr>
            </w:pPr>
            <w:r w:rsidRPr="007702D6">
              <w:rPr>
                <w:rFonts w:eastAsia="Times New Roman"/>
                <w:b/>
                <w:bCs/>
                <w:color w:val="000000"/>
              </w:rPr>
              <w:t>Total</w:t>
            </w:r>
          </w:p>
        </w:tc>
        <w:tc>
          <w:tcPr>
            <w:tcW w:w="1080" w:type="dxa"/>
            <w:tcBorders>
              <w:top w:val="nil"/>
              <w:left w:val="nil"/>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jc w:val="right"/>
              <w:rPr>
                <w:rFonts w:eastAsia="Times New Roman"/>
                <w:color w:val="000000"/>
              </w:rPr>
            </w:pPr>
            <w:r w:rsidRPr="007702D6">
              <w:rPr>
                <w:rFonts w:eastAsia="Times New Roman"/>
                <w:color w:val="000000"/>
              </w:rPr>
              <w:t>690</w:t>
            </w:r>
          </w:p>
        </w:tc>
        <w:tc>
          <w:tcPr>
            <w:tcW w:w="1600" w:type="dxa"/>
            <w:tcBorders>
              <w:top w:val="nil"/>
              <w:left w:val="nil"/>
              <w:bottom w:val="single" w:sz="8" w:space="0" w:color="auto"/>
              <w:right w:val="single" w:sz="8" w:space="0" w:color="auto"/>
            </w:tcBorders>
            <w:shd w:val="clear" w:color="auto" w:fill="auto"/>
            <w:vAlign w:val="center"/>
            <w:hideMark/>
          </w:tcPr>
          <w:p w:rsidR="007702D6" w:rsidRPr="007702D6" w:rsidRDefault="007702D6" w:rsidP="007702D6">
            <w:pPr>
              <w:spacing w:after="0" w:line="240" w:lineRule="auto"/>
              <w:jc w:val="right"/>
              <w:rPr>
                <w:rFonts w:eastAsia="Times New Roman"/>
                <w:color w:val="000000"/>
              </w:rPr>
            </w:pPr>
            <w:r w:rsidRPr="007702D6">
              <w:rPr>
                <w:rFonts w:eastAsia="Times New Roman"/>
                <w:color w:val="000000"/>
              </w:rPr>
              <w:t>304</w:t>
            </w:r>
          </w:p>
        </w:tc>
      </w:tr>
    </w:tbl>
    <w:p w:rsidR="00BE0D03" w:rsidRDefault="00BE0D03" w:rsidP="00774727">
      <w:pPr>
        <w:pStyle w:val="NoSpacing"/>
      </w:pPr>
    </w:p>
    <w:p w:rsidR="001C7EA8" w:rsidRDefault="004A215C" w:rsidP="00176425">
      <w:pPr>
        <w:pStyle w:val="NoSpacing"/>
        <w:ind w:firstLine="720"/>
      </w:pPr>
      <w:r>
        <w:t xml:space="preserve">The WINTAC website has developed into </w:t>
      </w:r>
      <w:r w:rsidR="001C7EA8">
        <w:t>the primary way</w:t>
      </w:r>
      <w:r>
        <w:t xml:space="preserve"> that we provide universal TA.  The website has developed in this last quarter to include a training management system (TMS), where individuals can go to view archived webinars and online training available for CRC credit.  Although there is only one item in this online training area at this point, the system will grow in the second year as the WINTAC develops its ability to provide training in a number of topic areas to VR staff and other partners for CRC credit.  The TMS allows us to track usage for evaluation purposes.  </w:t>
      </w:r>
      <w:r w:rsidR="00BE0D03">
        <w:t>We have delayed adding a pop-up survey or survey link until we reached a point on the website where we had enough information to make the process meaningful.  We believe that we have reached that point at the end of Year One and will be developing this evaluation method in the first quarter of Year Two.</w:t>
      </w:r>
    </w:p>
    <w:p w:rsidR="001C7EA8" w:rsidRDefault="001C7EA8" w:rsidP="004A215C">
      <w:pPr>
        <w:pStyle w:val="NoSpacing"/>
      </w:pPr>
    </w:p>
    <w:p w:rsidR="004A215C" w:rsidRDefault="001F4904" w:rsidP="00176425">
      <w:pPr>
        <w:pStyle w:val="NoSpacing"/>
        <w:ind w:firstLine="720"/>
      </w:pPr>
      <w:r>
        <w:t>Table 3</w:t>
      </w:r>
      <w:r w:rsidR="004A215C">
        <w:t xml:space="preserve"> below identifies the content for the website by topic area developed during the first year of the project.</w:t>
      </w:r>
    </w:p>
    <w:p w:rsidR="004A215C" w:rsidRDefault="004A215C" w:rsidP="004A215C">
      <w:pPr>
        <w:pStyle w:val="NoSpacing"/>
      </w:pPr>
    </w:p>
    <w:p w:rsidR="001F4904" w:rsidRDefault="001F4904" w:rsidP="004A215C">
      <w:pPr>
        <w:pStyle w:val="NoSpacing"/>
      </w:pPr>
    </w:p>
    <w:p w:rsidR="001F4904" w:rsidRDefault="001F4904" w:rsidP="004A215C">
      <w:pPr>
        <w:pStyle w:val="NoSpacing"/>
      </w:pPr>
    </w:p>
    <w:p w:rsidR="001F4904" w:rsidRDefault="001F4904" w:rsidP="004A215C">
      <w:pPr>
        <w:pStyle w:val="NoSpacing"/>
      </w:pPr>
    </w:p>
    <w:p w:rsidR="001F4904" w:rsidRDefault="001F4904" w:rsidP="004A215C">
      <w:pPr>
        <w:pStyle w:val="NoSpacing"/>
      </w:pPr>
      <w:r>
        <w:lastRenderedPageBreak/>
        <w:t>Table 3</w:t>
      </w:r>
    </w:p>
    <w:tbl>
      <w:tblPr>
        <w:tblW w:w="9400" w:type="dxa"/>
        <w:tblLook w:val="04A0" w:firstRow="1" w:lastRow="0" w:firstColumn="1" w:lastColumn="0" w:noHBand="0" w:noVBand="1"/>
      </w:tblPr>
      <w:tblGrid>
        <w:gridCol w:w="3561"/>
        <w:gridCol w:w="1100"/>
        <w:gridCol w:w="1080"/>
        <w:gridCol w:w="1080"/>
        <w:gridCol w:w="1376"/>
        <w:gridCol w:w="1203"/>
      </w:tblGrid>
      <w:tr w:rsidR="004A215C" w:rsidRPr="00F66458" w:rsidTr="00234F28">
        <w:trPr>
          <w:trHeight w:val="308"/>
        </w:trPr>
        <w:tc>
          <w:tcPr>
            <w:tcW w:w="3640" w:type="dxa"/>
            <w:vMerge w:val="restart"/>
            <w:tcBorders>
              <w:top w:val="single" w:sz="4" w:space="0" w:color="auto"/>
              <w:left w:val="single" w:sz="4" w:space="0" w:color="auto"/>
              <w:bottom w:val="single" w:sz="4" w:space="0" w:color="auto"/>
              <w:right w:val="single" w:sz="4" w:space="0" w:color="auto"/>
            </w:tcBorders>
            <w:shd w:val="clear" w:color="000000" w:fill="F8CBAD"/>
            <w:vAlign w:val="center"/>
            <w:hideMark/>
          </w:tcPr>
          <w:p w:rsidR="004A215C" w:rsidRPr="00F66458" w:rsidRDefault="004A215C" w:rsidP="00234F28">
            <w:pPr>
              <w:spacing w:after="0" w:line="240" w:lineRule="auto"/>
              <w:jc w:val="center"/>
              <w:rPr>
                <w:rFonts w:eastAsia="Times New Roman"/>
                <w:b/>
                <w:bCs/>
                <w:color w:val="000000"/>
              </w:rPr>
            </w:pPr>
            <w:r w:rsidRPr="00F66458">
              <w:rPr>
                <w:rFonts w:eastAsia="Times New Roman"/>
                <w:b/>
                <w:bCs/>
                <w:color w:val="000000"/>
              </w:rPr>
              <w:t>Item</w:t>
            </w:r>
          </w:p>
        </w:tc>
        <w:tc>
          <w:tcPr>
            <w:tcW w:w="5760" w:type="dxa"/>
            <w:gridSpan w:val="5"/>
            <w:tcBorders>
              <w:top w:val="single" w:sz="4" w:space="0" w:color="auto"/>
              <w:left w:val="nil"/>
              <w:bottom w:val="single" w:sz="4" w:space="0" w:color="auto"/>
              <w:right w:val="single" w:sz="4" w:space="0" w:color="auto"/>
            </w:tcBorders>
            <w:shd w:val="clear" w:color="000000" w:fill="F8CBAD"/>
            <w:noWrap/>
            <w:vAlign w:val="center"/>
            <w:hideMark/>
          </w:tcPr>
          <w:p w:rsidR="004A215C" w:rsidRPr="00F66458" w:rsidRDefault="004A215C" w:rsidP="00234F28">
            <w:pPr>
              <w:spacing w:after="0" w:line="240" w:lineRule="auto"/>
              <w:jc w:val="center"/>
              <w:rPr>
                <w:rFonts w:eastAsia="Times New Roman"/>
                <w:b/>
                <w:bCs/>
                <w:color w:val="000000"/>
              </w:rPr>
            </w:pPr>
            <w:r w:rsidRPr="00F66458">
              <w:rPr>
                <w:rFonts w:eastAsia="Times New Roman"/>
                <w:b/>
                <w:bCs/>
                <w:color w:val="000000"/>
              </w:rPr>
              <w:t>Number by Topic Area</w:t>
            </w:r>
          </w:p>
        </w:tc>
      </w:tr>
      <w:tr w:rsidR="004A215C" w:rsidRPr="00F66458" w:rsidTr="00234F28">
        <w:trPr>
          <w:trHeight w:val="600"/>
        </w:trPr>
        <w:tc>
          <w:tcPr>
            <w:tcW w:w="3640" w:type="dxa"/>
            <w:vMerge/>
            <w:tcBorders>
              <w:top w:val="single" w:sz="4" w:space="0" w:color="auto"/>
              <w:left w:val="single" w:sz="4" w:space="0" w:color="auto"/>
              <w:bottom w:val="single" w:sz="4" w:space="0" w:color="auto"/>
              <w:right w:val="single" w:sz="4" w:space="0" w:color="auto"/>
            </w:tcBorders>
            <w:vAlign w:val="center"/>
            <w:hideMark/>
          </w:tcPr>
          <w:p w:rsidR="004A215C" w:rsidRPr="00F66458" w:rsidRDefault="004A215C" w:rsidP="00234F28">
            <w:pPr>
              <w:spacing w:after="0" w:line="240" w:lineRule="auto"/>
              <w:rPr>
                <w:rFonts w:eastAsia="Times New Roman"/>
                <w:b/>
                <w:bCs/>
                <w:color w:val="000000"/>
              </w:rPr>
            </w:pPr>
          </w:p>
        </w:tc>
        <w:tc>
          <w:tcPr>
            <w:tcW w:w="1100" w:type="dxa"/>
            <w:tcBorders>
              <w:top w:val="nil"/>
              <w:left w:val="nil"/>
              <w:bottom w:val="single" w:sz="4" w:space="0" w:color="auto"/>
              <w:right w:val="single" w:sz="4" w:space="0" w:color="auto"/>
            </w:tcBorders>
            <w:shd w:val="clear" w:color="000000" w:fill="FCE4D6"/>
            <w:vAlign w:val="center"/>
            <w:hideMark/>
          </w:tcPr>
          <w:p w:rsidR="004A215C" w:rsidRPr="00F66458" w:rsidRDefault="004A215C" w:rsidP="00234F28">
            <w:pPr>
              <w:spacing w:after="0" w:line="240" w:lineRule="auto"/>
              <w:jc w:val="center"/>
              <w:rPr>
                <w:rFonts w:eastAsia="Times New Roman"/>
                <w:b/>
                <w:bCs/>
                <w:color w:val="000000"/>
              </w:rPr>
            </w:pPr>
            <w:r w:rsidRPr="00F66458">
              <w:rPr>
                <w:rFonts w:eastAsia="Times New Roman"/>
                <w:b/>
                <w:bCs/>
                <w:color w:val="000000"/>
              </w:rPr>
              <w:t>Pre-ETS</w:t>
            </w:r>
          </w:p>
        </w:tc>
        <w:tc>
          <w:tcPr>
            <w:tcW w:w="1080" w:type="dxa"/>
            <w:tcBorders>
              <w:top w:val="nil"/>
              <w:left w:val="nil"/>
              <w:bottom w:val="single" w:sz="4" w:space="0" w:color="auto"/>
              <w:right w:val="single" w:sz="4" w:space="0" w:color="auto"/>
            </w:tcBorders>
            <w:shd w:val="clear" w:color="000000" w:fill="FCE4D6"/>
            <w:vAlign w:val="center"/>
            <w:hideMark/>
          </w:tcPr>
          <w:p w:rsidR="004A215C" w:rsidRPr="00F66458" w:rsidRDefault="004A215C" w:rsidP="00234F28">
            <w:pPr>
              <w:spacing w:after="0" w:line="240" w:lineRule="auto"/>
              <w:jc w:val="center"/>
              <w:rPr>
                <w:rFonts w:eastAsia="Times New Roman"/>
                <w:b/>
                <w:bCs/>
                <w:color w:val="000000"/>
              </w:rPr>
            </w:pPr>
            <w:r w:rsidRPr="00F66458">
              <w:rPr>
                <w:rFonts w:eastAsia="Times New Roman"/>
                <w:b/>
                <w:bCs/>
                <w:color w:val="000000"/>
              </w:rPr>
              <w:t>511</w:t>
            </w:r>
          </w:p>
        </w:tc>
        <w:tc>
          <w:tcPr>
            <w:tcW w:w="1080" w:type="dxa"/>
            <w:tcBorders>
              <w:top w:val="nil"/>
              <w:left w:val="nil"/>
              <w:bottom w:val="single" w:sz="4" w:space="0" w:color="auto"/>
              <w:right w:val="single" w:sz="4" w:space="0" w:color="auto"/>
            </w:tcBorders>
            <w:shd w:val="clear" w:color="000000" w:fill="FCE4D6"/>
            <w:vAlign w:val="center"/>
            <w:hideMark/>
          </w:tcPr>
          <w:p w:rsidR="004A215C" w:rsidRPr="00F66458" w:rsidRDefault="004A215C" w:rsidP="00234F28">
            <w:pPr>
              <w:spacing w:after="0" w:line="240" w:lineRule="auto"/>
              <w:jc w:val="center"/>
              <w:rPr>
                <w:rFonts w:eastAsia="Times New Roman"/>
                <w:b/>
                <w:bCs/>
                <w:color w:val="000000"/>
              </w:rPr>
            </w:pPr>
            <w:r w:rsidRPr="00F66458">
              <w:rPr>
                <w:rFonts w:eastAsia="Times New Roman"/>
                <w:b/>
                <w:bCs/>
                <w:color w:val="000000"/>
              </w:rPr>
              <w:t>CIE</w:t>
            </w:r>
          </w:p>
        </w:tc>
        <w:tc>
          <w:tcPr>
            <w:tcW w:w="1340" w:type="dxa"/>
            <w:tcBorders>
              <w:top w:val="nil"/>
              <w:left w:val="nil"/>
              <w:bottom w:val="single" w:sz="4" w:space="0" w:color="auto"/>
              <w:right w:val="single" w:sz="4" w:space="0" w:color="auto"/>
            </w:tcBorders>
            <w:shd w:val="clear" w:color="000000" w:fill="FCE4D6"/>
            <w:vAlign w:val="center"/>
            <w:hideMark/>
          </w:tcPr>
          <w:p w:rsidR="004A215C" w:rsidRPr="00F66458" w:rsidRDefault="004A215C" w:rsidP="00234F28">
            <w:pPr>
              <w:spacing w:after="0" w:line="240" w:lineRule="auto"/>
              <w:jc w:val="center"/>
              <w:rPr>
                <w:rFonts w:eastAsia="Times New Roman"/>
                <w:b/>
                <w:bCs/>
                <w:color w:val="000000"/>
              </w:rPr>
            </w:pPr>
            <w:r w:rsidRPr="00F66458">
              <w:rPr>
                <w:rFonts w:eastAsia="Times New Roman"/>
                <w:b/>
                <w:bCs/>
                <w:color w:val="000000"/>
              </w:rPr>
              <w:t>Integration</w:t>
            </w:r>
          </w:p>
        </w:tc>
        <w:tc>
          <w:tcPr>
            <w:tcW w:w="1160" w:type="dxa"/>
            <w:tcBorders>
              <w:top w:val="nil"/>
              <w:left w:val="nil"/>
              <w:bottom w:val="single" w:sz="4" w:space="0" w:color="auto"/>
              <w:right w:val="single" w:sz="4" w:space="0" w:color="auto"/>
            </w:tcBorders>
            <w:shd w:val="clear" w:color="000000" w:fill="FCE4D6"/>
            <w:vAlign w:val="center"/>
            <w:hideMark/>
          </w:tcPr>
          <w:p w:rsidR="004A215C" w:rsidRPr="00F66458" w:rsidRDefault="004A215C" w:rsidP="00234F28">
            <w:pPr>
              <w:spacing w:after="0" w:line="240" w:lineRule="auto"/>
              <w:jc w:val="center"/>
              <w:rPr>
                <w:rFonts w:eastAsia="Times New Roman"/>
                <w:b/>
                <w:bCs/>
                <w:color w:val="000000"/>
              </w:rPr>
            </w:pPr>
            <w:r w:rsidRPr="00F66458">
              <w:rPr>
                <w:rFonts w:eastAsia="Times New Roman"/>
                <w:b/>
                <w:bCs/>
                <w:color w:val="000000"/>
              </w:rPr>
              <w:t>Common Measures</w:t>
            </w:r>
          </w:p>
        </w:tc>
      </w:tr>
      <w:tr w:rsidR="004A215C" w:rsidRPr="00F66458" w:rsidTr="00234F28">
        <w:trPr>
          <w:trHeight w:val="61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rPr>
                <w:rFonts w:eastAsia="Times New Roman"/>
                <w:color w:val="000000"/>
              </w:rPr>
            </w:pPr>
            <w:r w:rsidRPr="00F66458">
              <w:rPr>
                <w:rFonts w:eastAsia="Times New Roman"/>
                <w:color w:val="000000"/>
              </w:rPr>
              <w:t>Promising practices and literature review</w:t>
            </w:r>
          </w:p>
        </w:tc>
        <w:tc>
          <w:tcPr>
            <w:tcW w:w="1100" w:type="dxa"/>
            <w:tcBorders>
              <w:top w:val="nil"/>
              <w:left w:val="nil"/>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jc w:val="right"/>
              <w:rPr>
                <w:rFonts w:eastAsia="Times New Roman"/>
                <w:color w:val="000000"/>
              </w:rPr>
            </w:pPr>
            <w:r w:rsidRPr="00F66458">
              <w:rPr>
                <w:rFonts w:eastAsia="Times New Roman"/>
                <w:color w:val="000000"/>
              </w:rPr>
              <w:t>36</w:t>
            </w:r>
          </w:p>
        </w:tc>
        <w:tc>
          <w:tcPr>
            <w:tcW w:w="1080" w:type="dxa"/>
            <w:tcBorders>
              <w:top w:val="nil"/>
              <w:left w:val="nil"/>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jc w:val="right"/>
              <w:rPr>
                <w:rFonts w:eastAsia="Times New Roman"/>
                <w:color w:val="000000"/>
              </w:rPr>
            </w:pPr>
            <w:r w:rsidRPr="00F66458">
              <w:rPr>
                <w:rFonts w:eastAsia="Times New Roman"/>
                <w:color w:val="000000"/>
              </w:rPr>
              <w:t>48</w:t>
            </w:r>
          </w:p>
        </w:tc>
        <w:tc>
          <w:tcPr>
            <w:tcW w:w="1080" w:type="dxa"/>
            <w:tcBorders>
              <w:top w:val="nil"/>
              <w:left w:val="nil"/>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jc w:val="right"/>
              <w:rPr>
                <w:rFonts w:eastAsia="Times New Roman"/>
                <w:color w:val="000000"/>
              </w:rPr>
            </w:pPr>
            <w:r w:rsidRPr="00F66458">
              <w:rPr>
                <w:rFonts w:eastAsia="Times New Roman"/>
                <w:color w:val="000000"/>
              </w:rPr>
              <w:t>45</w:t>
            </w:r>
          </w:p>
        </w:tc>
        <w:tc>
          <w:tcPr>
            <w:tcW w:w="1340" w:type="dxa"/>
            <w:tcBorders>
              <w:top w:val="nil"/>
              <w:left w:val="nil"/>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jc w:val="right"/>
              <w:rPr>
                <w:rFonts w:eastAsia="Times New Roman"/>
                <w:color w:val="000000"/>
              </w:rPr>
            </w:pPr>
            <w:r w:rsidRPr="00F66458">
              <w:rPr>
                <w:rFonts w:eastAsia="Times New Roman"/>
                <w:color w:val="000000"/>
              </w:rPr>
              <w:t>8</w:t>
            </w:r>
          </w:p>
        </w:tc>
        <w:tc>
          <w:tcPr>
            <w:tcW w:w="1160" w:type="dxa"/>
            <w:tcBorders>
              <w:top w:val="nil"/>
              <w:left w:val="nil"/>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jc w:val="right"/>
              <w:rPr>
                <w:rFonts w:eastAsia="Times New Roman"/>
                <w:color w:val="000000"/>
              </w:rPr>
            </w:pPr>
            <w:r w:rsidRPr="00F66458">
              <w:rPr>
                <w:rFonts w:eastAsia="Times New Roman"/>
                <w:color w:val="000000"/>
              </w:rPr>
              <w:t>0</w:t>
            </w:r>
          </w:p>
        </w:tc>
      </w:tr>
      <w:tr w:rsidR="004A215C" w:rsidRPr="00F66458" w:rsidTr="00234F28">
        <w:trPr>
          <w:trHeight w:val="308"/>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rPr>
                <w:rFonts w:eastAsia="Times New Roman"/>
                <w:color w:val="000000"/>
              </w:rPr>
            </w:pPr>
            <w:r w:rsidRPr="00F66458">
              <w:rPr>
                <w:rFonts w:eastAsia="Times New Roman"/>
                <w:color w:val="000000"/>
              </w:rPr>
              <w:t>Resources</w:t>
            </w:r>
          </w:p>
        </w:tc>
        <w:tc>
          <w:tcPr>
            <w:tcW w:w="1100" w:type="dxa"/>
            <w:tcBorders>
              <w:top w:val="nil"/>
              <w:left w:val="nil"/>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jc w:val="right"/>
              <w:rPr>
                <w:rFonts w:eastAsia="Times New Roman"/>
                <w:color w:val="000000"/>
              </w:rPr>
            </w:pPr>
            <w:r w:rsidRPr="00F66458">
              <w:rPr>
                <w:rFonts w:eastAsia="Times New Roman"/>
                <w:color w:val="000000"/>
              </w:rPr>
              <w:t>37</w:t>
            </w:r>
          </w:p>
        </w:tc>
        <w:tc>
          <w:tcPr>
            <w:tcW w:w="1080" w:type="dxa"/>
            <w:tcBorders>
              <w:top w:val="nil"/>
              <w:left w:val="nil"/>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jc w:val="right"/>
              <w:rPr>
                <w:rFonts w:eastAsia="Times New Roman"/>
                <w:color w:val="000000"/>
              </w:rPr>
            </w:pPr>
            <w:r w:rsidRPr="00F66458">
              <w:rPr>
                <w:rFonts w:eastAsia="Times New Roman"/>
                <w:color w:val="000000"/>
              </w:rPr>
              <w:t>6</w:t>
            </w:r>
          </w:p>
        </w:tc>
        <w:tc>
          <w:tcPr>
            <w:tcW w:w="1080" w:type="dxa"/>
            <w:tcBorders>
              <w:top w:val="nil"/>
              <w:left w:val="nil"/>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jc w:val="right"/>
              <w:rPr>
                <w:rFonts w:eastAsia="Times New Roman"/>
                <w:color w:val="000000"/>
              </w:rPr>
            </w:pPr>
            <w:r w:rsidRPr="00F66458">
              <w:rPr>
                <w:rFonts w:eastAsia="Times New Roman"/>
                <w:color w:val="000000"/>
              </w:rPr>
              <w:t>25</w:t>
            </w:r>
          </w:p>
        </w:tc>
        <w:tc>
          <w:tcPr>
            <w:tcW w:w="1340" w:type="dxa"/>
            <w:tcBorders>
              <w:top w:val="nil"/>
              <w:left w:val="nil"/>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jc w:val="right"/>
              <w:rPr>
                <w:rFonts w:eastAsia="Times New Roman"/>
                <w:color w:val="000000"/>
              </w:rPr>
            </w:pPr>
            <w:r w:rsidRPr="00F66458">
              <w:rPr>
                <w:rFonts w:eastAsia="Times New Roman"/>
                <w:color w:val="000000"/>
              </w:rPr>
              <w:t>24</w:t>
            </w:r>
          </w:p>
        </w:tc>
        <w:tc>
          <w:tcPr>
            <w:tcW w:w="1160" w:type="dxa"/>
            <w:tcBorders>
              <w:top w:val="nil"/>
              <w:left w:val="nil"/>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jc w:val="right"/>
              <w:rPr>
                <w:rFonts w:eastAsia="Times New Roman"/>
                <w:color w:val="000000"/>
              </w:rPr>
            </w:pPr>
            <w:r w:rsidRPr="00F66458">
              <w:rPr>
                <w:rFonts w:eastAsia="Times New Roman"/>
                <w:color w:val="000000"/>
              </w:rPr>
              <w:t>6</w:t>
            </w:r>
          </w:p>
        </w:tc>
      </w:tr>
      <w:tr w:rsidR="004A215C" w:rsidRPr="00F66458" w:rsidTr="00234F28">
        <w:trPr>
          <w:trHeight w:val="308"/>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rPr>
                <w:rFonts w:eastAsia="Times New Roman"/>
                <w:color w:val="000000"/>
              </w:rPr>
            </w:pPr>
            <w:r w:rsidRPr="00F66458">
              <w:rPr>
                <w:rFonts w:eastAsia="Times New Roman"/>
                <w:color w:val="000000"/>
              </w:rPr>
              <w:t>Training</w:t>
            </w:r>
          </w:p>
        </w:tc>
        <w:tc>
          <w:tcPr>
            <w:tcW w:w="1100" w:type="dxa"/>
            <w:tcBorders>
              <w:top w:val="nil"/>
              <w:left w:val="nil"/>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jc w:val="right"/>
              <w:rPr>
                <w:rFonts w:eastAsia="Times New Roman"/>
                <w:color w:val="000000"/>
              </w:rPr>
            </w:pPr>
            <w:r w:rsidRPr="00F66458">
              <w:rPr>
                <w:rFonts w:eastAsia="Times New Roman"/>
                <w:color w:val="000000"/>
              </w:rPr>
              <w:t>4</w:t>
            </w:r>
          </w:p>
        </w:tc>
        <w:tc>
          <w:tcPr>
            <w:tcW w:w="1080" w:type="dxa"/>
            <w:tcBorders>
              <w:top w:val="nil"/>
              <w:left w:val="nil"/>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jc w:val="right"/>
              <w:rPr>
                <w:rFonts w:eastAsia="Times New Roman"/>
                <w:color w:val="000000"/>
              </w:rPr>
            </w:pPr>
            <w:r w:rsidRPr="00F66458">
              <w:rPr>
                <w:rFonts w:eastAsia="Times New Roman"/>
                <w:color w:val="000000"/>
              </w:rPr>
              <w:t>0</w:t>
            </w:r>
          </w:p>
        </w:tc>
        <w:tc>
          <w:tcPr>
            <w:tcW w:w="1080" w:type="dxa"/>
            <w:tcBorders>
              <w:top w:val="nil"/>
              <w:left w:val="nil"/>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jc w:val="right"/>
              <w:rPr>
                <w:rFonts w:eastAsia="Times New Roman"/>
                <w:color w:val="000000"/>
              </w:rPr>
            </w:pPr>
            <w:r w:rsidRPr="00F66458">
              <w:rPr>
                <w:rFonts w:eastAsia="Times New Roman"/>
                <w:color w:val="000000"/>
              </w:rPr>
              <w:t>20</w:t>
            </w:r>
          </w:p>
        </w:tc>
        <w:tc>
          <w:tcPr>
            <w:tcW w:w="1340" w:type="dxa"/>
            <w:tcBorders>
              <w:top w:val="nil"/>
              <w:left w:val="nil"/>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jc w:val="right"/>
              <w:rPr>
                <w:rFonts w:eastAsia="Times New Roman"/>
                <w:color w:val="000000"/>
              </w:rPr>
            </w:pPr>
            <w:r w:rsidRPr="00F66458">
              <w:rPr>
                <w:rFonts w:eastAsia="Times New Roman"/>
                <w:color w:val="000000"/>
              </w:rPr>
              <w:t>20</w:t>
            </w:r>
          </w:p>
        </w:tc>
        <w:tc>
          <w:tcPr>
            <w:tcW w:w="1160" w:type="dxa"/>
            <w:tcBorders>
              <w:top w:val="nil"/>
              <w:left w:val="nil"/>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jc w:val="right"/>
              <w:rPr>
                <w:rFonts w:eastAsia="Times New Roman"/>
                <w:color w:val="000000"/>
              </w:rPr>
            </w:pPr>
            <w:r w:rsidRPr="00F66458">
              <w:rPr>
                <w:rFonts w:eastAsia="Times New Roman"/>
                <w:color w:val="000000"/>
              </w:rPr>
              <w:t>0</w:t>
            </w:r>
          </w:p>
        </w:tc>
      </w:tr>
      <w:tr w:rsidR="004A215C" w:rsidRPr="00F66458" w:rsidTr="00234F28">
        <w:trPr>
          <w:trHeight w:val="308"/>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rPr>
                <w:rFonts w:eastAsia="Times New Roman"/>
                <w:color w:val="000000"/>
              </w:rPr>
            </w:pPr>
            <w:r w:rsidRPr="00F66458">
              <w:rPr>
                <w:rFonts w:eastAsia="Times New Roman"/>
                <w:color w:val="000000"/>
              </w:rPr>
              <w:t>Webinars</w:t>
            </w:r>
          </w:p>
        </w:tc>
        <w:tc>
          <w:tcPr>
            <w:tcW w:w="1100" w:type="dxa"/>
            <w:tcBorders>
              <w:top w:val="nil"/>
              <w:left w:val="nil"/>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jc w:val="right"/>
              <w:rPr>
                <w:rFonts w:eastAsia="Times New Roman"/>
                <w:color w:val="000000"/>
              </w:rPr>
            </w:pPr>
            <w:r w:rsidRPr="00F66458">
              <w:rPr>
                <w:rFonts w:eastAsia="Times New Roman"/>
                <w:color w:val="000000"/>
              </w:rPr>
              <w:t>4</w:t>
            </w:r>
          </w:p>
        </w:tc>
        <w:tc>
          <w:tcPr>
            <w:tcW w:w="1080" w:type="dxa"/>
            <w:tcBorders>
              <w:top w:val="nil"/>
              <w:left w:val="nil"/>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jc w:val="right"/>
              <w:rPr>
                <w:rFonts w:eastAsia="Times New Roman"/>
                <w:color w:val="000000"/>
              </w:rPr>
            </w:pPr>
            <w:r w:rsidRPr="00F66458">
              <w:rPr>
                <w:rFonts w:eastAsia="Times New Roman"/>
                <w:color w:val="000000"/>
              </w:rPr>
              <w:t>0</w:t>
            </w:r>
          </w:p>
        </w:tc>
        <w:tc>
          <w:tcPr>
            <w:tcW w:w="1080" w:type="dxa"/>
            <w:tcBorders>
              <w:top w:val="nil"/>
              <w:left w:val="nil"/>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jc w:val="right"/>
              <w:rPr>
                <w:rFonts w:eastAsia="Times New Roman"/>
                <w:color w:val="000000"/>
              </w:rPr>
            </w:pPr>
            <w:r w:rsidRPr="00F66458">
              <w:rPr>
                <w:rFonts w:eastAsia="Times New Roman"/>
                <w:color w:val="000000"/>
              </w:rPr>
              <w:t>3</w:t>
            </w:r>
          </w:p>
        </w:tc>
        <w:tc>
          <w:tcPr>
            <w:tcW w:w="1340" w:type="dxa"/>
            <w:tcBorders>
              <w:top w:val="nil"/>
              <w:left w:val="nil"/>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jc w:val="right"/>
              <w:rPr>
                <w:rFonts w:eastAsia="Times New Roman"/>
                <w:color w:val="000000"/>
              </w:rPr>
            </w:pPr>
            <w:r w:rsidRPr="00F66458">
              <w:rPr>
                <w:rFonts w:eastAsia="Times New Roman"/>
                <w:color w:val="000000"/>
              </w:rPr>
              <w:t>3</w:t>
            </w:r>
          </w:p>
        </w:tc>
        <w:tc>
          <w:tcPr>
            <w:tcW w:w="1160" w:type="dxa"/>
            <w:tcBorders>
              <w:top w:val="nil"/>
              <w:left w:val="nil"/>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jc w:val="right"/>
              <w:rPr>
                <w:rFonts w:eastAsia="Times New Roman"/>
                <w:color w:val="000000"/>
              </w:rPr>
            </w:pPr>
            <w:r w:rsidRPr="00F66458">
              <w:rPr>
                <w:rFonts w:eastAsia="Times New Roman"/>
                <w:color w:val="000000"/>
              </w:rPr>
              <w:t>0</w:t>
            </w:r>
          </w:p>
        </w:tc>
      </w:tr>
      <w:tr w:rsidR="004A215C" w:rsidRPr="00F66458" w:rsidTr="00234F28">
        <w:trPr>
          <w:trHeight w:val="308"/>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rPr>
                <w:rFonts w:eastAsia="Times New Roman"/>
                <w:color w:val="000000"/>
              </w:rPr>
            </w:pPr>
            <w:r w:rsidRPr="00F66458">
              <w:rPr>
                <w:rFonts w:eastAsia="Times New Roman"/>
                <w:color w:val="000000"/>
              </w:rPr>
              <w:t>On-line training</w:t>
            </w:r>
          </w:p>
        </w:tc>
        <w:tc>
          <w:tcPr>
            <w:tcW w:w="1100" w:type="dxa"/>
            <w:tcBorders>
              <w:top w:val="nil"/>
              <w:left w:val="nil"/>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jc w:val="right"/>
              <w:rPr>
                <w:rFonts w:eastAsia="Times New Roman"/>
                <w:color w:val="000000"/>
              </w:rPr>
            </w:pPr>
            <w:r w:rsidRPr="00F66458">
              <w:rPr>
                <w:rFonts w:eastAsia="Times New Roman"/>
                <w:color w:val="000000"/>
              </w:rPr>
              <w:t>4</w:t>
            </w:r>
          </w:p>
        </w:tc>
        <w:tc>
          <w:tcPr>
            <w:tcW w:w="1080" w:type="dxa"/>
            <w:tcBorders>
              <w:top w:val="nil"/>
              <w:left w:val="nil"/>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jc w:val="right"/>
              <w:rPr>
                <w:rFonts w:eastAsia="Times New Roman"/>
                <w:color w:val="000000"/>
              </w:rPr>
            </w:pPr>
            <w:r w:rsidRPr="00F66458">
              <w:rPr>
                <w:rFonts w:eastAsia="Times New Roman"/>
                <w:color w:val="000000"/>
              </w:rPr>
              <w:t>0</w:t>
            </w:r>
          </w:p>
        </w:tc>
        <w:tc>
          <w:tcPr>
            <w:tcW w:w="1080" w:type="dxa"/>
            <w:tcBorders>
              <w:top w:val="nil"/>
              <w:left w:val="nil"/>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jc w:val="right"/>
              <w:rPr>
                <w:rFonts w:eastAsia="Times New Roman"/>
                <w:color w:val="000000"/>
              </w:rPr>
            </w:pPr>
            <w:r w:rsidRPr="00F66458">
              <w:rPr>
                <w:rFonts w:eastAsia="Times New Roman"/>
                <w:color w:val="000000"/>
              </w:rPr>
              <w:t>0</w:t>
            </w:r>
          </w:p>
        </w:tc>
        <w:tc>
          <w:tcPr>
            <w:tcW w:w="1340" w:type="dxa"/>
            <w:tcBorders>
              <w:top w:val="nil"/>
              <w:left w:val="nil"/>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jc w:val="right"/>
              <w:rPr>
                <w:rFonts w:eastAsia="Times New Roman"/>
                <w:color w:val="000000"/>
              </w:rPr>
            </w:pPr>
            <w:r w:rsidRPr="00F66458">
              <w:rPr>
                <w:rFonts w:eastAsia="Times New Roman"/>
                <w:color w:val="000000"/>
              </w:rPr>
              <w:t>1</w:t>
            </w:r>
          </w:p>
        </w:tc>
        <w:tc>
          <w:tcPr>
            <w:tcW w:w="1160" w:type="dxa"/>
            <w:tcBorders>
              <w:top w:val="nil"/>
              <w:left w:val="nil"/>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jc w:val="right"/>
              <w:rPr>
                <w:rFonts w:eastAsia="Times New Roman"/>
                <w:color w:val="000000"/>
              </w:rPr>
            </w:pPr>
            <w:r w:rsidRPr="00F66458">
              <w:rPr>
                <w:rFonts w:eastAsia="Times New Roman"/>
                <w:color w:val="000000"/>
              </w:rPr>
              <w:t>0</w:t>
            </w:r>
          </w:p>
        </w:tc>
      </w:tr>
      <w:tr w:rsidR="004A215C" w:rsidRPr="00F66458" w:rsidTr="00234F28">
        <w:trPr>
          <w:trHeight w:val="593"/>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rPr>
                <w:rFonts w:eastAsia="Times New Roman"/>
                <w:color w:val="000000"/>
              </w:rPr>
            </w:pPr>
            <w:r w:rsidRPr="00F66458">
              <w:rPr>
                <w:rFonts w:eastAsia="Times New Roman"/>
                <w:color w:val="000000"/>
              </w:rPr>
              <w:t>Law, Regulations and Policy Implications</w:t>
            </w:r>
          </w:p>
        </w:tc>
        <w:tc>
          <w:tcPr>
            <w:tcW w:w="1100" w:type="dxa"/>
            <w:tcBorders>
              <w:top w:val="nil"/>
              <w:left w:val="nil"/>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jc w:val="right"/>
              <w:rPr>
                <w:rFonts w:eastAsia="Times New Roman"/>
                <w:color w:val="000000"/>
              </w:rPr>
            </w:pPr>
            <w:r w:rsidRPr="00F66458">
              <w:rPr>
                <w:rFonts w:eastAsia="Times New Roman"/>
                <w:color w:val="000000"/>
              </w:rPr>
              <w:t>6</w:t>
            </w:r>
          </w:p>
        </w:tc>
        <w:tc>
          <w:tcPr>
            <w:tcW w:w="1080" w:type="dxa"/>
            <w:tcBorders>
              <w:top w:val="nil"/>
              <w:left w:val="nil"/>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jc w:val="right"/>
              <w:rPr>
                <w:rFonts w:eastAsia="Times New Roman"/>
                <w:color w:val="000000"/>
              </w:rPr>
            </w:pPr>
            <w:r w:rsidRPr="00F66458">
              <w:rPr>
                <w:rFonts w:eastAsia="Times New Roman"/>
                <w:color w:val="000000"/>
              </w:rPr>
              <w:t>18</w:t>
            </w:r>
          </w:p>
        </w:tc>
        <w:tc>
          <w:tcPr>
            <w:tcW w:w="1080" w:type="dxa"/>
            <w:tcBorders>
              <w:top w:val="nil"/>
              <w:left w:val="nil"/>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jc w:val="right"/>
              <w:rPr>
                <w:rFonts w:eastAsia="Times New Roman"/>
                <w:color w:val="000000"/>
              </w:rPr>
            </w:pPr>
            <w:r w:rsidRPr="00F66458">
              <w:rPr>
                <w:rFonts w:eastAsia="Times New Roman"/>
                <w:color w:val="000000"/>
              </w:rPr>
              <w:t>6</w:t>
            </w:r>
          </w:p>
        </w:tc>
        <w:tc>
          <w:tcPr>
            <w:tcW w:w="1340" w:type="dxa"/>
            <w:tcBorders>
              <w:top w:val="nil"/>
              <w:left w:val="nil"/>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jc w:val="right"/>
              <w:rPr>
                <w:rFonts w:eastAsia="Times New Roman"/>
                <w:color w:val="000000"/>
              </w:rPr>
            </w:pPr>
            <w:r w:rsidRPr="00F66458">
              <w:rPr>
                <w:rFonts w:eastAsia="Times New Roman"/>
                <w:color w:val="000000"/>
              </w:rPr>
              <w:t>13</w:t>
            </w:r>
          </w:p>
        </w:tc>
        <w:tc>
          <w:tcPr>
            <w:tcW w:w="1160" w:type="dxa"/>
            <w:tcBorders>
              <w:top w:val="nil"/>
              <w:left w:val="nil"/>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jc w:val="right"/>
              <w:rPr>
                <w:rFonts w:eastAsia="Times New Roman"/>
                <w:color w:val="000000"/>
              </w:rPr>
            </w:pPr>
            <w:r w:rsidRPr="00F66458">
              <w:rPr>
                <w:rFonts w:eastAsia="Times New Roman"/>
                <w:color w:val="000000"/>
              </w:rPr>
              <w:t>7</w:t>
            </w:r>
          </w:p>
        </w:tc>
      </w:tr>
      <w:tr w:rsidR="004A215C" w:rsidRPr="00F66458" w:rsidTr="00234F28">
        <w:trPr>
          <w:trHeight w:val="308"/>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rPr>
                <w:rFonts w:eastAsia="Times New Roman"/>
                <w:color w:val="000000"/>
              </w:rPr>
            </w:pPr>
            <w:r w:rsidRPr="00F66458">
              <w:rPr>
                <w:rFonts w:eastAsia="Times New Roman"/>
                <w:color w:val="000000"/>
              </w:rPr>
              <w:t>FAQs</w:t>
            </w:r>
          </w:p>
        </w:tc>
        <w:tc>
          <w:tcPr>
            <w:tcW w:w="1100" w:type="dxa"/>
            <w:tcBorders>
              <w:top w:val="nil"/>
              <w:left w:val="nil"/>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jc w:val="right"/>
              <w:rPr>
                <w:rFonts w:eastAsia="Times New Roman"/>
                <w:color w:val="000000"/>
              </w:rPr>
            </w:pPr>
            <w:r w:rsidRPr="00F66458">
              <w:rPr>
                <w:rFonts w:eastAsia="Times New Roman"/>
                <w:color w:val="000000"/>
              </w:rPr>
              <w:t>1</w:t>
            </w:r>
          </w:p>
        </w:tc>
        <w:tc>
          <w:tcPr>
            <w:tcW w:w="1080" w:type="dxa"/>
            <w:tcBorders>
              <w:top w:val="nil"/>
              <w:left w:val="nil"/>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jc w:val="right"/>
              <w:rPr>
                <w:rFonts w:eastAsia="Times New Roman"/>
                <w:color w:val="000000"/>
              </w:rPr>
            </w:pPr>
            <w:r w:rsidRPr="00F66458">
              <w:rPr>
                <w:rFonts w:eastAsia="Times New Roman"/>
                <w:color w:val="000000"/>
              </w:rPr>
              <w:t>1</w:t>
            </w:r>
          </w:p>
        </w:tc>
        <w:tc>
          <w:tcPr>
            <w:tcW w:w="1080" w:type="dxa"/>
            <w:tcBorders>
              <w:top w:val="nil"/>
              <w:left w:val="nil"/>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jc w:val="right"/>
              <w:rPr>
                <w:rFonts w:eastAsia="Times New Roman"/>
                <w:color w:val="000000"/>
              </w:rPr>
            </w:pPr>
            <w:r w:rsidRPr="00F66458">
              <w:rPr>
                <w:rFonts w:eastAsia="Times New Roman"/>
                <w:color w:val="000000"/>
              </w:rPr>
              <w:t>1</w:t>
            </w:r>
          </w:p>
        </w:tc>
        <w:tc>
          <w:tcPr>
            <w:tcW w:w="1340" w:type="dxa"/>
            <w:tcBorders>
              <w:top w:val="nil"/>
              <w:left w:val="nil"/>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jc w:val="right"/>
              <w:rPr>
                <w:rFonts w:eastAsia="Times New Roman"/>
                <w:color w:val="000000"/>
              </w:rPr>
            </w:pPr>
            <w:r w:rsidRPr="00F66458">
              <w:rPr>
                <w:rFonts w:eastAsia="Times New Roman"/>
                <w:color w:val="000000"/>
              </w:rPr>
              <w:t>1</w:t>
            </w:r>
          </w:p>
        </w:tc>
        <w:tc>
          <w:tcPr>
            <w:tcW w:w="1160" w:type="dxa"/>
            <w:tcBorders>
              <w:top w:val="nil"/>
              <w:left w:val="nil"/>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jc w:val="right"/>
              <w:rPr>
                <w:rFonts w:eastAsia="Times New Roman"/>
                <w:color w:val="000000"/>
              </w:rPr>
            </w:pPr>
            <w:r w:rsidRPr="00F66458">
              <w:rPr>
                <w:rFonts w:eastAsia="Times New Roman"/>
                <w:color w:val="000000"/>
              </w:rPr>
              <w:t>3</w:t>
            </w:r>
          </w:p>
        </w:tc>
      </w:tr>
      <w:tr w:rsidR="004A215C" w:rsidRPr="00F66458" w:rsidTr="00234F28">
        <w:trPr>
          <w:trHeight w:val="308"/>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rPr>
                <w:rFonts w:eastAsia="Times New Roman"/>
                <w:color w:val="000000"/>
              </w:rPr>
            </w:pPr>
            <w:r w:rsidRPr="00F66458">
              <w:rPr>
                <w:rFonts w:eastAsia="Times New Roman"/>
                <w:color w:val="000000"/>
              </w:rPr>
              <w:t>Intensive TA results</w:t>
            </w:r>
          </w:p>
        </w:tc>
        <w:tc>
          <w:tcPr>
            <w:tcW w:w="1100" w:type="dxa"/>
            <w:tcBorders>
              <w:top w:val="nil"/>
              <w:left w:val="nil"/>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jc w:val="right"/>
              <w:rPr>
                <w:rFonts w:eastAsia="Times New Roman"/>
                <w:color w:val="000000"/>
              </w:rPr>
            </w:pPr>
            <w:r w:rsidRPr="00F66458">
              <w:rPr>
                <w:rFonts w:eastAsia="Times New Roman"/>
                <w:color w:val="000000"/>
              </w:rPr>
              <w:t>0</w:t>
            </w:r>
          </w:p>
        </w:tc>
        <w:tc>
          <w:tcPr>
            <w:tcW w:w="1080" w:type="dxa"/>
            <w:tcBorders>
              <w:top w:val="nil"/>
              <w:left w:val="nil"/>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jc w:val="right"/>
              <w:rPr>
                <w:rFonts w:eastAsia="Times New Roman"/>
                <w:color w:val="000000"/>
              </w:rPr>
            </w:pPr>
            <w:r w:rsidRPr="00F66458">
              <w:rPr>
                <w:rFonts w:eastAsia="Times New Roman"/>
                <w:color w:val="000000"/>
              </w:rPr>
              <w:t>0</w:t>
            </w:r>
          </w:p>
        </w:tc>
        <w:tc>
          <w:tcPr>
            <w:tcW w:w="1080" w:type="dxa"/>
            <w:tcBorders>
              <w:top w:val="nil"/>
              <w:left w:val="nil"/>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jc w:val="right"/>
              <w:rPr>
                <w:rFonts w:eastAsia="Times New Roman"/>
                <w:color w:val="000000"/>
              </w:rPr>
            </w:pPr>
            <w:r w:rsidRPr="00F66458">
              <w:rPr>
                <w:rFonts w:eastAsia="Times New Roman"/>
                <w:color w:val="000000"/>
              </w:rPr>
              <w:t>0</w:t>
            </w:r>
          </w:p>
        </w:tc>
        <w:tc>
          <w:tcPr>
            <w:tcW w:w="1340" w:type="dxa"/>
            <w:tcBorders>
              <w:top w:val="nil"/>
              <w:left w:val="nil"/>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jc w:val="right"/>
              <w:rPr>
                <w:rFonts w:eastAsia="Times New Roman"/>
                <w:color w:val="000000"/>
              </w:rPr>
            </w:pPr>
            <w:r w:rsidRPr="00F66458">
              <w:rPr>
                <w:rFonts w:eastAsia="Times New Roman"/>
                <w:color w:val="000000"/>
              </w:rPr>
              <w:t>0</w:t>
            </w:r>
          </w:p>
        </w:tc>
        <w:tc>
          <w:tcPr>
            <w:tcW w:w="1160" w:type="dxa"/>
            <w:tcBorders>
              <w:top w:val="nil"/>
              <w:left w:val="nil"/>
              <w:bottom w:val="single" w:sz="4" w:space="0" w:color="auto"/>
              <w:right w:val="single" w:sz="4" w:space="0" w:color="auto"/>
            </w:tcBorders>
            <w:shd w:val="clear" w:color="auto" w:fill="auto"/>
            <w:vAlign w:val="center"/>
            <w:hideMark/>
          </w:tcPr>
          <w:p w:rsidR="004A215C" w:rsidRPr="00F66458" w:rsidRDefault="004A215C" w:rsidP="00234F28">
            <w:pPr>
              <w:spacing w:after="0" w:line="240" w:lineRule="auto"/>
              <w:jc w:val="right"/>
              <w:rPr>
                <w:rFonts w:eastAsia="Times New Roman"/>
                <w:color w:val="000000"/>
              </w:rPr>
            </w:pPr>
            <w:r w:rsidRPr="00F66458">
              <w:rPr>
                <w:rFonts w:eastAsia="Times New Roman"/>
                <w:color w:val="000000"/>
              </w:rPr>
              <w:t>0</w:t>
            </w:r>
          </w:p>
        </w:tc>
      </w:tr>
      <w:tr w:rsidR="004A215C" w:rsidRPr="00F66458" w:rsidTr="00234F28">
        <w:trPr>
          <w:trHeight w:val="308"/>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4A215C" w:rsidRPr="00F66458" w:rsidRDefault="004A215C" w:rsidP="00234F28">
            <w:pPr>
              <w:spacing w:after="0" w:line="240" w:lineRule="auto"/>
              <w:jc w:val="right"/>
              <w:rPr>
                <w:rFonts w:eastAsia="Times New Roman"/>
                <w:b/>
                <w:bCs/>
                <w:color w:val="000000"/>
              </w:rPr>
            </w:pPr>
            <w:r w:rsidRPr="00F66458">
              <w:rPr>
                <w:rFonts w:eastAsia="Times New Roman"/>
                <w:b/>
                <w:bCs/>
                <w:color w:val="000000"/>
              </w:rPr>
              <w:t>Total</w:t>
            </w:r>
          </w:p>
        </w:tc>
        <w:tc>
          <w:tcPr>
            <w:tcW w:w="1100" w:type="dxa"/>
            <w:tcBorders>
              <w:top w:val="nil"/>
              <w:left w:val="nil"/>
              <w:bottom w:val="single" w:sz="4" w:space="0" w:color="auto"/>
              <w:right w:val="single" w:sz="4" w:space="0" w:color="auto"/>
            </w:tcBorders>
            <w:shd w:val="clear" w:color="auto" w:fill="auto"/>
            <w:noWrap/>
            <w:vAlign w:val="bottom"/>
            <w:hideMark/>
          </w:tcPr>
          <w:p w:rsidR="004A215C" w:rsidRPr="00F66458" w:rsidRDefault="004A215C" w:rsidP="00234F28">
            <w:pPr>
              <w:spacing w:after="0" w:line="240" w:lineRule="auto"/>
              <w:jc w:val="right"/>
              <w:rPr>
                <w:rFonts w:eastAsia="Times New Roman"/>
                <w:color w:val="000000"/>
              </w:rPr>
            </w:pPr>
            <w:r w:rsidRPr="00F66458">
              <w:rPr>
                <w:rFonts w:eastAsia="Times New Roman"/>
                <w:color w:val="000000"/>
              </w:rPr>
              <w:t>92</w:t>
            </w:r>
          </w:p>
        </w:tc>
        <w:tc>
          <w:tcPr>
            <w:tcW w:w="1080" w:type="dxa"/>
            <w:tcBorders>
              <w:top w:val="nil"/>
              <w:left w:val="nil"/>
              <w:bottom w:val="single" w:sz="4" w:space="0" w:color="auto"/>
              <w:right w:val="single" w:sz="4" w:space="0" w:color="auto"/>
            </w:tcBorders>
            <w:shd w:val="clear" w:color="auto" w:fill="auto"/>
            <w:noWrap/>
            <w:vAlign w:val="bottom"/>
            <w:hideMark/>
          </w:tcPr>
          <w:p w:rsidR="004A215C" w:rsidRPr="00F66458" w:rsidRDefault="004A215C" w:rsidP="00234F28">
            <w:pPr>
              <w:spacing w:after="0" w:line="240" w:lineRule="auto"/>
              <w:jc w:val="right"/>
              <w:rPr>
                <w:rFonts w:eastAsia="Times New Roman"/>
                <w:color w:val="000000"/>
              </w:rPr>
            </w:pPr>
            <w:r w:rsidRPr="00F66458">
              <w:rPr>
                <w:rFonts w:eastAsia="Times New Roman"/>
                <w:color w:val="000000"/>
              </w:rPr>
              <w:t>73</w:t>
            </w:r>
          </w:p>
        </w:tc>
        <w:tc>
          <w:tcPr>
            <w:tcW w:w="1080" w:type="dxa"/>
            <w:tcBorders>
              <w:top w:val="nil"/>
              <w:left w:val="nil"/>
              <w:bottom w:val="single" w:sz="4" w:space="0" w:color="auto"/>
              <w:right w:val="single" w:sz="4" w:space="0" w:color="auto"/>
            </w:tcBorders>
            <w:shd w:val="clear" w:color="auto" w:fill="auto"/>
            <w:noWrap/>
            <w:vAlign w:val="bottom"/>
            <w:hideMark/>
          </w:tcPr>
          <w:p w:rsidR="004A215C" w:rsidRPr="00F66458" w:rsidRDefault="004A215C" w:rsidP="00234F28">
            <w:pPr>
              <w:spacing w:after="0" w:line="240" w:lineRule="auto"/>
              <w:jc w:val="right"/>
              <w:rPr>
                <w:rFonts w:eastAsia="Times New Roman"/>
                <w:color w:val="000000"/>
              </w:rPr>
            </w:pPr>
            <w:r w:rsidRPr="00F66458">
              <w:rPr>
                <w:rFonts w:eastAsia="Times New Roman"/>
                <w:color w:val="000000"/>
              </w:rPr>
              <w:t>100</w:t>
            </w:r>
          </w:p>
        </w:tc>
        <w:tc>
          <w:tcPr>
            <w:tcW w:w="1340" w:type="dxa"/>
            <w:tcBorders>
              <w:top w:val="nil"/>
              <w:left w:val="nil"/>
              <w:bottom w:val="single" w:sz="4" w:space="0" w:color="auto"/>
              <w:right w:val="single" w:sz="4" w:space="0" w:color="auto"/>
            </w:tcBorders>
            <w:shd w:val="clear" w:color="auto" w:fill="auto"/>
            <w:noWrap/>
            <w:vAlign w:val="bottom"/>
            <w:hideMark/>
          </w:tcPr>
          <w:p w:rsidR="004A215C" w:rsidRPr="00F66458" w:rsidRDefault="004A215C" w:rsidP="00234F28">
            <w:pPr>
              <w:spacing w:after="0" w:line="240" w:lineRule="auto"/>
              <w:jc w:val="right"/>
              <w:rPr>
                <w:rFonts w:eastAsia="Times New Roman"/>
                <w:color w:val="000000"/>
              </w:rPr>
            </w:pPr>
            <w:r w:rsidRPr="00F66458">
              <w:rPr>
                <w:rFonts w:eastAsia="Times New Roman"/>
                <w:color w:val="000000"/>
              </w:rPr>
              <w:t>70</w:t>
            </w:r>
          </w:p>
        </w:tc>
        <w:tc>
          <w:tcPr>
            <w:tcW w:w="1160" w:type="dxa"/>
            <w:tcBorders>
              <w:top w:val="nil"/>
              <w:left w:val="nil"/>
              <w:bottom w:val="single" w:sz="4" w:space="0" w:color="auto"/>
              <w:right w:val="single" w:sz="4" w:space="0" w:color="auto"/>
            </w:tcBorders>
            <w:shd w:val="clear" w:color="auto" w:fill="auto"/>
            <w:noWrap/>
            <w:vAlign w:val="bottom"/>
            <w:hideMark/>
          </w:tcPr>
          <w:p w:rsidR="004A215C" w:rsidRPr="00F66458" w:rsidRDefault="004A215C" w:rsidP="00234F28">
            <w:pPr>
              <w:spacing w:after="0" w:line="240" w:lineRule="auto"/>
              <w:jc w:val="right"/>
              <w:rPr>
                <w:rFonts w:eastAsia="Times New Roman"/>
                <w:color w:val="000000"/>
              </w:rPr>
            </w:pPr>
            <w:r w:rsidRPr="00F66458">
              <w:rPr>
                <w:rFonts w:eastAsia="Times New Roman"/>
                <w:color w:val="000000"/>
              </w:rPr>
              <w:t>16</w:t>
            </w:r>
          </w:p>
        </w:tc>
      </w:tr>
      <w:tr w:rsidR="004A215C" w:rsidRPr="00F66458" w:rsidTr="00234F28">
        <w:trPr>
          <w:trHeight w:val="308"/>
        </w:trPr>
        <w:tc>
          <w:tcPr>
            <w:tcW w:w="8240" w:type="dxa"/>
            <w:gridSpan w:val="5"/>
            <w:tcBorders>
              <w:top w:val="single" w:sz="4" w:space="0" w:color="auto"/>
              <w:left w:val="single" w:sz="4" w:space="0" w:color="auto"/>
              <w:bottom w:val="single" w:sz="4" w:space="0" w:color="auto"/>
              <w:right w:val="single" w:sz="4" w:space="0" w:color="auto"/>
            </w:tcBorders>
            <w:shd w:val="clear" w:color="000000" w:fill="FCE4D6"/>
            <w:vAlign w:val="bottom"/>
            <w:hideMark/>
          </w:tcPr>
          <w:p w:rsidR="004A215C" w:rsidRPr="00F66458" w:rsidRDefault="004A215C" w:rsidP="00234F28">
            <w:pPr>
              <w:spacing w:after="0" w:line="240" w:lineRule="auto"/>
              <w:jc w:val="right"/>
              <w:rPr>
                <w:rFonts w:eastAsia="Times New Roman"/>
                <w:b/>
                <w:bCs/>
                <w:color w:val="000000"/>
              </w:rPr>
            </w:pPr>
            <w:r w:rsidRPr="00F66458">
              <w:rPr>
                <w:rFonts w:eastAsia="Times New Roman"/>
                <w:b/>
                <w:bCs/>
                <w:color w:val="000000"/>
              </w:rPr>
              <w:t>Total items for year one available for universal TA</w:t>
            </w:r>
          </w:p>
        </w:tc>
        <w:tc>
          <w:tcPr>
            <w:tcW w:w="1160" w:type="dxa"/>
            <w:tcBorders>
              <w:top w:val="nil"/>
              <w:left w:val="nil"/>
              <w:bottom w:val="single" w:sz="4" w:space="0" w:color="auto"/>
              <w:right w:val="single" w:sz="4" w:space="0" w:color="auto"/>
            </w:tcBorders>
            <w:shd w:val="clear" w:color="000000" w:fill="FCE4D6"/>
            <w:noWrap/>
            <w:vAlign w:val="bottom"/>
            <w:hideMark/>
          </w:tcPr>
          <w:p w:rsidR="004A215C" w:rsidRPr="00F66458" w:rsidRDefault="004A215C" w:rsidP="00234F28">
            <w:pPr>
              <w:spacing w:after="0" w:line="240" w:lineRule="auto"/>
              <w:jc w:val="right"/>
              <w:rPr>
                <w:rFonts w:eastAsia="Times New Roman"/>
                <w:color w:val="000000"/>
              </w:rPr>
            </w:pPr>
            <w:r w:rsidRPr="00F66458">
              <w:rPr>
                <w:rFonts w:eastAsia="Times New Roman"/>
                <w:color w:val="000000"/>
              </w:rPr>
              <w:t>351</w:t>
            </w:r>
          </w:p>
        </w:tc>
      </w:tr>
    </w:tbl>
    <w:p w:rsidR="004A215C" w:rsidRDefault="004A215C" w:rsidP="004A215C">
      <w:pPr>
        <w:pStyle w:val="NoSpacing"/>
      </w:pPr>
    </w:p>
    <w:p w:rsidR="001C7EA8" w:rsidRDefault="001C7EA8" w:rsidP="004A215C">
      <w:pPr>
        <w:pStyle w:val="NoSpacing"/>
      </w:pPr>
      <w:r>
        <w:t>The traffic to the website increased dramatically in the fourth quarter as identified in the Information Technology Report below:</w:t>
      </w:r>
    </w:p>
    <w:p w:rsidR="001C7EA8" w:rsidRDefault="001C7EA8" w:rsidP="004A215C">
      <w:pPr>
        <w:pStyle w:val="NoSpacing"/>
      </w:pPr>
    </w:p>
    <w:p w:rsidR="001F4904" w:rsidRDefault="001F4904" w:rsidP="004A215C">
      <w:pPr>
        <w:pStyle w:val="NoSpacing"/>
      </w:pPr>
      <w:r>
        <w:t>Table 4</w:t>
      </w:r>
    </w:p>
    <w:tbl>
      <w:tblPr>
        <w:tblW w:w="7323" w:type="dxa"/>
        <w:tblLook w:val="04A0" w:firstRow="1" w:lastRow="0" w:firstColumn="1" w:lastColumn="0" w:noHBand="0" w:noVBand="1"/>
      </w:tblPr>
      <w:tblGrid>
        <w:gridCol w:w="3466"/>
        <w:gridCol w:w="1608"/>
        <w:gridCol w:w="2249"/>
      </w:tblGrid>
      <w:tr w:rsidR="001A4D32" w:rsidRPr="001A4D32" w:rsidTr="008D3937">
        <w:trPr>
          <w:trHeight w:val="296"/>
        </w:trPr>
        <w:tc>
          <w:tcPr>
            <w:tcW w:w="7323" w:type="dxa"/>
            <w:gridSpan w:val="3"/>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1A4D32" w:rsidRPr="001A4D32" w:rsidRDefault="001A4D32" w:rsidP="001A4D32">
            <w:pPr>
              <w:spacing w:after="0" w:line="240" w:lineRule="auto"/>
              <w:jc w:val="center"/>
              <w:rPr>
                <w:rFonts w:eastAsia="Times New Roman"/>
                <w:b/>
                <w:bCs/>
                <w:color w:val="000000"/>
              </w:rPr>
            </w:pPr>
            <w:bookmarkStart w:id="1" w:name="RANGE!A2"/>
            <w:r w:rsidRPr="001A4D32">
              <w:rPr>
                <w:rFonts w:eastAsia="Times New Roman"/>
                <w:b/>
                <w:bCs/>
                <w:color w:val="000000"/>
              </w:rPr>
              <w:t>Website Traffic Overview</w:t>
            </w:r>
            <w:bookmarkEnd w:id="1"/>
            <w:r w:rsidR="009F5130">
              <w:rPr>
                <w:rFonts w:eastAsia="Times New Roman"/>
                <w:b/>
                <w:bCs/>
                <w:color w:val="000000"/>
              </w:rPr>
              <w:t xml:space="preserve"> – 4</w:t>
            </w:r>
            <w:r w:rsidR="009F5130" w:rsidRPr="009F5130">
              <w:rPr>
                <w:rFonts w:eastAsia="Times New Roman"/>
                <w:b/>
                <w:bCs/>
                <w:color w:val="000000"/>
                <w:vertAlign w:val="superscript"/>
              </w:rPr>
              <w:t>th</w:t>
            </w:r>
            <w:r w:rsidR="009F5130">
              <w:rPr>
                <w:rFonts w:eastAsia="Times New Roman"/>
                <w:b/>
                <w:bCs/>
                <w:color w:val="000000"/>
              </w:rPr>
              <w:t xml:space="preserve"> Quarter Year One</w:t>
            </w:r>
          </w:p>
        </w:tc>
      </w:tr>
      <w:tr w:rsidR="001A4D32" w:rsidRPr="001A4D32" w:rsidTr="008D3937">
        <w:trPr>
          <w:trHeight w:val="663"/>
        </w:trPr>
        <w:tc>
          <w:tcPr>
            <w:tcW w:w="3466" w:type="dxa"/>
            <w:tcBorders>
              <w:top w:val="nil"/>
              <w:left w:val="single" w:sz="4" w:space="0" w:color="auto"/>
              <w:bottom w:val="single" w:sz="4" w:space="0" w:color="auto"/>
              <w:right w:val="single" w:sz="4" w:space="0" w:color="auto"/>
            </w:tcBorders>
            <w:shd w:val="clear" w:color="000000" w:fill="F8CBAD"/>
            <w:noWrap/>
            <w:vAlign w:val="center"/>
            <w:hideMark/>
          </w:tcPr>
          <w:p w:rsidR="001A4D32" w:rsidRPr="001A4D32" w:rsidRDefault="001A4D32" w:rsidP="001A4D32">
            <w:pPr>
              <w:spacing w:after="0" w:line="240" w:lineRule="auto"/>
              <w:jc w:val="center"/>
              <w:rPr>
                <w:rFonts w:eastAsia="Times New Roman"/>
                <w:b/>
                <w:bCs/>
                <w:color w:val="000000"/>
              </w:rPr>
            </w:pPr>
            <w:r w:rsidRPr="001A4D32">
              <w:rPr>
                <w:rFonts w:eastAsia="Times New Roman"/>
                <w:b/>
                <w:bCs/>
                <w:color w:val="000000"/>
              </w:rPr>
              <w:t>Item</w:t>
            </w:r>
          </w:p>
        </w:tc>
        <w:tc>
          <w:tcPr>
            <w:tcW w:w="1608" w:type="dxa"/>
            <w:tcBorders>
              <w:top w:val="nil"/>
              <w:left w:val="nil"/>
              <w:bottom w:val="single" w:sz="4" w:space="0" w:color="auto"/>
              <w:right w:val="single" w:sz="4" w:space="0" w:color="auto"/>
            </w:tcBorders>
            <w:shd w:val="clear" w:color="000000" w:fill="F8CBAD"/>
            <w:noWrap/>
            <w:vAlign w:val="center"/>
            <w:hideMark/>
          </w:tcPr>
          <w:p w:rsidR="001A4D32" w:rsidRPr="001A4D32" w:rsidRDefault="001A4D32" w:rsidP="001A4D32">
            <w:pPr>
              <w:spacing w:after="0" w:line="240" w:lineRule="auto"/>
              <w:jc w:val="center"/>
              <w:rPr>
                <w:rFonts w:eastAsia="Times New Roman"/>
                <w:b/>
                <w:bCs/>
                <w:color w:val="000000"/>
              </w:rPr>
            </w:pPr>
            <w:r w:rsidRPr="001A4D32">
              <w:rPr>
                <w:rFonts w:eastAsia="Times New Roman"/>
                <w:b/>
                <w:bCs/>
                <w:color w:val="000000"/>
              </w:rPr>
              <w:t>Number</w:t>
            </w:r>
          </w:p>
        </w:tc>
        <w:tc>
          <w:tcPr>
            <w:tcW w:w="2248" w:type="dxa"/>
            <w:tcBorders>
              <w:top w:val="nil"/>
              <w:left w:val="nil"/>
              <w:bottom w:val="single" w:sz="4" w:space="0" w:color="auto"/>
              <w:right w:val="single" w:sz="4" w:space="0" w:color="auto"/>
            </w:tcBorders>
            <w:shd w:val="clear" w:color="000000" w:fill="F8CBAD"/>
            <w:vAlign w:val="center"/>
            <w:hideMark/>
          </w:tcPr>
          <w:p w:rsidR="001A4D32" w:rsidRPr="001A4D32" w:rsidRDefault="001A4D32" w:rsidP="001A4D32">
            <w:pPr>
              <w:spacing w:after="0" w:line="240" w:lineRule="auto"/>
              <w:jc w:val="center"/>
              <w:rPr>
                <w:rFonts w:eastAsia="Times New Roman"/>
                <w:b/>
                <w:bCs/>
                <w:color w:val="000000"/>
              </w:rPr>
            </w:pPr>
            <w:r w:rsidRPr="001A4D32">
              <w:rPr>
                <w:rFonts w:eastAsia="Times New Roman"/>
                <w:b/>
                <w:bCs/>
                <w:color w:val="000000"/>
              </w:rPr>
              <w:t>Difference from previous quarter</w:t>
            </w:r>
          </w:p>
        </w:tc>
      </w:tr>
      <w:tr w:rsidR="001A4D32" w:rsidRPr="001A4D32" w:rsidTr="008D3937">
        <w:trPr>
          <w:trHeight w:val="296"/>
        </w:trPr>
        <w:tc>
          <w:tcPr>
            <w:tcW w:w="3466" w:type="dxa"/>
            <w:tcBorders>
              <w:top w:val="nil"/>
              <w:left w:val="single" w:sz="4" w:space="0" w:color="auto"/>
              <w:bottom w:val="single" w:sz="4" w:space="0" w:color="auto"/>
              <w:right w:val="single" w:sz="4" w:space="0" w:color="auto"/>
            </w:tcBorders>
            <w:shd w:val="clear" w:color="auto" w:fill="auto"/>
            <w:noWrap/>
            <w:vAlign w:val="center"/>
            <w:hideMark/>
          </w:tcPr>
          <w:p w:rsidR="001A4D32" w:rsidRPr="001A4D32" w:rsidRDefault="001A4D32" w:rsidP="001A4D32">
            <w:pPr>
              <w:spacing w:after="0" w:line="240" w:lineRule="auto"/>
              <w:rPr>
                <w:rFonts w:eastAsia="Times New Roman"/>
                <w:color w:val="000000"/>
              </w:rPr>
            </w:pPr>
            <w:r w:rsidRPr="001A4D32">
              <w:rPr>
                <w:rFonts w:eastAsia="Times New Roman"/>
                <w:color w:val="000000"/>
              </w:rPr>
              <w:t>Unique visitors</w:t>
            </w:r>
          </w:p>
        </w:tc>
        <w:tc>
          <w:tcPr>
            <w:tcW w:w="1608" w:type="dxa"/>
            <w:tcBorders>
              <w:top w:val="nil"/>
              <w:left w:val="nil"/>
              <w:bottom w:val="single" w:sz="4" w:space="0" w:color="auto"/>
              <w:right w:val="single" w:sz="4" w:space="0" w:color="auto"/>
            </w:tcBorders>
            <w:shd w:val="clear" w:color="auto" w:fill="auto"/>
            <w:noWrap/>
            <w:vAlign w:val="center"/>
            <w:hideMark/>
          </w:tcPr>
          <w:p w:rsidR="001A4D32" w:rsidRPr="001A4D32" w:rsidRDefault="001A4D32" w:rsidP="001A4D32">
            <w:pPr>
              <w:spacing w:after="0" w:line="240" w:lineRule="auto"/>
              <w:jc w:val="right"/>
              <w:rPr>
                <w:rFonts w:eastAsia="Times New Roman"/>
                <w:color w:val="000000"/>
              </w:rPr>
            </w:pPr>
            <w:r w:rsidRPr="001A4D32">
              <w:rPr>
                <w:rFonts w:eastAsia="Times New Roman"/>
                <w:color w:val="000000"/>
              </w:rPr>
              <w:t>2,670</w:t>
            </w:r>
          </w:p>
        </w:tc>
        <w:tc>
          <w:tcPr>
            <w:tcW w:w="2248" w:type="dxa"/>
            <w:tcBorders>
              <w:top w:val="nil"/>
              <w:left w:val="nil"/>
              <w:bottom w:val="single" w:sz="4" w:space="0" w:color="auto"/>
              <w:right w:val="single" w:sz="4" w:space="0" w:color="auto"/>
            </w:tcBorders>
            <w:shd w:val="clear" w:color="auto" w:fill="auto"/>
            <w:noWrap/>
            <w:vAlign w:val="center"/>
            <w:hideMark/>
          </w:tcPr>
          <w:p w:rsidR="001A4D32" w:rsidRPr="001A4D32" w:rsidRDefault="001A4D32" w:rsidP="001A4D32">
            <w:pPr>
              <w:spacing w:after="0" w:line="240" w:lineRule="auto"/>
              <w:rPr>
                <w:rFonts w:eastAsia="Times New Roman"/>
                <w:color w:val="000000"/>
              </w:rPr>
            </w:pPr>
            <w:r w:rsidRPr="001A4D32">
              <w:rPr>
                <w:rFonts w:eastAsia="Times New Roman"/>
                <w:color w:val="000000"/>
              </w:rPr>
              <w:t>increase by 1,410</w:t>
            </w:r>
          </w:p>
        </w:tc>
      </w:tr>
      <w:tr w:rsidR="001A4D32" w:rsidRPr="001A4D32" w:rsidTr="008D3937">
        <w:trPr>
          <w:trHeight w:val="296"/>
        </w:trPr>
        <w:tc>
          <w:tcPr>
            <w:tcW w:w="3466" w:type="dxa"/>
            <w:tcBorders>
              <w:top w:val="nil"/>
              <w:left w:val="single" w:sz="4" w:space="0" w:color="auto"/>
              <w:bottom w:val="single" w:sz="4" w:space="0" w:color="auto"/>
              <w:right w:val="single" w:sz="4" w:space="0" w:color="auto"/>
            </w:tcBorders>
            <w:shd w:val="clear" w:color="auto" w:fill="auto"/>
            <w:noWrap/>
            <w:vAlign w:val="center"/>
            <w:hideMark/>
          </w:tcPr>
          <w:p w:rsidR="001A4D32" w:rsidRPr="001A4D32" w:rsidRDefault="001A4D32" w:rsidP="001A4D32">
            <w:pPr>
              <w:spacing w:after="0" w:line="240" w:lineRule="auto"/>
              <w:rPr>
                <w:rFonts w:eastAsia="Times New Roman"/>
                <w:color w:val="000000"/>
              </w:rPr>
            </w:pPr>
            <w:r w:rsidRPr="001A4D32">
              <w:rPr>
                <w:rFonts w:eastAsia="Times New Roman"/>
                <w:color w:val="000000"/>
              </w:rPr>
              <w:t>Page views</w:t>
            </w:r>
          </w:p>
        </w:tc>
        <w:tc>
          <w:tcPr>
            <w:tcW w:w="1608" w:type="dxa"/>
            <w:tcBorders>
              <w:top w:val="nil"/>
              <w:left w:val="nil"/>
              <w:bottom w:val="single" w:sz="4" w:space="0" w:color="auto"/>
              <w:right w:val="single" w:sz="4" w:space="0" w:color="auto"/>
            </w:tcBorders>
            <w:shd w:val="clear" w:color="auto" w:fill="auto"/>
            <w:noWrap/>
            <w:vAlign w:val="center"/>
            <w:hideMark/>
          </w:tcPr>
          <w:p w:rsidR="001A4D32" w:rsidRPr="001A4D32" w:rsidRDefault="001A4D32" w:rsidP="001A4D32">
            <w:pPr>
              <w:spacing w:after="0" w:line="240" w:lineRule="auto"/>
              <w:jc w:val="right"/>
              <w:rPr>
                <w:rFonts w:eastAsia="Times New Roman"/>
                <w:color w:val="000000"/>
              </w:rPr>
            </w:pPr>
            <w:r w:rsidRPr="001A4D32">
              <w:rPr>
                <w:rFonts w:eastAsia="Times New Roman"/>
                <w:color w:val="000000"/>
              </w:rPr>
              <w:t>17,732</w:t>
            </w:r>
          </w:p>
        </w:tc>
        <w:tc>
          <w:tcPr>
            <w:tcW w:w="2248" w:type="dxa"/>
            <w:tcBorders>
              <w:top w:val="nil"/>
              <w:left w:val="nil"/>
              <w:bottom w:val="single" w:sz="4" w:space="0" w:color="auto"/>
              <w:right w:val="single" w:sz="4" w:space="0" w:color="auto"/>
            </w:tcBorders>
            <w:shd w:val="clear" w:color="auto" w:fill="auto"/>
            <w:noWrap/>
            <w:vAlign w:val="center"/>
            <w:hideMark/>
          </w:tcPr>
          <w:p w:rsidR="001A4D32" w:rsidRPr="001A4D32" w:rsidRDefault="001A4D32" w:rsidP="001A4D32">
            <w:pPr>
              <w:spacing w:after="0" w:line="240" w:lineRule="auto"/>
              <w:rPr>
                <w:rFonts w:eastAsia="Times New Roman"/>
                <w:color w:val="000000"/>
              </w:rPr>
            </w:pPr>
            <w:r w:rsidRPr="001A4D32">
              <w:rPr>
                <w:rFonts w:eastAsia="Times New Roman"/>
                <w:color w:val="000000"/>
              </w:rPr>
              <w:t>increase by 9,037</w:t>
            </w:r>
          </w:p>
        </w:tc>
      </w:tr>
      <w:tr w:rsidR="001A4D32" w:rsidRPr="001A4D32" w:rsidTr="008D3937">
        <w:trPr>
          <w:trHeight w:val="296"/>
        </w:trPr>
        <w:tc>
          <w:tcPr>
            <w:tcW w:w="3466" w:type="dxa"/>
            <w:tcBorders>
              <w:top w:val="nil"/>
              <w:left w:val="single" w:sz="4" w:space="0" w:color="auto"/>
              <w:bottom w:val="single" w:sz="4" w:space="0" w:color="auto"/>
              <w:right w:val="single" w:sz="4" w:space="0" w:color="auto"/>
            </w:tcBorders>
            <w:shd w:val="clear" w:color="auto" w:fill="auto"/>
            <w:noWrap/>
            <w:vAlign w:val="center"/>
            <w:hideMark/>
          </w:tcPr>
          <w:p w:rsidR="001A4D32" w:rsidRPr="001A4D32" w:rsidRDefault="001A4D32" w:rsidP="001A4D32">
            <w:pPr>
              <w:spacing w:after="0" w:line="240" w:lineRule="auto"/>
              <w:rPr>
                <w:rFonts w:eastAsia="Times New Roman"/>
                <w:color w:val="000000"/>
              </w:rPr>
            </w:pPr>
            <w:r w:rsidRPr="001A4D32">
              <w:rPr>
                <w:rFonts w:eastAsia="Times New Roman"/>
                <w:color w:val="000000"/>
              </w:rPr>
              <w:t>Visits</w:t>
            </w:r>
          </w:p>
        </w:tc>
        <w:tc>
          <w:tcPr>
            <w:tcW w:w="1608" w:type="dxa"/>
            <w:tcBorders>
              <w:top w:val="nil"/>
              <w:left w:val="nil"/>
              <w:bottom w:val="single" w:sz="4" w:space="0" w:color="auto"/>
              <w:right w:val="single" w:sz="4" w:space="0" w:color="auto"/>
            </w:tcBorders>
            <w:shd w:val="clear" w:color="auto" w:fill="auto"/>
            <w:noWrap/>
            <w:vAlign w:val="center"/>
            <w:hideMark/>
          </w:tcPr>
          <w:p w:rsidR="001A4D32" w:rsidRPr="001A4D32" w:rsidRDefault="001A4D32" w:rsidP="001A4D32">
            <w:pPr>
              <w:spacing w:after="0" w:line="240" w:lineRule="auto"/>
              <w:jc w:val="right"/>
              <w:rPr>
                <w:rFonts w:eastAsia="Times New Roman"/>
                <w:color w:val="000000"/>
              </w:rPr>
            </w:pPr>
            <w:r w:rsidRPr="001A4D32">
              <w:rPr>
                <w:rFonts w:eastAsia="Times New Roman"/>
                <w:color w:val="000000"/>
              </w:rPr>
              <w:t>4,420</w:t>
            </w:r>
          </w:p>
        </w:tc>
        <w:tc>
          <w:tcPr>
            <w:tcW w:w="2248" w:type="dxa"/>
            <w:tcBorders>
              <w:top w:val="nil"/>
              <w:left w:val="nil"/>
              <w:bottom w:val="single" w:sz="4" w:space="0" w:color="auto"/>
              <w:right w:val="single" w:sz="4" w:space="0" w:color="auto"/>
            </w:tcBorders>
            <w:shd w:val="clear" w:color="auto" w:fill="auto"/>
            <w:noWrap/>
            <w:vAlign w:val="bottom"/>
            <w:hideMark/>
          </w:tcPr>
          <w:p w:rsidR="001A4D32" w:rsidRPr="001A4D32" w:rsidRDefault="001A4D32" w:rsidP="001A4D32">
            <w:pPr>
              <w:spacing w:after="0" w:line="240" w:lineRule="auto"/>
              <w:rPr>
                <w:rFonts w:eastAsia="Times New Roman"/>
                <w:color w:val="000000"/>
              </w:rPr>
            </w:pPr>
            <w:r w:rsidRPr="001A4D32">
              <w:rPr>
                <w:rFonts w:eastAsia="Times New Roman"/>
                <w:color w:val="000000"/>
              </w:rPr>
              <w:t>increase by 2,280</w:t>
            </w:r>
          </w:p>
        </w:tc>
      </w:tr>
      <w:tr w:rsidR="001A4D32" w:rsidRPr="001A4D32" w:rsidTr="008D3937">
        <w:trPr>
          <w:trHeight w:val="296"/>
        </w:trPr>
        <w:tc>
          <w:tcPr>
            <w:tcW w:w="3466" w:type="dxa"/>
            <w:tcBorders>
              <w:top w:val="nil"/>
              <w:left w:val="single" w:sz="4" w:space="0" w:color="auto"/>
              <w:bottom w:val="single" w:sz="4" w:space="0" w:color="auto"/>
              <w:right w:val="single" w:sz="4" w:space="0" w:color="auto"/>
            </w:tcBorders>
            <w:shd w:val="clear" w:color="auto" w:fill="auto"/>
            <w:noWrap/>
            <w:vAlign w:val="center"/>
            <w:hideMark/>
          </w:tcPr>
          <w:p w:rsidR="001A4D32" w:rsidRPr="001A4D32" w:rsidRDefault="001A4D32" w:rsidP="001A4D32">
            <w:pPr>
              <w:spacing w:after="0" w:line="240" w:lineRule="auto"/>
              <w:rPr>
                <w:rFonts w:eastAsia="Times New Roman"/>
                <w:color w:val="000000"/>
              </w:rPr>
            </w:pPr>
            <w:r w:rsidRPr="001A4D32">
              <w:rPr>
                <w:rFonts w:eastAsia="Times New Roman"/>
                <w:color w:val="000000"/>
              </w:rPr>
              <w:t>Returning visitors</w:t>
            </w:r>
          </w:p>
        </w:tc>
        <w:tc>
          <w:tcPr>
            <w:tcW w:w="1608" w:type="dxa"/>
            <w:tcBorders>
              <w:top w:val="nil"/>
              <w:left w:val="nil"/>
              <w:bottom w:val="single" w:sz="4" w:space="0" w:color="auto"/>
              <w:right w:val="single" w:sz="4" w:space="0" w:color="auto"/>
            </w:tcBorders>
            <w:shd w:val="clear" w:color="auto" w:fill="auto"/>
            <w:noWrap/>
            <w:vAlign w:val="center"/>
            <w:hideMark/>
          </w:tcPr>
          <w:p w:rsidR="001A4D32" w:rsidRPr="001A4D32" w:rsidRDefault="001A4D32" w:rsidP="001A4D32">
            <w:pPr>
              <w:spacing w:after="0" w:line="240" w:lineRule="auto"/>
              <w:jc w:val="right"/>
              <w:rPr>
                <w:rFonts w:eastAsia="Times New Roman"/>
                <w:color w:val="000000"/>
              </w:rPr>
            </w:pPr>
            <w:r w:rsidRPr="001A4D32">
              <w:rPr>
                <w:rFonts w:eastAsia="Times New Roman"/>
                <w:color w:val="000000"/>
              </w:rPr>
              <w:t>43%</w:t>
            </w:r>
          </w:p>
        </w:tc>
        <w:tc>
          <w:tcPr>
            <w:tcW w:w="2248" w:type="dxa"/>
            <w:tcBorders>
              <w:top w:val="nil"/>
              <w:left w:val="nil"/>
              <w:bottom w:val="single" w:sz="4" w:space="0" w:color="auto"/>
              <w:right w:val="single" w:sz="4" w:space="0" w:color="auto"/>
            </w:tcBorders>
            <w:shd w:val="clear" w:color="auto" w:fill="auto"/>
            <w:noWrap/>
            <w:vAlign w:val="bottom"/>
            <w:hideMark/>
          </w:tcPr>
          <w:p w:rsidR="001A4D32" w:rsidRPr="001A4D32" w:rsidRDefault="001A4D32" w:rsidP="001A4D32">
            <w:pPr>
              <w:spacing w:after="0" w:line="240" w:lineRule="auto"/>
              <w:rPr>
                <w:rFonts w:eastAsia="Times New Roman"/>
                <w:color w:val="000000"/>
              </w:rPr>
            </w:pPr>
            <w:r w:rsidRPr="001A4D32">
              <w:rPr>
                <w:rFonts w:eastAsia="Times New Roman"/>
                <w:color w:val="000000"/>
              </w:rPr>
              <w:t>decrease by 1%</w:t>
            </w:r>
          </w:p>
        </w:tc>
      </w:tr>
      <w:tr w:rsidR="001A4D32" w:rsidRPr="001A4D32" w:rsidTr="008D3937">
        <w:trPr>
          <w:trHeight w:val="296"/>
        </w:trPr>
        <w:tc>
          <w:tcPr>
            <w:tcW w:w="3466" w:type="dxa"/>
            <w:tcBorders>
              <w:top w:val="nil"/>
              <w:left w:val="single" w:sz="4" w:space="0" w:color="auto"/>
              <w:bottom w:val="single" w:sz="4" w:space="0" w:color="auto"/>
              <w:right w:val="single" w:sz="4" w:space="0" w:color="auto"/>
            </w:tcBorders>
            <w:shd w:val="clear" w:color="auto" w:fill="auto"/>
            <w:noWrap/>
            <w:vAlign w:val="center"/>
            <w:hideMark/>
          </w:tcPr>
          <w:p w:rsidR="001A4D32" w:rsidRPr="001A4D32" w:rsidRDefault="001A4D32" w:rsidP="001A4D32">
            <w:pPr>
              <w:spacing w:after="0" w:line="240" w:lineRule="auto"/>
              <w:rPr>
                <w:rFonts w:eastAsia="Times New Roman"/>
                <w:color w:val="000000"/>
              </w:rPr>
            </w:pPr>
            <w:r w:rsidRPr="001A4D32">
              <w:rPr>
                <w:rFonts w:eastAsia="Times New Roman"/>
                <w:color w:val="000000"/>
              </w:rPr>
              <w:t>New visitors</w:t>
            </w:r>
          </w:p>
        </w:tc>
        <w:tc>
          <w:tcPr>
            <w:tcW w:w="1608" w:type="dxa"/>
            <w:tcBorders>
              <w:top w:val="nil"/>
              <w:left w:val="nil"/>
              <w:bottom w:val="single" w:sz="4" w:space="0" w:color="auto"/>
              <w:right w:val="single" w:sz="4" w:space="0" w:color="auto"/>
            </w:tcBorders>
            <w:shd w:val="clear" w:color="auto" w:fill="auto"/>
            <w:noWrap/>
            <w:vAlign w:val="center"/>
            <w:hideMark/>
          </w:tcPr>
          <w:p w:rsidR="001A4D32" w:rsidRPr="001A4D32" w:rsidRDefault="001A4D32" w:rsidP="001A4D32">
            <w:pPr>
              <w:spacing w:after="0" w:line="240" w:lineRule="auto"/>
              <w:jc w:val="right"/>
              <w:rPr>
                <w:rFonts w:eastAsia="Times New Roman"/>
                <w:color w:val="000000"/>
              </w:rPr>
            </w:pPr>
            <w:r w:rsidRPr="001A4D32">
              <w:rPr>
                <w:rFonts w:eastAsia="Times New Roman"/>
                <w:color w:val="000000"/>
              </w:rPr>
              <w:t>57%</w:t>
            </w:r>
          </w:p>
        </w:tc>
        <w:tc>
          <w:tcPr>
            <w:tcW w:w="2248" w:type="dxa"/>
            <w:tcBorders>
              <w:top w:val="nil"/>
              <w:left w:val="nil"/>
              <w:bottom w:val="single" w:sz="4" w:space="0" w:color="auto"/>
              <w:right w:val="single" w:sz="4" w:space="0" w:color="auto"/>
            </w:tcBorders>
            <w:shd w:val="clear" w:color="auto" w:fill="auto"/>
            <w:noWrap/>
            <w:vAlign w:val="center"/>
            <w:hideMark/>
          </w:tcPr>
          <w:p w:rsidR="001A4D32" w:rsidRPr="001A4D32" w:rsidRDefault="001A4D32" w:rsidP="001A4D32">
            <w:pPr>
              <w:spacing w:after="0" w:line="240" w:lineRule="auto"/>
              <w:rPr>
                <w:rFonts w:eastAsia="Times New Roman"/>
                <w:color w:val="000000"/>
              </w:rPr>
            </w:pPr>
            <w:r w:rsidRPr="001A4D32">
              <w:rPr>
                <w:rFonts w:eastAsia="Times New Roman"/>
                <w:color w:val="000000"/>
              </w:rPr>
              <w:t>increase by 1%</w:t>
            </w:r>
          </w:p>
        </w:tc>
      </w:tr>
      <w:tr w:rsidR="001A4D32" w:rsidRPr="001A4D32" w:rsidTr="008D3937">
        <w:trPr>
          <w:trHeight w:val="296"/>
        </w:trPr>
        <w:tc>
          <w:tcPr>
            <w:tcW w:w="3466" w:type="dxa"/>
            <w:tcBorders>
              <w:top w:val="nil"/>
              <w:left w:val="single" w:sz="4" w:space="0" w:color="auto"/>
              <w:bottom w:val="single" w:sz="4" w:space="0" w:color="auto"/>
              <w:right w:val="single" w:sz="4" w:space="0" w:color="auto"/>
            </w:tcBorders>
            <w:shd w:val="clear" w:color="auto" w:fill="auto"/>
            <w:noWrap/>
            <w:vAlign w:val="center"/>
            <w:hideMark/>
          </w:tcPr>
          <w:p w:rsidR="001A4D32" w:rsidRPr="001A4D32" w:rsidRDefault="001A4D32" w:rsidP="001A4D32">
            <w:pPr>
              <w:spacing w:after="0" w:line="240" w:lineRule="auto"/>
              <w:rPr>
                <w:rFonts w:eastAsia="Times New Roman"/>
                <w:color w:val="000000"/>
              </w:rPr>
            </w:pPr>
            <w:r w:rsidRPr="001A4D32">
              <w:rPr>
                <w:rFonts w:eastAsia="Times New Roman"/>
                <w:color w:val="000000"/>
              </w:rPr>
              <w:t>Pages per session</w:t>
            </w:r>
          </w:p>
        </w:tc>
        <w:tc>
          <w:tcPr>
            <w:tcW w:w="1608" w:type="dxa"/>
            <w:tcBorders>
              <w:top w:val="nil"/>
              <w:left w:val="nil"/>
              <w:bottom w:val="single" w:sz="4" w:space="0" w:color="auto"/>
              <w:right w:val="single" w:sz="4" w:space="0" w:color="auto"/>
            </w:tcBorders>
            <w:shd w:val="clear" w:color="auto" w:fill="auto"/>
            <w:noWrap/>
            <w:vAlign w:val="center"/>
            <w:hideMark/>
          </w:tcPr>
          <w:p w:rsidR="001A4D32" w:rsidRPr="001A4D32" w:rsidRDefault="001A4D32" w:rsidP="001A4D32">
            <w:pPr>
              <w:spacing w:after="0" w:line="240" w:lineRule="auto"/>
              <w:jc w:val="right"/>
              <w:rPr>
                <w:rFonts w:eastAsia="Times New Roman"/>
                <w:color w:val="000000"/>
              </w:rPr>
            </w:pPr>
            <w:r w:rsidRPr="001A4D32">
              <w:rPr>
                <w:rFonts w:eastAsia="Times New Roman"/>
                <w:color w:val="000000"/>
              </w:rPr>
              <w:t>4</w:t>
            </w:r>
          </w:p>
        </w:tc>
        <w:tc>
          <w:tcPr>
            <w:tcW w:w="2248" w:type="dxa"/>
            <w:tcBorders>
              <w:top w:val="nil"/>
              <w:left w:val="nil"/>
              <w:bottom w:val="single" w:sz="4" w:space="0" w:color="auto"/>
              <w:right w:val="single" w:sz="4" w:space="0" w:color="auto"/>
            </w:tcBorders>
            <w:shd w:val="clear" w:color="auto" w:fill="auto"/>
            <w:noWrap/>
            <w:vAlign w:val="bottom"/>
            <w:hideMark/>
          </w:tcPr>
          <w:p w:rsidR="001A4D32" w:rsidRPr="001A4D32" w:rsidRDefault="001A4D32" w:rsidP="001A4D32">
            <w:pPr>
              <w:spacing w:after="0" w:line="240" w:lineRule="auto"/>
              <w:rPr>
                <w:rFonts w:eastAsia="Times New Roman"/>
                <w:color w:val="000000"/>
              </w:rPr>
            </w:pPr>
            <w:r w:rsidRPr="001A4D32">
              <w:rPr>
                <w:rFonts w:eastAsia="Times New Roman"/>
                <w:color w:val="000000"/>
              </w:rPr>
              <w:t>decrease by 0.1</w:t>
            </w:r>
          </w:p>
        </w:tc>
      </w:tr>
      <w:tr w:rsidR="001A4D32" w:rsidRPr="001A4D32" w:rsidTr="008D3937">
        <w:trPr>
          <w:trHeight w:val="296"/>
        </w:trPr>
        <w:tc>
          <w:tcPr>
            <w:tcW w:w="3466" w:type="dxa"/>
            <w:tcBorders>
              <w:top w:val="nil"/>
              <w:left w:val="single" w:sz="4" w:space="0" w:color="auto"/>
              <w:bottom w:val="single" w:sz="4" w:space="0" w:color="auto"/>
              <w:right w:val="single" w:sz="4" w:space="0" w:color="auto"/>
            </w:tcBorders>
            <w:shd w:val="clear" w:color="auto" w:fill="auto"/>
            <w:noWrap/>
            <w:vAlign w:val="center"/>
            <w:hideMark/>
          </w:tcPr>
          <w:p w:rsidR="001A4D32" w:rsidRPr="001A4D32" w:rsidRDefault="001A4D32" w:rsidP="001A4D32">
            <w:pPr>
              <w:spacing w:after="0" w:line="240" w:lineRule="auto"/>
              <w:rPr>
                <w:rFonts w:eastAsia="Times New Roman"/>
                <w:color w:val="000000"/>
              </w:rPr>
            </w:pPr>
            <w:r w:rsidRPr="001A4D32">
              <w:rPr>
                <w:rFonts w:eastAsia="Times New Roman"/>
                <w:color w:val="000000"/>
              </w:rPr>
              <w:t xml:space="preserve">Average duration per session </w:t>
            </w:r>
          </w:p>
        </w:tc>
        <w:tc>
          <w:tcPr>
            <w:tcW w:w="1608" w:type="dxa"/>
            <w:tcBorders>
              <w:top w:val="nil"/>
              <w:left w:val="nil"/>
              <w:bottom w:val="single" w:sz="4" w:space="0" w:color="auto"/>
              <w:right w:val="single" w:sz="4" w:space="0" w:color="auto"/>
            </w:tcBorders>
            <w:shd w:val="clear" w:color="auto" w:fill="auto"/>
            <w:noWrap/>
            <w:vAlign w:val="center"/>
            <w:hideMark/>
          </w:tcPr>
          <w:p w:rsidR="001A4D32" w:rsidRPr="001A4D32" w:rsidRDefault="001A4D32" w:rsidP="001A4D32">
            <w:pPr>
              <w:spacing w:after="0" w:line="240" w:lineRule="auto"/>
              <w:rPr>
                <w:rFonts w:eastAsia="Times New Roman"/>
                <w:color w:val="000000"/>
              </w:rPr>
            </w:pPr>
            <w:r w:rsidRPr="001A4D32">
              <w:rPr>
                <w:rFonts w:eastAsia="Times New Roman"/>
                <w:color w:val="000000"/>
              </w:rPr>
              <w:t>3 min. 46 sec</w:t>
            </w:r>
          </w:p>
        </w:tc>
        <w:tc>
          <w:tcPr>
            <w:tcW w:w="2248" w:type="dxa"/>
            <w:tcBorders>
              <w:top w:val="nil"/>
              <w:left w:val="nil"/>
              <w:bottom w:val="single" w:sz="4" w:space="0" w:color="auto"/>
              <w:right w:val="single" w:sz="4" w:space="0" w:color="auto"/>
            </w:tcBorders>
            <w:shd w:val="clear" w:color="auto" w:fill="auto"/>
            <w:noWrap/>
            <w:vAlign w:val="bottom"/>
            <w:hideMark/>
          </w:tcPr>
          <w:p w:rsidR="001A4D32" w:rsidRPr="001A4D32" w:rsidRDefault="001A4D32" w:rsidP="001A4D32">
            <w:pPr>
              <w:spacing w:after="0" w:line="240" w:lineRule="auto"/>
              <w:rPr>
                <w:rFonts w:eastAsia="Times New Roman"/>
                <w:color w:val="000000"/>
              </w:rPr>
            </w:pPr>
            <w:r w:rsidRPr="001A4D32">
              <w:rPr>
                <w:rFonts w:eastAsia="Times New Roman"/>
                <w:color w:val="000000"/>
              </w:rPr>
              <w:t>decrease by 8 sec.</w:t>
            </w:r>
          </w:p>
        </w:tc>
      </w:tr>
    </w:tbl>
    <w:p w:rsidR="00BB69A8" w:rsidRDefault="00BB69A8" w:rsidP="001A4D32">
      <w:pPr>
        <w:pStyle w:val="NoSpacing"/>
      </w:pPr>
    </w:p>
    <w:p w:rsidR="001A4D32" w:rsidRPr="001C7EA8" w:rsidRDefault="001F4904" w:rsidP="001A4D32">
      <w:pPr>
        <w:pStyle w:val="NoSpacing"/>
      </w:pPr>
      <w:r>
        <w:t>Table 5</w:t>
      </w:r>
    </w:p>
    <w:p w:rsidR="001C7EA8" w:rsidRPr="001C7EA8" w:rsidRDefault="001C7EA8" w:rsidP="001C7EA8">
      <w:pPr>
        <w:pStyle w:val="NoSpacing"/>
        <w:rPr>
          <w:b/>
        </w:rPr>
      </w:pPr>
      <w:bookmarkStart w:id="2" w:name="_Toc448087439"/>
      <w:r w:rsidRPr="001C7EA8">
        <w:rPr>
          <w:b/>
        </w:rPr>
        <w:t>Top 10 Pages Visited</w:t>
      </w:r>
      <w:bookmarkEnd w:id="2"/>
      <w:r w:rsidR="009F5130">
        <w:rPr>
          <w:b/>
        </w:rPr>
        <w:t xml:space="preserve"> – 4</w:t>
      </w:r>
      <w:r w:rsidR="009F5130" w:rsidRPr="009F5130">
        <w:rPr>
          <w:b/>
          <w:vertAlign w:val="superscript"/>
        </w:rPr>
        <w:t>th</w:t>
      </w:r>
      <w:r w:rsidR="009F5130">
        <w:rPr>
          <w:b/>
        </w:rPr>
        <w:t xml:space="preserve"> Quarter Year One</w:t>
      </w:r>
    </w:p>
    <w:tbl>
      <w:tblPr>
        <w:tblStyle w:val="TableGrid"/>
        <w:tblW w:w="0" w:type="auto"/>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Description w:val="Top 10 Pages Visited - 4th Quarter Year One"/>
      </w:tblPr>
      <w:tblGrid>
        <w:gridCol w:w="6295"/>
        <w:gridCol w:w="1250"/>
        <w:gridCol w:w="1692"/>
      </w:tblGrid>
      <w:tr w:rsidR="001C7EA8" w:rsidRPr="001C7EA8" w:rsidTr="009142C0">
        <w:trPr>
          <w:tblHeader/>
        </w:trPr>
        <w:tc>
          <w:tcPr>
            <w:tcW w:w="6295" w:type="dxa"/>
            <w:shd w:val="clear" w:color="auto" w:fill="D5DCE4" w:themeFill="text2" w:themeFillTint="33"/>
            <w:vAlign w:val="bottom"/>
          </w:tcPr>
          <w:p w:rsidR="001C7EA8" w:rsidRPr="001C7EA8" w:rsidRDefault="001C7EA8" w:rsidP="001C7EA8">
            <w:pPr>
              <w:pStyle w:val="NoSpacing"/>
              <w:rPr>
                <w:b/>
              </w:rPr>
            </w:pPr>
            <w:r w:rsidRPr="001C7EA8">
              <w:rPr>
                <w:b/>
              </w:rPr>
              <w:t>Pages</w:t>
            </w:r>
          </w:p>
        </w:tc>
        <w:tc>
          <w:tcPr>
            <w:tcW w:w="1250" w:type="dxa"/>
            <w:shd w:val="clear" w:color="auto" w:fill="D5DCE4" w:themeFill="text2" w:themeFillTint="33"/>
            <w:vAlign w:val="bottom"/>
          </w:tcPr>
          <w:p w:rsidR="001C7EA8" w:rsidRPr="001C7EA8" w:rsidRDefault="001C7EA8" w:rsidP="001C7EA8">
            <w:pPr>
              <w:pStyle w:val="NoSpacing"/>
              <w:rPr>
                <w:b/>
                <w:bCs/>
              </w:rPr>
            </w:pPr>
            <w:r w:rsidRPr="001C7EA8">
              <w:rPr>
                <w:b/>
                <w:bCs/>
              </w:rPr>
              <w:t>Page Views</w:t>
            </w:r>
          </w:p>
        </w:tc>
        <w:tc>
          <w:tcPr>
            <w:tcW w:w="1692" w:type="dxa"/>
            <w:shd w:val="clear" w:color="auto" w:fill="D5DCE4" w:themeFill="text2" w:themeFillTint="33"/>
            <w:vAlign w:val="bottom"/>
          </w:tcPr>
          <w:p w:rsidR="001C7EA8" w:rsidRPr="001C7EA8" w:rsidRDefault="001C7EA8" w:rsidP="001C7EA8">
            <w:pPr>
              <w:pStyle w:val="NoSpacing"/>
              <w:rPr>
                <w:b/>
              </w:rPr>
            </w:pPr>
            <w:r w:rsidRPr="001C7EA8">
              <w:rPr>
                <w:b/>
              </w:rPr>
              <w:t>Percentage</w:t>
            </w:r>
          </w:p>
        </w:tc>
      </w:tr>
      <w:tr w:rsidR="001C7EA8" w:rsidRPr="001C7EA8" w:rsidTr="00BE0D03">
        <w:tc>
          <w:tcPr>
            <w:tcW w:w="6295" w:type="dxa"/>
          </w:tcPr>
          <w:p w:rsidR="001C7EA8" w:rsidRPr="001C7EA8" w:rsidRDefault="00BA2283" w:rsidP="004D2ABD">
            <w:pPr>
              <w:pStyle w:val="NoSpacing"/>
              <w:numPr>
                <w:ilvl w:val="0"/>
                <w:numId w:val="4"/>
              </w:numPr>
            </w:pPr>
            <w:hyperlink r:id="rId9" w:history="1">
              <w:r w:rsidR="001C7EA8" w:rsidRPr="001C7EA8">
                <w:rPr>
                  <w:rStyle w:val="Hyperlink"/>
                </w:rPr>
                <w:t>Home page</w:t>
              </w:r>
            </w:hyperlink>
          </w:p>
        </w:tc>
        <w:tc>
          <w:tcPr>
            <w:tcW w:w="1250" w:type="dxa"/>
          </w:tcPr>
          <w:p w:rsidR="001C7EA8" w:rsidRPr="001C7EA8" w:rsidRDefault="001C7EA8" w:rsidP="001C7EA8">
            <w:pPr>
              <w:pStyle w:val="NoSpacing"/>
              <w:rPr>
                <w:b/>
                <w:bCs/>
              </w:rPr>
            </w:pPr>
            <w:r w:rsidRPr="001C7EA8">
              <w:rPr>
                <w:b/>
                <w:bCs/>
              </w:rPr>
              <w:t>2,839</w:t>
            </w:r>
          </w:p>
        </w:tc>
        <w:tc>
          <w:tcPr>
            <w:tcW w:w="1692" w:type="dxa"/>
          </w:tcPr>
          <w:p w:rsidR="001C7EA8" w:rsidRPr="001C7EA8" w:rsidRDefault="001C7EA8" w:rsidP="001C7EA8">
            <w:pPr>
              <w:pStyle w:val="NoSpacing"/>
            </w:pPr>
            <w:r w:rsidRPr="001C7EA8">
              <w:t>16.01%</w:t>
            </w:r>
          </w:p>
        </w:tc>
      </w:tr>
      <w:tr w:rsidR="001C7EA8" w:rsidRPr="001C7EA8" w:rsidTr="00BE0D03">
        <w:tc>
          <w:tcPr>
            <w:tcW w:w="6295" w:type="dxa"/>
          </w:tcPr>
          <w:p w:rsidR="001C7EA8" w:rsidRPr="001C7EA8" w:rsidRDefault="00BA2283" w:rsidP="004D2ABD">
            <w:pPr>
              <w:pStyle w:val="NoSpacing"/>
              <w:numPr>
                <w:ilvl w:val="0"/>
                <w:numId w:val="4"/>
              </w:numPr>
            </w:pPr>
            <w:hyperlink r:id="rId10" w:history="1">
              <w:r w:rsidR="001C7EA8" w:rsidRPr="001C7EA8">
                <w:rPr>
                  <w:rStyle w:val="Hyperlink"/>
                </w:rPr>
                <w:t>Pre-employment Transition Services</w:t>
              </w:r>
            </w:hyperlink>
          </w:p>
        </w:tc>
        <w:tc>
          <w:tcPr>
            <w:tcW w:w="1250" w:type="dxa"/>
          </w:tcPr>
          <w:p w:rsidR="001C7EA8" w:rsidRPr="001C7EA8" w:rsidRDefault="001C7EA8" w:rsidP="001C7EA8">
            <w:pPr>
              <w:pStyle w:val="NoSpacing"/>
              <w:rPr>
                <w:b/>
                <w:bCs/>
              </w:rPr>
            </w:pPr>
            <w:r w:rsidRPr="001C7EA8">
              <w:rPr>
                <w:b/>
                <w:bCs/>
              </w:rPr>
              <w:t>2</w:t>
            </w:r>
            <w:r w:rsidRPr="001C7EA8">
              <w:rPr>
                <w:b/>
              </w:rPr>
              <w:t>,136</w:t>
            </w:r>
          </w:p>
        </w:tc>
        <w:tc>
          <w:tcPr>
            <w:tcW w:w="1692" w:type="dxa"/>
          </w:tcPr>
          <w:p w:rsidR="001C7EA8" w:rsidRPr="001C7EA8" w:rsidRDefault="001C7EA8" w:rsidP="001C7EA8">
            <w:pPr>
              <w:pStyle w:val="NoSpacing"/>
            </w:pPr>
            <w:r w:rsidRPr="001C7EA8">
              <w:t>12.05%</w:t>
            </w:r>
          </w:p>
        </w:tc>
      </w:tr>
      <w:tr w:rsidR="001C7EA8" w:rsidRPr="001C7EA8" w:rsidTr="00BE0D03">
        <w:tc>
          <w:tcPr>
            <w:tcW w:w="6295" w:type="dxa"/>
          </w:tcPr>
          <w:p w:rsidR="001C7EA8" w:rsidRPr="001C7EA8" w:rsidRDefault="00BA2283" w:rsidP="004D2ABD">
            <w:pPr>
              <w:pStyle w:val="NoSpacing"/>
              <w:numPr>
                <w:ilvl w:val="0"/>
                <w:numId w:val="4"/>
              </w:numPr>
            </w:pPr>
            <w:hyperlink r:id="rId11" w:history="1">
              <w:r w:rsidR="001C7EA8" w:rsidRPr="001C7EA8">
                <w:rPr>
                  <w:rStyle w:val="Hyperlink"/>
                </w:rPr>
                <w:t>Log in</w:t>
              </w:r>
            </w:hyperlink>
          </w:p>
        </w:tc>
        <w:tc>
          <w:tcPr>
            <w:tcW w:w="1250" w:type="dxa"/>
          </w:tcPr>
          <w:p w:rsidR="001C7EA8" w:rsidRPr="001C7EA8" w:rsidRDefault="001C7EA8" w:rsidP="001C7EA8">
            <w:pPr>
              <w:pStyle w:val="NoSpacing"/>
              <w:rPr>
                <w:b/>
                <w:bCs/>
              </w:rPr>
            </w:pPr>
            <w:r w:rsidRPr="001C7EA8">
              <w:rPr>
                <w:b/>
                <w:bCs/>
              </w:rPr>
              <w:t>1</w:t>
            </w:r>
            <w:r w:rsidRPr="001C7EA8">
              <w:rPr>
                <w:b/>
              </w:rPr>
              <w:t>,178</w:t>
            </w:r>
          </w:p>
        </w:tc>
        <w:tc>
          <w:tcPr>
            <w:tcW w:w="1692" w:type="dxa"/>
          </w:tcPr>
          <w:p w:rsidR="001C7EA8" w:rsidRPr="001C7EA8" w:rsidRDefault="001C7EA8" w:rsidP="001C7EA8">
            <w:pPr>
              <w:pStyle w:val="NoSpacing"/>
            </w:pPr>
            <w:r w:rsidRPr="001C7EA8">
              <w:t>6.64%</w:t>
            </w:r>
          </w:p>
        </w:tc>
      </w:tr>
      <w:tr w:rsidR="001C7EA8" w:rsidRPr="001C7EA8" w:rsidTr="00BE0D03">
        <w:tc>
          <w:tcPr>
            <w:tcW w:w="6295" w:type="dxa"/>
          </w:tcPr>
          <w:p w:rsidR="001C7EA8" w:rsidRPr="001C7EA8" w:rsidRDefault="00BA2283" w:rsidP="004D2ABD">
            <w:pPr>
              <w:pStyle w:val="NoSpacing"/>
              <w:numPr>
                <w:ilvl w:val="0"/>
                <w:numId w:val="4"/>
              </w:numPr>
            </w:pPr>
            <w:hyperlink r:id="rId12" w:anchor="main_7http://www.wintac.org/topic-areas/implementation-of-requirements/" w:history="1">
              <w:r w:rsidR="001C7EA8" w:rsidRPr="001C7EA8">
                <w:rPr>
                  <w:rStyle w:val="Hyperlink"/>
                </w:rPr>
                <w:t>Implementation of Section 511 Requirements</w:t>
              </w:r>
            </w:hyperlink>
            <w:r w:rsidR="001C7EA8" w:rsidRPr="001C7EA8">
              <w:rPr>
                <w:u w:val="single"/>
              </w:rPr>
              <w:t xml:space="preserve"> </w:t>
            </w:r>
          </w:p>
        </w:tc>
        <w:tc>
          <w:tcPr>
            <w:tcW w:w="1250" w:type="dxa"/>
          </w:tcPr>
          <w:p w:rsidR="001C7EA8" w:rsidRPr="001C7EA8" w:rsidRDefault="001C7EA8" w:rsidP="001C7EA8">
            <w:pPr>
              <w:pStyle w:val="NoSpacing"/>
              <w:rPr>
                <w:b/>
                <w:bCs/>
              </w:rPr>
            </w:pPr>
            <w:r w:rsidRPr="001C7EA8">
              <w:rPr>
                <w:b/>
                <w:bCs/>
              </w:rPr>
              <w:t>637</w:t>
            </w:r>
          </w:p>
        </w:tc>
        <w:tc>
          <w:tcPr>
            <w:tcW w:w="1692" w:type="dxa"/>
          </w:tcPr>
          <w:p w:rsidR="001C7EA8" w:rsidRPr="001C7EA8" w:rsidRDefault="001C7EA8" w:rsidP="001C7EA8">
            <w:pPr>
              <w:pStyle w:val="NoSpacing"/>
            </w:pPr>
            <w:r w:rsidRPr="001C7EA8">
              <w:t>3.59%</w:t>
            </w:r>
          </w:p>
        </w:tc>
      </w:tr>
      <w:tr w:rsidR="001C7EA8" w:rsidRPr="001C7EA8" w:rsidTr="00BE0D03">
        <w:tc>
          <w:tcPr>
            <w:tcW w:w="6295" w:type="dxa"/>
          </w:tcPr>
          <w:p w:rsidR="001C7EA8" w:rsidRPr="001C7EA8" w:rsidRDefault="00BA2283" w:rsidP="004D2ABD">
            <w:pPr>
              <w:pStyle w:val="NoSpacing"/>
              <w:numPr>
                <w:ilvl w:val="0"/>
                <w:numId w:val="4"/>
              </w:numPr>
            </w:pPr>
            <w:hyperlink r:id="rId13" w:history="1">
              <w:r w:rsidR="001C7EA8" w:rsidRPr="001C7EA8">
                <w:rPr>
                  <w:rStyle w:val="Hyperlink"/>
                </w:rPr>
                <w:t>Training</w:t>
              </w:r>
            </w:hyperlink>
          </w:p>
        </w:tc>
        <w:tc>
          <w:tcPr>
            <w:tcW w:w="1250" w:type="dxa"/>
          </w:tcPr>
          <w:p w:rsidR="001C7EA8" w:rsidRPr="001C7EA8" w:rsidRDefault="001C7EA8" w:rsidP="001C7EA8">
            <w:pPr>
              <w:pStyle w:val="NoSpacing"/>
              <w:rPr>
                <w:b/>
                <w:bCs/>
              </w:rPr>
            </w:pPr>
            <w:r w:rsidRPr="001C7EA8">
              <w:rPr>
                <w:b/>
                <w:bCs/>
              </w:rPr>
              <w:t>400</w:t>
            </w:r>
          </w:p>
        </w:tc>
        <w:tc>
          <w:tcPr>
            <w:tcW w:w="1692" w:type="dxa"/>
          </w:tcPr>
          <w:p w:rsidR="001C7EA8" w:rsidRPr="001C7EA8" w:rsidRDefault="001C7EA8" w:rsidP="001C7EA8">
            <w:pPr>
              <w:pStyle w:val="NoSpacing"/>
            </w:pPr>
            <w:r w:rsidRPr="001C7EA8">
              <w:t>2.26%</w:t>
            </w:r>
          </w:p>
        </w:tc>
      </w:tr>
      <w:tr w:rsidR="001C7EA8" w:rsidRPr="001C7EA8" w:rsidTr="00BE0D03">
        <w:tc>
          <w:tcPr>
            <w:tcW w:w="6295" w:type="dxa"/>
          </w:tcPr>
          <w:p w:rsidR="001C7EA8" w:rsidRPr="001C7EA8" w:rsidRDefault="00BA2283" w:rsidP="004D2ABD">
            <w:pPr>
              <w:pStyle w:val="NoSpacing"/>
              <w:numPr>
                <w:ilvl w:val="0"/>
                <w:numId w:val="4"/>
              </w:numPr>
            </w:pPr>
            <w:hyperlink r:id="rId14" w:history="1">
              <w:r w:rsidR="001C7EA8" w:rsidRPr="001C7EA8">
                <w:rPr>
                  <w:rStyle w:val="Hyperlink"/>
                </w:rPr>
                <w:t>Resources</w:t>
              </w:r>
            </w:hyperlink>
          </w:p>
        </w:tc>
        <w:tc>
          <w:tcPr>
            <w:tcW w:w="1250" w:type="dxa"/>
          </w:tcPr>
          <w:p w:rsidR="001C7EA8" w:rsidRPr="001C7EA8" w:rsidRDefault="001C7EA8" w:rsidP="001C7EA8">
            <w:pPr>
              <w:pStyle w:val="NoSpacing"/>
              <w:rPr>
                <w:b/>
                <w:bCs/>
              </w:rPr>
            </w:pPr>
            <w:r w:rsidRPr="001C7EA8">
              <w:rPr>
                <w:b/>
                <w:bCs/>
              </w:rPr>
              <w:t>390</w:t>
            </w:r>
          </w:p>
        </w:tc>
        <w:tc>
          <w:tcPr>
            <w:tcW w:w="1692" w:type="dxa"/>
          </w:tcPr>
          <w:p w:rsidR="001C7EA8" w:rsidRPr="001C7EA8" w:rsidRDefault="001C7EA8" w:rsidP="001C7EA8">
            <w:pPr>
              <w:pStyle w:val="NoSpacing"/>
            </w:pPr>
            <w:r w:rsidRPr="001C7EA8">
              <w:t>2.20%</w:t>
            </w:r>
          </w:p>
        </w:tc>
      </w:tr>
      <w:tr w:rsidR="001C7EA8" w:rsidRPr="001C7EA8" w:rsidTr="00BE0D03">
        <w:tc>
          <w:tcPr>
            <w:tcW w:w="6295" w:type="dxa"/>
          </w:tcPr>
          <w:p w:rsidR="001C7EA8" w:rsidRPr="001C7EA8" w:rsidRDefault="00BA2283" w:rsidP="004D2ABD">
            <w:pPr>
              <w:pStyle w:val="NoSpacing"/>
              <w:numPr>
                <w:ilvl w:val="0"/>
                <w:numId w:val="4"/>
              </w:numPr>
            </w:pPr>
            <w:hyperlink r:id="rId15" w:anchor="overlay-context=topic-areas/pre-employment-transition-services/overview/job-exploration-counseling" w:history="1">
              <w:r w:rsidR="001C7EA8" w:rsidRPr="001C7EA8">
                <w:rPr>
                  <w:rStyle w:val="Hyperlink"/>
                </w:rPr>
                <w:t>Pre-employment Transition Services &gt; Overview &gt; Job exploration counseling</w:t>
              </w:r>
            </w:hyperlink>
          </w:p>
        </w:tc>
        <w:tc>
          <w:tcPr>
            <w:tcW w:w="1250" w:type="dxa"/>
          </w:tcPr>
          <w:p w:rsidR="001C7EA8" w:rsidRPr="001C7EA8" w:rsidRDefault="001C7EA8" w:rsidP="001C7EA8">
            <w:pPr>
              <w:pStyle w:val="NoSpacing"/>
              <w:rPr>
                <w:b/>
                <w:bCs/>
              </w:rPr>
            </w:pPr>
            <w:r w:rsidRPr="001C7EA8">
              <w:rPr>
                <w:b/>
                <w:bCs/>
              </w:rPr>
              <w:t>385</w:t>
            </w:r>
          </w:p>
        </w:tc>
        <w:tc>
          <w:tcPr>
            <w:tcW w:w="1692" w:type="dxa"/>
          </w:tcPr>
          <w:p w:rsidR="001C7EA8" w:rsidRPr="001C7EA8" w:rsidRDefault="001C7EA8" w:rsidP="001C7EA8">
            <w:pPr>
              <w:pStyle w:val="NoSpacing"/>
            </w:pPr>
            <w:r w:rsidRPr="001C7EA8">
              <w:t>2.17%</w:t>
            </w:r>
          </w:p>
        </w:tc>
      </w:tr>
      <w:tr w:rsidR="001C7EA8" w:rsidRPr="001C7EA8" w:rsidTr="00BE0D03">
        <w:tc>
          <w:tcPr>
            <w:tcW w:w="6295" w:type="dxa"/>
          </w:tcPr>
          <w:p w:rsidR="001C7EA8" w:rsidRPr="001C7EA8" w:rsidRDefault="00BA2283" w:rsidP="004D2ABD">
            <w:pPr>
              <w:pStyle w:val="NoSpacing"/>
              <w:numPr>
                <w:ilvl w:val="0"/>
                <w:numId w:val="4"/>
              </w:numPr>
            </w:pPr>
            <w:hyperlink r:id="rId16" w:anchor="required_preemployemnts" w:history="1">
              <w:r w:rsidR="001C7EA8" w:rsidRPr="001C7EA8">
                <w:rPr>
                  <w:rStyle w:val="Hyperlink"/>
                </w:rPr>
                <w:t>Pre-employment Transition Services &gt; Overview: Required Pre-ETS</w:t>
              </w:r>
            </w:hyperlink>
          </w:p>
        </w:tc>
        <w:tc>
          <w:tcPr>
            <w:tcW w:w="1250" w:type="dxa"/>
          </w:tcPr>
          <w:p w:rsidR="001C7EA8" w:rsidRPr="001C7EA8" w:rsidRDefault="001C7EA8" w:rsidP="001C7EA8">
            <w:pPr>
              <w:pStyle w:val="NoSpacing"/>
              <w:rPr>
                <w:b/>
                <w:bCs/>
              </w:rPr>
            </w:pPr>
            <w:r w:rsidRPr="001C7EA8">
              <w:rPr>
                <w:b/>
                <w:bCs/>
              </w:rPr>
              <w:t>354</w:t>
            </w:r>
          </w:p>
        </w:tc>
        <w:tc>
          <w:tcPr>
            <w:tcW w:w="1692" w:type="dxa"/>
          </w:tcPr>
          <w:p w:rsidR="001C7EA8" w:rsidRPr="001C7EA8" w:rsidRDefault="001C7EA8" w:rsidP="001C7EA8">
            <w:pPr>
              <w:pStyle w:val="NoSpacing"/>
            </w:pPr>
            <w:r w:rsidRPr="001C7EA8">
              <w:t>2.00%</w:t>
            </w:r>
          </w:p>
        </w:tc>
      </w:tr>
      <w:tr w:rsidR="001C7EA8" w:rsidRPr="001C7EA8" w:rsidTr="00BE0D03">
        <w:tc>
          <w:tcPr>
            <w:tcW w:w="6295" w:type="dxa"/>
          </w:tcPr>
          <w:p w:rsidR="001C7EA8" w:rsidRPr="001C7EA8" w:rsidRDefault="001C7EA8" w:rsidP="004D2ABD">
            <w:pPr>
              <w:pStyle w:val="NoSpacing"/>
              <w:numPr>
                <w:ilvl w:val="0"/>
                <w:numId w:val="4"/>
              </w:numPr>
            </w:pPr>
            <w:r w:rsidRPr="001C7EA8">
              <w:t>User Profile (Login required)</w:t>
            </w:r>
          </w:p>
        </w:tc>
        <w:tc>
          <w:tcPr>
            <w:tcW w:w="1250" w:type="dxa"/>
          </w:tcPr>
          <w:p w:rsidR="001C7EA8" w:rsidRPr="001C7EA8" w:rsidRDefault="001C7EA8" w:rsidP="001C7EA8">
            <w:pPr>
              <w:pStyle w:val="NoSpacing"/>
              <w:rPr>
                <w:b/>
                <w:bCs/>
              </w:rPr>
            </w:pPr>
            <w:r w:rsidRPr="001C7EA8">
              <w:rPr>
                <w:b/>
                <w:bCs/>
              </w:rPr>
              <w:t>294</w:t>
            </w:r>
          </w:p>
        </w:tc>
        <w:tc>
          <w:tcPr>
            <w:tcW w:w="1692" w:type="dxa"/>
          </w:tcPr>
          <w:p w:rsidR="001C7EA8" w:rsidRPr="001C7EA8" w:rsidRDefault="001C7EA8" w:rsidP="001C7EA8">
            <w:pPr>
              <w:pStyle w:val="NoSpacing"/>
            </w:pPr>
            <w:r w:rsidRPr="001C7EA8">
              <w:t>1.66%</w:t>
            </w:r>
          </w:p>
        </w:tc>
      </w:tr>
      <w:tr w:rsidR="001C7EA8" w:rsidRPr="001C7EA8" w:rsidTr="00BE0D03">
        <w:tc>
          <w:tcPr>
            <w:tcW w:w="6295" w:type="dxa"/>
          </w:tcPr>
          <w:p w:rsidR="001C7EA8" w:rsidRPr="001C7EA8" w:rsidRDefault="00BA2283" w:rsidP="004D2ABD">
            <w:pPr>
              <w:pStyle w:val="NoSpacing"/>
              <w:numPr>
                <w:ilvl w:val="0"/>
                <w:numId w:val="4"/>
              </w:numPr>
            </w:pPr>
            <w:hyperlink r:id="rId17" w:history="1">
              <w:r w:rsidR="001C7EA8" w:rsidRPr="001C7EA8">
                <w:rPr>
                  <w:rStyle w:val="Hyperlink"/>
                </w:rPr>
                <w:t>Pre-employment Transition Services &gt; Resources</w:t>
              </w:r>
            </w:hyperlink>
          </w:p>
        </w:tc>
        <w:tc>
          <w:tcPr>
            <w:tcW w:w="1250" w:type="dxa"/>
          </w:tcPr>
          <w:p w:rsidR="001C7EA8" w:rsidRPr="001C7EA8" w:rsidRDefault="001C7EA8" w:rsidP="001C7EA8">
            <w:pPr>
              <w:pStyle w:val="NoSpacing"/>
              <w:rPr>
                <w:b/>
                <w:bCs/>
              </w:rPr>
            </w:pPr>
            <w:r w:rsidRPr="001C7EA8">
              <w:rPr>
                <w:b/>
                <w:bCs/>
              </w:rPr>
              <w:t>293</w:t>
            </w:r>
          </w:p>
        </w:tc>
        <w:tc>
          <w:tcPr>
            <w:tcW w:w="1692" w:type="dxa"/>
          </w:tcPr>
          <w:p w:rsidR="001C7EA8" w:rsidRPr="001C7EA8" w:rsidRDefault="001C7EA8" w:rsidP="001C7EA8">
            <w:pPr>
              <w:pStyle w:val="NoSpacing"/>
            </w:pPr>
            <w:r w:rsidRPr="001C7EA8">
              <w:t>1.65%</w:t>
            </w:r>
          </w:p>
        </w:tc>
      </w:tr>
    </w:tbl>
    <w:p w:rsidR="001C7EA8" w:rsidRDefault="001C7EA8" w:rsidP="001C7EA8">
      <w:pPr>
        <w:pStyle w:val="NoSpacing"/>
      </w:pPr>
    </w:p>
    <w:p w:rsidR="001F4904" w:rsidRPr="001C7EA8" w:rsidRDefault="001F4904" w:rsidP="001C7EA8">
      <w:pPr>
        <w:pStyle w:val="NoSpacing"/>
      </w:pPr>
      <w:r>
        <w:t>Table 6</w:t>
      </w:r>
    </w:p>
    <w:p w:rsidR="001C7EA8" w:rsidRPr="001C7EA8" w:rsidRDefault="001C7EA8" w:rsidP="001C7EA8">
      <w:pPr>
        <w:pStyle w:val="NoSpacing"/>
        <w:rPr>
          <w:b/>
        </w:rPr>
      </w:pPr>
      <w:bookmarkStart w:id="3" w:name="_Toc448087440"/>
      <w:r w:rsidRPr="001C7EA8">
        <w:rPr>
          <w:b/>
        </w:rPr>
        <w:t>Traffic Overview by States – 10 States with Higher Traffic</w:t>
      </w:r>
      <w:bookmarkEnd w:id="3"/>
    </w:p>
    <w:tbl>
      <w:tblPr>
        <w:tblW w:w="9209"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4A0" w:firstRow="1" w:lastRow="0" w:firstColumn="1" w:lastColumn="0" w:noHBand="0" w:noVBand="1"/>
      </w:tblPr>
      <w:tblGrid>
        <w:gridCol w:w="2605"/>
        <w:gridCol w:w="1620"/>
        <w:gridCol w:w="1170"/>
        <w:gridCol w:w="1620"/>
        <w:gridCol w:w="1080"/>
        <w:gridCol w:w="1164"/>
      </w:tblGrid>
      <w:tr w:rsidR="001C7EA8" w:rsidRPr="001C7EA8" w:rsidTr="00BE0D03">
        <w:trPr>
          <w:tblHeader/>
          <w:jc w:val="center"/>
        </w:trPr>
        <w:tc>
          <w:tcPr>
            <w:tcW w:w="2605" w:type="dxa"/>
            <w:shd w:val="clear" w:color="auto" w:fill="D5DCE4" w:themeFill="text2" w:themeFillTint="33"/>
            <w:vAlign w:val="bottom"/>
          </w:tcPr>
          <w:p w:rsidR="001C7EA8" w:rsidRPr="001C7EA8" w:rsidRDefault="001C7EA8" w:rsidP="001C7EA8">
            <w:pPr>
              <w:pStyle w:val="NoSpacing"/>
              <w:rPr>
                <w:b/>
                <w:bCs/>
              </w:rPr>
            </w:pPr>
            <w:r w:rsidRPr="001C7EA8">
              <w:rPr>
                <w:b/>
                <w:bCs/>
              </w:rPr>
              <w:t>Region</w:t>
            </w:r>
          </w:p>
        </w:tc>
        <w:tc>
          <w:tcPr>
            <w:tcW w:w="1620" w:type="dxa"/>
            <w:shd w:val="clear" w:color="auto" w:fill="D5DCE4" w:themeFill="text2" w:themeFillTint="33"/>
            <w:vAlign w:val="bottom"/>
            <w:hideMark/>
          </w:tcPr>
          <w:p w:rsidR="001C7EA8" w:rsidRPr="001C7EA8" w:rsidRDefault="001C7EA8" w:rsidP="001C7EA8">
            <w:pPr>
              <w:pStyle w:val="NoSpacing"/>
              <w:rPr>
                <w:b/>
                <w:bCs/>
              </w:rPr>
            </w:pPr>
            <w:r w:rsidRPr="001C7EA8">
              <w:rPr>
                <w:b/>
                <w:bCs/>
              </w:rPr>
              <w:t>Sessions</w:t>
            </w:r>
          </w:p>
        </w:tc>
        <w:tc>
          <w:tcPr>
            <w:tcW w:w="1170" w:type="dxa"/>
            <w:shd w:val="clear" w:color="auto" w:fill="D5DCE4" w:themeFill="text2" w:themeFillTint="33"/>
            <w:vAlign w:val="bottom"/>
            <w:hideMark/>
          </w:tcPr>
          <w:p w:rsidR="001C7EA8" w:rsidRPr="001C7EA8" w:rsidRDefault="001C7EA8" w:rsidP="001C7EA8">
            <w:pPr>
              <w:pStyle w:val="NoSpacing"/>
              <w:rPr>
                <w:b/>
                <w:bCs/>
              </w:rPr>
            </w:pPr>
            <w:r w:rsidRPr="001C7EA8">
              <w:rPr>
                <w:b/>
                <w:bCs/>
              </w:rPr>
              <w:t>% New Sessions</w:t>
            </w:r>
          </w:p>
        </w:tc>
        <w:tc>
          <w:tcPr>
            <w:tcW w:w="1620" w:type="dxa"/>
            <w:shd w:val="clear" w:color="auto" w:fill="D5DCE4" w:themeFill="text2" w:themeFillTint="33"/>
            <w:vAlign w:val="bottom"/>
            <w:hideMark/>
          </w:tcPr>
          <w:p w:rsidR="001C7EA8" w:rsidRPr="001C7EA8" w:rsidRDefault="001C7EA8" w:rsidP="001C7EA8">
            <w:pPr>
              <w:pStyle w:val="NoSpacing"/>
              <w:rPr>
                <w:b/>
                <w:bCs/>
              </w:rPr>
            </w:pPr>
            <w:r w:rsidRPr="001C7EA8">
              <w:rPr>
                <w:b/>
                <w:bCs/>
              </w:rPr>
              <w:t>New Users</w:t>
            </w:r>
          </w:p>
        </w:tc>
        <w:tc>
          <w:tcPr>
            <w:tcW w:w="1080" w:type="dxa"/>
            <w:shd w:val="clear" w:color="auto" w:fill="D5DCE4" w:themeFill="text2" w:themeFillTint="33"/>
            <w:vAlign w:val="bottom"/>
            <w:hideMark/>
          </w:tcPr>
          <w:p w:rsidR="001C7EA8" w:rsidRPr="001C7EA8" w:rsidRDefault="001C7EA8" w:rsidP="001C7EA8">
            <w:pPr>
              <w:pStyle w:val="NoSpacing"/>
              <w:rPr>
                <w:b/>
                <w:bCs/>
              </w:rPr>
            </w:pPr>
            <w:r w:rsidRPr="001C7EA8">
              <w:rPr>
                <w:b/>
                <w:bCs/>
              </w:rPr>
              <w:t>Pages / Session</w:t>
            </w:r>
          </w:p>
        </w:tc>
        <w:tc>
          <w:tcPr>
            <w:tcW w:w="1114" w:type="dxa"/>
            <w:shd w:val="clear" w:color="auto" w:fill="D5DCE4" w:themeFill="text2" w:themeFillTint="33"/>
            <w:vAlign w:val="bottom"/>
            <w:hideMark/>
          </w:tcPr>
          <w:p w:rsidR="001C7EA8" w:rsidRPr="001C7EA8" w:rsidRDefault="001C7EA8" w:rsidP="001C7EA8">
            <w:pPr>
              <w:pStyle w:val="NoSpacing"/>
              <w:rPr>
                <w:b/>
                <w:bCs/>
              </w:rPr>
            </w:pPr>
            <w:r w:rsidRPr="001C7EA8">
              <w:rPr>
                <w:b/>
                <w:bCs/>
              </w:rPr>
              <w:t>Avg. Session Duration</w:t>
            </w:r>
          </w:p>
        </w:tc>
      </w:tr>
      <w:tr w:rsidR="001C7EA8" w:rsidRPr="001C7EA8" w:rsidTr="00BE0D03">
        <w:tblPrEx>
          <w:tblCellMar>
            <w:left w:w="108" w:type="dxa"/>
            <w:right w:w="108" w:type="dxa"/>
          </w:tblCellMar>
        </w:tblPrEx>
        <w:trPr>
          <w:jc w:val="center"/>
        </w:trPr>
        <w:tc>
          <w:tcPr>
            <w:tcW w:w="2605" w:type="dxa"/>
            <w:shd w:val="clear" w:color="auto" w:fill="auto"/>
            <w:noWrap/>
            <w:vAlign w:val="center"/>
            <w:hideMark/>
          </w:tcPr>
          <w:p w:rsidR="001C7EA8" w:rsidRPr="001C7EA8" w:rsidRDefault="001C7EA8" w:rsidP="004D2ABD">
            <w:pPr>
              <w:pStyle w:val="NoSpacing"/>
              <w:numPr>
                <w:ilvl w:val="0"/>
                <w:numId w:val="5"/>
              </w:numPr>
            </w:pPr>
            <w:r w:rsidRPr="001C7EA8">
              <w:t>California</w:t>
            </w:r>
          </w:p>
        </w:tc>
        <w:tc>
          <w:tcPr>
            <w:tcW w:w="1620" w:type="dxa"/>
            <w:shd w:val="clear" w:color="auto" w:fill="auto"/>
            <w:noWrap/>
            <w:vAlign w:val="center"/>
            <w:hideMark/>
          </w:tcPr>
          <w:p w:rsidR="001C7EA8" w:rsidRPr="001C7EA8" w:rsidRDefault="001C7EA8" w:rsidP="001C7EA8">
            <w:pPr>
              <w:pStyle w:val="NoSpacing"/>
            </w:pPr>
            <w:r w:rsidRPr="001C7EA8">
              <w:t>468 (11.63%)</w:t>
            </w:r>
          </w:p>
        </w:tc>
        <w:tc>
          <w:tcPr>
            <w:tcW w:w="1170" w:type="dxa"/>
            <w:shd w:val="clear" w:color="auto" w:fill="auto"/>
            <w:noWrap/>
            <w:vAlign w:val="center"/>
            <w:hideMark/>
          </w:tcPr>
          <w:p w:rsidR="001C7EA8" w:rsidRPr="001C7EA8" w:rsidRDefault="001C7EA8" w:rsidP="001C7EA8">
            <w:pPr>
              <w:pStyle w:val="NoSpacing"/>
            </w:pPr>
            <w:r w:rsidRPr="001C7EA8">
              <w:t>50.21%</w:t>
            </w:r>
          </w:p>
        </w:tc>
        <w:tc>
          <w:tcPr>
            <w:tcW w:w="1620" w:type="dxa"/>
            <w:shd w:val="clear" w:color="auto" w:fill="auto"/>
            <w:noWrap/>
            <w:vAlign w:val="center"/>
            <w:hideMark/>
          </w:tcPr>
          <w:p w:rsidR="001C7EA8" w:rsidRPr="001C7EA8" w:rsidRDefault="001C7EA8" w:rsidP="001C7EA8">
            <w:pPr>
              <w:pStyle w:val="NoSpacing"/>
            </w:pPr>
            <w:r w:rsidRPr="001C7EA8">
              <w:t>235 (10.69%)</w:t>
            </w:r>
          </w:p>
        </w:tc>
        <w:tc>
          <w:tcPr>
            <w:tcW w:w="1080" w:type="dxa"/>
            <w:shd w:val="clear" w:color="auto" w:fill="auto"/>
            <w:noWrap/>
            <w:vAlign w:val="center"/>
            <w:hideMark/>
          </w:tcPr>
          <w:p w:rsidR="001C7EA8" w:rsidRPr="001C7EA8" w:rsidRDefault="001C7EA8" w:rsidP="001C7EA8">
            <w:pPr>
              <w:pStyle w:val="NoSpacing"/>
            </w:pPr>
            <w:r w:rsidRPr="001C7EA8">
              <w:t>4.15</w:t>
            </w:r>
          </w:p>
        </w:tc>
        <w:tc>
          <w:tcPr>
            <w:tcW w:w="1114" w:type="dxa"/>
            <w:shd w:val="clear" w:color="auto" w:fill="auto"/>
            <w:noWrap/>
            <w:vAlign w:val="center"/>
            <w:hideMark/>
          </w:tcPr>
          <w:p w:rsidR="001C7EA8" w:rsidRPr="001C7EA8" w:rsidRDefault="001C7EA8" w:rsidP="001C7EA8">
            <w:pPr>
              <w:pStyle w:val="NoSpacing"/>
            </w:pPr>
            <w:r w:rsidRPr="001C7EA8">
              <w:t>0:04:19</w:t>
            </w:r>
          </w:p>
        </w:tc>
      </w:tr>
      <w:tr w:rsidR="001C7EA8" w:rsidRPr="001C7EA8" w:rsidTr="00BE0D03">
        <w:tblPrEx>
          <w:tblCellMar>
            <w:left w:w="108" w:type="dxa"/>
            <w:right w:w="108" w:type="dxa"/>
          </w:tblCellMar>
        </w:tblPrEx>
        <w:trPr>
          <w:jc w:val="center"/>
        </w:trPr>
        <w:tc>
          <w:tcPr>
            <w:tcW w:w="2605" w:type="dxa"/>
            <w:shd w:val="clear" w:color="auto" w:fill="auto"/>
            <w:noWrap/>
            <w:vAlign w:val="center"/>
            <w:hideMark/>
          </w:tcPr>
          <w:p w:rsidR="001C7EA8" w:rsidRPr="001C7EA8" w:rsidRDefault="001C7EA8" w:rsidP="004D2ABD">
            <w:pPr>
              <w:pStyle w:val="NoSpacing"/>
              <w:numPr>
                <w:ilvl w:val="0"/>
                <w:numId w:val="5"/>
              </w:numPr>
            </w:pPr>
            <w:r w:rsidRPr="001C7EA8">
              <w:t>Texas</w:t>
            </w:r>
          </w:p>
        </w:tc>
        <w:tc>
          <w:tcPr>
            <w:tcW w:w="1620" w:type="dxa"/>
            <w:shd w:val="clear" w:color="auto" w:fill="auto"/>
            <w:noWrap/>
            <w:vAlign w:val="center"/>
            <w:hideMark/>
          </w:tcPr>
          <w:p w:rsidR="001C7EA8" w:rsidRPr="001C7EA8" w:rsidRDefault="001C7EA8" w:rsidP="001C7EA8">
            <w:pPr>
              <w:pStyle w:val="NoSpacing"/>
            </w:pPr>
            <w:r w:rsidRPr="001C7EA8">
              <w:t>283 (7.03%)</w:t>
            </w:r>
          </w:p>
        </w:tc>
        <w:tc>
          <w:tcPr>
            <w:tcW w:w="1170" w:type="dxa"/>
            <w:shd w:val="clear" w:color="auto" w:fill="auto"/>
            <w:noWrap/>
            <w:vAlign w:val="center"/>
            <w:hideMark/>
          </w:tcPr>
          <w:p w:rsidR="001C7EA8" w:rsidRPr="001C7EA8" w:rsidRDefault="001C7EA8" w:rsidP="001C7EA8">
            <w:pPr>
              <w:pStyle w:val="NoSpacing"/>
            </w:pPr>
            <w:r w:rsidRPr="001C7EA8">
              <w:t>66.08%</w:t>
            </w:r>
          </w:p>
        </w:tc>
        <w:tc>
          <w:tcPr>
            <w:tcW w:w="1620" w:type="dxa"/>
            <w:shd w:val="clear" w:color="auto" w:fill="auto"/>
            <w:noWrap/>
            <w:vAlign w:val="center"/>
            <w:hideMark/>
          </w:tcPr>
          <w:p w:rsidR="001C7EA8" w:rsidRPr="001C7EA8" w:rsidRDefault="001C7EA8" w:rsidP="001C7EA8">
            <w:pPr>
              <w:pStyle w:val="NoSpacing"/>
            </w:pPr>
            <w:r w:rsidRPr="001C7EA8">
              <w:t>187 (8.51%)</w:t>
            </w:r>
          </w:p>
        </w:tc>
        <w:tc>
          <w:tcPr>
            <w:tcW w:w="1080" w:type="dxa"/>
            <w:shd w:val="clear" w:color="auto" w:fill="auto"/>
            <w:noWrap/>
            <w:vAlign w:val="center"/>
            <w:hideMark/>
          </w:tcPr>
          <w:p w:rsidR="001C7EA8" w:rsidRPr="001C7EA8" w:rsidRDefault="001C7EA8" w:rsidP="001C7EA8">
            <w:pPr>
              <w:pStyle w:val="NoSpacing"/>
            </w:pPr>
            <w:r w:rsidRPr="001C7EA8">
              <w:t>3.87</w:t>
            </w:r>
          </w:p>
        </w:tc>
        <w:tc>
          <w:tcPr>
            <w:tcW w:w="1114" w:type="dxa"/>
            <w:shd w:val="clear" w:color="auto" w:fill="auto"/>
            <w:noWrap/>
            <w:vAlign w:val="center"/>
            <w:hideMark/>
          </w:tcPr>
          <w:p w:rsidR="001C7EA8" w:rsidRPr="001C7EA8" w:rsidRDefault="001C7EA8" w:rsidP="001C7EA8">
            <w:pPr>
              <w:pStyle w:val="NoSpacing"/>
            </w:pPr>
            <w:r w:rsidRPr="001C7EA8">
              <w:t>0:03:36</w:t>
            </w:r>
          </w:p>
        </w:tc>
      </w:tr>
      <w:tr w:rsidR="001C7EA8" w:rsidRPr="001C7EA8" w:rsidTr="00BE0D03">
        <w:tblPrEx>
          <w:tblCellMar>
            <w:left w:w="108" w:type="dxa"/>
            <w:right w:w="108" w:type="dxa"/>
          </w:tblCellMar>
        </w:tblPrEx>
        <w:trPr>
          <w:jc w:val="center"/>
        </w:trPr>
        <w:tc>
          <w:tcPr>
            <w:tcW w:w="2605" w:type="dxa"/>
            <w:shd w:val="clear" w:color="auto" w:fill="auto"/>
            <w:noWrap/>
            <w:vAlign w:val="center"/>
            <w:hideMark/>
          </w:tcPr>
          <w:p w:rsidR="001C7EA8" w:rsidRPr="001C7EA8" w:rsidRDefault="001C7EA8" w:rsidP="004D2ABD">
            <w:pPr>
              <w:pStyle w:val="NoSpacing"/>
              <w:numPr>
                <w:ilvl w:val="0"/>
                <w:numId w:val="5"/>
              </w:numPr>
            </w:pPr>
            <w:r w:rsidRPr="001C7EA8">
              <w:t>Florida</w:t>
            </w:r>
          </w:p>
        </w:tc>
        <w:tc>
          <w:tcPr>
            <w:tcW w:w="1620" w:type="dxa"/>
            <w:shd w:val="clear" w:color="auto" w:fill="auto"/>
            <w:noWrap/>
            <w:vAlign w:val="center"/>
            <w:hideMark/>
          </w:tcPr>
          <w:p w:rsidR="001C7EA8" w:rsidRPr="001C7EA8" w:rsidRDefault="001C7EA8" w:rsidP="001C7EA8">
            <w:pPr>
              <w:pStyle w:val="NoSpacing"/>
            </w:pPr>
            <w:r w:rsidRPr="001C7EA8">
              <w:t>221 (5.49%)</w:t>
            </w:r>
          </w:p>
        </w:tc>
        <w:tc>
          <w:tcPr>
            <w:tcW w:w="1170" w:type="dxa"/>
            <w:shd w:val="clear" w:color="auto" w:fill="auto"/>
            <w:noWrap/>
            <w:vAlign w:val="center"/>
            <w:hideMark/>
          </w:tcPr>
          <w:p w:rsidR="001C7EA8" w:rsidRPr="001C7EA8" w:rsidRDefault="001C7EA8" w:rsidP="001C7EA8">
            <w:pPr>
              <w:pStyle w:val="NoSpacing"/>
            </w:pPr>
            <w:r w:rsidRPr="001C7EA8">
              <w:t>48.87%</w:t>
            </w:r>
          </w:p>
        </w:tc>
        <w:tc>
          <w:tcPr>
            <w:tcW w:w="1620" w:type="dxa"/>
            <w:shd w:val="clear" w:color="auto" w:fill="auto"/>
            <w:noWrap/>
            <w:vAlign w:val="center"/>
            <w:hideMark/>
          </w:tcPr>
          <w:p w:rsidR="001C7EA8" w:rsidRPr="001C7EA8" w:rsidRDefault="001C7EA8" w:rsidP="001C7EA8">
            <w:pPr>
              <w:pStyle w:val="NoSpacing"/>
            </w:pPr>
            <w:r w:rsidRPr="001C7EA8">
              <w:t>108 (4.91%)</w:t>
            </w:r>
          </w:p>
        </w:tc>
        <w:tc>
          <w:tcPr>
            <w:tcW w:w="1080" w:type="dxa"/>
            <w:shd w:val="clear" w:color="auto" w:fill="auto"/>
            <w:noWrap/>
            <w:vAlign w:val="center"/>
            <w:hideMark/>
          </w:tcPr>
          <w:p w:rsidR="001C7EA8" w:rsidRPr="001C7EA8" w:rsidRDefault="001C7EA8" w:rsidP="001C7EA8">
            <w:pPr>
              <w:pStyle w:val="NoSpacing"/>
            </w:pPr>
            <w:r w:rsidRPr="001C7EA8">
              <w:t>3.26</w:t>
            </w:r>
          </w:p>
        </w:tc>
        <w:tc>
          <w:tcPr>
            <w:tcW w:w="1114" w:type="dxa"/>
            <w:shd w:val="clear" w:color="auto" w:fill="auto"/>
            <w:noWrap/>
            <w:vAlign w:val="center"/>
            <w:hideMark/>
          </w:tcPr>
          <w:p w:rsidR="001C7EA8" w:rsidRPr="001C7EA8" w:rsidRDefault="001C7EA8" w:rsidP="001C7EA8">
            <w:pPr>
              <w:pStyle w:val="NoSpacing"/>
            </w:pPr>
            <w:r w:rsidRPr="001C7EA8">
              <w:t>0:03:02</w:t>
            </w:r>
          </w:p>
        </w:tc>
      </w:tr>
      <w:tr w:rsidR="001C7EA8" w:rsidRPr="001C7EA8" w:rsidTr="00BE0D03">
        <w:tblPrEx>
          <w:tblCellMar>
            <w:left w:w="108" w:type="dxa"/>
            <w:right w:w="108" w:type="dxa"/>
          </w:tblCellMar>
        </w:tblPrEx>
        <w:trPr>
          <w:jc w:val="center"/>
        </w:trPr>
        <w:tc>
          <w:tcPr>
            <w:tcW w:w="2605" w:type="dxa"/>
            <w:shd w:val="clear" w:color="auto" w:fill="auto"/>
            <w:noWrap/>
            <w:vAlign w:val="center"/>
            <w:hideMark/>
          </w:tcPr>
          <w:p w:rsidR="001C7EA8" w:rsidRPr="001C7EA8" w:rsidRDefault="001C7EA8" w:rsidP="004D2ABD">
            <w:pPr>
              <w:pStyle w:val="NoSpacing"/>
              <w:numPr>
                <w:ilvl w:val="0"/>
                <w:numId w:val="5"/>
              </w:numPr>
            </w:pPr>
            <w:r w:rsidRPr="001C7EA8">
              <w:t>District of Columbia</w:t>
            </w:r>
          </w:p>
        </w:tc>
        <w:tc>
          <w:tcPr>
            <w:tcW w:w="1620" w:type="dxa"/>
            <w:shd w:val="clear" w:color="auto" w:fill="auto"/>
            <w:noWrap/>
            <w:vAlign w:val="center"/>
            <w:hideMark/>
          </w:tcPr>
          <w:p w:rsidR="001C7EA8" w:rsidRPr="001C7EA8" w:rsidRDefault="001C7EA8" w:rsidP="001C7EA8">
            <w:pPr>
              <w:pStyle w:val="NoSpacing"/>
            </w:pPr>
            <w:r w:rsidRPr="001C7EA8">
              <w:t>186 (4.62%)</w:t>
            </w:r>
          </w:p>
        </w:tc>
        <w:tc>
          <w:tcPr>
            <w:tcW w:w="1170" w:type="dxa"/>
            <w:shd w:val="clear" w:color="auto" w:fill="auto"/>
            <w:noWrap/>
            <w:vAlign w:val="center"/>
            <w:hideMark/>
          </w:tcPr>
          <w:p w:rsidR="001C7EA8" w:rsidRPr="001C7EA8" w:rsidRDefault="001C7EA8" w:rsidP="001C7EA8">
            <w:pPr>
              <w:pStyle w:val="NoSpacing"/>
            </w:pPr>
            <w:r w:rsidRPr="001C7EA8">
              <w:t>47.31%</w:t>
            </w:r>
          </w:p>
        </w:tc>
        <w:tc>
          <w:tcPr>
            <w:tcW w:w="1620" w:type="dxa"/>
            <w:shd w:val="clear" w:color="auto" w:fill="auto"/>
            <w:noWrap/>
            <w:vAlign w:val="center"/>
            <w:hideMark/>
          </w:tcPr>
          <w:p w:rsidR="001C7EA8" w:rsidRPr="001C7EA8" w:rsidRDefault="001C7EA8" w:rsidP="001C7EA8">
            <w:pPr>
              <w:pStyle w:val="NoSpacing"/>
            </w:pPr>
            <w:r w:rsidRPr="001C7EA8">
              <w:t>88 (4.00%)</w:t>
            </w:r>
          </w:p>
        </w:tc>
        <w:tc>
          <w:tcPr>
            <w:tcW w:w="1080" w:type="dxa"/>
            <w:shd w:val="clear" w:color="auto" w:fill="auto"/>
            <w:noWrap/>
            <w:vAlign w:val="center"/>
            <w:hideMark/>
          </w:tcPr>
          <w:p w:rsidR="001C7EA8" w:rsidRPr="001C7EA8" w:rsidRDefault="001C7EA8" w:rsidP="001C7EA8">
            <w:pPr>
              <w:pStyle w:val="NoSpacing"/>
            </w:pPr>
            <w:r w:rsidRPr="001C7EA8">
              <w:t>5.34</w:t>
            </w:r>
          </w:p>
        </w:tc>
        <w:tc>
          <w:tcPr>
            <w:tcW w:w="1114" w:type="dxa"/>
            <w:shd w:val="clear" w:color="auto" w:fill="auto"/>
            <w:noWrap/>
            <w:vAlign w:val="center"/>
            <w:hideMark/>
          </w:tcPr>
          <w:p w:rsidR="001C7EA8" w:rsidRPr="001C7EA8" w:rsidRDefault="001C7EA8" w:rsidP="001C7EA8">
            <w:pPr>
              <w:pStyle w:val="NoSpacing"/>
            </w:pPr>
            <w:r w:rsidRPr="001C7EA8">
              <w:t>0:05:15</w:t>
            </w:r>
          </w:p>
        </w:tc>
      </w:tr>
      <w:tr w:rsidR="001C7EA8" w:rsidRPr="001C7EA8" w:rsidTr="00BE0D03">
        <w:tblPrEx>
          <w:tblCellMar>
            <w:left w:w="108" w:type="dxa"/>
            <w:right w:w="108" w:type="dxa"/>
          </w:tblCellMar>
        </w:tblPrEx>
        <w:trPr>
          <w:jc w:val="center"/>
        </w:trPr>
        <w:tc>
          <w:tcPr>
            <w:tcW w:w="2605" w:type="dxa"/>
            <w:shd w:val="clear" w:color="auto" w:fill="auto"/>
            <w:noWrap/>
            <w:vAlign w:val="center"/>
            <w:hideMark/>
          </w:tcPr>
          <w:p w:rsidR="001C7EA8" w:rsidRPr="001C7EA8" w:rsidRDefault="001C7EA8" w:rsidP="004D2ABD">
            <w:pPr>
              <w:pStyle w:val="NoSpacing"/>
              <w:numPr>
                <w:ilvl w:val="0"/>
                <w:numId w:val="5"/>
              </w:numPr>
            </w:pPr>
            <w:r w:rsidRPr="001C7EA8">
              <w:t>Michigan</w:t>
            </w:r>
          </w:p>
        </w:tc>
        <w:tc>
          <w:tcPr>
            <w:tcW w:w="1620" w:type="dxa"/>
            <w:shd w:val="clear" w:color="auto" w:fill="auto"/>
            <w:noWrap/>
            <w:vAlign w:val="center"/>
            <w:hideMark/>
          </w:tcPr>
          <w:p w:rsidR="001C7EA8" w:rsidRPr="001C7EA8" w:rsidRDefault="001C7EA8" w:rsidP="001C7EA8">
            <w:pPr>
              <w:pStyle w:val="NoSpacing"/>
            </w:pPr>
            <w:r w:rsidRPr="001C7EA8">
              <w:t>164 (4.07%)</w:t>
            </w:r>
          </w:p>
        </w:tc>
        <w:tc>
          <w:tcPr>
            <w:tcW w:w="1170" w:type="dxa"/>
            <w:shd w:val="clear" w:color="auto" w:fill="auto"/>
            <w:noWrap/>
            <w:vAlign w:val="center"/>
            <w:hideMark/>
          </w:tcPr>
          <w:p w:rsidR="001C7EA8" w:rsidRPr="001C7EA8" w:rsidRDefault="001C7EA8" w:rsidP="001C7EA8">
            <w:pPr>
              <w:pStyle w:val="NoSpacing"/>
            </w:pPr>
            <w:r w:rsidRPr="001C7EA8">
              <w:t>45.12%</w:t>
            </w:r>
          </w:p>
        </w:tc>
        <w:tc>
          <w:tcPr>
            <w:tcW w:w="1620" w:type="dxa"/>
            <w:shd w:val="clear" w:color="auto" w:fill="auto"/>
            <w:noWrap/>
            <w:vAlign w:val="center"/>
            <w:hideMark/>
          </w:tcPr>
          <w:p w:rsidR="001C7EA8" w:rsidRPr="001C7EA8" w:rsidRDefault="001C7EA8" w:rsidP="001C7EA8">
            <w:pPr>
              <w:pStyle w:val="NoSpacing"/>
            </w:pPr>
            <w:r w:rsidRPr="001C7EA8">
              <w:t>74 (3.37%)</w:t>
            </w:r>
          </w:p>
        </w:tc>
        <w:tc>
          <w:tcPr>
            <w:tcW w:w="1080" w:type="dxa"/>
            <w:shd w:val="clear" w:color="auto" w:fill="auto"/>
            <w:noWrap/>
            <w:vAlign w:val="center"/>
            <w:hideMark/>
          </w:tcPr>
          <w:p w:rsidR="001C7EA8" w:rsidRPr="001C7EA8" w:rsidRDefault="001C7EA8" w:rsidP="001C7EA8">
            <w:pPr>
              <w:pStyle w:val="NoSpacing"/>
            </w:pPr>
            <w:r w:rsidRPr="001C7EA8">
              <w:t>4.33</w:t>
            </w:r>
          </w:p>
        </w:tc>
        <w:tc>
          <w:tcPr>
            <w:tcW w:w="1114" w:type="dxa"/>
            <w:shd w:val="clear" w:color="auto" w:fill="auto"/>
            <w:noWrap/>
            <w:vAlign w:val="center"/>
            <w:hideMark/>
          </w:tcPr>
          <w:p w:rsidR="001C7EA8" w:rsidRPr="001C7EA8" w:rsidRDefault="001C7EA8" w:rsidP="001C7EA8">
            <w:pPr>
              <w:pStyle w:val="NoSpacing"/>
            </w:pPr>
            <w:r w:rsidRPr="001C7EA8">
              <w:t>0:05:32</w:t>
            </w:r>
          </w:p>
        </w:tc>
      </w:tr>
      <w:tr w:rsidR="001C7EA8" w:rsidRPr="001C7EA8" w:rsidTr="00BE0D03">
        <w:tblPrEx>
          <w:tblCellMar>
            <w:left w:w="108" w:type="dxa"/>
            <w:right w:w="108" w:type="dxa"/>
          </w:tblCellMar>
        </w:tblPrEx>
        <w:trPr>
          <w:jc w:val="center"/>
        </w:trPr>
        <w:tc>
          <w:tcPr>
            <w:tcW w:w="2605" w:type="dxa"/>
            <w:shd w:val="clear" w:color="auto" w:fill="auto"/>
            <w:noWrap/>
            <w:vAlign w:val="center"/>
            <w:hideMark/>
          </w:tcPr>
          <w:p w:rsidR="001C7EA8" w:rsidRPr="001C7EA8" w:rsidRDefault="001C7EA8" w:rsidP="004D2ABD">
            <w:pPr>
              <w:pStyle w:val="NoSpacing"/>
              <w:numPr>
                <w:ilvl w:val="0"/>
                <w:numId w:val="5"/>
              </w:numPr>
            </w:pPr>
            <w:r w:rsidRPr="001C7EA8">
              <w:t>Pennsylvania</w:t>
            </w:r>
          </w:p>
        </w:tc>
        <w:tc>
          <w:tcPr>
            <w:tcW w:w="1620" w:type="dxa"/>
            <w:shd w:val="clear" w:color="auto" w:fill="auto"/>
            <w:noWrap/>
            <w:vAlign w:val="center"/>
            <w:hideMark/>
          </w:tcPr>
          <w:p w:rsidR="001C7EA8" w:rsidRPr="001C7EA8" w:rsidRDefault="001C7EA8" w:rsidP="001C7EA8">
            <w:pPr>
              <w:pStyle w:val="NoSpacing"/>
            </w:pPr>
            <w:r w:rsidRPr="001C7EA8">
              <w:t>154 (3.83%)</w:t>
            </w:r>
          </w:p>
        </w:tc>
        <w:tc>
          <w:tcPr>
            <w:tcW w:w="1170" w:type="dxa"/>
            <w:shd w:val="clear" w:color="auto" w:fill="auto"/>
            <w:noWrap/>
            <w:vAlign w:val="center"/>
            <w:hideMark/>
          </w:tcPr>
          <w:p w:rsidR="001C7EA8" w:rsidRPr="001C7EA8" w:rsidRDefault="001C7EA8" w:rsidP="001C7EA8">
            <w:pPr>
              <w:pStyle w:val="NoSpacing"/>
            </w:pPr>
            <w:r w:rsidRPr="001C7EA8">
              <w:t>50.65%</w:t>
            </w:r>
          </w:p>
        </w:tc>
        <w:tc>
          <w:tcPr>
            <w:tcW w:w="1620" w:type="dxa"/>
            <w:shd w:val="clear" w:color="auto" w:fill="auto"/>
            <w:noWrap/>
            <w:vAlign w:val="center"/>
            <w:hideMark/>
          </w:tcPr>
          <w:p w:rsidR="001C7EA8" w:rsidRPr="001C7EA8" w:rsidRDefault="001C7EA8" w:rsidP="001C7EA8">
            <w:pPr>
              <w:pStyle w:val="NoSpacing"/>
            </w:pPr>
            <w:r w:rsidRPr="001C7EA8">
              <w:t>78 (3.55%)</w:t>
            </w:r>
          </w:p>
        </w:tc>
        <w:tc>
          <w:tcPr>
            <w:tcW w:w="1080" w:type="dxa"/>
            <w:shd w:val="clear" w:color="auto" w:fill="auto"/>
            <w:noWrap/>
            <w:vAlign w:val="center"/>
            <w:hideMark/>
          </w:tcPr>
          <w:p w:rsidR="001C7EA8" w:rsidRPr="001C7EA8" w:rsidRDefault="001C7EA8" w:rsidP="001C7EA8">
            <w:pPr>
              <w:pStyle w:val="NoSpacing"/>
            </w:pPr>
            <w:r w:rsidRPr="001C7EA8">
              <w:t>4.62</w:t>
            </w:r>
          </w:p>
        </w:tc>
        <w:tc>
          <w:tcPr>
            <w:tcW w:w="1114" w:type="dxa"/>
            <w:shd w:val="clear" w:color="auto" w:fill="auto"/>
            <w:noWrap/>
            <w:vAlign w:val="center"/>
            <w:hideMark/>
          </w:tcPr>
          <w:p w:rsidR="001C7EA8" w:rsidRPr="001C7EA8" w:rsidRDefault="001C7EA8" w:rsidP="001C7EA8">
            <w:pPr>
              <w:pStyle w:val="NoSpacing"/>
            </w:pPr>
            <w:r w:rsidRPr="001C7EA8">
              <w:t>0:05:22</w:t>
            </w:r>
          </w:p>
        </w:tc>
      </w:tr>
      <w:tr w:rsidR="001C7EA8" w:rsidRPr="001C7EA8" w:rsidTr="00BE0D03">
        <w:tblPrEx>
          <w:tblCellMar>
            <w:left w:w="108" w:type="dxa"/>
            <w:right w:w="108" w:type="dxa"/>
          </w:tblCellMar>
        </w:tblPrEx>
        <w:trPr>
          <w:jc w:val="center"/>
        </w:trPr>
        <w:tc>
          <w:tcPr>
            <w:tcW w:w="2605" w:type="dxa"/>
            <w:shd w:val="clear" w:color="auto" w:fill="auto"/>
            <w:noWrap/>
            <w:vAlign w:val="center"/>
            <w:hideMark/>
          </w:tcPr>
          <w:p w:rsidR="001C7EA8" w:rsidRPr="001C7EA8" w:rsidRDefault="001C7EA8" w:rsidP="004D2ABD">
            <w:pPr>
              <w:pStyle w:val="NoSpacing"/>
              <w:numPr>
                <w:ilvl w:val="0"/>
                <w:numId w:val="5"/>
              </w:numPr>
            </w:pPr>
            <w:r w:rsidRPr="001C7EA8">
              <w:t>Virginia</w:t>
            </w:r>
          </w:p>
        </w:tc>
        <w:tc>
          <w:tcPr>
            <w:tcW w:w="1620" w:type="dxa"/>
            <w:shd w:val="clear" w:color="auto" w:fill="auto"/>
            <w:noWrap/>
            <w:vAlign w:val="center"/>
            <w:hideMark/>
          </w:tcPr>
          <w:p w:rsidR="001C7EA8" w:rsidRPr="001C7EA8" w:rsidRDefault="001C7EA8" w:rsidP="001C7EA8">
            <w:pPr>
              <w:pStyle w:val="NoSpacing"/>
            </w:pPr>
            <w:r w:rsidRPr="001C7EA8">
              <w:t>148 (3.68%)</w:t>
            </w:r>
          </w:p>
        </w:tc>
        <w:tc>
          <w:tcPr>
            <w:tcW w:w="1170" w:type="dxa"/>
            <w:shd w:val="clear" w:color="auto" w:fill="auto"/>
            <w:noWrap/>
            <w:vAlign w:val="center"/>
            <w:hideMark/>
          </w:tcPr>
          <w:p w:rsidR="001C7EA8" w:rsidRPr="001C7EA8" w:rsidRDefault="001C7EA8" w:rsidP="001C7EA8">
            <w:pPr>
              <w:pStyle w:val="NoSpacing"/>
            </w:pPr>
            <w:r w:rsidRPr="001C7EA8">
              <w:t>47.30%</w:t>
            </w:r>
          </w:p>
        </w:tc>
        <w:tc>
          <w:tcPr>
            <w:tcW w:w="1620" w:type="dxa"/>
            <w:shd w:val="clear" w:color="auto" w:fill="auto"/>
            <w:noWrap/>
            <w:vAlign w:val="center"/>
            <w:hideMark/>
          </w:tcPr>
          <w:p w:rsidR="001C7EA8" w:rsidRPr="001C7EA8" w:rsidRDefault="001C7EA8" w:rsidP="001C7EA8">
            <w:pPr>
              <w:pStyle w:val="NoSpacing"/>
            </w:pPr>
            <w:r w:rsidRPr="001C7EA8">
              <w:t>70 (3.18%)</w:t>
            </w:r>
          </w:p>
        </w:tc>
        <w:tc>
          <w:tcPr>
            <w:tcW w:w="1080" w:type="dxa"/>
            <w:shd w:val="clear" w:color="auto" w:fill="auto"/>
            <w:noWrap/>
            <w:vAlign w:val="center"/>
            <w:hideMark/>
          </w:tcPr>
          <w:p w:rsidR="001C7EA8" w:rsidRPr="001C7EA8" w:rsidRDefault="001C7EA8" w:rsidP="001C7EA8">
            <w:pPr>
              <w:pStyle w:val="NoSpacing"/>
            </w:pPr>
            <w:r w:rsidRPr="001C7EA8">
              <w:t>5.00</w:t>
            </w:r>
          </w:p>
        </w:tc>
        <w:tc>
          <w:tcPr>
            <w:tcW w:w="1114" w:type="dxa"/>
            <w:shd w:val="clear" w:color="auto" w:fill="auto"/>
            <w:noWrap/>
            <w:vAlign w:val="center"/>
            <w:hideMark/>
          </w:tcPr>
          <w:p w:rsidR="001C7EA8" w:rsidRPr="001C7EA8" w:rsidRDefault="001C7EA8" w:rsidP="001C7EA8">
            <w:pPr>
              <w:pStyle w:val="NoSpacing"/>
            </w:pPr>
            <w:r w:rsidRPr="001C7EA8">
              <w:t>0:05:25</w:t>
            </w:r>
          </w:p>
        </w:tc>
      </w:tr>
      <w:tr w:rsidR="001C7EA8" w:rsidRPr="001C7EA8" w:rsidTr="00BE0D03">
        <w:tblPrEx>
          <w:tblCellMar>
            <w:left w:w="108" w:type="dxa"/>
            <w:right w:w="108" w:type="dxa"/>
          </w:tblCellMar>
        </w:tblPrEx>
        <w:trPr>
          <w:jc w:val="center"/>
        </w:trPr>
        <w:tc>
          <w:tcPr>
            <w:tcW w:w="2605" w:type="dxa"/>
            <w:shd w:val="clear" w:color="auto" w:fill="auto"/>
            <w:noWrap/>
            <w:vAlign w:val="center"/>
            <w:hideMark/>
          </w:tcPr>
          <w:p w:rsidR="001C7EA8" w:rsidRPr="001C7EA8" w:rsidRDefault="001C7EA8" w:rsidP="004D2ABD">
            <w:pPr>
              <w:pStyle w:val="NoSpacing"/>
              <w:numPr>
                <w:ilvl w:val="0"/>
                <w:numId w:val="5"/>
              </w:numPr>
            </w:pPr>
            <w:r w:rsidRPr="001C7EA8">
              <w:t>North Carolina</w:t>
            </w:r>
          </w:p>
        </w:tc>
        <w:tc>
          <w:tcPr>
            <w:tcW w:w="1620" w:type="dxa"/>
            <w:shd w:val="clear" w:color="auto" w:fill="auto"/>
            <w:noWrap/>
            <w:vAlign w:val="center"/>
            <w:hideMark/>
          </w:tcPr>
          <w:p w:rsidR="001C7EA8" w:rsidRPr="001C7EA8" w:rsidRDefault="001C7EA8" w:rsidP="001C7EA8">
            <w:pPr>
              <w:pStyle w:val="NoSpacing"/>
            </w:pPr>
            <w:r w:rsidRPr="001C7EA8">
              <w:t>140 (3.48%)</w:t>
            </w:r>
          </w:p>
        </w:tc>
        <w:tc>
          <w:tcPr>
            <w:tcW w:w="1170" w:type="dxa"/>
            <w:shd w:val="clear" w:color="auto" w:fill="auto"/>
            <w:noWrap/>
            <w:vAlign w:val="center"/>
            <w:hideMark/>
          </w:tcPr>
          <w:p w:rsidR="001C7EA8" w:rsidRPr="001C7EA8" w:rsidRDefault="001C7EA8" w:rsidP="001C7EA8">
            <w:pPr>
              <w:pStyle w:val="NoSpacing"/>
            </w:pPr>
            <w:r w:rsidRPr="001C7EA8">
              <w:t>48.57%</w:t>
            </w:r>
          </w:p>
        </w:tc>
        <w:tc>
          <w:tcPr>
            <w:tcW w:w="1620" w:type="dxa"/>
            <w:shd w:val="clear" w:color="auto" w:fill="auto"/>
            <w:noWrap/>
            <w:vAlign w:val="center"/>
            <w:hideMark/>
          </w:tcPr>
          <w:p w:rsidR="001C7EA8" w:rsidRPr="001C7EA8" w:rsidRDefault="001C7EA8" w:rsidP="001C7EA8">
            <w:pPr>
              <w:pStyle w:val="NoSpacing"/>
            </w:pPr>
            <w:r w:rsidRPr="001C7EA8">
              <w:t>68 (3.09%)</w:t>
            </w:r>
          </w:p>
        </w:tc>
        <w:tc>
          <w:tcPr>
            <w:tcW w:w="1080" w:type="dxa"/>
            <w:shd w:val="clear" w:color="auto" w:fill="auto"/>
            <w:noWrap/>
            <w:vAlign w:val="center"/>
            <w:hideMark/>
          </w:tcPr>
          <w:p w:rsidR="001C7EA8" w:rsidRPr="001C7EA8" w:rsidRDefault="001C7EA8" w:rsidP="001C7EA8">
            <w:pPr>
              <w:pStyle w:val="NoSpacing"/>
            </w:pPr>
            <w:r w:rsidRPr="001C7EA8">
              <w:t>2.55</w:t>
            </w:r>
          </w:p>
        </w:tc>
        <w:tc>
          <w:tcPr>
            <w:tcW w:w="1114" w:type="dxa"/>
            <w:shd w:val="clear" w:color="auto" w:fill="auto"/>
            <w:noWrap/>
            <w:vAlign w:val="center"/>
            <w:hideMark/>
          </w:tcPr>
          <w:p w:rsidR="001C7EA8" w:rsidRPr="001C7EA8" w:rsidRDefault="001C7EA8" w:rsidP="001C7EA8">
            <w:pPr>
              <w:pStyle w:val="NoSpacing"/>
            </w:pPr>
            <w:r w:rsidRPr="001C7EA8">
              <w:t>0:02:49</w:t>
            </w:r>
          </w:p>
        </w:tc>
      </w:tr>
      <w:tr w:rsidR="001C7EA8" w:rsidRPr="001C7EA8" w:rsidTr="00BE0D03">
        <w:tblPrEx>
          <w:tblCellMar>
            <w:left w:w="108" w:type="dxa"/>
            <w:right w:w="108" w:type="dxa"/>
          </w:tblCellMar>
        </w:tblPrEx>
        <w:trPr>
          <w:jc w:val="center"/>
        </w:trPr>
        <w:tc>
          <w:tcPr>
            <w:tcW w:w="2605" w:type="dxa"/>
            <w:shd w:val="clear" w:color="auto" w:fill="auto"/>
            <w:noWrap/>
            <w:vAlign w:val="center"/>
            <w:hideMark/>
          </w:tcPr>
          <w:p w:rsidR="001C7EA8" w:rsidRPr="001C7EA8" w:rsidRDefault="001C7EA8" w:rsidP="004D2ABD">
            <w:pPr>
              <w:pStyle w:val="NoSpacing"/>
              <w:numPr>
                <w:ilvl w:val="0"/>
                <w:numId w:val="5"/>
              </w:numPr>
            </w:pPr>
            <w:r w:rsidRPr="001C7EA8">
              <w:t>Illinois</w:t>
            </w:r>
          </w:p>
        </w:tc>
        <w:tc>
          <w:tcPr>
            <w:tcW w:w="1620" w:type="dxa"/>
            <w:shd w:val="clear" w:color="auto" w:fill="auto"/>
            <w:noWrap/>
            <w:vAlign w:val="center"/>
            <w:hideMark/>
          </w:tcPr>
          <w:p w:rsidR="001C7EA8" w:rsidRPr="001C7EA8" w:rsidRDefault="001C7EA8" w:rsidP="001C7EA8">
            <w:pPr>
              <w:pStyle w:val="NoSpacing"/>
            </w:pPr>
            <w:r w:rsidRPr="001C7EA8">
              <w:t>139 (3.45%)</w:t>
            </w:r>
          </w:p>
        </w:tc>
        <w:tc>
          <w:tcPr>
            <w:tcW w:w="1170" w:type="dxa"/>
            <w:shd w:val="clear" w:color="auto" w:fill="auto"/>
            <w:noWrap/>
            <w:vAlign w:val="center"/>
            <w:hideMark/>
          </w:tcPr>
          <w:p w:rsidR="001C7EA8" w:rsidRPr="001C7EA8" w:rsidRDefault="001C7EA8" w:rsidP="001C7EA8">
            <w:pPr>
              <w:pStyle w:val="NoSpacing"/>
            </w:pPr>
            <w:r w:rsidRPr="001C7EA8">
              <w:t>50.36%</w:t>
            </w:r>
          </w:p>
        </w:tc>
        <w:tc>
          <w:tcPr>
            <w:tcW w:w="1620" w:type="dxa"/>
            <w:shd w:val="clear" w:color="auto" w:fill="auto"/>
            <w:noWrap/>
            <w:vAlign w:val="center"/>
            <w:hideMark/>
          </w:tcPr>
          <w:p w:rsidR="001C7EA8" w:rsidRPr="001C7EA8" w:rsidRDefault="001C7EA8" w:rsidP="001C7EA8">
            <w:pPr>
              <w:pStyle w:val="NoSpacing"/>
            </w:pPr>
            <w:r w:rsidRPr="001C7EA8">
              <w:t>70 (3.18%)</w:t>
            </w:r>
          </w:p>
        </w:tc>
        <w:tc>
          <w:tcPr>
            <w:tcW w:w="1080" w:type="dxa"/>
            <w:shd w:val="clear" w:color="auto" w:fill="auto"/>
            <w:noWrap/>
            <w:vAlign w:val="center"/>
            <w:hideMark/>
          </w:tcPr>
          <w:p w:rsidR="001C7EA8" w:rsidRPr="001C7EA8" w:rsidRDefault="001C7EA8" w:rsidP="001C7EA8">
            <w:pPr>
              <w:pStyle w:val="NoSpacing"/>
            </w:pPr>
            <w:r w:rsidRPr="001C7EA8">
              <w:t>2.83</w:t>
            </w:r>
          </w:p>
        </w:tc>
        <w:tc>
          <w:tcPr>
            <w:tcW w:w="1114" w:type="dxa"/>
            <w:shd w:val="clear" w:color="auto" w:fill="auto"/>
            <w:noWrap/>
            <w:vAlign w:val="center"/>
            <w:hideMark/>
          </w:tcPr>
          <w:p w:rsidR="001C7EA8" w:rsidRPr="001C7EA8" w:rsidRDefault="001C7EA8" w:rsidP="001C7EA8">
            <w:pPr>
              <w:pStyle w:val="NoSpacing"/>
            </w:pPr>
            <w:r w:rsidRPr="001C7EA8">
              <w:t>0:02:15</w:t>
            </w:r>
          </w:p>
        </w:tc>
      </w:tr>
      <w:tr w:rsidR="001C7EA8" w:rsidRPr="001C7EA8" w:rsidTr="00BE0D03">
        <w:tblPrEx>
          <w:tblCellMar>
            <w:left w:w="108" w:type="dxa"/>
            <w:right w:w="108" w:type="dxa"/>
          </w:tblCellMar>
        </w:tblPrEx>
        <w:trPr>
          <w:jc w:val="center"/>
        </w:trPr>
        <w:tc>
          <w:tcPr>
            <w:tcW w:w="2605" w:type="dxa"/>
            <w:shd w:val="clear" w:color="auto" w:fill="auto"/>
            <w:noWrap/>
            <w:vAlign w:val="center"/>
            <w:hideMark/>
          </w:tcPr>
          <w:p w:rsidR="001C7EA8" w:rsidRPr="001C7EA8" w:rsidRDefault="001C7EA8" w:rsidP="004D2ABD">
            <w:pPr>
              <w:pStyle w:val="NoSpacing"/>
              <w:numPr>
                <w:ilvl w:val="0"/>
                <w:numId w:val="5"/>
              </w:numPr>
            </w:pPr>
            <w:r w:rsidRPr="001C7EA8">
              <w:t>Arkansas</w:t>
            </w:r>
          </w:p>
        </w:tc>
        <w:tc>
          <w:tcPr>
            <w:tcW w:w="1620" w:type="dxa"/>
            <w:shd w:val="clear" w:color="auto" w:fill="auto"/>
            <w:noWrap/>
            <w:vAlign w:val="center"/>
            <w:hideMark/>
          </w:tcPr>
          <w:p w:rsidR="001C7EA8" w:rsidRPr="001C7EA8" w:rsidRDefault="001C7EA8" w:rsidP="001C7EA8">
            <w:pPr>
              <w:pStyle w:val="NoSpacing"/>
            </w:pPr>
            <w:r w:rsidRPr="001C7EA8">
              <w:t>120 (2.98%)</w:t>
            </w:r>
          </w:p>
        </w:tc>
        <w:tc>
          <w:tcPr>
            <w:tcW w:w="1170" w:type="dxa"/>
            <w:shd w:val="clear" w:color="auto" w:fill="auto"/>
            <w:noWrap/>
            <w:vAlign w:val="center"/>
            <w:hideMark/>
          </w:tcPr>
          <w:p w:rsidR="001C7EA8" w:rsidRPr="001C7EA8" w:rsidRDefault="001C7EA8" w:rsidP="001C7EA8">
            <w:pPr>
              <w:pStyle w:val="NoSpacing"/>
            </w:pPr>
            <w:r w:rsidRPr="001C7EA8">
              <w:t>26.67%</w:t>
            </w:r>
          </w:p>
        </w:tc>
        <w:tc>
          <w:tcPr>
            <w:tcW w:w="1620" w:type="dxa"/>
            <w:shd w:val="clear" w:color="auto" w:fill="auto"/>
            <w:noWrap/>
            <w:vAlign w:val="center"/>
            <w:hideMark/>
          </w:tcPr>
          <w:p w:rsidR="001C7EA8" w:rsidRPr="001C7EA8" w:rsidRDefault="001C7EA8" w:rsidP="001C7EA8">
            <w:pPr>
              <w:pStyle w:val="NoSpacing"/>
            </w:pPr>
            <w:r w:rsidRPr="001C7EA8">
              <w:t>32 (1.46%)</w:t>
            </w:r>
          </w:p>
        </w:tc>
        <w:tc>
          <w:tcPr>
            <w:tcW w:w="1080" w:type="dxa"/>
            <w:shd w:val="clear" w:color="auto" w:fill="auto"/>
            <w:noWrap/>
            <w:vAlign w:val="center"/>
            <w:hideMark/>
          </w:tcPr>
          <w:p w:rsidR="001C7EA8" w:rsidRPr="001C7EA8" w:rsidRDefault="001C7EA8" w:rsidP="001C7EA8">
            <w:pPr>
              <w:pStyle w:val="NoSpacing"/>
            </w:pPr>
            <w:r w:rsidRPr="001C7EA8">
              <w:t>7.28</w:t>
            </w:r>
          </w:p>
        </w:tc>
        <w:tc>
          <w:tcPr>
            <w:tcW w:w="1114" w:type="dxa"/>
            <w:shd w:val="clear" w:color="auto" w:fill="auto"/>
            <w:noWrap/>
            <w:vAlign w:val="center"/>
            <w:hideMark/>
          </w:tcPr>
          <w:p w:rsidR="001C7EA8" w:rsidRPr="001C7EA8" w:rsidRDefault="001C7EA8" w:rsidP="001C7EA8">
            <w:pPr>
              <w:pStyle w:val="NoSpacing"/>
            </w:pPr>
            <w:r w:rsidRPr="001C7EA8">
              <w:t>0:07:13</w:t>
            </w:r>
          </w:p>
        </w:tc>
      </w:tr>
    </w:tbl>
    <w:p w:rsidR="001C7EA8" w:rsidRPr="001C7EA8" w:rsidRDefault="001C7EA8" w:rsidP="001C7EA8">
      <w:pPr>
        <w:pStyle w:val="NoSpacing"/>
      </w:pPr>
    </w:p>
    <w:p w:rsidR="001C7EA8" w:rsidRDefault="00BB69A8" w:rsidP="004A215C">
      <w:pPr>
        <w:pStyle w:val="NoSpacing"/>
      </w:pPr>
      <w:r>
        <w:t xml:space="preserve">The </w:t>
      </w:r>
      <w:r w:rsidR="00052933">
        <w:t>IT and traffic analysis</w:t>
      </w:r>
      <w:r>
        <w:t xml:space="preserve"> report for the entire first year is below:</w:t>
      </w:r>
    </w:p>
    <w:p w:rsidR="001C7EA8" w:rsidRDefault="001C7EA8" w:rsidP="004A215C">
      <w:pPr>
        <w:pStyle w:val="NoSpacing"/>
      </w:pPr>
    </w:p>
    <w:p w:rsidR="00F42C14" w:rsidRPr="00F42C14" w:rsidRDefault="00F42C14" w:rsidP="00F42C14">
      <w:pPr>
        <w:spacing w:before="120" w:after="120" w:line="360" w:lineRule="auto"/>
        <w:contextualSpacing/>
        <w:jc w:val="center"/>
        <w:rPr>
          <w:rFonts w:eastAsiaTheme="majorEastAsia"/>
          <w:b/>
          <w:spacing w:val="-10"/>
          <w:kern w:val="28"/>
          <w:sz w:val="40"/>
          <w:szCs w:val="48"/>
        </w:rPr>
      </w:pPr>
      <w:r w:rsidRPr="00F42C14">
        <w:rPr>
          <w:rFonts w:eastAsiaTheme="majorEastAsia"/>
          <w:b/>
          <w:noProof/>
          <w:spacing w:val="-10"/>
          <w:kern w:val="28"/>
          <w:sz w:val="40"/>
          <w:szCs w:val="48"/>
          <w:lang w:eastAsia="ko-KR"/>
        </w:rPr>
        <w:drawing>
          <wp:inline distT="0" distB="0" distL="0" distR="0">
            <wp:extent cx="2372995" cy="646430"/>
            <wp:effectExtent l="0" t="0" r="8255" b="1270"/>
            <wp:docPr id="2" name="Picture 2" descr="wintac_logo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tac_logo_ful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72995" cy="646430"/>
                    </a:xfrm>
                    <a:prstGeom prst="rect">
                      <a:avLst/>
                    </a:prstGeom>
                    <a:noFill/>
                    <a:ln>
                      <a:noFill/>
                    </a:ln>
                  </pic:spPr>
                </pic:pic>
              </a:graphicData>
            </a:graphic>
          </wp:inline>
        </w:drawing>
      </w:r>
    </w:p>
    <w:p w:rsidR="00F42C14" w:rsidRPr="00F42C14" w:rsidRDefault="00F42C14" w:rsidP="00F42C14">
      <w:pPr>
        <w:spacing w:before="120" w:after="120" w:line="360" w:lineRule="auto"/>
        <w:contextualSpacing/>
        <w:jc w:val="center"/>
        <w:rPr>
          <w:rFonts w:eastAsiaTheme="majorEastAsia"/>
          <w:b/>
          <w:spacing w:val="-10"/>
          <w:kern w:val="28"/>
          <w:sz w:val="32"/>
          <w:szCs w:val="48"/>
        </w:rPr>
      </w:pPr>
      <w:r w:rsidRPr="00F42C14">
        <w:rPr>
          <w:rFonts w:eastAsiaTheme="majorEastAsia"/>
          <w:b/>
          <w:spacing w:val="-10"/>
          <w:kern w:val="28"/>
          <w:sz w:val="32"/>
          <w:szCs w:val="48"/>
        </w:rPr>
        <w:t>WINTAC Year-to-Date Report</w:t>
      </w:r>
    </w:p>
    <w:p w:rsidR="00F42C14" w:rsidRPr="00F42C14" w:rsidRDefault="00F42C14" w:rsidP="00F42C14">
      <w:pPr>
        <w:spacing w:before="120" w:after="120" w:line="360" w:lineRule="auto"/>
        <w:contextualSpacing/>
        <w:jc w:val="center"/>
        <w:rPr>
          <w:rFonts w:eastAsiaTheme="majorEastAsia"/>
          <w:b/>
          <w:spacing w:val="-10"/>
          <w:kern w:val="28"/>
          <w:sz w:val="32"/>
          <w:szCs w:val="48"/>
        </w:rPr>
      </w:pPr>
      <w:r w:rsidRPr="00F42C14">
        <w:rPr>
          <w:rFonts w:eastAsiaTheme="majorEastAsia"/>
          <w:b/>
          <w:spacing w:val="-10"/>
          <w:kern w:val="28"/>
          <w:sz w:val="32"/>
          <w:szCs w:val="48"/>
        </w:rPr>
        <w:t>Website Traffic Analysis and IT Related</w:t>
      </w:r>
    </w:p>
    <w:p w:rsidR="00F42C14" w:rsidRPr="00F42C14" w:rsidRDefault="00F42C14" w:rsidP="00F42C14">
      <w:pPr>
        <w:spacing w:before="240"/>
        <w:jc w:val="center"/>
        <w:rPr>
          <w:b/>
        </w:rPr>
      </w:pPr>
      <w:r w:rsidRPr="00F42C14">
        <w:rPr>
          <w:b/>
        </w:rPr>
        <w:t xml:space="preserve">Reporting Period: </w:t>
      </w:r>
      <w:r w:rsidRPr="00F42C14">
        <w:rPr>
          <w:b/>
          <w:shd w:val="clear" w:color="auto" w:fill="FFE599" w:themeFill="accent4" w:themeFillTint="66"/>
        </w:rPr>
        <w:t>Year One</w:t>
      </w:r>
    </w:p>
    <w:p w:rsidR="00F42C14" w:rsidRPr="00F42C14" w:rsidRDefault="00F42C14" w:rsidP="00F42C14">
      <w:pPr>
        <w:spacing w:before="240"/>
        <w:jc w:val="center"/>
        <w:rPr>
          <w:b/>
          <w:sz w:val="22"/>
          <w:szCs w:val="22"/>
        </w:rPr>
      </w:pPr>
      <w:r w:rsidRPr="00F42C14">
        <w:rPr>
          <w:b/>
          <w:noProof/>
          <w:sz w:val="40"/>
          <w:szCs w:val="48"/>
          <w:lang w:eastAsia="ko-KR"/>
        </w:rPr>
        <w:drawing>
          <wp:inline distT="0" distB="0" distL="0" distR="0" wp14:anchorId="1C1A9137" wp14:editId="4241A546">
            <wp:extent cx="1514475" cy="572459"/>
            <wp:effectExtent l="0" t="0" r="0" b="0"/>
            <wp:docPr id="1" name="Picture 1" descr="Interwork Institute - SD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terwork_nobgBIG.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36101" cy="580634"/>
                    </a:xfrm>
                    <a:prstGeom prst="rect">
                      <a:avLst/>
                    </a:prstGeom>
                  </pic:spPr>
                </pic:pic>
              </a:graphicData>
            </a:graphic>
          </wp:inline>
        </w:drawing>
      </w:r>
    </w:p>
    <w:p w:rsidR="00F42C14" w:rsidRDefault="00F42C14" w:rsidP="00F42C14">
      <w:pPr>
        <w:rPr>
          <w:sz w:val="22"/>
          <w:szCs w:val="22"/>
        </w:rPr>
      </w:pPr>
    </w:p>
    <w:p w:rsidR="001F4904" w:rsidRDefault="001F4904" w:rsidP="00F42C14">
      <w:pPr>
        <w:rPr>
          <w:sz w:val="22"/>
          <w:szCs w:val="22"/>
        </w:rPr>
      </w:pPr>
    </w:p>
    <w:p w:rsidR="00F42C14" w:rsidRPr="001F4904" w:rsidRDefault="00F42C14" w:rsidP="00F42C14">
      <w:pPr>
        <w:keepNext/>
        <w:keepLines/>
        <w:shd w:val="clear" w:color="auto" w:fill="E2EFD9" w:themeFill="accent6" w:themeFillTint="33"/>
        <w:spacing w:before="240" w:after="120"/>
        <w:outlineLvl w:val="0"/>
        <w:rPr>
          <w:rFonts w:eastAsiaTheme="majorEastAsia"/>
          <w:b/>
          <w:color w:val="000000" w:themeColor="text1"/>
          <w:sz w:val="32"/>
          <w:szCs w:val="32"/>
        </w:rPr>
      </w:pPr>
      <w:bookmarkStart w:id="4" w:name="_Toc448087438"/>
      <w:r w:rsidRPr="001F4904">
        <w:rPr>
          <w:rFonts w:eastAsiaTheme="majorEastAsia"/>
          <w:b/>
          <w:color w:val="000000" w:themeColor="text1"/>
          <w:sz w:val="32"/>
          <w:szCs w:val="32"/>
        </w:rPr>
        <w:lastRenderedPageBreak/>
        <w:t>Website Traffic Overview</w:t>
      </w:r>
      <w:bookmarkEnd w:id="4"/>
    </w:p>
    <w:p w:rsidR="00F42C14" w:rsidRPr="00F42C14" w:rsidRDefault="00F42C14" w:rsidP="004D2ABD">
      <w:pPr>
        <w:numPr>
          <w:ilvl w:val="0"/>
          <w:numId w:val="3"/>
        </w:numPr>
        <w:tabs>
          <w:tab w:val="left" w:pos="4788"/>
          <w:tab w:val="right" w:pos="5760"/>
        </w:tabs>
        <w:spacing w:before="120" w:after="0"/>
        <w:ind w:left="835"/>
      </w:pPr>
      <w:r w:rsidRPr="00F42C14">
        <w:t>Unique visitors</w:t>
      </w:r>
      <w:r w:rsidRPr="00F42C14">
        <w:tab/>
      </w:r>
      <w:r w:rsidRPr="00F42C14">
        <w:tab/>
        <w:t xml:space="preserve">4,141 </w:t>
      </w:r>
    </w:p>
    <w:p w:rsidR="00F42C14" w:rsidRPr="00F42C14" w:rsidRDefault="00F42C14" w:rsidP="004D2ABD">
      <w:pPr>
        <w:numPr>
          <w:ilvl w:val="0"/>
          <w:numId w:val="3"/>
        </w:numPr>
        <w:tabs>
          <w:tab w:val="left" w:pos="4788"/>
          <w:tab w:val="right" w:pos="5760"/>
        </w:tabs>
        <w:spacing w:before="120" w:after="0"/>
        <w:ind w:left="835"/>
      </w:pPr>
      <w:r w:rsidRPr="00F42C14">
        <w:t>Page views</w:t>
      </w:r>
      <w:r w:rsidRPr="00F42C14">
        <w:tab/>
      </w:r>
      <w:r w:rsidRPr="00F42C14">
        <w:tab/>
        <w:t xml:space="preserve">32,218 </w:t>
      </w:r>
    </w:p>
    <w:p w:rsidR="00F42C14" w:rsidRPr="00F42C14" w:rsidRDefault="00F42C14" w:rsidP="004D2ABD">
      <w:pPr>
        <w:numPr>
          <w:ilvl w:val="0"/>
          <w:numId w:val="3"/>
        </w:numPr>
        <w:tabs>
          <w:tab w:val="left" w:pos="4788"/>
          <w:tab w:val="right" w:pos="5760"/>
        </w:tabs>
        <w:spacing w:before="120" w:after="0"/>
        <w:ind w:left="835"/>
      </w:pPr>
      <w:r w:rsidRPr="00F42C14">
        <w:t>Visits</w:t>
      </w:r>
      <w:r w:rsidRPr="00F42C14">
        <w:tab/>
      </w:r>
      <w:r w:rsidRPr="00F42C14">
        <w:tab/>
        <w:t xml:space="preserve">7,448 </w:t>
      </w:r>
    </w:p>
    <w:p w:rsidR="00F42C14" w:rsidRPr="00F42C14" w:rsidRDefault="00F42C14" w:rsidP="004D2ABD">
      <w:pPr>
        <w:numPr>
          <w:ilvl w:val="0"/>
          <w:numId w:val="3"/>
        </w:numPr>
        <w:tabs>
          <w:tab w:val="left" w:pos="4788"/>
          <w:tab w:val="right" w:pos="5760"/>
        </w:tabs>
        <w:spacing w:before="120" w:after="0"/>
        <w:ind w:left="835"/>
      </w:pPr>
      <w:r w:rsidRPr="00F42C14">
        <w:t>Returning visitors</w:t>
      </w:r>
      <w:r w:rsidRPr="00F42C14">
        <w:tab/>
      </w:r>
      <w:r w:rsidRPr="00F42C14">
        <w:tab/>
        <w:t xml:space="preserve">45% </w:t>
      </w:r>
    </w:p>
    <w:p w:rsidR="00F42C14" w:rsidRPr="00F42C14" w:rsidRDefault="00F42C14" w:rsidP="004D2ABD">
      <w:pPr>
        <w:numPr>
          <w:ilvl w:val="0"/>
          <w:numId w:val="3"/>
        </w:numPr>
        <w:tabs>
          <w:tab w:val="left" w:pos="4788"/>
          <w:tab w:val="right" w:pos="5760"/>
        </w:tabs>
        <w:spacing w:before="120" w:after="0"/>
        <w:ind w:left="835"/>
      </w:pPr>
      <w:r w:rsidRPr="00F42C14">
        <w:t>New visitors</w:t>
      </w:r>
      <w:r w:rsidRPr="00F42C14">
        <w:tab/>
      </w:r>
      <w:r w:rsidRPr="00F42C14">
        <w:tab/>
        <w:t>55%</w:t>
      </w:r>
    </w:p>
    <w:p w:rsidR="00F42C14" w:rsidRPr="00F42C14" w:rsidRDefault="00F42C14" w:rsidP="004D2ABD">
      <w:pPr>
        <w:numPr>
          <w:ilvl w:val="0"/>
          <w:numId w:val="3"/>
        </w:numPr>
        <w:tabs>
          <w:tab w:val="left" w:pos="4788"/>
          <w:tab w:val="right" w:pos="5760"/>
        </w:tabs>
        <w:spacing w:before="120" w:after="0"/>
        <w:ind w:left="835"/>
      </w:pPr>
      <w:r w:rsidRPr="00F42C14">
        <w:t>Pagers per session</w:t>
      </w:r>
      <w:r w:rsidRPr="00F42C14">
        <w:tab/>
      </w:r>
      <w:r w:rsidRPr="00F42C14">
        <w:tab/>
        <w:t xml:space="preserve">4.3 </w:t>
      </w:r>
    </w:p>
    <w:p w:rsidR="00F42C14" w:rsidRPr="00F42C14" w:rsidRDefault="00F42C14" w:rsidP="004D2ABD">
      <w:pPr>
        <w:numPr>
          <w:ilvl w:val="0"/>
          <w:numId w:val="3"/>
        </w:numPr>
        <w:tabs>
          <w:tab w:val="left" w:pos="4788"/>
          <w:tab w:val="right" w:pos="5760"/>
        </w:tabs>
        <w:spacing w:before="120" w:after="0"/>
        <w:ind w:left="835"/>
      </w:pPr>
      <w:r w:rsidRPr="00F42C14">
        <w:t>Average duration per session</w:t>
      </w:r>
      <w:r w:rsidRPr="00F42C14">
        <w:tab/>
        <w:t xml:space="preserve">3 min. 58 sec. </w:t>
      </w:r>
    </w:p>
    <w:p w:rsidR="00F42C14" w:rsidRPr="00F42C14" w:rsidRDefault="00F42C14" w:rsidP="00F42C14">
      <w:pPr>
        <w:keepNext/>
        <w:keepLines/>
        <w:shd w:val="clear" w:color="auto" w:fill="E2EFD9" w:themeFill="accent6" w:themeFillTint="33"/>
        <w:spacing w:before="240" w:after="120"/>
        <w:outlineLvl w:val="0"/>
        <w:rPr>
          <w:rFonts w:eastAsiaTheme="majorEastAsia"/>
          <w:b/>
          <w:color w:val="000000" w:themeColor="text1"/>
          <w:sz w:val="32"/>
          <w:szCs w:val="32"/>
        </w:rPr>
      </w:pPr>
      <w:r w:rsidRPr="00F42C14">
        <w:rPr>
          <w:rFonts w:eastAsiaTheme="majorEastAsia"/>
          <w:b/>
          <w:color w:val="000000" w:themeColor="text1"/>
          <w:sz w:val="32"/>
          <w:szCs w:val="32"/>
        </w:rPr>
        <w:t>Top 10 Pages Visited</w:t>
      </w:r>
    </w:p>
    <w:tbl>
      <w:tblPr>
        <w:tblStyle w:val="TableGrid1"/>
        <w:tblW w:w="0" w:type="auto"/>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Description w:val="Top 10 Pages Visited"/>
      </w:tblPr>
      <w:tblGrid>
        <w:gridCol w:w="6295"/>
        <w:gridCol w:w="1250"/>
        <w:gridCol w:w="1692"/>
      </w:tblGrid>
      <w:tr w:rsidR="00F42C14" w:rsidRPr="00F42C14" w:rsidTr="009142C0">
        <w:trPr>
          <w:tblHeader/>
        </w:trPr>
        <w:tc>
          <w:tcPr>
            <w:tcW w:w="6295" w:type="dxa"/>
            <w:shd w:val="clear" w:color="auto" w:fill="D5DCE4" w:themeFill="text2" w:themeFillTint="33"/>
            <w:vAlign w:val="bottom"/>
          </w:tcPr>
          <w:p w:rsidR="00F42C14" w:rsidRPr="00F42C14" w:rsidRDefault="00F42C14" w:rsidP="00F42C14">
            <w:pPr>
              <w:spacing w:before="20" w:after="20" w:line="276" w:lineRule="auto"/>
              <w:jc w:val="center"/>
              <w:rPr>
                <w:rFonts w:eastAsia="Times New Roman"/>
                <w:b/>
              </w:rPr>
            </w:pPr>
            <w:r w:rsidRPr="00F42C14">
              <w:rPr>
                <w:rFonts w:eastAsia="Times New Roman"/>
                <w:b/>
              </w:rPr>
              <w:t>Pages</w:t>
            </w:r>
          </w:p>
        </w:tc>
        <w:tc>
          <w:tcPr>
            <w:tcW w:w="1250" w:type="dxa"/>
            <w:shd w:val="clear" w:color="auto" w:fill="D5DCE4" w:themeFill="text2" w:themeFillTint="33"/>
            <w:vAlign w:val="bottom"/>
          </w:tcPr>
          <w:p w:rsidR="00F42C14" w:rsidRPr="00F42C14" w:rsidRDefault="00F42C14" w:rsidP="00F42C14">
            <w:pPr>
              <w:spacing w:before="20" w:after="20" w:line="276" w:lineRule="auto"/>
              <w:jc w:val="center"/>
              <w:rPr>
                <w:rFonts w:eastAsia="Times New Roman"/>
                <w:b/>
                <w:bCs/>
              </w:rPr>
            </w:pPr>
            <w:r w:rsidRPr="00F42C14">
              <w:rPr>
                <w:rFonts w:eastAsia="Times New Roman"/>
                <w:b/>
                <w:bCs/>
              </w:rPr>
              <w:t>Page Views</w:t>
            </w:r>
          </w:p>
        </w:tc>
        <w:tc>
          <w:tcPr>
            <w:tcW w:w="1692" w:type="dxa"/>
            <w:shd w:val="clear" w:color="auto" w:fill="D5DCE4" w:themeFill="text2" w:themeFillTint="33"/>
            <w:vAlign w:val="bottom"/>
          </w:tcPr>
          <w:p w:rsidR="00F42C14" w:rsidRPr="00F42C14" w:rsidRDefault="00F42C14" w:rsidP="00F42C14">
            <w:pPr>
              <w:spacing w:before="20" w:after="20" w:line="276" w:lineRule="auto"/>
              <w:jc w:val="center"/>
              <w:rPr>
                <w:rFonts w:eastAsia="Times New Roman"/>
                <w:b/>
              </w:rPr>
            </w:pPr>
            <w:r w:rsidRPr="00F42C14">
              <w:rPr>
                <w:rFonts w:eastAsia="Times New Roman"/>
                <w:b/>
              </w:rPr>
              <w:t>Percentage</w:t>
            </w:r>
          </w:p>
        </w:tc>
      </w:tr>
      <w:tr w:rsidR="00F42C14" w:rsidRPr="00F42C14" w:rsidTr="00B72728">
        <w:tc>
          <w:tcPr>
            <w:tcW w:w="6295" w:type="dxa"/>
          </w:tcPr>
          <w:p w:rsidR="00F42C14" w:rsidRPr="008D3937" w:rsidRDefault="00BA2283" w:rsidP="004D2ABD">
            <w:pPr>
              <w:pStyle w:val="ListParagraph"/>
              <w:numPr>
                <w:ilvl w:val="0"/>
                <w:numId w:val="35"/>
              </w:numPr>
              <w:tabs>
                <w:tab w:val="left" w:pos="337"/>
              </w:tabs>
              <w:spacing w:before="20" w:after="20" w:line="276" w:lineRule="auto"/>
              <w:ind w:left="337" w:hanging="270"/>
              <w:rPr>
                <w:rFonts w:eastAsia="Times New Roman"/>
              </w:rPr>
            </w:pPr>
            <w:hyperlink r:id="rId20" w:history="1">
              <w:r w:rsidR="00F42C14" w:rsidRPr="008D3937">
                <w:rPr>
                  <w:rFonts w:eastAsia="Times New Roman"/>
                  <w:color w:val="0563C1" w:themeColor="hyperlink"/>
                  <w:u w:val="single"/>
                </w:rPr>
                <w:t>Home page</w:t>
              </w:r>
            </w:hyperlink>
          </w:p>
        </w:tc>
        <w:tc>
          <w:tcPr>
            <w:tcW w:w="1250" w:type="dxa"/>
          </w:tcPr>
          <w:p w:rsidR="00F42C14" w:rsidRPr="00F42C14" w:rsidRDefault="00F42C14" w:rsidP="00F42C14">
            <w:pPr>
              <w:spacing w:before="20" w:after="20" w:line="276" w:lineRule="auto"/>
              <w:jc w:val="right"/>
              <w:rPr>
                <w:rFonts w:eastAsia="Times New Roman"/>
                <w:b/>
                <w:bCs/>
              </w:rPr>
            </w:pPr>
            <w:r w:rsidRPr="00F42C14">
              <w:rPr>
                <w:rFonts w:eastAsia="Times New Roman"/>
                <w:b/>
                <w:bCs/>
              </w:rPr>
              <w:t>5</w:t>
            </w:r>
            <w:r w:rsidRPr="00F42C14">
              <w:rPr>
                <w:b/>
              </w:rPr>
              <w:t>,527</w:t>
            </w:r>
          </w:p>
        </w:tc>
        <w:tc>
          <w:tcPr>
            <w:tcW w:w="1692" w:type="dxa"/>
          </w:tcPr>
          <w:p w:rsidR="00F42C14" w:rsidRPr="00F42C14" w:rsidRDefault="00F42C14" w:rsidP="00F42C14">
            <w:pPr>
              <w:spacing w:before="20" w:after="20" w:line="276" w:lineRule="auto"/>
              <w:jc w:val="right"/>
              <w:rPr>
                <w:rFonts w:eastAsia="Times New Roman"/>
              </w:rPr>
            </w:pPr>
            <w:r w:rsidRPr="00F42C14">
              <w:rPr>
                <w:rFonts w:eastAsia="Times New Roman"/>
              </w:rPr>
              <w:t>17.16%</w:t>
            </w:r>
          </w:p>
        </w:tc>
      </w:tr>
      <w:tr w:rsidR="00F42C14" w:rsidRPr="00F42C14" w:rsidTr="00B72728">
        <w:tc>
          <w:tcPr>
            <w:tcW w:w="6295" w:type="dxa"/>
          </w:tcPr>
          <w:p w:rsidR="00F42C14" w:rsidRPr="008D3937" w:rsidRDefault="00BA2283" w:rsidP="004D2ABD">
            <w:pPr>
              <w:pStyle w:val="ListParagraph"/>
              <w:numPr>
                <w:ilvl w:val="0"/>
                <w:numId w:val="35"/>
              </w:numPr>
              <w:tabs>
                <w:tab w:val="left" w:pos="404"/>
              </w:tabs>
              <w:spacing w:before="20" w:after="20" w:line="276" w:lineRule="auto"/>
              <w:ind w:left="427"/>
              <w:rPr>
                <w:rFonts w:eastAsia="Times New Roman"/>
              </w:rPr>
            </w:pPr>
            <w:hyperlink r:id="rId21" w:history="1">
              <w:r w:rsidR="00F42C14" w:rsidRPr="008D3937">
                <w:rPr>
                  <w:rFonts w:eastAsia="Times New Roman"/>
                  <w:color w:val="0563C1" w:themeColor="hyperlink"/>
                  <w:u w:val="single"/>
                </w:rPr>
                <w:t>Pre-employment Transition Services</w:t>
              </w:r>
            </w:hyperlink>
          </w:p>
        </w:tc>
        <w:tc>
          <w:tcPr>
            <w:tcW w:w="1250" w:type="dxa"/>
          </w:tcPr>
          <w:p w:rsidR="00F42C14" w:rsidRPr="00F42C14" w:rsidRDefault="00F42C14" w:rsidP="00F42C14">
            <w:pPr>
              <w:spacing w:before="20" w:after="20" w:line="276" w:lineRule="auto"/>
              <w:jc w:val="right"/>
              <w:rPr>
                <w:rFonts w:eastAsia="Times New Roman"/>
                <w:b/>
                <w:bCs/>
              </w:rPr>
            </w:pPr>
            <w:r w:rsidRPr="00F42C14">
              <w:rPr>
                <w:rFonts w:eastAsia="Times New Roman"/>
                <w:b/>
                <w:bCs/>
              </w:rPr>
              <w:t>3,560</w:t>
            </w:r>
          </w:p>
        </w:tc>
        <w:tc>
          <w:tcPr>
            <w:tcW w:w="1692" w:type="dxa"/>
          </w:tcPr>
          <w:p w:rsidR="00F42C14" w:rsidRPr="00F42C14" w:rsidRDefault="00F42C14" w:rsidP="00F42C14">
            <w:pPr>
              <w:spacing w:before="20" w:after="20" w:line="276" w:lineRule="auto"/>
              <w:jc w:val="right"/>
              <w:rPr>
                <w:rFonts w:eastAsia="Times New Roman"/>
              </w:rPr>
            </w:pPr>
            <w:r w:rsidRPr="00F42C14">
              <w:rPr>
                <w:rFonts w:eastAsia="Times New Roman"/>
              </w:rPr>
              <w:t>11.05%</w:t>
            </w:r>
          </w:p>
        </w:tc>
      </w:tr>
      <w:tr w:rsidR="00F42C14" w:rsidRPr="00F42C14" w:rsidTr="00B72728">
        <w:tc>
          <w:tcPr>
            <w:tcW w:w="6295" w:type="dxa"/>
          </w:tcPr>
          <w:p w:rsidR="00F42C14" w:rsidRPr="00F42C14" w:rsidRDefault="00BA2283" w:rsidP="004D2ABD">
            <w:pPr>
              <w:numPr>
                <w:ilvl w:val="0"/>
                <w:numId w:val="35"/>
              </w:numPr>
              <w:tabs>
                <w:tab w:val="left" w:pos="404"/>
              </w:tabs>
              <w:spacing w:before="20" w:after="20" w:line="276" w:lineRule="auto"/>
              <w:ind w:left="404"/>
              <w:rPr>
                <w:rFonts w:eastAsia="Times New Roman"/>
              </w:rPr>
            </w:pPr>
            <w:hyperlink r:id="rId22" w:history="1">
              <w:r w:rsidR="00F42C14" w:rsidRPr="00F42C14">
                <w:rPr>
                  <w:rFonts w:eastAsia="Times New Roman"/>
                  <w:color w:val="0563C1" w:themeColor="hyperlink"/>
                  <w:u w:val="single"/>
                </w:rPr>
                <w:t>Log in</w:t>
              </w:r>
            </w:hyperlink>
          </w:p>
        </w:tc>
        <w:tc>
          <w:tcPr>
            <w:tcW w:w="1250" w:type="dxa"/>
          </w:tcPr>
          <w:p w:rsidR="00F42C14" w:rsidRPr="00F42C14" w:rsidRDefault="00F42C14" w:rsidP="00F42C14">
            <w:pPr>
              <w:spacing w:before="20" w:after="20" w:line="276" w:lineRule="auto"/>
              <w:jc w:val="right"/>
              <w:rPr>
                <w:rFonts w:eastAsia="Times New Roman"/>
                <w:b/>
                <w:bCs/>
              </w:rPr>
            </w:pPr>
            <w:r w:rsidRPr="00F42C14">
              <w:rPr>
                <w:rFonts w:eastAsia="Times New Roman"/>
                <w:b/>
                <w:bCs/>
              </w:rPr>
              <w:t>1,719</w:t>
            </w:r>
          </w:p>
        </w:tc>
        <w:tc>
          <w:tcPr>
            <w:tcW w:w="1692" w:type="dxa"/>
          </w:tcPr>
          <w:p w:rsidR="00F42C14" w:rsidRPr="00F42C14" w:rsidRDefault="00F42C14" w:rsidP="00F42C14">
            <w:pPr>
              <w:spacing w:before="20" w:after="20" w:line="276" w:lineRule="auto"/>
              <w:jc w:val="right"/>
              <w:rPr>
                <w:rFonts w:eastAsia="Times New Roman"/>
              </w:rPr>
            </w:pPr>
            <w:r w:rsidRPr="00F42C14">
              <w:rPr>
                <w:rFonts w:eastAsia="Times New Roman"/>
              </w:rPr>
              <w:t>5.34%</w:t>
            </w:r>
          </w:p>
        </w:tc>
      </w:tr>
      <w:tr w:rsidR="00F42C14" w:rsidRPr="00F42C14" w:rsidTr="00B72728">
        <w:tc>
          <w:tcPr>
            <w:tcW w:w="6295" w:type="dxa"/>
          </w:tcPr>
          <w:p w:rsidR="00F42C14" w:rsidRPr="00F42C14" w:rsidRDefault="00BA2283" w:rsidP="004D2ABD">
            <w:pPr>
              <w:numPr>
                <w:ilvl w:val="0"/>
                <w:numId w:val="35"/>
              </w:numPr>
              <w:tabs>
                <w:tab w:val="left" w:pos="404"/>
              </w:tabs>
              <w:spacing w:before="20" w:after="20" w:line="276" w:lineRule="auto"/>
              <w:ind w:left="404"/>
              <w:rPr>
                <w:rFonts w:eastAsia="Times New Roman"/>
              </w:rPr>
            </w:pPr>
            <w:hyperlink r:id="rId23" w:anchor="main_7http://www.wintac.org/topic-areas/implementation-of-requirements/" w:history="1">
              <w:r w:rsidR="00F42C14" w:rsidRPr="00F42C14">
                <w:rPr>
                  <w:rFonts w:eastAsia="Times New Roman"/>
                  <w:color w:val="0563C1" w:themeColor="hyperlink"/>
                  <w:u w:val="single"/>
                </w:rPr>
                <w:t>Implementation of Section 511 Requirements</w:t>
              </w:r>
            </w:hyperlink>
            <w:r w:rsidR="00F42C14" w:rsidRPr="00F42C14">
              <w:rPr>
                <w:rFonts w:eastAsia="Times New Roman"/>
                <w:u w:val="single"/>
              </w:rPr>
              <w:t xml:space="preserve"> </w:t>
            </w:r>
          </w:p>
        </w:tc>
        <w:tc>
          <w:tcPr>
            <w:tcW w:w="1250" w:type="dxa"/>
          </w:tcPr>
          <w:p w:rsidR="00F42C14" w:rsidRPr="00F42C14" w:rsidRDefault="00F42C14" w:rsidP="00F42C14">
            <w:pPr>
              <w:spacing w:before="20" w:after="20" w:line="276" w:lineRule="auto"/>
              <w:jc w:val="right"/>
              <w:rPr>
                <w:rFonts w:eastAsia="Times New Roman"/>
                <w:b/>
                <w:bCs/>
              </w:rPr>
            </w:pPr>
            <w:r w:rsidRPr="00F42C14">
              <w:rPr>
                <w:rFonts w:eastAsia="Times New Roman"/>
                <w:b/>
                <w:bCs/>
              </w:rPr>
              <w:t>1,086</w:t>
            </w:r>
          </w:p>
        </w:tc>
        <w:tc>
          <w:tcPr>
            <w:tcW w:w="1692" w:type="dxa"/>
          </w:tcPr>
          <w:p w:rsidR="00F42C14" w:rsidRPr="00F42C14" w:rsidRDefault="00F42C14" w:rsidP="00F42C14">
            <w:pPr>
              <w:spacing w:before="20" w:after="20" w:line="276" w:lineRule="auto"/>
              <w:jc w:val="right"/>
              <w:rPr>
                <w:rFonts w:eastAsia="Times New Roman"/>
              </w:rPr>
            </w:pPr>
            <w:r w:rsidRPr="00F42C14">
              <w:rPr>
                <w:rFonts w:eastAsia="Times New Roman"/>
              </w:rPr>
              <w:t>3.37%</w:t>
            </w:r>
          </w:p>
        </w:tc>
      </w:tr>
      <w:tr w:rsidR="00F42C14" w:rsidRPr="00F42C14" w:rsidTr="00B72728">
        <w:tc>
          <w:tcPr>
            <w:tcW w:w="6295" w:type="dxa"/>
          </w:tcPr>
          <w:p w:rsidR="00F42C14" w:rsidRPr="00F42C14" w:rsidRDefault="00BA2283" w:rsidP="004D2ABD">
            <w:pPr>
              <w:numPr>
                <w:ilvl w:val="0"/>
                <w:numId w:val="35"/>
              </w:numPr>
              <w:tabs>
                <w:tab w:val="left" w:pos="404"/>
              </w:tabs>
              <w:spacing w:before="20" w:after="20" w:line="276" w:lineRule="auto"/>
              <w:ind w:left="404"/>
              <w:rPr>
                <w:rFonts w:eastAsia="Times New Roman"/>
              </w:rPr>
            </w:pPr>
            <w:hyperlink r:id="rId24" w:history="1">
              <w:r w:rsidR="00F42C14" w:rsidRPr="00F42C14">
                <w:rPr>
                  <w:rFonts w:eastAsia="Times New Roman"/>
                  <w:color w:val="0563C1" w:themeColor="hyperlink"/>
                  <w:u w:val="single"/>
                </w:rPr>
                <w:t>Resources</w:t>
              </w:r>
            </w:hyperlink>
          </w:p>
        </w:tc>
        <w:tc>
          <w:tcPr>
            <w:tcW w:w="1250" w:type="dxa"/>
          </w:tcPr>
          <w:p w:rsidR="00F42C14" w:rsidRPr="00F42C14" w:rsidRDefault="00F42C14" w:rsidP="00F42C14">
            <w:pPr>
              <w:spacing w:before="20" w:after="20" w:line="276" w:lineRule="auto"/>
              <w:jc w:val="right"/>
              <w:rPr>
                <w:rFonts w:eastAsia="Times New Roman"/>
                <w:b/>
                <w:bCs/>
              </w:rPr>
            </w:pPr>
            <w:r w:rsidRPr="00F42C14">
              <w:rPr>
                <w:rFonts w:eastAsia="Times New Roman"/>
                <w:b/>
                <w:bCs/>
              </w:rPr>
              <w:t>757</w:t>
            </w:r>
          </w:p>
        </w:tc>
        <w:tc>
          <w:tcPr>
            <w:tcW w:w="1692" w:type="dxa"/>
          </w:tcPr>
          <w:p w:rsidR="00F42C14" w:rsidRPr="00F42C14" w:rsidRDefault="00F42C14" w:rsidP="00F42C14">
            <w:pPr>
              <w:spacing w:before="20" w:after="20" w:line="276" w:lineRule="auto"/>
              <w:jc w:val="right"/>
              <w:rPr>
                <w:rFonts w:eastAsia="Times New Roman"/>
              </w:rPr>
            </w:pPr>
            <w:r w:rsidRPr="00F42C14">
              <w:rPr>
                <w:rFonts w:eastAsia="Times New Roman"/>
              </w:rPr>
              <w:t>2.35%</w:t>
            </w:r>
          </w:p>
        </w:tc>
      </w:tr>
      <w:tr w:rsidR="00F42C14" w:rsidRPr="00F42C14" w:rsidTr="00B72728">
        <w:tc>
          <w:tcPr>
            <w:tcW w:w="6295" w:type="dxa"/>
          </w:tcPr>
          <w:p w:rsidR="00F42C14" w:rsidRPr="00F42C14" w:rsidRDefault="00BA2283" w:rsidP="004D2ABD">
            <w:pPr>
              <w:numPr>
                <w:ilvl w:val="0"/>
                <w:numId w:val="35"/>
              </w:numPr>
              <w:tabs>
                <w:tab w:val="left" w:pos="404"/>
              </w:tabs>
              <w:spacing w:before="20" w:after="20" w:line="276" w:lineRule="auto"/>
              <w:ind w:left="404"/>
              <w:rPr>
                <w:rFonts w:eastAsia="Times New Roman"/>
              </w:rPr>
            </w:pPr>
            <w:hyperlink r:id="rId25" w:history="1">
              <w:r w:rsidR="00F42C14" w:rsidRPr="00F42C14">
                <w:rPr>
                  <w:rFonts w:eastAsia="Times New Roman"/>
                  <w:color w:val="0563C1" w:themeColor="hyperlink"/>
                  <w:u w:val="single"/>
                </w:rPr>
                <w:t>Training</w:t>
              </w:r>
            </w:hyperlink>
          </w:p>
        </w:tc>
        <w:tc>
          <w:tcPr>
            <w:tcW w:w="1250" w:type="dxa"/>
          </w:tcPr>
          <w:p w:rsidR="00F42C14" w:rsidRPr="00F42C14" w:rsidRDefault="00F42C14" w:rsidP="00F42C14">
            <w:pPr>
              <w:spacing w:before="20" w:after="20" w:line="276" w:lineRule="auto"/>
              <w:jc w:val="right"/>
              <w:rPr>
                <w:rFonts w:eastAsia="Times New Roman"/>
                <w:b/>
                <w:bCs/>
              </w:rPr>
            </w:pPr>
            <w:r w:rsidRPr="00F42C14">
              <w:rPr>
                <w:rFonts w:eastAsia="Times New Roman"/>
                <w:b/>
                <w:bCs/>
              </w:rPr>
              <w:t>737</w:t>
            </w:r>
          </w:p>
        </w:tc>
        <w:tc>
          <w:tcPr>
            <w:tcW w:w="1692" w:type="dxa"/>
          </w:tcPr>
          <w:p w:rsidR="00F42C14" w:rsidRPr="00F42C14" w:rsidRDefault="00F42C14" w:rsidP="00F42C14">
            <w:pPr>
              <w:spacing w:before="20" w:after="20" w:line="276" w:lineRule="auto"/>
              <w:jc w:val="right"/>
              <w:rPr>
                <w:rFonts w:eastAsia="Times New Roman"/>
              </w:rPr>
            </w:pPr>
            <w:r w:rsidRPr="00F42C14">
              <w:rPr>
                <w:rFonts w:eastAsia="Times New Roman"/>
              </w:rPr>
              <w:t>2.29%</w:t>
            </w:r>
          </w:p>
        </w:tc>
      </w:tr>
      <w:tr w:rsidR="00F42C14" w:rsidRPr="00F42C14" w:rsidTr="00B72728">
        <w:tc>
          <w:tcPr>
            <w:tcW w:w="6295" w:type="dxa"/>
          </w:tcPr>
          <w:p w:rsidR="00F42C14" w:rsidRPr="00F42C14" w:rsidRDefault="00BA2283" w:rsidP="004D2ABD">
            <w:pPr>
              <w:numPr>
                <w:ilvl w:val="0"/>
                <w:numId w:val="35"/>
              </w:numPr>
              <w:tabs>
                <w:tab w:val="left" w:pos="404"/>
              </w:tabs>
              <w:spacing w:before="20" w:after="20" w:line="276" w:lineRule="auto"/>
              <w:ind w:left="404"/>
            </w:pPr>
            <w:hyperlink r:id="rId26" w:anchor="overlay-context=topic-areas/pre-employment-transition-services/overview/job-exploration-counseling" w:history="1">
              <w:r w:rsidR="00F42C14" w:rsidRPr="00F42C14">
                <w:rPr>
                  <w:rFonts w:eastAsia="Times New Roman"/>
                  <w:color w:val="0563C1" w:themeColor="hyperlink"/>
                  <w:u w:val="single"/>
                </w:rPr>
                <w:t>Pre-employment Transition Services &gt; Overview &gt; Job exploration counseling</w:t>
              </w:r>
            </w:hyperlink>
          </w:p>
        </w:tc>
        <w:tc>
          <w:tcPr>
            <w:tcW w:w="1250" w:type="dxa"/>
          </w:tcPr>
          <w:p w:rsidR="00F42C14" w:rsidRPr="00F42C14" w:rsidRDefault="00F42C14" w:rsidP="00F42C14">
            <w:pPr>
              <w:spacing w:before="20" w:after="20" w:line="276" w:lineRule="auto"/>
              <w:jc w:val="right"/>
              <w:rPr>
                <w:rFonts w:eastAsia="Times New Roman"/>
                <w:b/>
                <w:bCs/>
              </w:rPr>
            </w:pPr>
            <w:r w:rsidRPr="00F42C14">
              <w:rPr>
                <w:rFonts w:eastAsia="Times New Roman"/>
                <w:b/>
                <w:bCs/>
              </w:rPr>
              <w:t>615</w:t>
            </w:r>
          </w:p>
        </w:tc>
        <w:tc>
          <w:tcPr>
            <w:tcW w:w="1692" w:type="dxa"/>
          </w:tcPr>
          <w:p w:rsidR="00F42C14" w:rsidRPr="00F42C14" w:rsidRDefault="00F42C14" w:rsidP="00F42C14">
            <w:pPr>
              <w:spacing w:before="20" w:after="20" w:line="276" w:lineRule="auto"/>
              <w:jc w:val="right"/>
              <w:rPr>
                <w:rFonts w:eastAsia="Times New Roman"/>
              </w:rPr>
            </w:pPr>
            <w:r w:rsidRPr="00F42C14">
              <w:rPr>
                <w:rFonts w:eastAsia="Times New Roman"/>
              </w:rPr>
              <w:t>1.91%</w:t>
            </w:r>
          </w:p>
        </w:tc>
      </w:tr>
      <w:tr w:rsidR="00F42C14" w:rsidRPr="00F42C14" w:rsidTr="00B72728">
        <w:tc>
          <w:tcPr>
            <w:tcW w:w="6295" w:type="dxa"/>
          </w:tcPr>
          <w:p w:rsidR="00F42C14" w:rsidRPr="00F42C14" w:rsidRDefault="00BA2283" w:rsidP="004D2ABD">
            <w:pPr>
              <w:numPr>
                <w:ilvl w:val="0"/>
                <w:numId w:val="35"/>
              </w:numPr>
              <w:tabs>
                <w:tab w:val="left" w:pos="404"/>
              </w:tabs>
              <w:spacing w:before="20" w:after="20" w:line="276" w:lineRule="auto"/>
              <w:ind w:left="404"/>
              <w:rPr>
                <w:rFonts w:eastAsia="Times New Roman"/>
                <w:u w:val="single"/>
              </w:rPr>
            </w:pPr>
            <w:hyperlink r:id="rId27" w:history="1">
              <w:r w:rsidR="00F42C14" w:rsidRPr="00F42C14">
                <w:rPr>
                  <w:rFonts w:eastAsia="Times New Roman"/>
                  <w:color w:val="0563C1" w:themeColor="hyperlink"/>
                  <w:u w:val="single"/>
                </w:rPr>
                <w:t>About Us &gt; Information about Us</w:t>
              </w:r>
            </w:hyperlink>
          </w:p>
        </w:tc>
        <w:tc>
          <w:tcPr>
            <w:tcW w:w="1250" w:type="dxa"/>
          </w:tcPr>
          <w:p w:rsidR="00F42C14" w:rsidRPr="00F42C14" w:rsidRDefault="00F42C14" w:rsidP="00F42C14">
            <w:pPr>
              <w:spacing w:before="20" w:after="20" w:line="276" w:lineRule="auto"/>
              <w:jc w:val="right"/>
              <w:rPr>
                <w:rFonts w:eastAsia="Times New Roman"/>
                <w:b/>
                <w:bCs/>
              </w:rPr>
            </w:pPr>
            <w:r w:rsidRPr="00F42C14">
              <w:rPr>
                <w:rFonts w:eastAsia="Times New Roman"/>
                <w:b/>
                <w:bCs/>
              </w:rPr>
              <w:t>604</w:t>
            </w:r>
          </w:p>
        </w:tc>
        <w:tc>
          <w:tcPr>
            <w:tcW w:w="1692" w:type="dxa"/>
          </w:tcPr>
          <w:p w:rsidR="00F42C14" w:rsidRPr="00F42C14" w:rsidRDefault="00F42C14" w:rsidP="00F42C14">
            <w:pPr>
              <w:spacing w:before="20" w:after="20" w:line="276" w:lineRule="auto"/>
              <w:jc w:val="right"/>
              <w:rPr>
                <w:rFonts w:eastAsia="Times New Roman"/>
              </w:rPr>
            </w:pPr>
            <w:r w:rsidRPr="00F42C14">
              <w:rPr>
                <w:rFonts w:eastAsia="Times New Roman"/>
              </w:rPr>
              <w:t>1.87%</w:t>
            </w:r>
          </w:p>
        </w:tc>
      </w:tr>
      <w:tr w:rsidR="00F42C14" w:rsidRPr="00F42C14" w:rsidTr="00B72728">
        <w:tc>
          <w:tcPr>
            <w:tcW w:w="6295" w:type="dxa"/>
          </w:tcPr>
          <w:p w:rsidR="00F42C14" w:rsidRPr="00F42C14" w:rsidRDefault="00BA2283" w:rsidP="004D2ABD">
            <w:pPr>
              <w:numPr>
                <w:ilvl w:val="0"/>
                <w:numId w:val="35"/>
              </w:numPr>
              <w:tabs>
                <w:tab w:val="left" w:pos="404"/>
              </w:tabs>
              <w:spacing w:before="20" w:after="20" w:line="276" w:lineRule="auto"/>
              <w:ind w:left="404"/>
            </w:pPr>
            <w:hyperlink r:id="rId28" w:history="1">
              <w:r w:rsidR="00F42C14" w:rsidRPr="00F42C14">
                <w:rPr>
                  <w:rFonts w:eastAsia="Times New Roman"/>
                  <w:color w:val="0563C1" w:themeColor="hyperlink"/>
                  <w:u w:val="single"/>
                </w:rPr>
                <w:t>Pre-employment Transition Services &gt; Laws, Regs, and Policy</w:t>
              </w:r>
            </w:hyperlink>
          </w:p>
        </w:tc>
        <w:tc>
          <w:tcPr>
            <w:tcW w:w="1250" w:type="dxa"/>
          </w:tcPr>
          <w:p w:rsidR="00F42C14" w:rsidRPr="00F42C14" w:rsidRDefault="00F42C14" w:rsidP="00F42C14">
            <w:pPr>
              <w:spacing w:before="20" w:after="20" w:line="276" w:lineRule="auto"/>
              <w:jc w:val="right"/>
              <w:rPr>
                <w:rFonts w:eastAsia="Times New Roman"/>
                <w:b/>
                <w:bCs/>
              </w:rPr>
            </w:pPr>
            <w:r w:rsidRPr="00F42C14">
              <w:rPr>
                <w:rFonts w:eastAsia="Times New Roman"/>
                <w:b/>
                <w:bCs/>
              </w:rPr>
              <w:t>592</w:t>
            </w:r>
          </w:p>
        </w:tc>
        <w:tc>
          <w:tcPr>
            <w:tcW w:w="1692" w:type="dxa"/>
          </w:tcPr>
          <w:p w:rsidR="00F42C14" w:rsidRPr="00F42C14" w:rsidRDefault="00F42C14" w:rsidP="00F42C14">
            <w:pPr>
              <w:spacing w:before="20" w:after="20" w:line="276" w:lineRule="auto"/>
              <w:jc w:val="right"/>
              <w:rPr>
                <w:rFonts w:eastAsia="Times New Roman"/>
              </w:rPr>
            </w:pPr>
            <w:r w:rsidRPr="00F42C14">
              <w:rPr>
                <w:rFonts w:eastAsia="Times New Roman"/>
              </w:rPr>
              <w:t>1.84%</w:t>
            </w:r>
          </w:p>
        </w:tc>
      </w:tr>
      <w:tr w:rsidR="00F42C14" w:rsidRPr="00F42C14" w:rsidTr="00B72728">
        <w:tc>
          <w:tcPr>
            <w:tcW w:w="6295" w:type="dxa"/>
          </w:tcPr>
          <w:p w:rsidR="00F42C14" w:rsidRPr="00F42C14" w:rsidRDefault="00BA2283" w:rsidP="004D2ABD">
            <w:pPr>
              <w:numPr>
                <w:ilvl w:val="0"/>
                <w:numId w:val="35"/>
              </w:numPr>
              <w:tabs>
                <w:tab w:val="left" w:pos="404"/>
              </w:tabs>
              <w:spacing w:before="20" w:after="20" w:line="276" w:lineRule="auto"/>
              <w:ind w:left="404"/>
            </w:pPr>
            <w:hyperlink r:id="rId29" w:history="1">
              <w:r w:rsidR="00F42C14" w:rsidRPr="00F42C14">
                <w:rPr>
                  <w:rFonts w:eastAsia="Times New Roman"/>
                  <w:color w:val="0563C1" w:themeColor="hyperlink"/>
                  <w:u w:val="single"/>
                </w:rPr>
                <w:t>Pre-employment Transition Services &gt; Resources</w:t>
              </w:r>
            </w:hyperlink>
          </w:p>
        </w:tc>
        <w:tc>
          <w:tcPr>
            <w:tcW w:w="1250" w:type="dxa"/>
          </w:tcPr>
          <w:p w:rsidR="00F42C14" w:rsidRPr="00F42C14" w:rsidRDefault="00F42C14" w:rsidP="00F42C14">
            <w:pPr>
              <w:spacing w:before="20" w:after="20" w:line="276" w:lineRule="auto"/>
              <w:jc w:val="right"/>
              <w:rPr>
                <w:rFonts w:eastAsia="Times New Roman"/>
                <w:b/>
                <w:bCs/>
              </w:rPr>
            </w:pPr>
            <w:r w:rsidRPr="00F42C14">
              <w:rPr>
                <w:rFonts w:eastAsia="Times New Roman"/>
                <w:b/>
                <w:bCs/>
              </w:rPr>
              <w:t>540</w:t>
            </w:r>
          </w:p>
        </w:tc>
        <w:tc>
          <w:tcPr>
            <w:tcW w:w="1692" w:type="dxa"/>
          </w:tcPr>
          <w:p w:rsidR="00F42C14" w:rsidRPr="00F42C14" w:rsidRDefault="00F42C14" w:rsidP="00F42C14">
            <w:pPr>
              <w:spacing w:before="20" w:after="20" w:line="276" w:lineRule="auto"/>
              <w:jc w:val="right"/>
              <w:rPr>
                <w:rFonts w:eastAsia="Times New Roman"/>
              </w:rPr>
            </w:pPr>
            <w:r w:rsidRPr="00F42C14">
              <w:rPr>
                <w:rFonts w:eastAsia="Times New Roman"/>
              </w:rPr>
              <w:t>1.68%</w:t>
            </w:r>
          </w:p>
        </w:tc>
      </w:tr>
    </w:tbl>
    <w:p w:rsidR="00F42C14" w:rsidRPr="00F42C14" w:rsidRDefault="00F42C14" w:rsidP="00F42C14">
      <w:pPr>
        <w:spacing w:line="276" w:lineRule="auto"/>
        <w:ind w:left="360"/>
        <w:rPr>
          <w:sz w:val="22"/>
          <w:szCs w:val="22"/>
        </w:rPr>
      </w:pPr>
    </w:p>
    <w:p w:rsidR="00F42C14" w:rsidRPr="00F42C14" w:rsidRDefault="00F42C14" w:rsidP="00F42C14">
      <w:pPr>
        <w:keepNext/>
        <w:keepLines/>
        <w:shd w:val="clear" w:color="auto" w:fill="E2EFD9" w:themeFill="accent6" w:themeFillTint="33"/>
        <w:spacing w:before="240" w:after="120"/>
        <w:outlineLvl w:val="0"/>
        <w:rPr>
          <w:rFonts w:eastAsiaTheme="majorEastAsia"/>
          <w:b/>
          <w:color w:val="000000" w:themeColor="text1"/>
          <w:sz w:val="32"/>
          <w:szCs w:val="32"/>
        </w:rPr>
      </w:pPr>
      <w:r w:rsidRPr="00F42C14">
        <w:rPr>
          <w:rFonts w:eastAsiaTheme="majorEastAsia"/>
          <w:b/>
          <w:color w:val="000000" w:themeColor="text1"/>
          <w:sz w:val="32"/>
          <w:szCs w:val="32"/>
        </w:rPr>
        <w:t>Traffic Overview by States – 10 States with Higher Traffic</w:t>
      </w:r>
    </w:p>
    <w:tbl>
      <w:tblPr>
        <w:tblW w:w="926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4A0" w:firstRow="1" w:lastRow="0" w:firstColumn="1" w:lastColumn="0" w:noHBand="0" w:noVBand="1"/>
      </w:tblPr>
      <w:tblGrid>
        <w:gridCol w:w="2653"/>
        <w:gridCol w:w="1572"/>
        <w:gridCol w:w="1170"/>
        <w:gridCol w:w="1578"/>
        <w:gridCol w:w="1032"/>
        <w:gridCol w:w="1260"/>
      </w:tblGrid>
      <w:tr w:rsidR="00F42C14" w:rsidRPr="00F42C14" w:rsidTr="001A0C9C">
        <w:trPr>
          <w:tblHeader/>
          <w:jc w:val="center"/>
        </w:trPr>
        <w:tc>
          <w:tcPr>
            <w:tcW w:w="2653" w:type="dxa"/>
            <w:shd w:val="clear" w:color="auto" w:fill="D5DCE4" w:themeFill="text2" w:themeFillTint="33"/>
            <w:vAlign w:val="bottom"/>
          </w:tcPr>
          <w:p w:rsidR="00F42C14" w:rsidRPr="00F42C14" w:rsidRDefault="00F42C14" w:rsidP="00F42C14">
            <w:pPr>
              <w:spacing w:before="20" w:after="20" w:line="276" w:lineRule="auto"/>
              <w:rPr>
                <w:rFonts w:eastAsia="Times New Roman"/>
                <w:b/>
                <w:bCs/>
              </w:rPr>
            </w:pPr>
            <w:r w:rsidRPr="00F42C14">
              <w:rPr>
                <w:rFonts w:eastAsia="Times New Roman"/>
                <w:b/>
                <w:bCs/>
              </w:rPr>
              <w:t>Region</w:t>
            </w:r>
          </w:p>
        </w:tc>
        <w:tc>
          <w:tcPr>
            <w:tcW w:w="1572" w:type="dxa"/>
            <w:shd w:val="clear" w:color="auto" w:fill="D5DCE4" w:themeFill="text2" w:themeFillTint="33"/>
            <w:vAlign w:val="bottom"/>
            <w:hideMark/>
          </w:tcPr>
          <w:p w:rsidR="00F42C14" w:rsidRPr="00F42C14" w:rsidRDefault="00F42C14" w:rsidP="00F42C14">
            <w:pPr>
              <w:spacing w:before="20" w:after="20" w:line="276" w:lineRule="auto"/>
              <w:rPr>
                <w:rFonts w:eastAsia="Times New Roman"/>
                <w:b/>
                <w:bCs/>
              </w:rPr>
            </w:pPr>
            <w:r w:rsidRPr="00F42C14">
              <w:rPr>
                <w:rFonts w:eastAsia="Times New Roman"/>
                <w:b/>
                <w:bCs/>
              </w:rPr>
              <w:t>Sessions</w:t>
            </w:r>
          </w:p>
        </w:tc>
        <w:tc>
          <w:tcPr>
            <w:tcW w:w="1170" w:type="dxa"/>
            <w:shd w:val="clear" w:color="auto" w:fill="D5DCE4" w:themeFill="text2" w:themeFillTint="33"/>
            <w:vAlign w:val="bottom"/>
            <w:hideMark/>
          </w:tcPr>
          <w:p w:rsidR="00F42C14" w:rsidRPr="00F42C14" w:rsidRDefault="00F42C14" w:rsidP="00F42C14">
            <w:pPr>
              <w:spacing w:before="20" w:after="20" w:line="276" w:lineRule="auto"/>
              <w:rPr>
                <w:rFonts w:eastAsia="Times New Roman"/>
                <w:b/>
                <w:bCs/>
              </w:rPr>
            </w:pPr>
            <w:r w:rsidRPr="00F42C14">
              <w:rPr>
                <w:rFonts w:eastAsia="Times New Roman"/>
                <w:b/>
                <w:bCs/>
              </w:rPr>
              <w:t>% New Sessions</w:t>
            </w:r>
          </w:p>
        </w:tc>
        <w:tc>
          <w:tcPr>
            <w:tcW w:w="1578" w:type="dxa"/>
            <w:shd w:val="clear" w:color="auto" w:fill="D5DCE4" w:themeFill="text2" w:themeFillTint="33"/>
            <w:vAlign w:val="bottom"/>
            <w:hideMark/>
          </w:tcPr>
          <w:p w:rsidR="00F42C14" w:rsidRPr="00F42C14" w:rsidRDefault="00F42C14" w:rsidP="00F42C14">
            <w:pPr>
              <w:spacing w:before="20" w:after="20" w:line="276" w:lineRule="auto"/>
              <w:rPr>
                <w:rFonts w:eastAsia="Times New Roman"/>
                <w:b/>
                <w:bCs/>
              </w:rPr>
            </w:pPr>
            <w:r w:rsidRPr="00F42C14">
              <w:rPr>
                <w:rFonts w:eastAsia="Times New Roman"/>
                <w:b/>
                <w:bCs/>
              </w:rPr>
              <w:t>New Users</w:t>
            </w:r>
          </w:p>
        </w:tc>
        <w:tc>
          <w:tcPr>
            <w:tcW w:w="1032" w:type="dxa"/>
            <w:shd w:val="clear" w:color="auto" w:fill="D5DCE4" w:themeFill="text2" w:themeFillTint="33"/>
            <w:vAlign w:val="bottom"/>
            <w:hideMark/>
          </w:tcPr>
          <w:p w:rsidR="00F42C14" w:rsidRPr="00F42C14" w:rsidRDefault="00F42C14" w:rsidP="00F42C14">
            <w:pPr>
              <w:spacing w:before="20" w:after="20" w:line="276" w:lineRule="auto"/>
              <w:rPr>
                <w:rFonts w:eastAsia="Times New Roman"/>
                <w:b/>
                <w:bCs/>
              </w:rPr>
            </w:pPr>
            <w:r w:rsidRPr="00F42C14">
              <w:rPr>
                <w:rFonts w:eastAsia="Times New Roman"/>
                <w:b/>
                <w:bCs/>
              </w:rPr>
              <w:t>Pages / Session</w:t>
            </w:r>
          </w:p>
        </w:tc>
        <w:tc>
          <w:tcPr>
            <w:tcW w:w="1260" w:type="dxa"/>
            <w:shd w:val="clear" w:color="auto" w:fill="D5DCE4" w:themeFill="text2" w:themeFillTint="33"/>
            <w:vAlign w:val="bottom"/>
            <w:hideMark/>
          </w:tcPr>
          <w:p w:rsidR="00F42C14" w:rsidRPr="00F42C14" w:rsidRDefault="00F42C14" w:rsidP="00F42C14">
            <w:pPr>
              <w:spacing w:before="20" w:after="20" w:line="276" w:lineRule="auto"/>
              <w:rPr>
                <w:rFonts w:eastAsia="Times New Roman"/>
                <w:b/>
                <w:bCs/>
              </w:rPr>
            </w:pPr>
            <w:r w:rsidRPr="00F42C14">
              <w:rPr>
                <w:rFonts w:eastAsia="Times New Roman"/>
                <w:b/>
                <w:bCs/>
              </w:rPr>
              <w:t>Avg. Session Duration</w:t>
            </w:r>
          </w:p>
        </w:tc>
      </w:tr>
      <w:tr w:rsidR="00F42C14" w:rsidRPr="00F42C14" w:rsidTr="001A0C9C">
        <w:tblPrEx>
          <w:tblCellMar>
            <w:left w:w="108" w:type="dxa"/>
            <w:right w:w="108" w:type="dxa"/>
          </w:tblCellMar>
        </w:tblPrEx>
        <w:trPr>
          <w:jc w:val="center"/>
        </w:trPr>
        <w:tc>
          <w:tcPr>
            <w:tcW w:w="2653" w:type="dxa"/>
            <w:shd w:val="clear" w:color="auto" w:fill="auto"/>
            <w:vAlign w:val="center"/>
            <w:hideMark/>
          </w:tcPr>
          <w:p w:rsidR="00F42C14" w:rsidRPr="008D3937" w:rsidRDefault="00F42C14" w:rsidP="004D2ABD">
            <w:pPr>
              <w:pStyle w:val="ListParagraph"/>
              <w:numPr>
                <w:ilvl w:val="0"/>
                <w:numId w:val="36"/>
              </w:numPr>
              <w:tabs>
                <w:tab w:val="left" w:pos="431"/>
              </w:tabs>
              <w:spacing w:before="20" w:after="20" w:line="276" w:lineRule="auto"/>
              <w:ind w:left="385"/>
              <w:rPr>
                <w:rFonts w:eastAsia="Times New Roman"/>
                <w:color w:val="000000"/>
                <w:lang w:eastAsia="ko-KR"/>
              </w:rPr>
            </w:pPr>
            <w:r w:rsidRPr="008D3937">
              <w:rPr>
                <w:rFonts w:eastAsia="Times New Roman"/>
                <w:color w:val="000000"/>
                <w:lang w:eastAsia="ko-KR"/>
              </w:rPr>
              <w:t>California</w:t>
            </w:r>
          </w:p>
        </w:tc>
        <w:tc>
          <w:tcPr>
            <w:tcW w:w="1572"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985 (14.60%)</w:t>
            </w:r>
          </w:p>
        </w:tc>
        <w:tc>
          <w:tcPr>
            <w:tcW w:w="1170"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38.38%</w:t>
            </w:r>
          </w:p>
        </w:tc>
        <w:tc>
          <w:tcPr>
            <w:tcW w:w="1578"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378 (10.84%)</w:t>
            </w:r>
          </w:p>
        </w:tc>
        <w:tc>
          <w:tcPr>
            <w:tcW w:w="1032"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5.83</w:t>
            </w:r>
          </w:p>
        </w:tc>
        <w:tc>
          <w:tcPr>
            <w:tcW w:w="1260"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0:05:40</w:t>
            </w:r>
          </w:p>
        </w:tc>
      </w:tr>
      <w:tr w:rsidR="00F42C14" w:rsidRPr="00F42C14" w:rsidTr="001A0C9C">
        <w:tblPrEx>
          <w:tblCellMar>
            <w:left w:w="108" w:type="dxa"/>
            <w:right w:w="108" w:type="dxa"/>
          </w:tblCellMar>
        </w:tblPrEx>
        <w:trPr>
          <w:jc w:val="center"/>
        </w:trPr>
        <w:tc>
          <w:tcPr>
            <w:tcW w:w="2653" w:type="dxa"/>
            <w:shd w:val="clear" w:color="auto" w:fill="auto"/>
            <w:vAlign w:val="center"/>
            <w:hideMark/>
          </w:tcPr>
          <w:p w:rsidR="00F42C14" w:rsidRPr="00F42C14" w:rsidRDefault="00F42C14" w:rsidP="004D2ABD">
            <w:pPr>
              <w:numPr>
                <w:ilvl w:val="0"/>
                <w:numId w:val="36"/>
              </w:numPr>
              <w:tabs>
                <w:tab w:val="left" w:pos="431"/>
              </w:tabs>
              <w:spacing w:before="20" w:after="20" w:line="276" w:lineRule="auto"/>
              <w:ind w:left="431"/>
              <w:rPr>
                <w:rFonts w:eastAsia="Times New Roman"/>
                <w:color w:val="000000"/>
                <w:lang w:eastAsia="ko-KR"/>
              </w:rPr>
            </w:pPr>
            <w:r w:rsidRPr="00F42C14">
              <w:rPr>
                <w:rFonts w:eastAsia="Times New Roman"/>
                <w:color w:val="000000"/>
                <w:lang w:eastAsia="ko-KR"/>
              </w:rPr>
              <w:t>Florida</w:t>
            </w:r>
          </w:p>
        </w:tc>
        <w:tc>
          <w:tcPr>
            <w:tcW w:w="1572"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408 (6.05%)</w:t>
            </w:r>
          </w:p>
        </w:tc>
        <w:tc>
          <w:tcPr>
            <w:tcW w:w="1170"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44.36%</w:t>
            </w:r>
          </w:p>
        </w:tc>
        <w:tc>
          <w:tcPr>
            <w:tcW w:w="1578"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181 (5.19%)</w:t>
            </w:r>
          </w:p>
        </w:tc>
        <w:tc>
          <w:tcPr>
            <w:tcW w:w="1032"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3.71</w:t>
            </w:r>
          </w:p>
        </w:tc>
        <w:tc>
          <w:tcPr>
            <w:tcW w:w="1260"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0:03:18</w:t>
            </w:r>
          </w:p>
        </w:tc>
      </w:tr>
      <w:tr w:rsidR="00F42C14" w:rsidRPr="00F42C14" w:rsidTr="001A0C9C">
        <w:tblPrEx>
          <w:tblCellMar>
            <w:left w:w="108" w:type="dxa"/>
            <w:right w:w="108" w:type="dxa"/>
          </w:tblCellMar>
        </w:tblPrEx>
        <w:trPr>
          <w:jc w:val="center"/>
        </w:trPr>
        <w:tc>
          <w:tcPr>
            <w:tcW w:w="2653" w:type="dxa"/>
            <w:shd w:val="clear" w:color="auto" w:fill="auto"/>
            <w:vAlign w:val="center"/>
            <w:hideMark/>
          </w:tcPr>
          <w:p w:rsidR="00F42C14" w:rsidRPr="00F42C14" w:rsidRDefault="00F42C14" w:rsidP="004D2ABD">
            <w:pPr>
              <w:numPr>
                <w:ilvl w:val="0"/>
                <w:numId w:val="36"/>
              </w:numPr>
              <w:tabs>
                <w:tab w:val="left" w:pos="431"/>
              </w:tabs>
              <w:spacing w:before="20" w:after="20" w:line="276" w:lineRule="auto"/>
              <w:ind w:left="431"/>
              <w:rPr>
                <w:rFonts w:eastAsia="Times New Roman"/>
                <w:color w:val="000000"/>
                <w:lang w:eastAsia="ko-KR"/>
              </w:rPr>
            </w:pPr>
            <w:r w:rsidRPr="00F42C14">
              <w:rPr>
                <w:rFonts w:eastAsia="Times New Roman"/>
                <w:color w:val="000000"/>
                <w:lang w:eastAsia="ko-KR"/>
              </w:rPr>
              <w:t>District of Columbia</w:t>
            </w:r>
          </w:p>
        </w:tc>
        <w:tc>
          <w:tcPr>
            <w:tcW w:w="1572"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383 (5.68%)</w:t>
            </w:r>
          </w:p>
        </w:tc>
        <w:tc>
          <w:tcPr>
            <w:tcW w:w="1170"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42.56%</w:t>
            </w:r>
          </w:p>
        </w:tc>
        <w:tc>
          <w:tcPr>
            <w:tcW w:w="1578"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163 (4.67%)</w:t>
            </w:r>
          </w:p>
        </w:tc>
        <w:tc>
          <w:tcPr>
            <w:tcW w:w="1032"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4.53</w:t>
            </w:r>
          </w:p>
        </w:tc>
        <w:tc>
          <w:tcPr>
            <w:tcW w:w="1260"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0:04:15</w:t>
            </w:r>
          </w:p>
        </w:tc>
      </w:tr>
      <w:tr w:rsidR="00F42C14" w:rsidRPr="00F42C14" w:rsidTr="001A0C9C">
        <w:tblPrEx>
          <w:tblCellMar>
            <w:left w:w="108" w:type="dxa"/>
            <w:right w:w="108" w:type="dxa"/>
          </w:tblCellMar>
        </w:tblPrEx>
        <w:trPr>
          <w:jc w:val="center"/>
        </w:trPr>
        <w:tc>
          <w:tcPr>
            <w:tcW w:w="2653" w:type="dxa"/>
            <w:shd w:val="clear" w:color="auto" w:fill="auto"/>
            <w:vAlign w:val="center"/>
            <w:hideMark/>
          </w:tcPr>
          <w:p w:rsidR="00F42C14" w:rsidRPr="00F42C14" w:rsidRDefault="00F42C14" w:rsidP="004D2ABD">
            <w:pPr>
              <w:numPr>
                <w:ilvl w:val="0"/>
                <w:numId w:val="36"/>
              </w:numPr>
              <w:tabs>
                <w:tab w:val="left" w:pos="431"/>
              </w:tabs>
              <w:spacing w:before="20" w:after="20" w:line="276" w:lineRule="auto"/>
              <w:ind w:left="431"/>
              <w:rPr>
                <w:rFonts w:eastAsia="Times New Roman"/>
                <w:color w:val="000000"/>
                <w:lang w:eastAsia="ko-KR"/>
              </w:rPr>
            </w:pPr>
            <w:r w:rsidRPr="00F42C14">
              <w:rPr>
                <w:rFonts w:eastAsia="Times New Roman"/>
                <w:color w:val="000000"/>
                <w:lang w:eastAsia="ko-KR"/>
              </w:rPr>
              <w:t>Pennsylvania</w:t>
            </w:r>
          </w:p>
        </w:tc>
        <w:tc>
          <w:tcPr>
            <w:tcW w:w="1572"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350 (5.19%)</w:t>
            </w:r>
          </w:p>
        </w:tc>
        <w:tc>
          <w:tcPr>
            <w:tcW w:w="1170"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36.29%</w:t>
            </w:r>
          </w:p>
        </w:tc>
        <w:tc>
          <w:tcPr>
            <w:tcW w:w="1578"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127 (3.64%)</w:t>
            </w:r>
          </w:p>
        </w:tc>
        <w:tc>
          <w:tcPr>
            <w:tcW w:w="1032"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5.41</w:t>
            </w:r>
          </w:p>
        </w:tc>
        <w:tc>
          <w:tcPr>
            <w:tcW w:w="1260"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0:05:41</w:t>
            </w:r>
          </w:p>
        </w:tc>
      </w:tr>
      <w:tr w:rsidR="00F42C14" w:rsidRPr="00F42C14" w:rsidTr="001A0C9C">
        <w:tblPrEx>
          <w:tblCellMar>
            <w:left w:w="108" w:type="dxa"/>
            <w:right w:w="108" w:type="dxa"/>
          </w:tblCellMar>
        </w:tblPrEx>
        <w:trPr>
          <w:jc w:val="center"/>
        </w:trPr>
        <w:tc>
          <w:tcPr>
            <w:tcW w:w="2653" w:type="dxa"/>
            <w:shd w:val="clear" w:color="auto" w:fill="auto"/>
            <w:vAlign w:val="center"/>
            <w:hideMark/>
          </w:tcPr>
          <w:p w:rsidR="00F42C14" w:rsidRPr="00F42C14" w:rsidRDefault="00F42C14" w:rsidP="004D2ABD">
            <w:pPr>
              <w:numPr>
                <w:ilvl w:val="0"/>
                <w:numId w:val="36"/>
              </w:numPr>
              <w:tabs>
                <w:tab w:val="left" w:pos="431"/>
              </w:tabs>
              <w:spacing w:before="20" w:after="20" w:line="276" w:lineRule="auto"/>
              <w:ind w:left="431"/>
              <w:rPr>
                <w:rFonts w:eastAsia="Times New Roman"/>
                <w:color w:val="000000"/>
                <w:lang w:eastAsia="ko-KR"/>
              </w:rPr>
            </w:pPr>
            <w:r w:rsidRPr="00F42C14">
              <w:rPr>
                <w:rFonts w:eastAsia="Times New Roman"/>
                <w:color w:val="000000"/>
                <w:lang w:eastAsia="ko-KR"/>
              </w:rPr>
              <w:t>Texas</w:t>
            </w:r>
          </w:p>
        </w:tc>
        <w:tc>
          <w:tcPr>
            <w:tcW w:w="1572"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345 (5.11%)</w:t>
            </w:r>
          </w:p>
        </w:tc>
        <w:tc>
          <w:tcPr>
            <w:tcW w:w="1170"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65.51%</w:t>
            </w:r>
          </w:p>
        </w:tc>
        <w:tc>
          <w:tcPr>
            <w:tcW w:w="1578"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226 (6.48%)</w:t>
            </w:r>
          </w:p>
        </w:tc>
        <w:tc>
          <w:tcPr>
            <w:tcW w:w="1032"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3.87</w:t>
            </w:r>
          </w:p>
        </w:tc>
        <w:tc>
          <w:tcPr>
            <w:tcW w:w="1260"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0:03:13</w:t>
            </w:r>
          </w:p>
        </w:tc>
      </w:tr>
      <w:tr w:rsidR="00F42C14" w:rsidRPr="00F42C14" w:rsidTr="001A0C9C">
        <w:tblPrEx>
          <w:tblCellMar>
            <w:left w:w="108" w:type="dxa"/>
            <w:right w:w="108" w:type="dxa"/>
          </w:tblCellMar>
        </w:tblPrEx>
        <w:trPr>
          <w:jc w:val="center"/>
        </w:trPr>
        <w:tc>
          <w:tcPr>
            <w:tcW w:w="2653" w:type="dxa"/>
            <w:shd w:val="clear" w:color="auto" w:fill="auto"/>
            <w:vAlign w:val="center"/>
            <w:hideMark/>
          </w:tcPr>
          <w:p w:rsidR="00F42C14" w:rsidRPr="00F42C14" w:rsidRDefault="00F42C14" w:rsidP="004D2ABD">
            <w:pPr>
              <w:numPr>
                <w:ilvl w:val="0"/>
                <w:numId w:val="36"/>
              </w:numPr>
              <w:tabs>
                <w:tab w:val="left" w:pos="431"/>
              </w:tabs>
              <w:spacing w:before="20" w:after="20" w:line="276" w:lineRule="auto"/>
              <w:ind w:left="431"/>
              <w:rPr>
                <w:rFonts w:eastAsia="Times New Roman"/>
                <w:color w:val="000000"/>
                <w:lang w:eastAsia="ko-KR"/>
              </w:rPr>
            </w:pPr>
            <w:r w:rsidRPr="00F42C14">
              <w:rPr>
                <w:rFonts w:eastAsia="Times New Roman"/>
                <w:color w:val="000000"/>
                <w:lang w:eastAsia="ko-KR"/>
              </w:rPr>
              <w:lastRenderedPageBreak/>
              <w:t>Michigan</w:t>
            </w:r>
          </w:p>
        </w:tc>
        <w:tc>
          <w:tcPr>
            <w:tcW w:w="1572"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303 (4.49%)</w:t>
            </w:r>
          </w:p>
        </w:tc>
        <w:tc>
          <w:tcPr>
            <w:tcW w:w="1170"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43.89%</w:t>
            </w:r>
          </w:p>
        </w:tc>
        <w:tc>
          <w:tcPr>
            <w:tcW w:w="1578"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133 (3.81%)</w:t>
            </w:r>
          </w:p>
        </w:tc>
        <w:tc>
          <w:tcPr>
            <w:tcW w:w="1032"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4.41</w:t>
            </w:r>
          </w:p>
        </w:tc>
        <w:tc>
          <w:tcPr>
            <w:tcW w:w="1260"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0:05:17</w:t>
            </w:r>
          </w:p>
        </w:tc>
      </w:tr>
      <w:tr w:rsidR="00F42C14" w:rsidRPr="00F42C14" w:rsidTr="001A0C9C">
        <w:tblPrEx>
          <w:tblCellMar>
            <w:left w:w="108" w:type="dxa"/>
            <w:right w:w="108" w:type="dxa"/>
          </w:tblCellMar>
        </w:tblPrEx>
        <w:trPr>
          <w:jc w:val="center"/>
        </w:trPr>
        <w:tc>
          <w:tcPr>
            <w:tcW w:w="2653" w:type="dxa"/>
            <w:shd w:val="clear" w:color="auto" w:fill="auto"/>
            <w:vAlign w:val="center"/>
            <w:hideMark/>
          </w:tcPr>
          <w:p w:rsidR="00F42C14" w:rsidRPr="00F42C14" w:rsidRDefault="00F42C14" w:rsidP="004D2ABD">
            <w:pPr>
              <w:numPr>
                <w:ilvl w:val="0"/>
                <w:numId w:val="36"/>
              </w:numPr>
              <w:tabs>
                <w:tab w:val="left" w:pos="431"/>
              </w:tabs>
              <w:spacing w:before="20" w:after="20" w:line="276" w:lineRule="auto"/>
              <w:ind w:left="431"/>
              <w:rPr>
                <w:rFonts w:eastAsia="Times New Roman"/>
                <w:color w:val="000000"/>
                <w:lang w:eastAsia="ko-KR"/>
              </w:rPr>
            </w:pPr>
            <w:r w:rsidRPr="00F42C14">
              <w:rPr>
                <w:rFonts w:eastAsia="Times New Roman"/>
                <w:color w:val="000000"/>
                <w:lang w:eastAsia="ko-KR"/>
              </w:rPr>
              <w:t>Arkansas</w:t>
            </w:r>
          </w:p>
        </w:tc>
        <w:tc>
          <w:tcPr>
            <w:tcW w:w="1572"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221 (3.28%)</w:t>
            </w:r>
          </w:p>
        </w:tc>
        <w:tc>
          <w:tcPr>
            <w:tcW w:w="1170"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32.58%</w:t>
            </w:r>
          </w:p>
        </w:tc>
        <w:tc>
          <w:tcPr>
            <w:tcW w:w="1578"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72 (2.06%)</w:t>
            </w:r>
          </w:p>
        </w:tc>
        <w:tc>
          <w:tcPr>
            <w:tcW w:w="1032"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6.34</w:t>
            </w:r>
          </w:p>
        </w:tc>
        <w:tc>
          <w:tcPr>
            <w:tcW w:w="1260"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0:06:09</w:t>
            </w:r>
          </w:p>
        </w:tc>
      </w:tr>
      <w:tr w:rsidR="00F42C14" w:rsidRPr="00F42C14" w:rsidTr="001A0C9C">
        <w:tblPrEx>
          <w:tblCellMar>
            <w:left w:w="108" w:type="dxa"/>
            <w:right w:w="108" w:type="dxa"/>
          </w:tblCellMar>
        </w:tblPrEx>
        <w:trPr>
          <w:jc w:val="center"/>
        </w:trPr>
        <w:tc>
          <w:tcPr>
            <w:tcW w:w="2653" w:type="dxa"/>
            <w:shd w:val="clear" w:color="auto" w:fill="auto"/>
            <w:vAlign w:val="center"/>
            <w:hideMark/>
          </w:tcPr>
          <w:p w:rsidR="00F42C14" w:rsidRPr="00F42C14" w:rsidRDefault="00F42C14" w:rsidP="004D2ABD">
            <w:pPr>
              <w:numPr>
                <w:ilvl w:val="0"/>
                <w:numId w:val="36"/>
              </w:numPr>
              <w:tabs>
                <w:tab w:val="left" w:pos="431"/>
              </w:tabs>
              <w:spacing w:before="20" w:after="20" w:line="276" w:lineRule="auto"/>
              <w:ind w:left="431"/>
              <w:rPr>
                <w:rFonts w:eastAsia="Times New Roman"/>
                <w:color w:val="000000"/>
                <w:lang w:eastAsia="ko-KR"/>
              </w:rPr>
            </w:pPr>
            <w:r w:rsidRPr="00F42C14">
              <w:rPr>
                <w:rFonts w:eastAsia="Times New Roman"/>
                <w:color w:val="000000"/>
                <w:lang w:eastAsia="ko-KR"/>
              </w:rPr>
              <w:t>Ohio</w:t>
            </w:r>
          </w:p>
        </w:tc>
        <w:tc>
          <w:tcPr>
            <w:tcW w:w="1572"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215 (3.19%)</w:t>
            </w:r>
          </w:p>
        </w:tc>
        <w:tc>
          <w:tcPr>
            <w:tcW w:w="1170"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25.58%</w:t>
            </w:r>
          </w:p>
        </w:tc>
        <w:tc>
          <w:tcPr>
            <w:tcW w:w="1578"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55 (1.58%)</w:t>
            </w:r>
          </w:p>
        </w:tc>
        <w:tc>
          <w:tcPr>
            <w:tcW w:w="1032"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6.53</w:t>
            </w:r>
          </w:p>
        </w:tc>
        <w:tc>
          <w:tcPr>
            <w:tcW w:w="1260"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0:06:16</w:t>
            </w:r>
          </w:p>
        </w:tc>
      </w:tr>
      <w:tr w:rsidR="00F42C14" w:rsidRPr="00F42C14" w:rsidTr="001A0C9C">
        <w:tblPrEx>
          <w:tblCellMar>
            <w:left w:w="108" w:type="dxa"/>
            <w:right w:w="108" w:type="dxa"/>
          </w:tblCellMar>
        </w:tblPrEx>
        <w:trPr>
          <w:jc w:val="center"/>
        </w:trPr>
        <w:tc>
          <w:tcPr>
            <w:tcW w:w="2653" w:type="dxa"/>
            <w:shd w:val="clear" w:color="auto" w:fill="auto"/>
            <w:vAlign w:val="center"/>
            <w:hideMark/>
          </w:tcPr>
          <w:p w:rsidR="00F42C14" w:rsidRPr="00F42C14" w:rsidRDefault="00F42C14" w:rsidP="004D2ABD">
            <w:pPr>
              <w:numPr>
                <w:ilvl w:val="0"/>
                <w:numId w:val="36"/>
              </w:numPr>
              <w:tabs>
                <w:tab w:val="left" w:pos="431"/>
              </w:tabs>
              <w:spacing w:before="20" w:after="20" w:line="276" w:lineRule="auto"/>
              <w:ind w:left="431"/>
              <w:rPr>
                <w:rFonts w:eastAsia="Times New Roman"/>
                <w:color w:val="000000"/>
                <w:lang w:eastAsia="ko-KR"/>
              </w:rPr>
            </w:pPr>
            <w:r w:rsidRPr="00F42C14">
              <w:rPr>
                <w:rFonts w:eastAsia="Times New Roman"/>
                <w:color w:val="000000"/>
                <w:lang w:eastAsia="ko-KR"/>
              </w:rPr>
              <w:t>Indiana</w:t>
            </w:r>
          </w:p>
        </w:tc>
        <w:tc>
          <w:tcPr>
            <w:tcW w:w="1572"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213 (3.16%)</w:t>
            </w:r>
          </w:p>
        </w:tc>
        <w:tc>
          <w:tcPr>
            <w:tcW w:w="1170"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52.11%</w:t>
            </w:r>
          </w:p>
        </w:tc>
        <w:tc>
          <w:tcPr>
            <w:tcW w:w="1578"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111 (3.18%)</w:t>
            </w:r>
          </w:p>
        </w:tc>
        <w:tc>
          <w:tcPr>
            <w:tcW w:w="1032"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4.58</w:t>
            </w:r>
          </w:p>
        </w:tc>
        <w:tc>
          <w:tcPr>
            <w:tcW w:w="1260"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0:05:04</w:t>
            </w:r>
          </w:p>
        </w:tc>
      </w:tr>
      <w:tr w:rsidR="00F42C14" w:rsidRPr="00F42C14" w:rsidTr="001A0C9C">
        <w:tblPrEx>
          <w:tblCellMar>
            <w:left w:w="108" w:type="dxa"/>
            <w:right w:w="108" w:type="dxa"/>
          </w:tblCellMar>
        </w:tblPrEx>
        <w:trPr>
          <w:jc w:val="center"/>
        </w:trPr>
        <w:tc>
          <w:tcPr>
            <w:tcW w:w="2653" w:type="dxa"/>
            <w:shd w:val="clear" w:color="auto" w:fill="auto"/>
            <w:vAlign w:val="center"/>
            <w:hideMark/>
          </w:tcPr>
          <w:p w:rsidR="00F42C14" w:rsidRPr="00F42C14" w:rsidRDefault="00F42C14" w:rsidP="004D2ABD">
            <w:pPr>
              <w:numPr>
                <w:ilvl w:val="0"/>
                <w:numId w:val="36"/>
              </w:numPr>
              <w:tabs>
                <w:tab w:val="left" w:pos="431"/>
              </w:tabs>
              <w:spacing w:before="20" w:after="20" w:line="276" w:lineRule="auto"/>
              <w:ind w:left="431"/>
              <w:rPr>
                <w:rFonts w:eastAsia="Times New Roman"/>
                <w:color w:val="000000"/>
                <w:lang w:eastAsia="ko-KR"/>
              </w:rPr>
            </w:pPr>
            <w:r w:rsidRPr="00F42C14">
              <w:rPr>
                <w:rFonts w:eastAsia="Times New Roman"/>
                <w:color w:val="000000"/>
                <w:lang w:eastAsia="ko-KR"/>
              </w:rPr>
              <w:t>Virginia</w:t>
            </w:r>
          </w:p>
        </w:tc>
        <w:tc>
          <w:tcPr>
            <w:tcW w:w="1572"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210 (3.11%)</w:t>
            </w:r>
          </w:p>
        </w:tc>
        <w:tc>
          <w:tcPr>
            <w:tcW w:w="1170"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53.81%</w:t>
            </w:r>
          </w:p>
        </w:tc>
        <w:tc>
          <w:tcPr>
            <w:tcW w:w="1578"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113 (3.24%)</w:t>
            </w:r>
          </w:p>
        </w:tc>
        <w:tc>
          <w:tcPr>
            <w:tcW w:w="1032"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4.44</w:t>
            </w:r>
          </w:p>
        </w:tc>
        <w:tc>
          <w:tcPr>
            <w:tcW w:w="1260" w:type="dxa"/>
            <w:shd w:val="clear" w:color="auto" w:fill="auto"/>
            <w:vAlign w:val="center"/>
            <w:hideMark/>
          </w:tcPr>
          <w:p w:rsidR="00F42C14" w:rsidRPr="00F42C14" w:rsidRDefault="00F42C14" w:rsidP="00F42C14">
            <w:pPr>
              <w:spacing w:before="20" w:after="20" w:line="276" w:lineRule="auto"/>
              <w:jc w:val="right"/>
              <w:rPr>
                <w:rFonts w:eastAsia="Times New Roman"/>
                <w:color w:val="000000"/>
                <w:lang w:eastAsia="ko-KR"/>
              </w:rPr>
            </w:pPr>
            <w:r w:rsidRPr="00F42C14">
              <w:rPr>
                <w:rFonts w:eastAsia="Times New Roman"/>
                <w:color w:val="000000"/>
                <w:lang w:eastAsia="ko-KR"/>
              </w:rPr>
              <w:t>0:04:47</w:t>
            </w:r>
          </w:p>
        </w:tc>
      </w:tr>
    </w:tbl>
    <w:p w:rsidR="00F42C14" w:rsidRPr="00F42C14" w:rsidRDefault="00F42C14" w:rsidP="00F42C14">
      <w:pPr>
        <w:keepNext/>
        <w:keepLines/>
        <w:shd w:val="clear" w:color="auto" w:fill="E2EFD9" w:themeFill="accent6" w:themeFillTint="33"/>
        <w:spacing w:before="240" w:after="120"/>
        <w:outlineLvl w:val="0"/>
        <w:rPr>
          <w:rFonts w:eastAsiaTheme="majorEastAsia"/>
          <w:b/>
          <w:color w:val="000000" w:themeColor="text1"/>
          <w:sz w:val="32"/>
          <w:szCs w:val="32"/>
        </w:rPr>
      </w:pPr>
      <w:r w:rsidRPr="00F42C14">
        <w:rPr>
          <w:rFonts w:eastAsiaTheme="majorEastAsia"/>
          <w:b/>
          <w:color w:val="000000" w:themeColor="text1"/>
          <w:sz w:val="32"/>
          <w:szCs w:val="32"/>
        </w:rPr>
        <w:t>IT Related Accomplishment/Progress</w:t>
      </w:r>
    </w:p>
    <w:p w:rsidR="00F42C14" w:rsidRPr="00F42C14" w:rsidRDefault="00F42C14" w:rsidP="00F42C14">
      <w:pPr>
        <w:tabs>
          <w:tab w:val="left" w:pos="450"/>
        </w:tabs>
        <w:spacing w:line="276" w:lineRule="auto"/>
        <w:rPr>
          <w:szCs w:val="22"/>
        </w:rPr>
      </w:pPr>
      <w:r w:rsidRPr="00F42C14">
        <w:rPr>
          <w:szCs w:val="22"/>
        </w:rPr>
        <w:t>The WINTAC-IT Team has been working closely with staff members from the five topic areas to provide consistent and reliable support on the following areas:</w:t>
      </w:r>
    </w:p>
    <w:p w:rsidR="00F42C14" w:rsidRPr="00F42C14" w:rsidRDefault="00F42C14" w:rsidP="004D2ABD">
      <w:pPr>
        <w:keepNext/>
        <w:numPr>
          <w:ilvl w:val="0"/>
          <w:numId w:val="6"/>
        </w:numPr>
        <w:tabs>
          <w:tab w:val="left" w:pos="450"/>
        </w:tabs>
        <w:spacing w:before="240" w:after="120" w:line="276" w:lineRule="auto"/>
        <w:ind w:left="446"/>
        <w:rPr>
          <w:b/>
          <w:szCs w:val="22"/>
        </w:rPr>
      </w:pPr>
      <w:r w:rsidRPr="00F42C14">
        <w:rPr>
          <w:b/>
          <w:szCs w:val="22"/>
        </w:rPr>
        <w:t>Website with 5 Sub-Sites</w:t>
      </w:r>
    </w:p>
    <w:p w:rsidR="00F42C14" w:rsidRPr="00F42C14" w:rsidRDefault="00F42C14" w:rsidP="00F42C14">
      <w:pPr>
        <w:tabs>
          <w:tab w:val="left" w:pos="450"/>
        </w:tabs>
        <w:spacing w:before="120" w:after="120" w:line="276" w:lineRule="auto"/>
        <w:ind w:left="446"/>
        <w:rPr>
          <w:szCs w:val="22"/>
        </w:rPr>
      </w:pPr>
      <w:r w:rsidRPr="00F42C14">
        <w:rPr>
          <w:rStyle w:val="NoSpacingChar"/>
        </w:rPr>
        <w:t>The WINTAC-IT team manages and supports the project website, which contains 5 sub-sites.   After the initial set up of the site, each of the topic areas went through changes in the page structures and the format of each page.  IT Team worked with each of the topic area to implement the changes in both front- and back-ends as needed</w:t>
      </w:r>
      <w:r w:rsidRPr="00F42C14">
        <w:rPr>
          <w:szCs w:val="22"/>
        </w:rPr>
        <w:t>.</w:t>
      </w:r>
    </w:p>
    <w:p w:rsidR="00F42C14" w:rsidRPr="00F42C14" w:rsidRDefault="00F42C14" w:rsidP="004D2ABD">
      <w:pPr>
        <w:keepNext/>
        <w:numPr>
          <w:ilvl w:val="0"/>
          <w:numId w:val="6"/>
        </w:numPr>
        <w:tabs>
          <w:tab w:val="left" w:pos="450"/>
        </w:tabs>
        <w:spacing w:before="240" w:after="120" w:line="276" w:lineRule="auto"/>
        <w:ind w:left="446"/>
        <w:rPr>
          <w:b/>
          <w:szCs w:val="22"/>
        </w:rPr>
      </w:pPr>
      <w:r w:rsidRPr="00F42C14">
        <w:rPr>
          <w:b/>
          <w:szCs w:val="22"/>
        </w:rPr>
        <w:t>Domain Name Renewal</w:t>
      </w:r>
    </w:p>
    <w:p w:rsidR="00F42C14" w:rsidRPr="00F42C14" w:rsidRDefault="00F42C14" w:rsidP="00F42C14">
      <w:pPr>
        <w:tabs>
          <w:tab w:val="left" w:pos="450"/>
        </w:tabs>
        <w:spacing w:before="240" w:after="120" w:line="276" w:lineRule="auto"/>
        <w:ind w:left="446"/>
        <w:rPr>
          <w:szCs w:val="22"/>
        </w:rPr>
      </w:pPr>
      <w:r w:rsidRPr="00F42C14">
        <w:rPr>
          <w:szCs w:val="22"/>
        </w:rPr>
        <w:t>WINTAC domain name has been renewed.</w:t>
      </w:r>
    </w:p>
    <w:p w:rsidR="00F42C14" w:rsidRPr="00F42C14" w:rsidRDefault="00F42C14" w:rsidP="004D2ABD">
      <w:pPr>
        <w:keepNext/>
        <w:numPr>
          <w:ilvl w:val="0"/>
          <w:numId w:val="6"/>
        </w:numPr>
        <w:tabs>
          <w:tab w:val="left" w:pos="450"/>
        </w:tabs>
        <w:spacing w:before="240" w:after="120" w:line="276" w:lineRule="auto"/>
        <w:ind w:left="446"/>
        <w:rPr>
          <w:szCs w:val="22"/>
        </w:rPr>
      </w:pPr>
      <w:r w:rsidRPr="00F42C14">
        <w:rPr>
          <w:b/>
          <w:szCs w:val="22"/>
        </w:rPr>
        <w:t xml:space="preserve">Apps – TimeCert </w:t>
      </w:r>
    </w:p>
    <w:p w:rsidR="00F42C14" w:rsidRPr="00F42C14" w:rsidRDefault="00F42C14" w:rsidP="00F42C14">
      <w:pPr>
        <w:tabs>
          <w:tab w:val="left" w:pos="450"/>
        </w:tabs>
        <w:spacing w:before="240" w:after="120" w:line="276" w:lineRule="auto"/>
        <w:ind w:left="446"/>
        <w:rPr>
          <w:szCs w:val="22"/>
        </w:rPr>
      </w:pPr>
      <w:r w:rsidRPr="00F42C14">
        <w:rPr>
          <w:rStyle w:val="NoSpacingChar"/>
        </w:rPr>
        <w:t xml:space="preserve">The TimeCert application allows project staff to certify the hours allocated in the project. The WINTAC-IT team designed, developed, and released the web application.  Based on the feedback from the project staff, the application went through </w:t>
      </w:r>
      <w:r w:rsidR="008D3937">
        <w:rPr>
          <w:rStyle w:val="NoSpacingChar"/>
        </w:rPr>
        <w:t>a</w:t>
      </w:r>
      <w:r w:rsidRPr="00F42C14">
        <w:rPr>
          <w:rStyle w:val="NoSpacingChar"/>
        </w:rPr>
        <w:t xml:space="preserve"> revision</w:t>
      </w:r>
      <w:r w:rsidRPr="00F42C14">
        <w:rPr>
          <w:szCs w:val="22"/>
        </w:rPr>
        <w:t xml:space="preserve">.  </w:t>
      </w:r>
    </w:p>
    <w:p w:rsidR="00F42C14" w:rsidRPr="00F42C14" w:rsidRDefault="00F42C14" w:rsidP="004D2ABD">
      <w:pPr>
        <w:keepNext/>
        <w:numPr>
          <w:ilvl w:val="0"/>
          <w:numId w:val="6"/>
        </w:numPr>
        <w:tabs>
          <w:tab w:val="left" w:pos="450"/>
        </w:tabs>
        <w:spacing w:before="240" w:after="120" w:line="276" w:lineRule="auto"/>
        <w:ind w:left="446"/>
        <w:rPr>
          <w:szCs w:val="22"/>
        </w:rPr>
      </w:pPr>
      <w:r w:rsidRPr="00F42C14">
        <w:rPr>
          <w:b/>
          <w:szCs w:val="22"/>
        </w:rPr>
        <w:t xml:space="preserve">Apps -  TA Trac </w:t>
      </w:r>
    </w:p>
    <w:p w:rsidR="00F42C14" w:rsidRPr="00F42C14" w:rsidRDefault="00F42C14" w:rsidP="00F42C14">
      <w:pPr>
        <w:tabs>
          <w:tab w:val="left" w:pos="450"/>
        </w:tabs>
        <w:spacing w:before="120" w:after="120" w:line="276" w:lineRule="auto"/>
        <w:ind w:left="446"/>
        <w:rPr>
          <w:szCs w:val="22"/>
        </w:rPr>
      </w:pPr>
      <w:r w:rsidRPr="00F42C14">
        <w:rPr>
          <w:rStyle w:val="NoSpacingChar"/>
        </w:rPr>
        <w:t>The WINTAC-IT team designed, developed, and released the TA Trac, which allows the project staff to record their Technical Assistance efforts.  After the release, the WINTAC IT team received feedback from the project staff and made the 1st revision on the application. Currently the WINTAC-IT team is going through the 2nd revision to create integration with the intensive technical assistance agreement (ITAA)</w:t>
      </w:r>
      <w:r w:rsidRPr="00F42C14">
        <w:rPr>
          <w:szCs w:val="22"/>
        </w:rPr>
        <w:t>.</w:t>
      </w:r>
    </w:p>
    <w:p w:rsidR="00F42C14" w:rsidRPr="00F42C14" w:rsidRDefault="00F42C14" w:rsidP="004D2ABD">
      <w:pPr>
        <w:keepNext/>
        <w:numPr>
          <w:ilvl w:val="0"/>
          <w:numId w:val="6"/>
        </w:numPr>
        <w:tabs>
          <w:tab w:val="left" w:pos="450"/>
        </w:tabs>
        <w:spacing w:before="240" w:after="120" w:line="276" w:lineRule="auto"/>
        <w:ind w:left="446"/>
        <w:rPr>
          <w:b/>
          <w:szCs w:val="22"/>
        </w:rPr>
      </w:pPr>
      <w:r w:rsidRPr="00F42C14">
        <w:rPr>
          <w:b/>
          <w:szCs w:val="22"/>
        </w:rPr>
        <w:t>Apps - Intensive TA Agreement (ITAA)</w:t>
      </w:r>
    </w:p>
    <w:p w:rsidR="00F42C14" w:rsidRPr="00F42C14" w:rsidRDefault="00F42C14" w:rsidP="00F42C14">
      <w:pPr>
        <w:tabs>
          <w:tab w:val="left" w:pos="450"/>
        </w:tabs>
        <w:spacing w:before="120" w:after="120" w:line="276" w:lineRule="auto"/>
        <w:ind w:left="446"/>
        <w:rPr>
          <w:szCs w:val="22"/>
        </w:rPr>
      </w:pPr>
      <w:r w:rsidRPr="00F42C14">
        <w:rPr>
          <w:szCs w:val="22"/>
        </w:rPr>
        <w:t xml:space="preserve">The WINTAC-IT Team designed, developed, and released another web application, the Intensive TA Agreement (ITAA).  Using the application, project staff will create an electronic draft of the Intensive TA Agreement.  Based on the feedback received after the </w:t>
      </w:r>
      <w:r w:rsidRPr="00F42C14">
        <w:rPr>
          <w:szCs w:val="22"/>
        </w:rPr>
        <w:lastRenderedPageBreak/>
        <w:t>release, the WINTAC-IT team is going through the 1</w:t>
      </w:r>
      <w:r w:rsidRPr="00F42C14">
        <w:rPr>
          <w:szCs w:val="22"/>
          <w:vertAlign w:val="superscript"/>
        </w:rPr>
        <w:t>st</w:t>
      </w:r>
      <w:r w:rsidRPr="00F42C14">
        <w:rPr>
          <w:szCs w:val="22"/>
        </w:rPr>
        <w:t xml:space="preserve"> revision on the application.  For more accurate tracking, the information entered into the ITAA will get integrated with the TA Trac</w:t>
      </w:r>
      <w:r w:rsidR="009076B2">
        <w:rPr>
          <w:szCs w:val="22"/>
        </w:rPr>
        <w:t>k</w:t>
      </w:r>
      <w:r w:rsidRPr="00F42C14">
        <w:rPr>
          <w:szCs w:val="22"/>
        </w:rPr>
        <w:t xml:space="preserve"> in the upcoming project year.</w:t>
      </w:r>
    </w:p>
    <w:p w:rsidR="00F42C14" w:rsidRPr="00F42C14" w:rsidRDefault="00F42C14" w:rsidP="004D2ABD">
      <w:pPr>
        <w:keepNext/>
        <w:numPr>
          <w:ilvl w:val="0"/>
          <w:numId w:val="6"/>
        </w:numPr>
        <w:tabs>
          <w:tab w:val="left" w:pos="450"/>
        </w:tabs>
        <w:spacing w:before="240" w:after="120" w:line="276" w:lineRule="auto"/>
        <w:ind w:left="446"/>
        <w:rPr>
          <w:b/>
          <w:szCs w:val="22"/>
        </w:rPr>
      </w:pPr>
      <w:r w:rsidRPr="00F42C14">
        <w:rPr>
          <w:b/>
          <w:szCs w:val="22"/>
        </w:rPr>
        <w:t>Distribution Lists (one per each topic area) integrated with the Website</w:t>
      </w:r>
    </w:p>
    <w:p w:rsidR="00F42C14" w:rsidRPr="00F42C14" w:rsidRDefault="00F42C14" w:rsidP="00F42C14">
      <w:pPr>
        <w:tabs>
          <w:tab w:val="left" w:pos="450"/>
        </w:tabs>
        <w:spacing w:before="120" w:after="120" w:line="276" w:lineRule="auto"/>
        <w:ind w:left="446"/>
        <w:rPr>
          <w:szCs w:val="22"/>
        </w:rPr>
      </w:pPr>
      <w:r w:rsidRPr="00F42C14">
        <w:rPr>
          <w:szCs w:val="22"/>
        </w:rPr>
        <w:t xml:space="preserve">Project staff requested to use a mailing list, through which various information, resources, training opportunities can be sent out to those who are interested in different topics.  The WINTAC-IT team set up and configured distribution lists for each topic area.  After setting up the distribution lists, the team also created a customized page on the website where visitors can subscribe the email address to one or more topic areas.  The initial 300 subscribers collected by the topic areas 4 and 5 are imported manually by the IT Team. </w:t>
      </w:r>
    </w:p>
    <w:p w:rsidR="00F42C14" w:rsidRPr="00F42C14" w:rsidRDefault="00F42C14" w:rsidP="00F42C14">
      <w:pPr>
        <w:tabs>
          <w:tab w:val="left" w:pos="450"/>
        </w:tabs>
        <w:spacing w:before="120" w:after="120" w:line="276" w:lineRule="auto"/>
        <w:ind w:left="446"/>
        <w:rPr>
          <w:szCs w:val="22"/>
        </w:rPr>
      </w:pPr>
      <w:r w:rsidRPr="00F42C14">
        <w:rPr>
          <w:szCs w:val="22"/>
        </w:rPr>
        <w:t xml:space="preserve">In addition, the team provided the following support </w:t>
      </w:r>
      <w:r w:rsidR="001A0C9C">
        <w:rPr>
          <w:szCs w:val="22"/>
        </w:rPr>
        <w:t>for</w:t>
      </w:r>
      <w:r w:rsidRPr="00F42C14">
        <w:rPr>
          <w:szCs w:val="22"/>
        </w:rPr>
        <w:t xml:space="preserve"> each of the topic areas: </w:t>
      </w:r>
    </w:p>
    <w:p w:rsidR="00F42C14" w:rsidRPr="00F42C14" w:rsidRDefault="00F42C14" w:rsidP="004D2ABD">
      <w:pPr>
        <w:numPr>
          <w:ilvl w:val="1"/>
          <w:numId w:val="6"/>
        </w:numPr>
        <w:tabs>
          <w:tab w:val="left" w:pos="450"/>
        </w:tabs>
        <w:spacing w:line="276" w:lineRule="auto"/>
        <w:contextualSpacing/>
        <w:rPr>
          <w:szCs w:val="22"/>
        </w:rPr>
      </w:pPr>
      <w:r w:rsidRPr="00F42C14">
        <w:rPr>
          <w:szCs w:val="22"/>
        </w:rPr>
        <w:t>Design template for each distribution list</w:t>
      </w:r>
      <w:r w:rsidR="001A0C9C">
        <w:rPr>
          <w:szCs w:val="22"/>
        </w:rPr>
        <w:t>;</w:t>
      </w:r>
    </w:p>
    <w:p w:rsidR="00F42C14" w:rsidRPr="00F42C14" w:rsidRDefault="00F42C14" w:rsidP="004D2ABD">
      <w:pPr>
        <w:numPr>
          <w:ilvl w:val="1"/>
          <w:numId w:val="6"/>
        </w:numPr>
        <w:tabs>
          <w:tab w:val="left" w:pos="450"/>
        </w:tabs>
        <w:spacing w:line="276" w:lineRule="auto"/>
        <w:contextualSpacing/>
        <w:rPr>
          <w:szCs w:val="22"/>
        </w:rPr>
      </w:pPr>
      <w:r w:rsidRPr="00F42C14">
        <w:rPr>
          <w:szCs w:val="22"/>
        </w:rPr>
        <w:t>Programing the messages for each distribution, ensuring the accessibility of the message</w:t>
      </w:r>
      <w:r w:rsidR="001A0C9C">
        <w:rPr>
          <w:szCs w:val="22"/>
        </w:rPr>
        <w:t>;</w:t>
      </w:r>
    </w:p>
    <w:p w:rsidR="00F42C14" w:rsidRPr="00F42C14" w:rsidRDefault="00F42C14" w:rsidP="004D2ABD">
      <w:pPr>
        <w:numPr>
          <w:ilvl w:val="1"/>
          <w:numId w:val="6"/>
        </w:numPr>
        <w:tabs>
          <w:tab w:val="left" w:pos="450"/>
        </w:tabs>
        <w:spacing w:line="276" w:lineRule="auto"/>
        <w:contextualSpacing/>
        <w:rPr>
          <w:szCs w:val="22"/>
        </w:rPr>
      </w:pPr>
      <w:r w:rsidRPr="00F42C14">
        <w:rPr>
          <w:szCs w:val="22"/>
        </w:rPr>
        <w:t>Scheduling/sending designed message through the distribution list</w:t>
      </w:r>
      <w:r w:rsidR="001A0C9C">
        <w:rPr>
          <w:szCs w:val="22"/>
        </w:rPr>
        <w:t>; and</w:t>
      </w:r>
    </w:p>
    <w:p w:rsidR="00F42C14" w:rsidRPr="00F42C14" w:rsidRDefault="00F42C14" w:rsidP="004D2ABD">
      <w:pPr>
        <w:numPr>
          <w:ilvl w:val="1"/>
          <w:numId w:val="6"/>
        </w:numPr>
        <w:tabs>
          <w:tab w:val="left" w:pos="450"/>
        </w:tabs>
        <w:spacing w:line="276" w:lineRule="auto"/>
        <w:contextualSpacing/>
        <w:rPr>
          <w:szCs w:val="22"/>
        </w:rPr>
      </w:pPr>
      <w:r w:rsidRPr="00F42C14">
        <w:rPr>
          <w:szCs w:val="22"/>
        </w:rPr>
        <w:t>Export subscriber list</w:t>
      </w:r>
      <w:r w:rsidR="001A0C9C">
        <w:rPr>
          <w:szCs w:val="22"/>
        </w:rPr>
        <w:t>,</w:t>
      </w:r>
      <w:r w:rsidRPr="00F42C14">
        <w:rPr>
          <w:szCs w:val="22"/>
        </w:rPr>
        <w:t xml:space="preserve"> as requested</w:t>
      </w:r>
      <w:r w:rsidR="001A0C9C">
        <w:rPr>
          <w:szCs w:val="22"/>
        </w:rPr>
        <w:t>.</w:t>
      </w:r>
    </w:p>
    <w:p w:rsidR="00F42C14" w:rsidRPr="00F42C14" w:rsidRDefault="00F42C14" w:rsidP="004D2ABD">
      <w:pPr>
        <w:keepNext/>
        <w:numPr>
          <w:ilvl w:val="0"/>
          <w:numId w:val="6"/>
        </w:numPr>
        <w:tabs>
          <w:tab w:val="left" w:pos="450"/>
        </w:tabs>
        <w:spacing w:before="240" w:after="120" w:line="276" w:lineRule="auto"/>
        <w:ind w:left="446"/>
        <w:rPr>
          <w:b/>
          <w:szCs w:val="22"/>
        </w:rPr>
      </w:pPr>
      <w:r w:rsidRPr="00F42C14">
        <w:rPr>
          <w:b/>
          <w:szCs w:val="22"/>
        </w:rPr>
        <w:t>Training Management System (TMS)</w:t>
      </w:r>
    </w:p>
    <w:p w:rsidR="00F42C14" w:rsidRPr="00F42C14" w:rsidRDefault="00F42C14" w:rsidP="00F42C14">
      <w:pPr>
        <w:tabs>
          <w:tab w:val="left" w:pos="450"/>
        </w:tabs>
        <w:spacing w:before="120" w:after="120" w:line="276" w:lineRule="auto"/>
        <w:ind w:left="446"/>
        <w:rPr>
          <w:szCs w:val="22"/>
        </w:rPr>
      </w:pPr>
      <w:r w:rsidRPr="00F42C14">
        <w:rPr>
          <w:szCs w:val="22"/>
        </w:rPr>
        <w:t>The WINTAC-IT team installed and customized a learning management system to create the WINTAC’s Training Management System (TMS), which will be</w:t>
      </w:r>
      <w:r w:rsidR="001A0C9C">
        <w:rPr>
          <w:szCs w:val="22"/>
        </w:rPr>
        <w:t xml:space="preserve"> the</w:t>
      </w:r>
      <w:r w:rsidRPr="00F42C14">
        <w:rPr>
          <w:szCs w:val="22"/>
        </w:rPr>
        <w:t xml:space="preserve"> main environment to provide various training.  The training delivery methods include live training, recorded webinars, self-paced training, and other types of training materials.</w:t>
      </w:r>
    </w:p>
    <w:p w:rsidR="00F42C14" w:rsidRPr="00F42C14" w:rsidRDefault="00F42C14" w:rsidP="00F42C14">
      <w:pPr>
        <w:tabs>
          <w:tab w:val="left" w:pos="450"/>
        </w:tabs>
        <w:spacing w:before="120" w:after="120" w:line="276" w:lineRule="auto"/>
        <w:ind w:left="446"/>
        <w:rPr>
          <w:szCs w:val="22"/>
        </w:rPr>
      </w:pPr>
      <w:r w:rsidRPr="00F42C14">
        <w:rPr>
          <w:szCs w:val="22"/>
        </w:rPr>
        <w:t>The WINTAC-IT team created the integration between the CMS-based website and the LMS-based TMS to allow a single user login.  This allows users to use only one login to access both WINTAC website where the logging in is required and the TMS.</w:t>
      </w:r>
    </w:p>
    <w:p w:rsidR="00F42C14" w:rsidRPr="00F42C14" w:rsidRDefault="00F42C14" w:rsidP="004D2ABD">
      <w:pPr>
        <w:keepNext/>
        <w:numPr>
          <w:ilvl w:val="0"/>
          <w:numId w:val="6"/>
        </w:numPr>
        <w:tabs>
          <w:tab w:val="left" w:pos="450"/>
        </w:tabs>
        <w:spacing w:before="240" w:after="120" w:line="276" w:lineRule="auto"/>
        <w:ind w:left="446"/>
        <w:rPr>
          <w:b/>
          <w:szCs w:val="22"/>
        </w:rPr>
      </w:pPr>
      <w:r w:rsidRPr="00F42C14">
        <w:rPr>
          <w:b/>
          <w:szCs w:val="22"/>
        </w:rPr>
        <w:t>Live Training System in place – integrated with TMS</w:t>
      </w:r>
    </w:p>
    <w:p w:rsidR="00F42C14" w:rsidRPr="00F42C14" w:rsidRDefault="00F42C14" w:rsidP="00F42C14">
      <w:pPr>
        <w:tabs>
          <w:tab w:val="left" w:pos="450"/>
        </w:tabs>
        <w:spacing w:before="120" w:after="120" w:line="276" w:lineRule="auto"/>
        <w:ind w:left="446"/>
        <w:rPr>
          <w:szCs w:val="22"/>
        </w:rPr>
      </w:pPr>
      <w:r w:rsidRPr="00F42C14">
        <w:rPr>
          <w:szCs w:val="22"/>
        </w:rPr>
        <w:t>Some of the WINTAC training will be provided in live format by utilizing a webinar system.  The WINTAC-IT team researched and implemented a webinar system.  Based on the reporting requirements, the team went through the intensive customization to create an integration between the webinar system, TMS, and the website, so that users will use only one login to access the live training, take quizzes, and acquire a Certificate of Completion or a CRC Credit.</w:t>
      </w:r>
    </w:p>
    <w:p w:rsidR="00F42C14" w:rsidRPr="00F42C14" w:rsidRDefault="00F42C14" w:rsidP="00F42C14">
      <w:pPr>
        <w:tabs>
          <w:tab w:val="left" w:pos="450"/>
        </w:tabs>
        <w:spacing w:before="120" w:after="120" w:line="276" w:lineRule="auto"/>
        <w:ind w:left="446"/>
        <w:rPr>
          <w:szCs w:val="22"/>
        </w:rPr>
      </w:pPr>
      <w:r w:rsidRPr="00F42C14">
        <w:rPr>
          <w:szCs w:val="22"/>
        </w:rPr>
        <w:t>Based on the feedback from the project staff and the live training participants, the project team decide to change the live training/webinar access separated from the TMS access.  The team is currently working on this adjustment.</w:t>
      </w:r>
    </w:p>
    <w:p w:rsidR="00F42C14" w:rsidRPr="00F42C14" w:rsidRDefault="00F42C14" w:rsidP="004D2ABD">
      <w:pPr>
        <w:keepNext/>
        <w:numPr>
          <w:ilvl w:val="0"/>
          <w:numId w:val="6"/>
        </w:numPr>
        <w:tabs>
          <w:tab w:val="left" w:pos="450"/>
        </w:tabs>
        <w:spacing w:before="240" w:after="120" w:line="276" w:lineRule="auto"/>
        <w:ind w:left="446"/>
        <w:rPr>
          <w:b/>
          <w:szCs w:val="22"/>
        </w:rPr>
      </w:pPr>
      <w:r w:rsidRPr="00F42C14">
        <w:rPr>
          <w:b/>
          <w:szCs w:val="22"/>
        </w:rPr>
        <w:lastRenderedPageBreak/>
        <w:t>On-going Technical Support</w:t>
      </w:r>
    </w:p>
    <w:p w:rsidR="00F42C14" w:rsidRPr="00F42C14" w:rsidRDefault="00F42C14" w:rsidP="00F42C14">
      <w:pPr>
        <w:tabs>
          <w:tab w:val="left" w:pos="450"/>
        </w:tabs>
        <w:spacing w:before="120" w:after="120" w:line="276" w:lineRule="auto"/>
        <w:ind w:left="446"/>
        <w:rPr>
          <w:szCs w:val="22"/>
        </w:rPr>
      </w:pPr>
      <w:r w:rsidRPr="00F42C14">
        <w:rPr>
          <w:szCs w:val="22"/>
        </w:rPr>
        <w:t>In addition to the development and customization of the applications and tools listed above, the WINTAC-IT Team provided on-going technical support for the following:</w:t>
      </w:r>
    </w:p>
    <w:p w:rsidR="00F42C14" w:rsidRPr="00F42C14" w:rsidRDefault="00F42C14" w:rsidP="004D2ABD">
      <w:pPr>
        <w:numPr>
          <w:ilvl w:val="1"/>
          <w:numId w:val="6"/>
        </w:numPr>
        <w:tabs>
          <w:tab w:val="left" w:pos="450"/>
        </w:tabs>
        <w:spacing w:line="276" w:lineRule="auto"/>
        <w:contextualSpacing/>
        <w:rPr>
          <w:b/>
          <w:szCs w:val="22"/>
        </w:rPr>
      </w:pPr>
      <w:r w:rsidRPr="00F42C14">
        <w:rPr>
          <w:b/>
          <w:szCs w:val="22"/>
        </w:rPr>
        <w:t>Website and Accessibility</w:t>
      </w:r>
    </w:p>
    <w:p w:rsidR="00F42C14" w:rsidRPr="00F42C14" w:rsidRDefault="00F42C14" w:rsidP="00F42C14">
      <w:pPr>
        <w:tabs>
          <w:tab w:val="left" w:pos="450"/>
        </w:tabs>
        <w:spacing w:line="276" w:lineRule="auto"/>
        <w:ind w:left="1440"/>
        <w:contextualSpacing/>
        <w:rPr>
          <w:szCs w:val="22"/>
        </w:rPr>
      </w:pPr>
      <w:r w:rsidRPr="00F42C14">
        <w:rPr>
          <w:szCs w:val="22"/>
        </w:rPr>
        <w:t>The team worked with each topic area to make content updates on the websites.  For the materials sent to the team to be posted on the website, the IT Team ran the accessibility check and communicated with the project staff to ensure the website accessibility.</w:t>
      </w:r>
    </w:p>
    <w:p w:rsidR="00F42C14" w:rsidRPr="00F42C14" w:rsidRDefault="00F42C14" w:rsidP="004D2ABD">
      <w:pPr>
        <w:numPr>
          <w:ilvl w:val="1"/>
          <w:numId w:val="6"/>
        </w:numPr>
        <w:tabs>
          <w:tab w:val="left" w:pos="450"/>
        </w:tabs>
        <w:spacing w:line="276" w:lineRule="auto"/>
        <w:contextualSpacing/>
        <w:rPr>
          <w:b/>
          <w:szCs w:val="22"/>
        </w:rPr>
      </w:pPr>
      <w:r w:rsidRPr="00F42C14">
        <w:rPr>
          <w:b/>
          <w:szCs w:val="22"/>
        </w:rPr>
        <w:t>WINTAC Apps - TimeCert, TA Trac, and ITAA</w:t>
      </w:r>
    </w:p>
    <w:p w:rsidR="00F42C14" w:rsidRPr="00F42C14" w:rsidRDefault="00F42C14" w:rsidP="00F42C14">
      <w:pPr>
        <w:tabs>
          <w:tab w:val="left" w:pos="450"/>
        </w:tabs>
        <w:spacing w:line="276" w:lineRule="auto"/>
        <w:ind w:left="1440"/>
        <w:contextualSpacing/>
        <w:rPr>
          <w:szCs w:val="22"/>
        </w:rPr>
      </w:pPr>
      <w:r w:rsidRPr="00F42C14">
        <w:rPr>
          <w:szCs w:val="22"/>
        </w:rPr>
        <w:t xml:space="preserve">When any issues </w:t>
      </w:r>
      <w:r w:rsidR="001A0C9C">
        <w:rPr>
          <w:szCs w:val="22"/>
        </w:rPr>
        <w:t>are</w:t>
      </w:r>
      <w:r w:rsidRPr="00F42C14">
        <w:rPr>
          <w:szCs w:val="22"/>
        </w:rPr>
        <w:t xml:space="preserve"> reported, the IT team communicate with the users to resolve the issue.  </w:t>
      </w:r>
    </w:p>
    <w:p w:rsidR="00F42C14" w:rsidRPr="00F42C14" w:rsidRDefault="00F42C14" w:rsidP="004D2ABD">
      <w:pPr>
        <w:numPr>
          <w:ilvl w:val="1"/>
          <w:numId w:val="6"/>
        </w:numPr>
        <w:tabs>
          <w:tab w:val="left" w:pos="450"/>
        </w:tabs>
        <w:spacing w:line="276" w:lineRule="auto"/>
        <w:contextualSpacing/>
        <w:rPr>
          <w:b/>
          <w:szCs w:val="22"/>
        </w:rPr>
      </w:pPr>
      <w:r w:rsidRPr="00F42C14">
        <w:rPr>
          <w:b/>
          <w:szCs w:val="22"/>
        </w:rPr>
        <w:t xml:space="preserve">TMS and Training </w:t>
      </w:r>
    </w:p>
    <w:p w:rsidR="00F42C14" w:rsidRPr="00F42C14" w:rsidRDefault="00F42C14" w:rsidP="00F42C14">
      <w:pPr>
        <w:tabs>
          <w:tab w:val="left" w:pos="450"/>
        </w:tabs>
        <w:spacing w:line="276" w:lineRule="auto"/>
        <w:ind w:left="1440"/>
        <w:contextualSpacing/>
        <w:rPr>
          <w:szCs w:val="22"/>
        </w:rPr>
      </w:pPr>
      <w:r w:rsidRPr="00F42C14">
        <w:rPr>
          <w:szCs w:val="22"/>
        </w:rPr>
        <w:t>The IT Team worked closely with the topic areas 4 and 5 to prepare their first live training sessions.  Through the process, the IT Team set up and shared the WINTAC Training guidelines to assist the project staff to plan their training.  The team supported the first live training session, which included using a webinar room, a quiz, an issuing of certificate of completion upon successful completion of the quiz.</w:t>
      </w:r>
    </w:p>
    <w:p w:rsidR="00F42C14" w:rsidRPr="00F42C14" w:rsidRDefault="00F42C14" w:rsidP="004D2ABD">
      <w:pPr>
        <w:numPr>
          <w:ilvl w:val="1"/>
          <w:numId w:val="6"/>
        </w:numPr>
        <w:tabs>
          <w:tab w:val="left" w:pos="450"/>
        </w:tabs>
        <w:spacing w:line="276" w:lineRule="auto"/>
        <w:contextualSpacing/>
        <w:rPr>
          <w:b/>
          <w:szCs w:val="22"/>
        </w:rPr>
      </w:pPr>
      <w:r w:rsidRPr="00F42C14">
        <w:rPr>
          <w:b/>
          <w:szCs w:val="22"/>
        </w:rPr>
        <w:t>Email and WINTAC and TACC listserv</w:t>
      </w:r>
    </w:p>
    <w:p w:rsidR="00F42C14" w:rsidRPr="00F42C14" w:rsidRDefault="00F42C14" w:rsidP="00F42C14">
      <w:pPr>
        <w:tabs>
          <w:tab w:val="left" w:pos="450"/>
        </w:tabs>
        <w:spacing w:line="276" w:lineRule="auto"/>
        <w:ind w:left="1440"/>
        <w:contextualSpacing/>
        <w:rPr>
          <w:szCs w:val="22"/>
        </w:rPr>
      </w:pPr>
      <w:r w:rsidRPr="00F42C14">
        <w:rPr>
          <w:szCs w:val="22"/>
        </w:rPr>
        <w:t>When requested, the IT team creates a new WINTAC email address for newly hired/started WINTAC project staff.  The team also provide</w:t>
      </w:r>
      <w:r w:rsidR="001A0C9C">
        <w:rPr>
          <w:szCs w:val="22"/>
        </w:rPr>
        <w:t>s</w:t>
      </w:r>
      <w:r w:rsidRPr="00F42C14">
        <w:rPr>
          <w:szCs w:val="22"/>
        </w:rPr>
        <w:t xml:space="preserve"> technical support for both WINTAC and TACC listservs.</w:t>
      </w:r>
    </w:p>
    <w:p w:rsidR="00F42C14" w:rsidRPr="00F42C14" w:rsidRDefault="00F42C14" w:rsidP="004D2ABD">
      <w:pPr>
        <w:numPr>
          <w:ilvl w:val="1"/>
          <w:numId w:val="6"/>
        </w:numPr>
        <w:tabs>
          <w:tab w:val="left" w:pos="450"/>
        </w:tabs>
        <w:spacing w:line="276" w:lineRule="auto"/>
        <w:contextualSpacing/>
        <w:rPr>
          <w:b/>
          <w:szCs w:val="22"/>
        </w:rPr>
      </w:pPr>
      <w:r w:rsidRPr="00F42C14">
        <w:rPr>
          <w:b/>
          <w:szCs w:val="22"/>
        </w:rPr>
        <w:t>Distribution list</w:t>
      </w:r>
    </w:p>
    <w:p w:rsidR="00F42C14" w:rsidRPr="00F42C14" w:rsidRDefault="00F42C14" w:rsidP="00F42C14">
      <w:pPr>
        <w:tabs>
          <w:tab w:val="left" w:pos="450"/>
        </w:tabs>
        <w:spacing w:line="276" w:lineRule="auto"/>
        <w:ind w:left="1440"/>
        <w:contextualSpacing/>
        <w:rPr>
          <w:szCs w:val="22"/>
        </w:rPr>
      </w:pPr>
      <w:r w:rsidRPr="00F42C14">
        <w:rPr>
          <w:szCs w:val="22"/>
        </w:rPr>
        <w:t>Project staff from different topic areas sent the message to be disseminated to their distribution list.  The IT team create the message using the proper HTML format and sent them out to the appropriate distribution list.</w:t>
      </w:r>
    </w:p>
    <w:p w:rsidR="00F42C14" w:rsidRPr="00F42C14" w:rsidRDefault="00F42C14" w:rsidP="004D2ABD">
      <w:pPr>
        <w:numPr>
          <w:ilvl w:val="1"/>
          <w:numId w:val="6"/>
        </w:numPr>
        <w:tabs>
          <w:tab w:val="left" w:pos="450"/>
        </w:tabs>
        <w:spacing w:line="276" w:lineRule="auto"/>
        <w:contextualSpacing/>
        <w:rPr>
          <w:b/>
          <w:szCs w:val="22"/>
        </w:rPr>
      </w:pPr>
      <w:r w:rsidRPr="00F42C14">
        <w:rPr>
          <w:b/>
          <w:szCs w:val="22"/>
        </w:rPr>
        <w:t>Google Drive</w:t>
      </w:r>
    </w:p>
    <w:p w:rsidR="00F42C14" w:rsidRPr="00F42C14" w:rsidRDefault="00F42C14" w:rsidP="00F42C14">
      <w:pPr>
        <w:tabs>
          <w:tab w:val="left" w:pos="450"/>
        </w:tabs>
        <w:spacing w:line="276" w:lineRule="auto"/>
        <w:ind w:left="1440"/>
        <w:contextualSpacing/>
        <w:rPr>
          <w:szCs w:val="22"/>
        </w:rPr>
      </w:pPr>
      <w:r w:rsidRPr="00F42C14">
        <w:rPr>
          <w:szCs w:val="22"/>
        </w:rPr>
        <w:t>WINTAC Google Drive is managed and supported by the IT team.  When requested, a new user is added or removed from the WINTAC Google Drive.</w:t>
      </w:r>
    </w:p>
    <w:p w:rsidR="00052933" w:rsidRDefault="00052933" w:rsidP="004A215C">
      <w:pPr>
        <w:pStyle w:val="NoSpacing"/>
      </w:pPr>
    </w:p>
    <w:p w:rsidR="00BB69A8" w:rsidRDefault="00BB69A8" w:rsidP="00176425">
      <w:pPr>
        <w:pStyle w:val="NoSpacing"/>
        <w:ind w:firstLine="720"/>
      </w:pPr>
      <w:r w:rsidRPr="001A0C9C">
        <w:t>The WINTAC website is starting to get populated with promising, effective or best practices as more VR programs create materials and de</w:t>
      </w:r>
      <w:r w:rsidRPr="007B1D6C">
        <w:t>velop programs in response to WIOA.  There haven’t been many b</w:t>
      </w:r>
      <w:r w:rsidRPr="00083ADA">
        <w:t xml:space="preserve">est practices to post to this point, because most of the VR programs have not fully developed or implemented WIOA-based programs.  As an example, it has been very difficult to gather best practices for Section 511 implementation because most agencies have </w:t>
      </w:r>
      <w:r w:rsidRPr="005F379B">
        <w:t>not fully developed their career counseling and information and referral (CC&amp;I&amp;R) materials yet.  The WINTAC met with the Idaho general VR program to develop CC&amp;I&amp;R documents over the course of two days in September this quarter.  The product of that meeti</w:t>
      </w:r>
      <w:r w:rsidRPr="001A0C9C">
        <w:t>ng was a presentation that IDVR staff will make to individuals working in subminimum wage employment in Idaho.  This presentation has been shared with four VR programs since its development, and each program expressed tremendous gratitude for giving them something to</w:t>
      </w:r>
      <w:r>
        <w:t xml:space="preserve"> </w:t>
      </w:r>
      <w:r>
        <w:lastRenderedPageBreak/>
        <w:t>work from.  In effect, the WINTAC was able to develop a best practice with Idaho that has already impacted other programs.  We anticipate that much of our information on best practices across the topic areas may stem from this kind of activity.</w:t>
      </w:r>
    </w:p>
    <w:p w:rsidR="00176425" w:rsidRDefault="00176425" w:rsidP="004A215C">
      <w:pPr>
        <w:pStyle w:val="NoSpacing"/>
      </w:pPr>
    </w:p>
    <w:p w:rsidR="00176425" w:rsidRDefault="00176425" w:rsidP="00176425">
      <w:pPr>
        <w:pStyle w:val="NoSpacing"/>
        <w:ind w:firstLine="720"/>
      </w:pPr>
      <w:r>
        <w:t>The WINTAC is utilizing RSA to review questions submitted by VR programs, and to review Tool Kit items like MOU templates for VR programs.  The pre-employment transition services team developed a template of an MOU between a VR program and a local education agency.  This MOU template has been shared numerous times since its approval by RSA and we are duplicating this effort in the MOU requirements between VR and DD agencies, core partners in the Workforce System, and other agencies.</w:t>
      </w:r>
    </w:p>
    <w:p w:rsidR="00BB69A8" w:rsidRDefault="00BB69A8" w:rsidP="004A215C">
      <w:pPr>
        <w:pStyle w:val="NoSpacing"/>
      </w:pPr>
    </w:p>
    <w:p w:rsidR="004A215C" w:rsidRDefault="004A215C" w:rsidP="00176425">
      <w:pPr>
        <w:pStyle w:val="NoSpacing"/>
        <w:ind w:firstLine="720"/>
      </w:pPr>
      <w:r>
        <w:t xml:space="preserve">The “Request TA” link available from the website has increased in usage in the last quarter.  The WINTAC received 12 requests for TA from the link in the fourth quarter, which was the total requested for the year.  These questions, primarily regarding implementation of Section 511, came from CRPs, DD agencies, school and university staff, and VR staff.  </w:t>
      </w:r>
      <w:r w:rsidR="001F4904">
        <w:t>Table 7</w:t>
      </w:r>
      <w:r>
        <w:t xml:space="preserve"> below identifies the requests by agency type and topic:</w:t>
      </w:r>
    </w:p>
    <w:p w:rsidR="004A215C" w:rsidRDefault="004A215C" w:rsidP="004A215C">
      <w:pPr>
        <w:pStyle w:val="NoSpacing"/>
      </w:pPr>
    </w:p>
    <w:p w:rsidR="001F4904" w:rsidRDefault="001F4904" w:rsidP="004A215C">
      <w:pPr>
        <w:pStyle w:val="NoSpacing"/>
      </w:pPr>
      <w:r>
        <w:t>Table 7</w:t>
      </w:r>
    </w:p>
    <w:tbl>
      <w:tblPr>
        <w:tblW w:w="5820" w:type="dxa"/>
        <w:tblLook w:val="04A0" w:firstRow="1" w:lastRow="0" w:firstColumn="1" w:lastColumn="0" w:noHBand="0" w:noVBand="1"/>
      </w:tblPr>
      <w:tblGrid>
        <w:gridCol w:w="3640"/>
        <w:gridCol w:w="1533"/>
        <w:gridCol w:w="647"/>
      </w:tblGrid>
      <w:tr w:rsidR="004A215C" w:rsidRPr="0096113C" w:rsidTr="00234F28">
        <w:trPr>
          <w:trHeight w:val="308"/>
        </w:trPr>
        <w:tc>
          <w:tcPr>
            <w:tcW w:w="364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rsidR="004A215C" w:rsidRPr="0096113C" w:rsidRDefault="004A215C" w:rsidP="00234F28">
            <w:pPr>
              <w:spacing w:after="0" w:line="240" w:lineRule="auto"/>
              <w:rPr>
                <w:rFonts w:eastAsia="Times New Roman"/>
                <w:b/>
                <w:bCs/>
                <w:color w:val="000000"/>
              </w:rPr>
            </w:pPr>
            <w:r w:rsidRPr="0096113C">
              <w:rPr>
                <w:rFonts w:eastAsia="Times New Roman"/>
                <w:b/>
                <w:bCs/>
                <w:color w:val="000000"/>
              </w:rPr>
              <w:t>Agency Type</w:t>
            </w:r>
          </w:p>
        </w:tc>
        <w:tc>
          <w:tcPr>
            <w:tcW w:w="2180" w:type="dxa"/>
            <w:gridSpan w:val="2"/>
            <w:tcBorders>
              <w:top w:val="single" w:sz="4" w:space="0" w:color="auto"/>
              <w:left w:val="nil"/>
              <w:bottom w:val="single" w:sz="4" w:space="0" w:color="auto"/>
              <w:right w:val="single" w:sz="4" w:space="0" w:color="auto"/>
            </w:tcBorders>
            <w:shd w:val="clear" w:color="000000" w:fill="FCE4D6"/>
            <w:noWrap/>
            <w:vAlign w:val="center"/>
            <w:hideMark/>
          </w:tcPr>
          <w:p w:rsidR="004A215C" w:rsidRPr="0096113C" w:rsidRDefault="004A215C" w:rsidP="00234F28">
            <w:pPr>
              <w:spacing w:after="0" w:line="240" w:lineRule="auto"/>
              <w:jc w:val="center"/>
              <w:rPr>
                <w:rFonts w:eastAsia="Times New Roman"/>
                <w:b/>
                <w:bCs/>
                <w:color w:val="000000"/>
              </w:rPr>
            </w:pPr>
            <w:r w:rsidRPr="0096113C">
              <w:rPr>
                <w:rFonts w:eastAsia="Times New Roman"/>
                <w:b/>
                <w:bCs/>
                <w:color w:val="000000"/>
              </w:rPr>
              <w:t>Topic Area</w:t>
            </w:r>
          </w:p>
        </w:tc>
      </w:tr>
      <w:tr w:rsidR="004A215C" w:rsidRPr="0096113C" w:rsidTr="00234F28">
        <w:trPr>
          <w:trHeight w:val="308"/>
        </w:trPr>
        <w:tc>
          <w:tcPr>
            <w:tcW w:w="3640" w:type="dxa"/>
            <w:vMerge/>
            <w:tcBorders>
              <w:top w:val="single" w:sz="4" w:space="0" w:color="auto"/>
              <w:left w:val="single" w:sz="4" w:space="0" w:color="auto"/>
              <w:bottom w:val="single" w:sz="4" w:space="0" w:color="auto"/>
              <w:right w:val="single" w:sz="4" w:space="0" w:color="auto"/>
            </w:tcBorders>
            <w:vAlign w:val="center"/>
            <w:hideMark/>
          </w:tcPr>
          <w:p w:rsidR="004A215C" w:rsidRPr="0096113C" w:rsidRDefault="004A215C" w:rsidP="00234F28">
            <w:pPr>
              <w:spacing w:after="0" w:line="240" w:lineRule="auto"/>
              <w:rPr>
                <w:rFonts w:eastAsia="Times New Roman"/>
                <w:b/>
                <w:bCs/>
                <w:color w:val="000000"/>
              </w:rPr>
            </w:pPr>
          </w:p>
        </w:tc>
        <w:tc>
          <w:tcPr>
            <w:tcW w:w="1533" w:type="dxa"/>
            <w:tcBorders>
              <w:top w:val="nil"/>
              <w:left w:val="nil"/>
              <w:bottom w:val="single" w:sz="4" w:space="0" w:color="auto"/>
              <w:right w:val="single" w:sz="4" w:space="0" w:color="auto"/>
            </w:tcBorders>
            <w:shd w:val="clear" w:color="000000" w:fill="FCE4D6"/>
            <w:noWrap/>
            <w:vAlign w:val="center"/>
            <w:hideMark/>
          </w:tcPr>
          <w:p w:rsidR="004A215C" w:rsidRPr="0096113C" w:rsidRDefault="004A215C" w:rsidP="00234F28">
            <w:pPr>
              <w:spacing w:after="0" w:line="240" w:lineRule="auto"/>
              <w:jc w:val="center"/>
              <w:rPr>
                <w:rFonts w:eastAsia="Times New Roman"/>
                <w:b/>
                <w:bCs/>
                <w:color w:val="000000"/>
              </w:rPr>
            </w:pPr>
            <w:r w:rsidRPr="0096113C">
              <w:rPr>
                <w:rFonts w:eastAsia="Times New Roman"/>
                <w:b/>
                <w:bCs/>
                <w:color w:val="000000"/>
              </w:rPr>
              <w:t>Pre-ETS</w:t>
            </w:r>
          </w:p>
        </w:tc>
        <w:tc>
          <w:tcPr>
            <w:tcW w:w="647" w:type="dxa"/>
            <w:tcBorders>
              <w:top w:val="nil"/>
              <w:left w:val="nil"/>
              <w:bottom w:val="single" w:sz="4" w:space="0" w:color="auto"/>
              <w:right w:val="single" w:sz="4" w:space="0" w:color="auto"/>
            </w:tcBorders>
            <w:shd w:val="clear" w:color="000000" w:fill="FCE4D6"/>
            <w:noWrap/>
            <w:vAlign w:val="center"/>
            <w:hideMark/>
          </w:tcPr>
          <w:p w:rsidR="004A215C" w:rsidRPr="0096113C" w:rsidRDefault="004A215C" w:rsidP="00234F28">
            <w:pPr>
              <w:spacing w:after="0" w:line="240" w:lineRule="auto"/>
              <w:jc w:val="center"/>
              <w:rPr>
                <w:rFonts w:eastAsia="Times New Roman"/>
                <w:b/>
                <w:bCs/>
                <w:color w:val="000000"/>
              </w:rPr>
            </w:pPr>
            <w:r w:rsidRPr="0096113C">
              <w:rPr>
                <w:rFonts w:eastAsia="Times New Roman"/>
                <w:b/>
                <w:bCs/>
                <w:color w:val="000000"/>
              </w:rPr>
              <w:t>511</w:t>
            </w:r>
          </w:p>
        </w:tc>
      </w:tr>
      <w:tr w:rsidR="004A215C" w:rsidRPr="0096113C" w:rsidTr="00234F28">
        <w:trPr>
          <w:trHeight w:val="308"/>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4A215C" w:rsidRPr="0096113C" w:rsidRDefault="004A215C" w:rsidP="00234F28">
            <w:pPr>
              <w:spacing w:after="0" w:line="240" w:lineRule="auto"/>
              <w:rPr>
                <w:rFonts w:eastAsia="Times New Roman"/>
                <w:color w:val="000000"/>
              </w:rPr>
            </w:pPr>
            <w:r w:rsidRPr="0096113C">
              <w:rPr>
                <w:rFonts w:eastAsia="Times New Roman"/>
                <w:color w:val="000000"/>
              </w:rPr>
              <w:t>VR Agency</w:t>
            </w:r>
          </w:p>
        </w:tc>
        <w:tc>
          <w:tcPr>
            <w:tcW w:w="1533" w:type="dxa"/>
            <w:tcBorders>
              <w:top w:val="nil"/>
              <w:left w:val="nil"/>
              <w:bottom w:val="single" w:sz="4" w:space="0" w:color="auto"/>
              <w:right w:val="single" w:sz="4" w:space="0" w:color="auto"/>
            </w:tcBorders>
            <w:shd w:val="clear" w:color="auto" w:fill="auto"/>
            <w:noWrap/>
            <w:vAlign w:val="center"/>
            <w:hideMark/>
          </w:tcPr>
          <w:p w:rsidR="004A215C" w:rsidRPr="0096113C" w:rsidRDefault="004A215C" w:rsidP="00234F28">
            <w:pPr>
              <w:spacing w:after="0" w:line="240" w:lineRule="auto"/>
              <w:jc w:val="right"/>
              <w:rPr>
                <w:rFonts w:eastAsia="Times New Roman"/>
                <w:color w:val="000000"/>
              </w:rPr>
            </w:pPr>
            <w:r w:rsidRPr="0096113C">
              <w:rPr>
                <w:rFonts w:eastAsia="Times New Roman"/>
                <w:color w:val="000000"/>
              </w:rPr>
              <w:t>1</w:t>
            </w:r>
          </w:p>
        </w:tc>
        <w:tc>
          <w:tcPr>
            <w:tcW w:w="647" w:type="dxa"/>
            <w:tcBorders>
              <w:top w:val="nil"/>
              <w:left w:val="nil"/>
              <w:bottom w:val="single" w:sz="4" w:space="0" w:color="auto"/>
              <w:right w:val="single" w:sz="4" w:space="0" w:color="auto"/>
            </w:tcBorders>
            <w:shd w:val="clear" w:color="auto" w:fill="auto"/>
            <w:noWrap/>
            <w:vAlign w:val="center"/>
            <w:hideMark/>
          </w:tcPr>
          <w:p w:rsidR="004A215C" w:rsidRPr="0096113C" w:rsidRDefault="004A215C" w:rsidP="00234F28">
            <w:pPr>
              <w:spacing w:after="0" w:line="240" w:lineRule="auto"/>
              <w:jc w:val="right"/>
              <w:rPr>
                <w:rFonts w:eastAsia="Times New Roman"/>
                <w:color w:val="000000"/>
              </w:rPr>
            </w:pPr>
            <w:r w:rsidRPr="0096113C">
              <w:rPr>
                <w:rFonts w:eastAsia="Times New Roman"/>
                <w:color w:val="000000"/>
              </w:rPr>
              <w:t>1</w:t>
            </w:r>
          </w:p>
        </w:tc>
      </w:tr>
      <w:tr w:rsidR="004A215C" w:rsidRPr="0096113C" w:rsidTr="00234F28">
        <w:trPr>
          <w:trHeight w:val="308"/>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4A215C" w:rsidRPr="0096113C" w:rsidRDefault="004A215C" w:rsidP="00234F28">
            <w:pPr>
              <w:spacing w:after="0" w:line="240" w:lineRule="auto"/>
              <w:rPr>
                <w:rFonts w:eastAsia="Times New Roman"/>
                <w:color w:val="000000"/>
              </w:rPr>
            </w:pPr>
            <w:r w:rsidRPr="0096113C">
              <w:rPr>
                <w:rFonts w:eastAsia="Times New Roman"/>
                <w:color w:val="000000"/>
              </w:rPr>
              <w:t>Developmental Disabilities Agency</w:t>
            </w:r>
          </w:p>
        </w:tc>
        <w:tc>
          <w:tcPr>
            <w:tcW w:w="1533" w:type="dxa"/>
            <w:tcBorders>
              <w:top w:val="nil"/>
              <w:left w:val="nil"/>
              <w:bottom w:val="single" w:sz="4" w:space="0" w:color="auto"/>
              <w:right w:val="single" w:sz="4" w:space="0" w:color="auto"/>
            </w:tcBorders>
            <w:shd w:val="clear" w:color="auto" w:fill="auto"/>
            <w:noWrap/>
            <w:vAlign w:val="center"/>
            <w:hideMark/>
          </w:tcPr>
          <w:p w:rsidR="004A215C" w:rsidRPr="0096113C" w:rsidRDefault="004A215C" w:rsidP="00234F28">
            <w:pPr>
              <w:spacing w:after="0" w:line="240" w:lineRule="auto"/>
              <w:rPr>
                <w:rFonts w:eastAsia="Times New Roman"/>
                <w:color w:val="000000"/>
              </w:rPr>
            </w:pPr>
            <w:r w:rsidRPr="0096113C">
              <w:rPr>
                <w:rFonts w:eastAsia="Times New Roman"/>
                <w:color w:val="000000"/>
              </w:rPr>
              <w:t> </w:t>
            </w:r>
          </w:p>
        </w:tc>
        <w:tc>
          <w:tcPr>
            <w:tcW w:w="647" w:type="dxa"/>
            <w:tcBorders>
              <w:top w:val="nil"/>
              <w:left w:val="nil"/>
              <w:bottom w:val="single" w:sz="4" w:space="0" w:color="auto"/>
              <w:right w:val="single" w:sz="4" w:space="0" w:color="auto"/>
            </w:tcBorders>
            <w:shd w:val="clear" w:color="auto" w:fill="auto"/>
            <w:noWrap/>
            <w:vAlign w:val="center"/>
            <w:hideMark/>
          </w:tcPr>
          <w:p w:rsidR="004A215C" w:rsidRPr="0096113C" w:rsidRDefault="004A215C" w:rsidP="00234F28">
            <w:pPr>
              <w:spacing w:after="0" w:line="240" w:lineRule="auto"/>
              <w:jc w:val="right"/>
              <w:rPr>
                <w:rFonts w:eastAsia="Times New Roman"/>
                <w:color w:val="000000"/>
              </w:rPr>
            </w:pPr>
            <w:r w:rsidRPr="0096113C">
              <w:rPr>
                <w:rFonts w:eastAsia="Times New Roman"/>
                <w:color w:val="000000"/>
              </w:rPr>
              <w:t>3</w:t>
            </w:r>
          </w:p>
        </w:tc>
      </w:tr>
      <w:tr w:rsidR="004A215C" w:rsidRPr="0096113C" w:rsidTr="00234F28">
        <w:trPr>
          <w:trHeight w:val="615"/>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4A215C" w:rsidRPr="0096113C" w:rsidRDefault="004A215C" w:rsidP="00234F28">
            <w:pPr>
              <w:spacing w:after="0" w:line="240" w:lineRule="auto"/>
              <w:rPr>
                <w:rFonts w:eastAsia="Times New Roman"/>
                <w:color w:val="000000"/>
              </w:rPr>
            </w:pPr>
            <w:r w:rsidRPr="0096113C">
              <w:rPr>
                <w:rFonts w:eastAsia="Times New Roman"/>
                <w:color w:val="000000"/>
              </w:rPr>
              <w:t>Secondary or postsecondary education</w:t>
            </w:r>
          </w:p>
        </w:tc>
        <w:tc>
          <w:tcPr>
            <w:tcW w:w="1533" w:type="dxa"/>
            <w:tcBorders>
              <w:top w:val="nil"/>
              <w:left w:val="nil"/>
              <w:bottom w:val="single" w:sz="4" w:space="0" w:color="auto"/>
              <w:right w:val="single" w:sz="4" w:space="0" w:color="auto"/>
            </w:tcBorders>
            <w:shd w:val="clear" w:color="auto" w:fill="auto"/>
            <w:noWrap/>
            <w:vAlign w:val="center"/>
            <w:hideMark/>
          </w:tcPr>
          <w:p w:rsidR="004A215C" w:rsidRPr="0096113C" w:rsidRDefault="004A215C" w:rsidP="00234F28">
            <w:pPr>
              <w:spacing w:after="0" w:line="240" w:lineRule="auto"/>
              <w:rPr>
                <w:rFonts w:eastAsia="Times New Roman"/>
                <w:color w:val="000000"/>
              </w:rPr>
            </w:pPr>
            <w:r w:rsidRPr="0096113C">
              <w:rPr>
                <w:rFonts w:eastAsia="Times New Roman"/>
                <w:color w:val="000000"/>
              </w:rPr>
              <w:t> </w:t>
            </w:r>
          </w:p>
        </w:tc>
        <w:tc>
          <w:tcPr>
            <w:tcW w:w="647" w:type="dxa"/>
            <w:tcBorders>
              <w:top w:val="nil"/>
              <w:left w:val="nil"/>
              <w:bottom w:val="single" w:sz="4" w:space="0" w:color="auto"/>
              <w:right w:val="single" w:sz="4" w:space="0" w:color="auto"/>
            </w:tcBorders>
            <w:shd w:val="clear" w:color="auto" w:fill="auto"/>
            <w:noWrap/>
            <w:vAlign w:val="center"/>
            <w:hideMark/>
          </w:tcPr>
          <w:p w:rsidR="004A215C" w:rsidRPr="0096113C" w:rsidRDefault="004A215C" w:rsidP="00234F28">
            <w:pPr>
              <w:spacing w:after="0" w:line="240" w:lineRule="auto"/>
              <w:jc w:val="right"/>
              <w:rPr>
                <w:rFonts w:eastAsia="Times New Roman"/>
                <w:color w:val="000000"/>
              </w:rPr>
            </w:pPr>
            <w:r w:rsidRPr="0096113C">
              <w:rPr>
                <w:rFonts w:eastAsia="Times New Roman"/>
                <w:color w:val="000000"/>
              </w:rPr>
              <w:t>3</w:t>
            </w:r>
          </w:p>
        </w:tc>
      </w:tr>
      <w:tr w:rsidR="004A215C" w:rsidRPr="0096113C" w:rsidTr="00234F28">
        <w:trPr>
          <w:trHeight w:val="308"/>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4A215C" w:rsidRPr="0096113C" w:rsidRDefault="004A215C" w:rsidP="00234F28">
            <w:pPr>
              <w:spacing w:after="0" w:line="240" w:lineRule="auto"/>
              <w:rPr>
                <w:rFonts w:eastAsia="Times New Roman"/>
                <w:color w:val="000000"/>
              </w:rPr>
            </w:pPr>
            <w:r w:rsidRPr="0096113C">
              <w:rPr>
                <w:rFonts w:eastAsia="Times New Roman"/>
                <w:color w:val="000000"/>
              </w:rPr>
              <w:t>CRP</w:t>
            </w:r>
          </w:p>
        </w:tc>
        <w:tc>
          <w:tcPr>
            <w:tcW w:w="1533" w:type="dxa"/>
            <w:tcBorders>
              <w:top w:val="nil"/>
              <w:left w:val="nil"/>
              <w:bottom w:val="single" w:sz="4" w:space="0" w:color="auto"/>
              <w:right w:val="single" w:sz="4" w:space="0" w:color="auto"/>
            </w:tcBorders>
            <w:shd w:val="clear" w:color="auto" w:fill="auto"/>
            <w:noWrap/>
            <w:vAlign w:val="center"/>
            <w:hideMark/>
          </w:tcPr>
          <w:p w:rsidR="004A215C" w:rsidRPr="0096113C" w:rsidRDefault="004A215C" w:rsidP="00234F28">
            <w:pPr>
              <w:spacing w:after="0" w:line="240" w:lineRule="auto"/>
              <w:rPr>
                <w:rFonts w:eastAsia="Times New Roman"/>
                <w:color w:val="000000"/>
              </w:rPr>
            </w:pPr>
            <w:r w:rsidRPr="0096113C">
              <w:rPr>
                <w:rFonts w:eastAsia="Times New Roman"/>
                <w:color w:val="000000"/>
              </w:rPr>
              <w:t> </w:t>
            </w:r>
          </w:p>
        </w:tc>
        <w:tc>
          <w:tcPr>
            <w:tcW w:w="647" w:type="dxa"/>
            <w:tcBorders>
              <w:top w:val="nil"/>
              <w:left w:val="nil"/>
              <w:bottom w:val="single" w:sz="4" w:space="0" w:color="auto"/>
              <w:right w:val="single" w:sz="4" w:space="0" w:color="auto"/>
            </w:tcBorders>
            <w:shd w:val="clear" w:color="auto" w:fill="auto"/>
            <w:noWrap/>
            <w:vAlign w:val="center"/>
            <w:hideMark/>
          </w:tcPr>
          <w:p w:rsidR="004A215C" w:rsidRPr="0096113C" w:rsidRDefault="004A215C" w:rsidP="00234F28">
            <w:pPr>
              <w:spacing w:after="0" w:line="240" w:lineRule="auto"/>
              <w:jc w:val="right"/>
              <w:rPr>
                <w:rFonts w:eastAsia="Times New Roman"/>
                <w:color w:val="000000"/>
              </w:rPr>
            </w:pPr>
            <w:r w:rsidRPr="0096113C">
              <w:rPr>
                <w:rFonts w:eastAsia="Times New Roman"/>
                <w:color w:val="000000"/>
              </w:rPr>
              <w:t>4</w:t>
            </w:r>
          </w:p>
        </w:tc>
      </w:tr>
      <w:tr w:rsidR="004A215C" w:rsidRPr="0096113C" w:rsidTr="00234F28">
        <w:trPr>
          <w:trHeight w:val="308"/>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4A215C" w:rsidRPr="0096113C" w:rsidRDefault="004A215C" w:rsidP="00234F28">
            <w:pPr>
              <w:spacing w:after="0" w:line="240" w:lineRule="auto"/>
              <w:jc w:val="right"/>
              <w:rPr>
                <w:rFonts w:eastAsia="Times New Roman"/>
                <w:b/>
                <w:bCs/>
                <w:color w:val="000000"/>
              </w:rPr>
            </w:pPr>
            <w:r w:rsidRPr="0096113C">
              <w:rPr>
                <w:rFonts w:eastAsia="Times New Roman"/>
                <w:b/>
                <w:bCs/>
                <w:color w:val="000000"/>
              </w:rPr>
              <w:t>Total</w:t>
            </w:r>
          </w:p>
        </w:tc>
        <w:tc>
          <w:tcPr>
            <w:tcW w:w="1533" w:type="dxa"/>
            <w:tcBorders>
              <w:top w:val="nil"/>
              <w:left w:val="nil"/>
              <w:bottom w:val="single" w:sz="4" w:space="0" w:color="auto"/>
              <w:right w:val="single" w:sz="4" w:space="0" w:color="auto"/>
            </w:tcBorders>
            <w:shd w:val="clear" w:color="auto" w:fill="auto"/>
            <w:noWrap/>
            <w:vAlign w:val="center"/>
            <w:hideMark/>
          </w:tcPr>
          <w:p w:rsidR="004A215C" w:rsidRPr="0096113C" w:rsidRDefault="004A215C" w:rsidP="00234F28">
            <w:pPr>
              <w:spacing w:after="0" w:line="240" w:lineRule="auto"/>
              <w:jc w:val="right"/>
              <w:rPr>
                <w:rFonts w:eastAsia="Times New Roman"/>
                <w:color w:val="000000"/>
              </w:rPr>
            </w:pPr>
            <w:r w:rsidRPr="0096113C">
              <w:rPr>
                <w:rFonts w:eastAsia="Times New Roman"/>
                <w:color w:val="000000"/>
              </w:rPr>
              <w:t>1</w:t>
            </w:r>
          </w:p>
        </w:tc>
        <w:tc>
          <w:tcPr>
            <w:tcW w:w="647" w:type="dxa"/>
            <w:tcBorders>
              <w:top w:val="nil"/>
              <w:left w:val="nil"/>
              <w:bottom w:val="single" w:sz="4" w:space="0" w:color="auto"/>
              <w:right w:val="single" w:sz="4" w:space="0" w:color="auto"/>
            </w:tcBorders>
            <w:shd w:val="clear" w:color="auto" w:fill="auto"/>
            <w:noWrap/>
            <w:vAlign w:val="center"/>
            <w:hideMark/>
          </w:tcPr>
          <w:p w:rsidR="004A215C" w:rsidRPr="0096113C" w:rsidRDefault="004A215C" w:rsidP="00234F28">
            <w:pPr>
              <w:spacing w:after="0" w:line="240" w:lineRule="auto"/>
              <w:jc w:val="right"/>
              <w:rPr>
                <w:rFonts w:eastAsia="Times New Roman"/>
                <w:color w:val="000000"/>
              </w:rPr>
            </w:pPr>
            <w:r w:rsidRPr="0096113C">
              <w:rPr>
                <w:rFonts w:eastAsia="Times New Roman"/>
                <w:color w:val="000000"/>
              </w:rPr>
              <w:t>11</w:t>
            </w:r>
          </w:p>
        </w:tc>
      </w:tr>
    </w:tbl>
    <w:p w:rsidR="004207B1" w:rsidRDefault="004207B1" w:rsidP="008A3695">
      <w:pPr>
        <w:pStyle w:val="NoSpacing"/>
      </w:pPr>
    </w:p>
    <w:p w:rsidR="004A215C" w:rsidRDefault="00234F28" w:rsidP="00176425">
      <w:pPr>
        <w:pStyle w:val="NoSpacing"/>
        <w:ind w:firstLine="720"/>
      </w:pPr>
      <w:r>
        <w:t>Most of the universal TA requests that began in the 2</w:t>
      </w:r>
      <w:r w:rsidRPr="00234F28">
        <w:rPr>
          <w:vertAlign w:val="superscript"/>
        </w:rPr>
        <w:t>nd</w:t>
      </w:r>
      <w:r>
        <w:t xml:space="preserve"> and 3</w:t>
      </w:r>
      <w:r w:rsidRPr="00234F28">
        <w:rPr>
          <w:vertAlign w:val="superscript"/>
        </w:rPr>
        <w:t>rd</w:t>
      </w:r>
      <w:r>
        <w:t xml:space="preserve"> quarters have developed into targeted or intensive TA.  The fourth quarter only included </w:t>
      </w:r>
      <w:r w:rsidR="007A0B49">
        <w:t>four requests for TA that would be considered universal in nature through avenues other than the website, such as phone or e-mail.  These requests came from Colorado combined, DC combined, New York general, and Pennsylvania combined.  These requests were as follows:</w:t>
      </w:r>
    </w:p>
    <w:p w:rsidR="007A0B49" w:rsidRDefault="007A0B49" w:rsidP="008A3695">
      <w:pPr>
        <w:pStyle w:val="NoSpacing"/>
      </w:pPr>
    </w:p>
    <w:p w:rsidR="007A0B49" w:rsidRDefault="007A0B49" w:rsidP="004D2ABD">
      <w:pPr>
        <w:pStyle w:val="NoSpacing"/>
        <w:numPr>
          <w:ilvl w:val="0"/>
          <w:numId w:val="2"/>
        </w:numPr>
      </w:pPr>
      <w:r>
        <w:t>Colorado combined:  A series of questions regarding Section 511</w:t>
      </w:r>
    </w:p>
    <w:p w:rsidR="007A0B49" w:rsidRDefault="007A0B49" w:rsidP="004D2ABD">
      <w:pPr>
        <w:pStyle w:val="NoSpacing"/>
        <w:numPr>
          <w:ilvl w:val="0"/>
          <w:numId w:val="1"/>
        </w:numPr>
      </w:pPr>
      <w:r>
        <w:t>DC combined: A series of questions on pre-employment transition services and common performance measures.  This activity is likely to lead to an intensive TA agreement with them.</w:t>
      </w:r>
    </w:p>
    <w:p w:rsidR="007A0B49" w:rsidRDefault="007A0B49" w:rsidP="004D2ABD">
      <w:pPr>
        <w:pStyle w:val="NoSpacing"/>
        <w:numPr>
          <w:ilvl w:val="0"/>
          <w:numId w:val="1"/>
        </w:numPr>
      </w:pPr>
      <w:r>
        <w:t xml:space="preserve">New York general: </w:t>
      </w:r>
      <w:r w:rsidR="007B1D6C">
        <w:t>A</w:t>
      </w:r>
      <w:r>
        <w:t xml:space="preserve"> series of questions on common performance measures and best practices for transitioning to these measures.  This is likely to lead to a Targeted TA intervention.</w:t>
      </w:r>
    </w:p>
    <w:p w:rsidR="007A0B49" w:rsidRDefault="007A0B49" w:rsidP="004D2ABD">
      <w:pPr>
        <w:pStyle w:val="NoSpacing"/>
        <w:numPr>
          <w:ilvl w:val="0"/>
          <w:numId w:val="1"/>
        </w:numPr>
      </w:pPr>
      <w:r>
        <w:t>Pennsylvania combined: Although we have been working with Pennsylvania to become a SARA pilot site, they had their first request for information/TA outside of that area in the fourth quarter.  They requested information on pre-employment transition services and Section 511.</w:t>
      </w:r>
    </w:p>
    <w:p w:rsidR="006E6A05" w:rsidRDefault="00BA2283" w:rsidP="00226A3F">
      <w:pPr>
        <w:pStyle w:val="NoSpacing"/>
      </w:pPr>
      <w:r>
        <w:rPr>
          <w:b/>
        </w:rPr>
        <w:lastRenderedPageBreak/>
        <w:pict>
          <v:rect id="_x0000_i1025" style="width:0;height:1.5pt" o:hralign="center" o:hrstd="t" o:hr="t" fillcolor="#a0a0a0" stroked="f"/>
        </w:pict>
      </w:r>
    </w:p>
    <w:p w:rsidR="006E6A05" w:rsidRDefault="006E6A05" w:rsidP="001061BF">
      <w:pPr>
        <w:pStyle w:val="NoSpacing"/>
      </w:pPr>
    </w:p>
    <w:p w:rsidR="001061BF" w:rsidRPr="0045221A" w:rsidRDefault="001061BF" w:rsidP="0045221A">
      <w:pPr>
        <w:pStyle w:val="NoSpacing"/>
        <w:shd w:val="clear" w:color="auto" w:fill="FFF2CC" w:themeFill="accent4" w:themeFillTint="33"/>
        <w:jc w:val="center"/>
        <w:rPr>
          <w:b/>
          <w:sz w:val="28"/>
        </w:rPr>
      </w:pPr>
      <w:r w:rsidRPr="0045221A">
        <w:rPr>
          <w:b/>
          <w:sz w:val="28"/>
        </w:rPr>
        <w:t>Section I</w:t>
      </w:r>
      <w:r w:rsidR="009A0D0E">
        <w:rPr>
          <w:b/>
          <w:sz w:val="28"/>
        </w:rPr>
        <w:t>I</w:t>
      </w:r>
      <w:r w:rsidRPr="0045221A">
        <w:rPr>
          <w:b/>
          <w:sz w:val="28"/>
        </w:rPr>
        <w:t>I: Targeted TA</w:t>
      </w:r>
    </w:p>
    <w:p w:rsidR="00E94C3A" w:rsidRDefault="00E94C3A" w:rsidP="00E94C3A">
      <w:pPr>
        <w:pStyle w:val="NoSpacing"/>
      </w:pPr>
    </w:p>
    <w:p w:rsidR="00B72728" w:rsidRDefault="00B72728" w:rsidP="00B72728">
      <w:pPr>
        <w:pStyle w:val="NoSpacing"/>
        <w:ind w:firstLine="720"/>
      </w:pPr>
      <w:r>
        <w:t xml:space="preserve">The fourth quarter of Year One was a very busy time for targeted TA.  In tables </w:t>
      </w:r>
      <w:r w:rsidR="001F4904">
        <w:t>8-10</w:t>
      </w:r>
      <w:r>
        <w:t xml:space="preserve"> below, the progression and intensity of targeted TA by quarter is illustrated:</w:t>
      </w:r>
    </w:p>
    <w:p w:rsidR="00B72728" w:rsidRDefault="00B72728" w:rsidP="00B72728">
      <w:pPr>
        <w:pStyle w:val="NoSpacing"/>
      </w:pPr>
    </w:p>
    <w:p w:rsidR="001F4904" w:rsidRDefault="001F4904" w:rsidP="00B72728">
      <w:pPr>
        <w:pStyle w:val="NoSpacing"/>
      </w:pPr>
      <w:r>
        <w:t>Table 8</w:t>
      </w:r>
    </w:p>
    <w:tbl>
      <w:tblPr>
        <w:tblW w:w="5060" w:type="dxa"/>
        <w:tblLook w:val="04A0" w:firstRow="1" w:lastRow="0" w:firstColumn="1" w:lastColumn="0" w:noHBand="0" w:noVBand="1"/>
      </w:tblPr>
      <w:tblGrid>
        <w:gridCol w:w="4102"/>
        <w:gridCol w:w="1070"/>
      </w:tblGrid>
      <w:tr w:rsidR="00B72728" w:rsidRPr="00B72728" w:rsidTr="00B72728">
        <w:trPr>
          <w:trHeight w:val="308"/>
        </w:trPr>
        <w:tc>
          <w:tcPr>
            <w:tcW w:w="5060" w:type="dxa"/>
            <w:gridSpan w:val="2"/>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B72728" w:rsidRPr="00B72728" w:rsidRDefault="00B72728" w:rsidP="00B72728">
            <w:pPr>
              <w:spacing w:after="0" w:line="240" w:lineRule="auto"/>
              <w:jc w:val="center"/>
              <w:rPr>
                <w:rFonts w:eastAsia="Times New Roman"/>
                <w:b/>
                <w:bCs/>
                <w:color w:val="000000"/>
              </w:rPr>
            </w:pPr>
            <w:r w:rsidRPr="00B72728">
              <w:rPr>
                <w:rFonts w:eastAsia="Times New Roman"/>
                <w:b/>
                <w:bCs/>
                <w:color w:val="000000"/>
              </w:rPr>
              <w:t>Targeted TA 1st and 2nd Quarters Year One</w:t>
            </w:r>
          </w:p>
        </w:tc>
      </w:tr>
      <w:tr w:rsidR="00B72728" w:rsidRPr="00B72728" w:rsidTr="00B72728">
        <w:trPr>
          <w:trHeight w:val="315"/>
        </w:trPr>
        <w:tc>
          <w:tcPr>
            <w:tcW w:w="5060" w:type="dxa"/>
            <w:gridSpan w:val="2"/>
            <w:tcBorders>
              <w:top w:val="nil"/>
              <w:left w:val="single" w:sz="8" w:space="0" w:color="auto"/>
              <w:bottom w:val="single" w:sz="8" w:space="0" w:color="auto"/>
              <w:right w:val="single" w:sz="8" w:space="0" w:color="000000"/>
            </w:tcBorders>
            <w:shd w:val="clear" w:color="000000" w:fill="F8CBAD"/>
            <w:noWrap/>
            <w:vAlign w:val="center"/>
            <w:hideMark/>
          </w:tcPr>
          <w:p w:rsidR="00B72728" w:rsidRPr="00B72728" w:rsidRDefault="00B72728" w:rsidP="00B72728">
            <w:pPr>
              <w:spacing w:after="0" w:line="240" w:lineRule="auto"/>
              <w:jc w:val="center"/>
              <w:rPr>
                <w:rFonts w:eastAsia="Times New Roman"/>
                <w:b/>
                <w:bCs/>
                <w:color w:val="000000"/>
              </w:rPr>
            </w:pPr>
            <w:r w:rsidRPr="00B72728">
              <w:rPr>
                <w:rFonts w:eastAsia="Times New Roman"/>
                <w:b/>
                <w:bCs/>
                <w:color w:val="000000"/>
              </w:rPr>
              <w:t xml:space="preserve">Number of Attendees/Participants by Agency </w:t>
            </w:r>
          </w:p>
        </w:tc>
      </w:tr>
      <w:tr w:rsidR="00B72728" w:rsidRPr="00B72728" w:rsidTr="00B72728">
        <w:trPr>
          <w:trHeight w:val="315"/>
        </w:trPr>
        <w:tc>
          <w:tcPr>
            <w:tcW w:w="4102" w:type="dxa"/>
            <w:tcBorders>
              <w:top w:val="nil"/>
              <w:left w:val="single" w:sz="8" w:space="0" w:color="auto"/>
              <w:bottom w:val="single" w:sz="8" w:space="0" w:color="auto"/>
              <w:right w:val="single" w:sz="8" w:space="0" w:color="auto"/>
            </w:tcBorders>
            <w:shd w:val="clear" w:color="000000" w:fill="F8CBAD"/>
            <w:noWrap/>
            <w:vAlign w:val="center"/>
            <w:hideMark/>
          </w:tcPr>
          <w:p w:rsidR="00B72728" w:rsidRPr="00B72728" w:rsidRDefault="00B72728" w:rsidP="00B72728">
            <w:pPr>
              <w:spacing w:after="0" w:line="240" w:lineRule="auto"/>
              <w:jc w:val="center"/>
              <w:rPr>
                <w:rFonts w:eastAsia="Times New Roman"/>
                <w:b/>
                <w:bCs/>
                <w:color w:val="000000"/>
              </w:rPr>
            </w:pPr>
            <w:r w:rsidRPr="00B72728">
              <w:rPr>
                <w:rFonts w:eastAsia="Times New Roman"/>
                <w:b/>
                <w:bCs/>
                <w:color w:val="000000"/>
              </w:rPr>
              <w:t>Agency</w:t>
            </w:r>
          </w:p>
        </w:tc>
        <w:tc>
          <w:tcPr>
            <w:tcW w:w="958" w:type="dxa"/>
            <w:tcBorders>
              <w:top w:val="nil"/>
              <w:left w:val="nil"/>
              <w:bottom w:val="single" w:sz="8" w:space="0" w:color="auto"/>
              <w:right w:val="single" w:sz="8" w:space="0" w:color="auto"/>
            </w:tcBorders>
            <w:shd w:val="clear" w:color="000000" w:fill="F8CBAD"/>
            <w:noWrap/>
            <w:vAlign w:val="center"/>
            <w:hideMark/>
          </w:tcPr>
          <w:p w:rsidR="00B72728" w:rsidRPr="00B72728" w:rsidRDefault="00B72728" w:rsidP="00B72728">
            <w:pPr>
              <w:spacing w:after="0" w:line="240" w:lineRule="auto"/>
              <w:jc w:val="center"/>
              <w:rPr>
                <w:rFonts w:eastAsia="Times New Roman"/>
                <w:b/>
                <w:bCs/>
                <w:color w:val="000000"/>
              </w:rPr>
            </w:pPr>
            <w:r w:rsidRPr="00B72728">
              <w:rPr>
                <w:rFonts w:eastAsia="Times New Roman"/>
                <w:b/>
                <w:bCs/>
                <w:color w:val="000000"/>
              </w:rPr>
              <w:t>Number</w:t>
            </w:r>
          </w:p>
        </w:tc>
      </w:tr>
      <w:tr w:rsidR="00B72728" w:rsidRPr="00B72728" w:rsidTr="00B72728">
        <w:trPr>
          <w:trHeight w:val="315"/>
        </w:trPr>
        <w:tc>
          <w:tcPr>
            <w:tcW w:w="4102" w:type="dxa"/>
            <w:tcBorders>
              <w:top w:val="nil"/>
              <w:left w:val="single" w:sz="8" w:space="0" w:color="auto"/>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rPr>
                <w:rFonts w:eastAsia="Times New Roman"/>
                <w:color w:val="000000"/>
              </w:rPr>
            </w:pPr>
            <w:r w:rsidRPr="00B72728">
              <w:rPr>
                <w:rFonts w:eastAsia="Times New Roman"/>
                <w:color w:val="000000"/>
              </w:rPr>
              <w:t>State VR Agency</w:t>
            </w:r>
          </w:p>
        </w:tc>
        <w:tc>
          <w:tcPr>
            <w:tcW w:w="958" w:type="dxa"/>
            <w:tcBorders>
              <w:top w:val="nil"/>
              <w:left w:val="nil"/>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jc w:val="right"/>
              <w:rPr>
                <w:rFonts w:eastAsia="Times New Roman"/>
                <w:color w:val="000000"/>
              </w:rPr>
            </w:pPr>
            <w:r w:rsidRPr="00B72728">
              <w:rPr>
                <w:rFonts w:eastAsia="Times New Roman"/>
                <w:color w:val="000000"/>
              </w:rPr>
              <w:t>28</w:t>
            </w:r>
          </w:p>
        </w:tc>
      </w:tr>
      <w:tr w:rsidR="00B72728" w:rsidRPr="00B72728" w:rsidTr="00B72728">
        <w:trPr>
          <w:trHeight w:val="315"/>
        </w:trPr>
        <w:tc>
          <w:tcPr>
            <w:tcW w:w="4102" w:type="dxa"/>
            <w:tcBorders>
              <w:top w:val="nil"/>
              <w:left w:val="single" w:sz="8" w:space="0" w:color="auto"/>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rPr>
                <w:rFonts w:eastAsia="Times New Roman"/>
                <w:color w:val="000000"/>
              </w:rPr>
            </w:pPr>
            <w:r w:rsidRPr="00B72728">
              <w:rPr>
                <w:rFonts w:eastAsia="Times New Roman"/>
                <w:color w:val="000000"/>
              </w:rPr>
              <w:t>Federal Agency</w:t>
            </w:r>
          </w:p>
        </w:tc>
        <w:tc>
          <w:tcPr>
            <w:tcW w:w="958" w:type="dxa"/>
            <w:tcBorders>
              <w:top w:val="nil"/>
              <w:left w:val="nil"/>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jc w:val="right"/>
              <w:rPr>
                <w:rFonts w:eastAsia="Times New Roman"/>
                <w:color w:val="000000"/>
              </w:rPr>
            </w:pPr>
            <w:r w:rsidRPr="00B72728">
              <w:rPr>
                <w:rFonts w:eastAsia="Times New Roman"/>
                <w:color w:val="000000"/>
              </w:rPr>
              <w:t>14</w:t>
            </w:r>
          </w:p>
        </w:tc>
      </w:tr>
      <w:tr w:rsidR="00B72728" w:rsidRPr="00B72728" w:rsidTr="00B72728">
        <w:trPr>
          <w:trHeight w:val="315"/>
        </w:trPr>
        <w:tc>
          <w:tcPr>
            <w:tcW w:w="4102" w:type="dxa"/>
            <w:tcBorders>
              <w:top w:val="nil"/>
              <w:left w:val="single" w:sz="8" w:space="0" w:color="auto"/>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rPr>
                <w:rFonts w:eastAsia="Times New Roman"/>
                <w:color w:val="000000"/>
              </w:rPr>
            </w:pPr>
            <w:r w:rsidRPr="00B72728">
              <w:rPr>
                <w:rFonts w:eastAsia="Times New Roman"/>
                <w:color w:val="000000"/>
              </w:rPr>
              <w:t>Secondary or Postsecondary Education</w:t>
            </w:r>
          </w:p>
        </w:tc>
        <w:tc>
          <w:tcPr>
            <w:tcW w:w="958" w:type="dxa"/>
            <w:tcBorders>
              <w:top w:val="nil"/>
              <w:left w:val="nil"/>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jc w:val="right"/>
              <w:rPr>
                <w:rFonts w:eastAsia="Times New Roman"/>
                <w:color w:val="000000"/>
              </w:rPr>
            </w:pPr>
            <w:r w:rsidRPr="00B72728">
              <w:rPr>
                <w:rFonts w:eastAsia="Times New Roman"/>
                <w:color w:val="000000"/>
              </w:rPr>
              <w:t>9</w:t>
            </w:r>
          </w:p>
        </w:tc>
      </w:tr>
      <w:tr w:rsidR="00B72728" w:rsidRPr="00B72728" w:rsidTr="00B72728">
        <w:trPr>
          <w:trHeight w:val="315"/>
        </w:trPr>
        <w:tc>
          <w:tcPr>
            <w:tcW w:w="4102" w:type="dxa"/>
            <w:tcBorders>
              <w:top w:val="nil"/>
              <w:left w:val="single" w:sz="8" w:space="0" w:color="auto"/>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rPr>
                <w:rFonts w:eastAsia="Times New Roman"/>
                <w:color w:val="000000"/>
              </w:rPr>
            </w:pPr>
            <w:r w:rsidRPr="00B72728">
              <w:rPr>
                <w:rFonts w:eastAsia="Times New Roman"/>
                <w:color w:val="000000"/>
              </w:rPr>
              <w:t>Community Rehabilitation Program</w:t>
            </w:r>
          </w:p>
        </w:tc>
        <w:tc>
          <w:tcPr>
            <w:tcW w:w="958" w:type="dxa"/>
            <w:tcBorders>
              <w:top w:val="nil"/>
              <w:left w:val="nil"/>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rPr>
                <w:rFonts w:eastAsia="Times New Roman"/>
                <w:color w:val="000000"/>
              </w:rPr>
            </w:pPr>
            <w:r w:rsidRPr="00B72728">
              <w:rPr>
                <w:rFonts w:eastAsia="Times New Roman"/>
                <w:color w:val="000000"/>
              </w:rPr>
              <w:t> </w:t>
            </w:r>
          </w:p>
        </w:tc>
      </w:tr>
      <w:tr w:rsidR="00B72728" w:rsidRPr="00B72728" w:rsidTr="00B72728">
        <w:trPr>
          <w:trHeight w:val="315"/>
        </w:trPr>
        <w:tc>
          <w:tcPr>
            <w:tcW w:w="4102" w:type="dxa"/>
            <w:tcBorders>
              <w:top w:val="nil"/>
              <w:left w:val="single" w:sz="8" w:space="0" w:color="auto"/>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rPr>
                <w:rFonts w:eastAsia="Times New Roman"/>
                <w:color w:val="000000"/>
              </w:rPr>
            </w:pPr>
            <w:r w:rsidRPr="00B72728">
              <w:rPr>
                <w:rFonts w:eastAsia="Times New Roman"/>
                <w:color w:val="000000"/>
              </w:rPr>
              <w:t>Other Rehabilitation Professional</w:t>
            </w:r>
          </w:p>
        </w:tc>
        <w:tc>
          <w:tcPr>
            <w:tcW w:w="958" w:type="dxa"/>
            <w:tcBorders>
              <w:top w:val="nil"/>
              <w:left w:val="nil"/>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jc w:val="right"/>
              <w:rPr>
                <w:rFonts w:eastAsia="Times New Roman"/>
                <w:color w:val="000000"/>
              </w:rPr>
            </w:pPr>
            <w:r w:rsidRPr="00B72728">
              <w:rPr>
                <w:rFonts w:eastAsia="Times New Roman"/>
                <w:color w:val="000000"/>
              </w:rPr>
              <w:t>5</w:t>
            </w:r>
          </w:p>
        </w:tc>
      </w:tr>
      <w:tr w:rsidR="00B72728" w:rsidRPr="00B72728" w:rsidTr="00B72728">
        <w:trPr>
          <w:trHeight w:val="315"/>
        </w:trPr>
        <w:tc>
          <w:tcPr>
            <w:tcW w:w="4102" w:type="dxa"/>
            <w:tcBorders>
              <w:top w:val="nil"/>
              <w:left w:val="single" w:sz="8" w:space="0" w:color="auto"/>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rPr>
                <w:rFonts w:eastAsia="Times New Roman"/>
                <w:color w:val="000000"/>
              </w:rPr>
            </w:pPr>
            <w:r w:rsidRPr="00B72728">
              <w:rPr>
                <w:rFonts w:eastAsia="Times New Roman"/>
                <w:color w:val="000000"/>
              </w:rPr>
              <w:t>Other public organizations</w:t>
            </w:r>
          </w:p>
        </w:tc>
        <w:tc>
          <w:tcPr>
            <w:tcW w:w="958" w:type="dxa"/>
            <w:tcBorders>
              <w:top w:val="nil"/>
              <w:left w:val="nil"/>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jc w:val="right"/>
              <w:rPr>
                <w:rFonts w:eastAsia="Times New Roman"/>
                <w:color w:val="000000"/>
              </w:rPr>
            </w:pPr>
            <w:r w:rsidRPr="00B72728">
              <w:rPr>
                <w:rFonts w:eastAsia="Times New Roman"/>
                <w:color w:val="000000"/>
              </w:rPr>
              <w:t>7</w:t>
            </w:r>
          </w:p>
        </w:tc>
      </w:tr>
      <w:tr w:rsidR="00B72728" w:rsidRPr="00B72728" w:rsidTr="00B72728">
        <w:trPr>
          <w:trHeight w:val="315"/>
        </w:trPr>
        <w:tc>
          <w:tcPr>
            <w:tcW w:w="4102" w:type="dxa"/>
            <w:tcBorders>
              <w:top w:val="nil"/>
              <w:left w:val="single" w:sz="8" w:space="0" w:color="auto"/>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rPr>
                <w:rFonts w:eastAsia="Times New Roman"/>
                <w:color w:val="000000"/>
              </w:rPr>
            </w:pPr>
            <w:r w:rsidRPr="00B72728">
              <w:rPr>
                <w:rFonts w:eastAsia="Times New Roman"/>
                <w:color w:val="000000"/>
              </w:rPr>
              <w:t>Other private organizations</w:t>
            </w:r>
          </w:p>
        </w:tc>
        <w:tc>
          <w:tcPr>
            <w:tcW w:w="958" w:type="dxa"/>
            <w:tcBorders>
              <w:top w:val="nil"/>
              <w:left w:val="nil"/>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rPr>
                <w:rFonts w:eastAsia="Times New Roman"/>
                <w:color w:val="000000"/>
              </w:rPr>
            </w:pPr>
            <w:r w:rsidRPr="00B72728">
              <w:rPr>
                <w:rFonts w:eastAsia="Times New Roman"/>
                <w:color w:val="000000"/>
              </w:rPr>
              <w:t> </w:t>
            </w:r>
          </w:p>
        </w:tc>
      </w:tr>
      <w:tr w:rsidR="00B72728" w:rsidRPr="00B72728" w:rsidTr="00B72728">
        <w:trPr>
          <w:trHeight w:val="315"/>
        </w:trPr>
        <w:tc>
          <w:tcPr>
            <w:tcW w:w="4102" w:type="dxa"/>
            <w:tcBorders>
              <w:top w:val="nil"/>
              <w:left w:val="single" w:sz="8" w:space="0" w:color="auto"/>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rPr>
                <w:rFonts w:eastAsia="Times New Roman"/>
                <w:color w:val="000000"/>
              </w:rPr>
            </w:pPr>
            <w:r w:rsidRPr="00B72728">
              <w:rPr>
                <w:rFonts w:eastAsia="Times New Roman"/>
                <w:color w:val="000000"/>
              </w:rPr>
              <w:t>Individual</w:t>
            </w:r>
          </w:p>
        </w:tc>
        <w:tc>
          <w:tcPr>
            <w:tcW w:w="958" w:type="dxa"/>
            <w:tcBorders>
              <w:top w:val="nil"/>
              <w:left w:val="nil"/>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rPr>
                <w:rFonts w:eastAsia="Times New Roman"/>
                <w:color w:val="000000"/>
              </w:rPr>
            </w:pPr>
            <w:r w:rsidRPr="00B72728">
              <w:rPr>
                <w:rFonts w:eastAsia="Times New Roman"/>
                <w:color w:val="000000"/>
              </w:rPr>
              <w:t> </w:t>
            </w:r>
          </w:p>
        </w:tc>
      </w:tr>
      <w:tr w:rsidR="00B72728" w:rsidRPr="00B72728" w:rsidTr="00B72728">
        <w:trPr>
          <w:trHeight w:val="315"/>
        </w:trPr>
        <w:tc>
          <w:tcPr>
            <w:tcW w:w="4102" w:type="dxa"/>
            <w:tcBorders>
              <w:top w:val="nil"/>
              <w:left w:val="single" w:sz="8" w:space="0" w:color="auto"/>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rPr>
                <w:rFonts w:eastAsia="Times New Roman"/>
                <w:color w:val="000000"/>
              </w:rPr>
            </w:pPr>
            <w:r w:rsidRPr="00B72728">
              <w:rPr>
                <w:rFonts w:eastAsia="Times New Roman"/>
                <w:color w:val="000000"/>
              </w:rPr>
              <w:t>Other</w:t>
            </w:r>
          </w:p>
        </w:tc>
        <w:tc>
          <w:tcPr>
            <w:tcW w:w="958" w:type="dxa"/>
            <w:tcBorders>
              <w:top w:val="nil"/>
              <w:left w:val="nil"/>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rPr>
                <w:rFonts w:eastAsia="Times New Roman"/>
                <w:color w:val="000000"/>
              </w:rPr>
            </w:pPr>
            <w:r w:rsidRPr="00B72728">
              <w:rPr>
                <w:rFonts w:eastAsia="Times New Roman"/>
                <w:color w:val="000000"/>
              </w:rPr>
              <w:t> </w:t>
            </w:r>
          </w:p>
        </w:tc>
      </w:tr>
      <w:tr w:rsidR="00B72728" w:rsidRPr="00B72728" w:rsidTr="00B72728">
        <w:trPr>
          <w:trHeight w:val="315"/>
        </w:trPr>
        <w:tc>
          <w:tcPr>
            <w:tcW w:w="4102" w:type="dxa"/>
            <w:tcBorders>
              <w:top w:val="nil"/>
              <w:left w:val="single" w:sz="8" w:space="0" w:color="auto"/>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jc w:val="right"/>
              <w:rPr>
                <w:rFonts w:eastAsia="Times New Roman"/>
                <w:b/>
                <w:bCs/>
                <w:color w:val="000000"/>
              </w:rPr>
            </w:pPr>
            <w:r w:rsidRPr="00B72728">
              <w:rPr>
                <w:rFonts w:eastAsia="Times New Roman"/>
                <w:b/>
                <w:bCs/>
                <w:color w:val="000000"/>
              </w:rPr>
              <w:t>Total:</w:t>
            </w:r>
          </w:p>
        </w:tc>
        <w:tc>
          <w:tcPr>
            <w:tcW w:w="958" w:type="dxa"/>
            <w:tcBorders>
              <w:top w:val="nil"/>
              <w:left w:val="nil"/>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jc w:val="right"/>
              <w:rPr>
                <w:rFonts w:eastAsia="Times New Roman"/>
                <w:color w:val="000000"/>
              </w:rPr>
            </w:pPr>
            <w:r w:rsidRPr="00B72728">
              <w:rPr>
                <w:rFonts w:eastAsia="Times New Roman"/>
                <w:color w:val="000000"/>
              </w:rPr>
              <w:t>63</w:t>
            </w:r>
          </w:p>
        </w:tc>
      </w:tr>
    </w:tbl>
    <w:p w:rsidR="00B72728" w:rsidRDefault="00B72728" w:rsidP="00B72728">
      <w:pPr>
        <w:pStyle w:val="NoSpacing"/>
      </w:pPr>
    </w:p>
    <w:p w:rsidR="001F4904" w:rsidRDefault="001F4904" w:rsidP="00B72728">
      <w:pPr>
        <w:pStyle w:val="NoSpacing"/>
      </w:pPr>
      <w:r>
        <w:t>Table 9</w:t>
      </w:r>
    </w:p>
    <w:tbl>
      <w:tblPr>
        <w:tblW w:w="5060" w:type="dxa"/>
        <w:tblLook w:val="04A0" w:firstRow="1" w:lastRow="0" w:firstColumn="1" w:lastColumn="0" w:noHBand="0" w:noVBand="1"/>
      </w:tblPr>
      <w:tblGrid>
        <w:gridCol w:w="4102"/>
        <w:gridCol w:w="1070"/>
      </w:tblGrid>
      <w:tr w:rsidR="00B72728" w:rsidRPr="00B72728" w:rsidTr="00B72728">
        <w:trPr>
          <w:trHeight w:val="308"/>
        </w:trPr>
        <w:tc>
          <w:tcPr>
            <w:tcW w:w="5060" w:type="dxa"/>
            <w:gridSpan w:val="2"/>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B72728" w:rsidRPr="00B72728" w:rsidRDefault="00B72728" w:rsidP="00B72728">
            <w:pPr>
              <w:spacing w:after="0" w:line="240" w:lineRule="auto"/>
              <w:jc w:val="center"/>
              <w:rPr>
                <w:rFonts w:eastAsia="Times New Roman"/>
                <w:b/>
                <w:bCs/>
                <w:color w:val="000000"/>
              </w:rPr>
            </w:pPr>
            <w:r w:rsidRPr="00B72728">
              <w:rPr>
                <w:rFonts w:eastAsia="Times New Roman"/>
                <w:b/>
                <w:bCs/>
                <w:color w:val="000000"/>
              </w:rPr>
              <w:t>Targeted TA in the 3rd Quarter Year One</w:t>
            </w:r>
          </w:p>
        </w:tc>
      </w:tr>
      <w:tr w:rsidR="00B72728" w:rsidRPr="00B72728" w:rsidTr="00B72728">
        <w:trPr>
          <w:trHeight w:val="315"/>
        </w:trPr>
        <w:tc>
          <w:tcPr>
            <w:tcW w:w="5060" w:type="dxa"/>
            <w:gridSpan w:val="2"/>
            <w:tcBorders>
              <w:top w:val="nil"/>
              <w:left w:val="single" w:sz="8" w:space="0" w:color="auto"/>
              <w:bottom w:val="single" w:sz="8" w:space="0" w:color="auto"/>
              <w:right w:val="single" w:sz="8" w:space="0" w:color="000000"/>
            </w:tcBorders>
            <w:shd w:val="clear" w:color="000000" w:fill="F8CBAD"/>
            <w:noWrap/>
            <w:vAlign w:val="center"/>
            <w:hideMark/>
          </w:tcPr>
          <w:p w:rsidR="00B72728" w:rsidRPr="00B72728" w:rsidRDefault="00B72728" w:rsidP="00B72728">
            <w:pPr>
              <w:spacing w:after="0" w:line="240" w:lineRule="auto"/>
              <w:jc w:val="center"/>
              <w:rPr>
                <w:rFonts w:eastAsia="Times New Roman"/>
                <w:b/>
                <w:bCs/>
                <w:color w:val="000000"/>
              </w:rPr>
            </w:pPr>
            <w:r w:rsidRPr="00B72728">
              <w:rPr>
                <w:rFonts w:eastAsia="Times New Roman"/>
                <w:b/>
                <w:bCs/>
                <w:color w:val="000000"/>
              </w:rPr>
              <w:t xml:space="preserve">Number of Attendees/Participants by Agency </w:t>
            </w:r>
          </w:p>
        </w:tc>
      </w:tr>
      <w:tr w:rsidR="00B72728" w:rsidRPr="00B72728" w:rsidTr="00B72728">
        <w:trPr>
          <w:trHeight w:val="315"/>
        </w:trPr>
        <w:tc>
          <w:tcPr>
            <w:tcW w:w="4102" w:type="dxa"/>
            <w:tcBorders>
              <w:top w:val="nil"/>
              <w:left w:val="single" w:sz="8" w:space="0" w:color="auto"/>
              <w:bottom w:val="single" w:sz="8" w:space="0" w:color="auto"/>
              <w:right w:val="single" w:sz="8" w:space="0" w:color="auto"/>
            </w:tcBorders>
            <w:shd w:val="clear" w:color="000000" w:fill="F8CBAD"/>
            <w:noWrap/>
            <w:vAlign w:val="center"/>
            <w:hideMark/>
          </w:tcPr>
          <w:p w:rsidR="00B72728" w:rsidRPr="00B72728" w:rsidRDefault="00B72728" w:rsidP="00B72728">
            <w:pPr>
              <w:spacing w:after="0" w:line="240" w:lineRule="auto"/>
              <w:jc w:val="center"/>
              <w:rPr>
                <w:rFonts w:eastAsia="Times New Roman"/>
                <w:b/>
                <w:bCs/>
                <w:color w:val="000000"/>
              </w:rPr>
            </w:pPr>
            <w:r w:rsidRPr="00B72728">
              <w:rPr>
                <w:rFonts w:eastAsia="Times New Roman"/>
                <w:b/>
                <w:bCs/>
                <w:color w:val="000000"/>
              </w:rPr>
              <w:t>Agency</w:t>
            </w:r>
          </w:p>
        </w:tc>
        <w:tc>
          <w:tcPr>
            <w:tcW w:w="958" w:type="dxa"/>
            <w:tcBorders>
              <w:top w:val="nil"/>
              <w:left w:val="nil"/>
              <w:bottom w:val="single" w:sz="8" w:space="0" w:color="auto"/>
              <w:right w:val="single" w:sz="8" w:space="0" w:color="auto"/>
            </w:tcBorders>
            <w:shd w:val="clear" w:color="000000" w:fill="F8CBAD"/>
            <w:noWrap/>
            <w:vAlign w:val="center"/>
            <w:hideMark/>
          </w:tcPr>
          <w:p w:rsidR="00B72728" w:rsidRPr="00B72728" w:rsidRDefault="00B72728" w:rsidP="00B72728">
            <w:pPr>
              <w:spacing w:after="0" w:line="240" w:lineRule="auto"/>
              <w:jc w:val="center"/>
              <w:rPr>
                <w:rFonts w:eastAsia="Times New Roman"/>
                <w:b/>
                <w:bCs/>
                <w:color w:val="000000"/>
              </w:rPr>
            </w:pPr>
            <w:r w:rsidRPr="00B72728">
              <w:rPr>
                <w:rFonts w:eastAsia="Times New Roman"/>
                <w:b/>
                <w:bCs/>
                <w:color w:val="000000"/>
              </w:rPr>
              <w:t>Number</w:t>
            </w:r>
          </w:p>
        </w:tc>
      </w:tr>
      <w:tr w:rsidR="00B72728" w:rsidRPr="00B72728" w:rsidTr="00B72728">
        <w:trPr>
          <w:trHeight w:val="315"/>
        </w:trPr>
        <w:tc>
          <w:tcPr>
            <w:tcW w:w="4102" w:type="dxa"/>
            <w:tcBorders>
              <w:top w:val="nil"/>
              <w:left w:val="single" w:sz="8" w:space="0" w:color="auto"/>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rPr>
                <w:rFonts w:eastAsia="Times New Roman"/>
                <w:color w:val="000000"/>
              </w:rPr>
            </w:pPr>
            <w:r w:rsidRPr="00B72728">
              <w:rPr>
                <w:rFonts w:eastAsia="Times New Roman"/>
                <w:color w:val="000000"/>
              </w:rPr>
              <w:t>State VR Agency</w:t>
            </w:r>
          </w:p>
        </w:tc>
        <w:tc>
          <w:tcPr>
            <w:tcW w:w="958" w:type="dxa"/>
            <w:tcBorders>
              <w:top w:val="nil"/>
              <w:left w:val="nil"/>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jc w:val="right"/>
              <w:rPr>
                <w:rFonts w:eastAsia="Times New Roman"/>
                <w:color w:val="000000"/>
              </w:rPr>
            </w:pPr>
            <w:r w:rsidRPr="00B72728">
              <w:rPr>
                <w:rFonts w:eastAsia="Times New Roman"/>
                <w:color w:val="000000"/>
              </w:rPr>
              <w:t>422</w:t>
            </w:r>
          </w:p>
        </w:tc>
      </w:tr>
      <w:tr w:rsidR="00B72728" w:rsidRPr="00B72728" w:rsidTr="00B72728">
        <w:trPr>
          <w:trHeight w:val="315"/>
        </w:trPr>
        <w:tc>
          <w:tcPr>
            <w:tcW w:w="4102" w:type="dxa"/>
            <w:tcBorders>
              <w:top w:val="nil"/>
              <w:left w:val="single" w:sz="8" w:space="0" w:color="auto"/>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rPr>
                <w:rFonts w:eastAsia="Times New Roman"/>
                <w:color w:val="000000"/>
              </w:rPr>
            </w:pPr>
            <w:r w:rsidRPr="00B72728">
              <w:rPr>
                <w:rFonts w:eastAsia="Times New Roman"/>
                <w:color w:val="000000"/>
              </w:rPr>
              <w:t>Federal Agency</w:t>
            </w:r>
          </w:p>
        </w:tc>
        <w:tc>
          <w:tcPr>
            <w:tcW w:w="958" w:type="dxa"/>
            <w:tcBorders>
              <w:top w:val="nil"/>
              <w:left w:val="nil"/>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jc w:val="right"/>
              <w:rPr>
                <w:rFonts w:eastAsia="Times New Roman"/>
                <w:color w:val="000000"/>
              </w:rPr>
            </w:pPr>
            <w:r w:rsidRPr="00B72728">
              <w:rPr>
                <w:rFonts w:eastAsia="Times New Roman"/>
                <w:color w:val="000000"/>
              </w:rPr>
              <w:t>1</w:t>
            </w:r>
          </w:p>
        </w:tc>
      </w:tr>
      <w:tr w:rsidR="00B72728" w:rsidRPr="00B72728" w:rsidTr="00B72728">
        <w:trPr>
          <w:trHeight w:val="315"/>
        </w:trPr>
        <w:tc>
          <w:tcPr>
            <w:tcW w:w="4102" w:type="dxa"/>
            <w:tcBorders>
              <w:top w:val="nil"/>
              <w:left w:val="single" w:sz="8" w:space="0" w:color="auto"/>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rPr>
                <w:rFonts w:eastAsia="Times New Roman"/>
                <w:color w:val="000000"/>
              </w:rPr>
            </w:pPr>
            <w:r w:rsidRPr="00B72728">
              <w:rPr>
                <w:rFonts w:eastAsia="Times New Roman"/>
                <w:color w:val="000000"/>
              </w:rPr>
              <w:t>Secondary or Postsecondary Education</w:t>
            </w:r>
          </w:p>
        </w:tc>
        <w:tc>
          <w:tcPr>
            <w:tcW w:w="958" w:type="dxa"/>
            <w:tcBorders>
              <w:top w:val="nil"/>
              <w:left w:val="nil"/>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jc w:val="right"/>
              <w:rPr>
                <w:rFonts w:eastAsia="Times New Roman"/>
                <w:color w:val="000000"/>
              </w:rPr>
            </w:pPr>
            <w:r w:rsidRPr="00B72728">
              <w:rPr>
                <w:rFonts w:eastAsia="Times New Roman"/>
                <w:color w:val="000000"/>
              </w:rPr>
              <w:t>2</w:t>
            </w:r>
          </w:p>
        </w:tc>
      </w:tr>
      <w:tr w:rsidR="00B72728" w:rsidRPr="00B72728" w:rsidTr="00B72728">
        <w:trPr>
          <w:trHeight w:val="315"/>
        </w:trPr>
        <w:tc>
          <w:tcPr>
            <w:tcW w:w="4102" w:type="dxa"/>
            <w:tcBorders>
              <w:top w:val="nil"/>
              <w:left w:val="single" w:sz="8" w:space="0" w:color="auto"/>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rPr>
                <w:rFonts w:eastAsia="Times New Roman"/>
                <w:color w:val="000000"/>
              </w:rPr>
            </w:pPr>
            <w:r w:rsidRPr="00B72728">
              <w:rPr>
                <w:rFonts w:eastAsia="Times New Roman"/>
                <w:color w:val="000000"/>
              </w:rPr>
              <w:t>Community Rehabilitation Program</w:t>
            </w:r>
          </w:p>
        </w:tc>
        <w:tc>
          <w:tcPr>
            <w:tcW w:w="958" w:type="dxa"/>
            <w:tcBorders>
              <w:top w:val="nil"/>
              <w:left w:val="nil"/>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jc w:val="right"/>
              <w:rPr>
                <w:rFonts w:eastAsia="Times New Roman"/>
                <w:color w:val="000000"/>
              </w:rPr>
            </w:pPr>
            <w:r w:rsidRPr="00B72728">
              <w:rPr>
                <w:rFonts w:eastAsia="Times New Roman"/>
                <w:color w:val="000000"/>
              </w:rPr>
              <w:t>94</w:t>
            </w:r>
          </w:p>
        </w:tc>
      </w:tr>
      <w:tr w:rsidR="00B72728" w:rsidRPr="00B72728" w:rsidTr="00B72728">
        <w:trPr>
          <w:trHeight w:val="315"/>
        </w:trPr>
        <w:tc>
          <w:tcPr>
            <w:tcW w:w="4102" w:type="dxa"/>
            <w:tcBorders>
              <w:top w:val="nil"/>
              <w:left w:val="single" w:sz="8" w:space="0" w:color="auto"/>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rPr>
                <w:rFonts w:eastAsia="Times New Roman"/>
                <w:color w:val="000000"/>
              </w:rPr>
            </w:pPr>
            <w:r w:rsidRPr="00B72728">
              <w:rPr>
                <w:rFonts w:eastAsia="Times New Roman"/>
                <w:color w:val="000000"/>
              </w:rPr>
              <w:t>Other Rehabilitation Professional</w:t>
            </w:r>
          </w:p>
        </w:tc>
        <w:tc>
          <w:tcPr>
            <w:tcW w:w="958" w:type="dxa"/>
            <w:tcBorders>
              <w:top w:val="nil"/>
              <w:left w:val="nil"/>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jc w:val="right"/>
              <w:rPr>
                <w:rFonts w:eastAsia="Times New Roman"/>
                <w:color w:val="000000"/>
              </w:rPr>
            </w:pPr>
            <w:r w:rsidRPr="00B72728">
              <w:rPr>
                <w:rFonts w:eastAsia="Times New Roman"/>
                <w:color w:val="000000"/>
              </w:rPr>
              <w:t> </w:t>
            </w:r>
          </w:p>
        </w:tc>
      </w:tr>
      <w:tr w:rsidR="00B72728" w:rsidRPr="00B72728" w:rsidTr="00B72728">
        <w:trPr>
          <w:trHeight w:val="315"/>
        </w:trPr>
        <w:tc>
          <w:tcPr>
            <w:tcW w:w="4102" w:type="dxa"/>
            <w:tcBorders>
              <w:top w:val="nil"/>
              <w:left w:val="single" w:sz="8" w:space="0" w:color="auto"/>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rPr>
                <w:rFonts w:eastAsia="Times New Roman"/>
                <w:color w:val="000000"/>
              </w:rPr>
            </w:pPr>
            <w:r w:rsidRPr="00B72728">
              <w:rPr>
                <w:rFonts w:eastAsia="Times New Roman"/>
                <w:color w:val="000000"/>
              </w:rPr>
              <w:t>Other public organizations</w:t>
            </w:r>
          </w:p>
        </w:tc>
        <w:tc>
          <w:tcPr>
            <w:tcW w:w="958" w:type="dxa"/>
            <w:tcBorders>
              <w:top w:val="nil"/>
              <w:left w:val="nil"/>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jc w:val="right"/>
              <w:rPr>
                <w:rFonts w:eastAsia="Times New Roman"/>
                <w:color w:val="000000"/>
              </w:rPr>
            </w:pPr>
            <w:r w:rsidRPr="00B72728">
              <w:rPr>
                <w:rFonts w:eastAsia="Times New Roman"/>
                <w:color w:val="000000"/>
              </w:rPr>
              <w:t> </w:t>
            </w:r>
          </w:p>
        </w:tc>
      </w:tr>
      <w:tr w:rsidR="00B72728" w:rsidRPr="00B72728" w:rsidTr="00B72728">
        <w:trPr>
          <w:trHeight w:val="315"/>
        </w:trPr>
        <w:tc>
          <w:tcPr>
            <w:tcW w:w="4102" w:type="dxa"/>
            <w:tcBorders>
              <w:top w:val="nil"/>
              <w:left w:val="single" w:sz="8" w:space="0" w:color="auto"/>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rPr>
                <w:rFonts w:eastAsia="Times New Roman"/>
                <w:color w:val="000000"/>
              </w:rPr>
            </w:pPr>
            <w:r w:rsidRPr="00B72728">
              <w:rPr>
                <w:rFonts w:eastAsia="Times New Roman"/>
                <w:color w:val="000000"/>
              </w:rPr>
              <w:t>Other private organizations</w:t>
            </w:r>
          </w:p>
        </w:tc>
        <w:tc>
          <w:tcPr>
            <w:tcW w:w="958" w:type="dxa"/>
            <w:tcBorders>
              <w:top w:val="nil"/>
              <w:left w:val="nil"/>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jc w:val="right"/>
              <w:rPr>
                <w:rFonts w:eastAsia="Times New Roman"/>
                <w:color w:val="000000"/>
              </w:rPr>
            </w:pPr>
            <w:r w:rsidRPr="00B72728">
              <w:rPr>
                <w:rFonts w:eastAsia="Times New Roman"/>
                <w:color w:val="000000"/>
              </w:rPr>
              <w:t>3</w:t>
            </w:r>
          </w:p>
        </w:tc>
      </w:tr>
      <w:tr w:rsidR="00B72728" w:rsidRPr="00B72728" w:rsidTr="00B72728">
        <w:trPr>
          <w:trHeight w:val="315"/>
        </w:trPr>
        <w:tc>
          <w:tcPr>
            <w:tcW w:w="4102" w:type="dxa"/>
            <w:tcBorders>
              <w:top w:val="nil"/>
              <w:left w:val="single" w:sz="8" w:space="0" w:color="auto"/>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rPr>
                <w:rFonts w:eastAsia="Times New Roman"/>
                <w:color w:val="000000"/>
              </w:rPr>
            </w:pPr>
            <w:r w:rsidRPr="00B72728">
              <w:rPr>
                <w:rFonts w:eastAsia="Times New Roman"/>
                <w:color w:val="000000"/>
              </w:rPr>
              <w:t>Individual</w:t>
            </w:r>
          </w:p>
        </w:tc>
        <w:tc>
          <w:tcPr>
            <w:tcW w:w="958" w:type="dxa"/>
            <w:tcBorders>
              <w:top w:val="nil"/>
              <w:left w:val="nil"/>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rPr>
                <w:rFonts w:eastAsia="Times New Roman"/>
                <w:color w:val="000000"/>
              </w:rPr>
            </w:pPr>
            <w:r w:rsidRPr="00B72728">
              <w:rPr>
                <w:rFonts w:eastAsia="Times New Roman"/>
                <w:color w:val="000000"/>
              </w:rPr>
              <w:t> </w:t>
            </w:r>
          </w:p>
        </w:tc>
      </w:tr>
      <w:tr w:rsidR="00B72728" w:rsidRPr="00B72728" w:rsidTr="00B72728">
        <w:trPr>
          <w:trHeight w:val="315"/>
        </w:trPr>
        <w:tc>
          <w:tcPr>
            <w:tcW w:w="4102" w:type="dxa"/>
            <w:tcBorders>
              <w:top w:val="nil"/>
              <w:left w:val="single" w:sz="8" w:space="0" w:color="auto"/>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rPr>
                <w:rFonts w:eastAsia="Times New Roman"/>
                <w:color w:val="000000"/>
              </w:rPr>
            </w:pPr>
            <w:r w:rsidRPr="00B72728">
              <w:rPr>
                <w:rFonts w:eastAsia="Times New Roman"/>
                <w:color w:val="000000"/>
              </w:rPr>
              <w:t>Other</w:t>
            </w:r>
          </w:p>
        </w:tc>
        <w:tc>
          <w:tcPr>
            <w:tcW w:w="958" w:type="dxa"/>
            <w:tcBorders>
              <w:top w:val="nil"/>
              <w:left w:val="nil"/>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rPr>
                <w:rFonts w:eastAsia="Times New Roman"/>
                <w:color w:val="000000"/>
              </w:rPr>
            </w:pPr>
            <w:r w:rsidRPr="00B72728">
              <w:rPr>
                <w:rFonts w:eastAsia="Times New Roman"/>
                <w:color w:val="000000"/>
              </w:rPr>
              <w:t> </w:t>
            </w:r>
          </w:p>
        </w:tc>
      </w:tr>
      <w:tr w:rsidR="00B72728" w:rsidRPr="00B72728" w:rsidTr="00B72728">
        <w:trPr>
          <w:trHeight w:val="315"/>
        </w:trPr>
        <w:tc>
          <w:tcPr>
            <w:tcW w:w="4102" w:type="dxa"/>
            <w:tcBorders>
              <w:top w:val="nil"/>
              <w:left w:val="single" w:sz="8" w:space="0" w:color="auto"/>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jc w:val="right"/>
              <w:rPr>
                <w:rFonts w:eastAsia="Times New Roman"/>
                <w:b/>
                <w:bCs/>
                <w:color w:val="000000"/>
              </w:rPr>
            </w:pPr>
            <w:r w:rsidRPr="00B72728">
              <w:rPr>
                <w:rFonts w:eastAsia="Times New Roman"/>
                <w:b/>
                <w:bCs/>
                <w:color w:val="000000"/>
              </w:rPr>
              <w:t>Total:</w:t>
            </w:r>
          </w:p>
        </w:tc>
        <w:tc>
          <w:tcPr>
            <w:tcW w:w="958" w:type="dxa"/>
            <w:tcBorders>
              <w:top w:val="nil"/>
              <w:left w:val="nil"/>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jc w:val="right"/>
              <w:rPr>
                <w:rFonts w:eastAsia="Times New Roman"/>
                <w:color w:val="000000"/>
              </w:rPr>
            </w:pPr>
            <w:r w:rsidRPr="00B72728">
              <w:rPr>
                <w:rFonts w:eastAsia="Times New Roman"/>
                <w:color w:val="000000"/>
              </w:rPr>
              <w:t>522</w:t>
            </w:r>
          </w:p>
        </w:tc>
      </w:tr>
    </w:tbl>
    <w:p w:rsidR="00B72728" w:rsidRDefault="00B72728" w:rsidP="00B72728">
      <w:pPr>
        <w:pStyle w:val="NoSpacing"/>
      </w:pPr>
    </w:p>
    <w:p w:rsidR="001F4904" w:rsidRDefault="001F4904" w:rsidP="00B72728">
      <w:pPr>
        <w:pStyle w:val="NoSpacing"/>
      </w:pPr>
      <w:r>
        <w:t>Table 10</w:t>
      </w:r>
    </w:p>
    <w:tbl>
      <w:tblPr>
        <w:tblW w:w="5060" w:type="dxa"/>
        <w:tblLook w:val="04A0" w:firstRow="1" w:lastRow="0" w:firstColumn="1" w:lastColumn="0" w:noHBand="0" w:noVBand="1"/>
      </w:tblPr>
      <w:tblGrid>
        <w:gridCol w:w="4102"/>
        <w:gridCol w:w="1070"/>
      </w:tblGrid>
      <w:tr w:rsidR="00B72728" w:rsidRPr="00B72728" w:rsidTr="00B72728">
        <w:trPr>
          <w:trHeight w:val="308"/>
        </w:trPr>
        <w:tc>
          <w:tcPr>
            <w:tcW w:w="5060" w:type="dxa"/>
            <w:gridSpan w:val="2"/>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B72728" w:rsidRPr="00B72728" w:rsidRDefault="00B72728" w:rsidP="00B72728">
            <w:pPr>
              <w:spacing w:after="0" w:line="240" w:lineRule="auto"/>
              <w:jc w:val="center"/>
              <w:rPr>
                <w:rFonts w:eastAsia="Times New Roman"/>
                <w:b/>
                <w:bCs/>
                <w:color w:val="000000"/>
              </w:rPr>
            </w:pPr>
            <w:r w:rsidRPr="00B72728">
              <w:rPr>
                <w:rFonts w:eastAsia="Times New Roman"/>
                <w:b/>
                <w:bCs/>
                <w:color w:val="000000"/>
              </w:rPr>
              <w:t>Targeted TA in the 4th Quarter Year One</w:t>
            </w:r>
          </w:p>
        </w:tc>
      </w:tr>
      <w:tr w:rsidR="00B72728" w:rsidRPr="00B72728" w:rsidTr="00B72728">
        <w:trPr>
          <w:trHeight w:val="315"/>
        </w:trPr>
        <w:tc>
          <w:tcPr>
            <w:tcW w:w="5060" w:type="dxa"/>
            <w:gridSpan w:val="2"/>
            <w:tcBorders>
              <w:top w:val="nil"/>
              <w:left w:val="single" w:sz="8" w:space="0" w:color="auto"/>
              <w:bottom w:val="single" w:sz="8" w:space="0" w:color="auto"/>
              <w:right w:val="single" w:sz="8" w:space="0" w:color="000000"/>
            </w:tcBorders>
            <w:shd w:val="clear" w:color="000000" w:fill="F8CBAD"/>
            <w:noWrap/>
            <w:vAlign w:val="center"/>
            <w:hideMark/>
          </w:tcPr>
          <w:p w:rsidR="00B72728" w:rsidRPr="00B72728" w:rsidRDefault="00B72728" w:rsidP="00B72728">
            <w:pPr>
              <w:spacing w:after="0" w:line="240" w:lineRule="auto"/>
              <w:jc w:val="center"/>
              <w:rPr>
                <w:rFonts w:eastAsia="Times New Roman"/>
                <w:b/>
                <w:bCs/>
                <w:color w:val="000000"/>
              </w:rPr>
            </w:pPr>
            <w:r w:rsidRPr="00B72728">
              <w:rPr>
                <w:rFonts w:eastAsia="Times New Roman"/>
                <w:b/>
                <w:bCs/>
                <w:color w:val="000000"/>
              </w:rPr>
              <w:t xml:space="preserve">Number of Attendees/Participants by Agency </w:t>
            </w:r>
          </w:p>
        </w:tc>
      </w:tr>
      <w:tr w:rsidR="00B72728" w:rsidRPr="00B72728" w:rsidTr="00B72728">
        <w:trPr>
          <w:trHeight w:val="315"/>
        </w:trPr>
        <w:tc>
          <w:tcPr>
            <w:tcW w:w="4102" w:type="dxa"/>
            <w:tcBorders>
              <w:top w:val="nil"/>
              <w:left w:val="single" w:sz="8" w:space="0" w:color="auto"/>
              <w:bottom w:val="single" w:sz="8" w:space="0" w:color="auto"/>
              <w:right w:val="single" w:sz="8" w:space="0" w:color="auto"/>
            </w:tcBorders>
            <w:shd w:val="clear" w:color="000000" w:fill="F8CBAD"/>
            <w:noWrap/>
            <w:vAlign w:val="center"/>
            <w:hideMark/>
          </w:tcPr>
          <w:p w:rsidR="00B72728" w:rsidRPr="00B72728" w:rsidRDefault="00B72728" w:rsidP="00B72728">
            <w:pPr>
              <w:spacing w:after="0" w:line="240" w:lineRule="auto"/>
              <w:jc w:val="center"/>
              <w:rPr>
                <w:rFonts w:eastAsia="Times New Roman"/>
                <w:b/>
                <w:bCs/>
                <w:color w:val="000000"/>
              </w:rPr>
            </w:pPr>
            <w:r w:rsidRPr="00B72728">
              <w:rPr>
                <w:rFonts w:eastAsia="Times New Roman"/>
                <w:b/>
                <w:bCs/>
                <w:color w:val="000000"/>
              </w:rPr>
              <w:lastRenderedPageBreak/>
              <w:t>Agency</w:t>
            </w:r>
          </w:p>
        </w:tc>
        <w:tc>
          <w:tcPr>
            <w:tcW w:w="958" w:type="dxa"/>
            <w:tcBorders>
              <w:top w:val="nil"/>
              <w:left w:val="nil"/>
              <w:bottom w:val="single" w:sz="8" w:space="0" w:color="auto"/>
              <w:right w:val="single" w:sz="8" w:space="0" w:color="auto"/>
            </w:tcBorders>
            <w:shd w:val="clear" w:color="000000" w:fill="F8CBAD"/>
            <w:noWrap/>
            <w:vAlign w:val="center"/>
            <w:hideMark/>
          </w:tcPr>
          <w:p w:rsidR="00B72728" w:rsidRPr="00B72728" w:rsidRDefault="00B72728" w:rsidP="00B72728">
            <w:pPr>
              <w:spacing w:after="0" w:line="240" w:lineRule="auto"/>
              <w:jc w:val="center"/>
              <w:rPr>
                <w:rFonts w:eastAsia="Times New Roman"/>
                <w:b/>
                <w:bCs/>
                <w:color w:val="000000"/>
              </w:rPr>
            </w:pPr>
            <w:r w:rsidRPr="00B72728">
              <w:rPr>
                <w:rFonts w:eastAsia="Times New Roman"/>
                <w:b/>
                <w:bCs/>
                <w:color w:val="000000"/>
              </w:rPr>
              <w:t>Number</w:t>
            </w:r>
          </w:p>
        </w:tc>
      </w:tr>
      <w:tr w:rsidR="00B72728" w:rsidRPr="00B72728" w:rsidTr="00B72728">
        <w:trPr>
          <w:trHeight w:val="315"/>
        </w:trPr>
        <w:tc>
          <w:tcPr>
            <w:tcW w:w="4102" w:type="dxa"/>
            <w:tcBorders>
              <w:top w:val="nil"/>
              <w:left w:val="single" w:sz="8" w:space="0" w:color="auto"/>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rPr>
                <w:rFonts w:eastAsia="Times New Roman"/>
                <w:color w:val="000000"/>
              </w:rPr>
            </w:pPr>
            <w:r w:rsidRPr="00B72728">
              <w:rPr>
                <w:rFonts w:eastAsia="Times New Roman"/>
                <w:color w:val="000000"/>
              </w:rPr>
              <w:t>State VR Agency</w:t>
            </w:r>
          </w:p>
        </w:tc>
        <w:tc>
          <w:tcPr>
            <w:tcW w:w="958" w:type="dxa"/>
            <w:tcBorders>
              <w:top w:val="nil"/>
              <w:left w:val="nil"/>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jc w:val="right"/>
              <w:rPr>
                <w:rFonts w:eastAsia="Times New Roman"/>
                <w:color w:val="000000"/>
              </w:rPr>
            </w:pPr>
            <w:r w:rsidRPr="00B72728">
              <w:rPr>
                <w:rFonts w:eastAsia="Times New Roman"/>
                <w:color w:val="000000"/>
              </w:rPr>
              <w:t>624</w:t>
            </w:r>
          </w:p>
        </w:tc>
      </w:tr>
      <w:tr w:rsidR="00B72728" w:rsidRPr="00B72728" w:rsidTr="00B72728">
        <w:trPr>
          <w:trHeight w:val="315"/>
        </w:trPr>
        <w:tc>
          <w:tcPr>
            <w:tcW w:w="4102" w:type="dxa"/>
            <w:tcBorders>
              <w:top w:val="nil"/>
              <w:left w:val="single" w:sz="8" w:space="0" w:color="auto"/>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rPr>
                <w:rFonts w:eastAsia="Times New Roman"/>
                <w:color w:val="000000"/>
              </w:rPr>
            </w:pPr>
            <w:r w:rsidRPr="00B72728">
              <w:rPr>
                <w:rFonts w:eastAsia="Times New Roman"/>
                <w:color w:val="000000"/>
              </w:rPr>
              <w:t>Federal Agency</w:t>
            </w:r>
          </w:p>
        </w:tc>
        <w:tc>
          <w:tcPr>
            <w:tcW w:w="958" w:type="dxa"/>
            <w:tcBorders>
              <w:top w:val="nil"/>
              <w:left w:val="nil"/>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jc w:val="right"/>
              <w:rPr>
                <w:rFonts w:eastAsia="Times New Roman"/>
                <w:color w:val="000000"/>
              </w:rPr>
            </w:pPr>
            <w:r w:rsidRPr="00B72728">
              <w:rPr>
                <w:rFonts w:eastAsia="Times New Roman"/>
                <w:color w:val="000000"/>
              </w:rPr>
              <w:t> </w:t>
            </w:r>
          </w:p>
        </w:tc>
      </w:tr>
      <w:tr w:rsidR="00B72728" w:rsidRPr="00B72728" w:rsidTr="00B72728">
        <w:trPr>
          <w:trHeight w:val="315"/>
        </w:trPr>
        <w:tc>
          <w:tcPr>
            <w:tcW w:w="4102" w:type="dxa"/>
            <w:tcBorders>
              <w:top w:val="nil"/>
              <w:left w:val="single" w:sz="8" w:space="0" w:color="auto"/>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rPr>
                <w:rFonts w:eastAsia="Times New Roman"/>
                <w:color w:val="000000"/>
              </w:rPr>
            </w:pPr>
            <w:r w:rsidRPr="00B72728">
              <w:rPr>
                <w:rFonts w:eastAsia="Times New Roman"/>
                <w:color w:val="000000"/>
              </w:rPr>
              <w:t>Secondary or Postsecondary Education</w:t>
            </w:r>
          </w:p>
        </w:tc>
        <w:tc>
          <w:tcPr>
            <w:tcW w:w="958" w:type="dxa"/>
            <w:tcBorders>
              <w:top w:val="nil"/>
              <w:left w:val="nil"/>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jc w:val="right"/>
              <w:rPr>
                <w:rFonts w:eastAsia="Times New Roman"/>
                <w:color w:val="000000"/>
              </w:rPr>
            </w:pPr>
            <w:r w:rsidRPr="00B72728">
              <w:rPr>
                <w:rFonts w:eastAsia="Times New Roman"/>
                <w:color w:val="000000"/>
              </w:rPr>
              <w:t>101</w:t>
            </w:r>
          </w:p>
        </w:tc>
      </w:tr>
      <w:tr w:rsidR="00B72728" w:rsidRPr="00B72728" w:rsidTr="00B72728">
        <w:trPr>
          <w:trHeight w:val="315"/>
        </w:trPr>
        <w:tc>
          <w:tcPr>
            <w:tcW w:w="4102" w:type="dxa"/>
            <w:tcBorders>
              <w:top w:val="nil"/>
              <w:left w:val="single" w:sz="8" w:space="0" w:color="auto"/>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rPr>
                <w:rFonts w:eastAsia="Times New Roman"/>
                <w:color w:val="000000"/>
              </w:rPr>
            </w:pPr>
            <w:r w:rsidRPr="00B72728">
              <w:rPr>
                <w:rFonts w:eastAsia="Times New Roman"/>
                <w:color w:val="000000"/>
              </w:rPr>
              <w:t>Community Rehabilitation Program</w:t>
            </w:r>
          </w:p>
        </w:tc>
        <w:tc>
          <w:tcPr>
            <w:tcW w:w="958" w:type="dxa"/>
            <w:tcBorders>
              <w:top w:val="nil"/>
              <w:left w:val="nil"/>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jc w:val="right"/>
              <w:rPr>
                <w:rFonts w:eastAsia="Times New Roman"/>
                <w:color w:val="000000"/>
              </w:rPr>
            </w:pPr>
            <w:r w:rsidRPr="00B72728">
              <w:rPr>
                <w:rFonts w:eastAsia="Times New Roman"/>
                <w:color w:val="000000"/>
              </w:rPr>
              <w:t>60</w:t>
            </w:r>
          </w:p>
        </w:tc>
      </w:tr>
      <w:tr w:rsidR="00B72728" w:rsidRPr="00B72728" w:rsidTr="00B72728">
        <w:trPr>
          <w:trHeight w:val="315"/>
        </w:trPr>
        <w:tc>
          <w:tcPr>
            <w:tcW w:w="4102" w:type="dxa"/>
            <w:tcBorders>
              <w:top w:val="nil"/>
              <w:left w:val="single" w:sz="8" w:space="0" w:color="auto"/>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rPr>
                <w:rFonts w:eastAsia="Times New Roman"/>
                <w:color w:val="000000"/>
              </w:rPr>
            </w:pPr>
            <w:r w:rsidRPr="00B72728">
              <w:rPr>
                <w:rFonts w:eastAsia="Times New Roman"/>
                <w:color w:val="000000"/>
              </w:rPr>
              <w:t>Other Rehabilitation Professional</w:t>
            </w:r>
          </w:p>
        </w:tc>
        <w:tc>
          <w:tcPr>
            <w:tcW w:w="958" w:type="dxa"/>
            <w:tcBorders>
              <w:top w:val="nil"/>
              <w:left w:val="nil"/>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jc w:val="right"/>
              <w:rPr>
                <w:rFonts w:eastAsia="Times New Roman"/>
                <w:color w:val="000000"/>
              </w:rPr>
            </w:pPr>
            <w:r w:rsidRPr="00B72728">
              <w:rPr>
                <w:rFonts w:eastAsia="Times New Roman"/>
                <w:color w:val="000000"/>
              </w:rPr>
              <w:t>25</w:t>
            </w:r>
          </w:p>
        </w:tc>
      </w:tr>
      <w:tr w:rsidR="00B72728" w:rsidRPr="00B72728" w:rsidTr="00B72728">
        <w:trPr>
          <w:trHeight w:val="315"/>
        </w:trPr>
        <w:tc>
          <w:tcPr>
            <w:tcW w:w="4102" w:type="dxa"/>
            <w:tcBorders>
              <w:top w:val="nil"/>
              <w:left w:val="single" w:sz="8" w:space="0" w:color="auto"/>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rPr>
                <w:rFonts w:eastAsia="Times New Roman"/>
                <w:color w:val="000000"/>
              </w:rPr>
            </w:pPr>
            <w:r w:rsidRPr="00B72728">
              <w:rPr>
                <w:rFonts w:eastAsia="Times New Roman"/>
                <w:color w:val="000000"/>
              </w:rPr>
              <w:t>Other public organizations</w:t>
            </w:r>
          </w:p>
        </w:tc>
        <w:tc>
          <w:tcPr>
            <w:tcW w:w="958" w:type="dxa"/>
            <w:tcBorders>
              <w:top w:val="nil"/>
              <w:left w:val="nil"/>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jc w:val="right"/>
              <w:rPr>
                <w:rFonts w:eastAsia="Times New Roman"/>
                <w:color w:val="000000"/>
              </w:rPr>
            </w:pPr>
            <w:r w:rsidRPr="00B72728">
              <w:rPr>
                <w:rFonts w:eastAsia="Times New Roman"/>
                <w:color w:val="000000"/>
              </w:rPr>
              <w:t>7</w:t>
            </w:r>
          </w:p>
        </w:tc>
      </w:tr>
      <w:tr w:rsidR="00B72728" w:rsidRPr="00B72728" w:rsidTr="00B72728">
        <w:trPr>
          <w:trHeight w:val="315"/>
        </w:trPr>
        <w:tc>
          <w:tcPr>
            <w:tcW w:w="4102" w:type="dxa"/>
            <w:tcBorders>
              <w:top w:val="nil"/>
              <w:left w:val="single" w:sz="8" w:space="0" w:color="auto"/>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rPr>
                <w:rFonts w:eastAsia="Times New Roman"/>
                <w:color w:val="000000"/>
              </w:rPr>
            </w:pPr>
            <w:r w:rsidRPr="00B72728">
              <w:rPr>
                <w:rFonts w:eastAsia="Times New Roman"/>
                <w:color w:val="000000"/>
              </w:rPr>
              <w:t>Other private organizations</w:t>
            </w:r>
          </w:p>
        </w:tc>
        <w:tc>
          <w:tcPr>
            <w:tcW w:w="958" w:type="dxa"/>
            <w:tcBorders>
              <w:top w:val="nil"/>
              <w:left w:val="nil"/>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jc w:val="right"/>
              <w:rPr>
                <w:rFonts w:eastAsia="Times New Roman"/>
                <w:color w:val="000000"/>
              </w:rPr>
            </w:pPr>
            <w:r w:rsidRPr="00B72728">
              <w:rPr>
                <w:rFonts w:eastAsia="Times New Roman"/>
                <w:color w:val="000000"/>
              </w:rPr>
              <w:t>32</w:t>
            </w:r>
          </w:p>
        </w:tc>
      </w:tr>
      <w:tr w:rsidR="00B72728" w:rsidRPr="00B72728" w:rsidTr="00B72728">
        <w:trPr>
          <w:trHeight w:val="315"/>
        </w:trPr>
        <w:tc>
          <w:tcPr>
            <w:tcW w:w="4102" w:type="dxa"/>
            <w:tcBorders>
              <w:top w:val="nil"/>
              <w:left w:val="single" w:sz="8" w:space="0" w:color="auto"/>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rPr>
                <w:rFonts w:eastAsia="Times New Roman"/>
                <w:color w:val="000000"/>
              </w:rPr>
            </w:pPr>
            <w:r w:rsidRPr="00B72728">
              <w:rPr>
                <w:rFonts w:eastAsia="Times New Roman"/>
                <w:color w:val="000000"/>
              </w:rPr>
              <w:t>Individual</w:t>
            </w:r>
          </w:p>
        </w:tc>
        <w:tc>
          <w:tcPr>
            <w:tcW w:w="958" w:type="dxa"/>
            <w:tcBorders>
              <w:top w:val="nil"/>
              <w:left w:val="nil"/>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jc w:val="right"/>
              <w:rPr>
                <w:rFonts w:eastAsia="Times New Roman"/>
                <w:color w:val="000000"/>
              </w:rPr>
            </w:pPr>
            <w:r w:rsidRPr="00B72728">
              <w:rPr>
                <w:rFonts w:eastAsia="Times New Roman"/>
                <w:color w:val="000000"/>
              </w:rPr>
              <w:t>1</w:t>
            </w:r>
          </w:p>
        </w:tc>
      </w:tr>
      <w:tr w:rsidR="00B72728" w:rsidRPr="00B72728" w:rsidTr="00B72728">
        <w:trPr>
          <w:trHeight w:val="315"/>
        </w:trPr>
        <w:tc>
          <w:tcPr>
            <w:tcW w:w="4102" w:type="dxa"/>
            <w:tcBorders>
              <w:top w:val="nil"/>
              <w:left w:val="single" w:sz="8" w:space="0" w:color="auto"/>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rPr>
                <w:rFonts w:eastAsia="Times New Roman"/>
                <w:color w:val="000000"/>
              </w:rPr>
            </w:pPr>
            <w:r w:rsidRPr="00B72728">
              <w:rPr>
                <w:rFonts w:eastAsia="Times New Roman"/>
                <w:color w:val="000000"/>
              </w:rPr>
              <w:t>Other</w:t>
            </w:r>
          </w:p>
        </w:tc>
        <w:tc>
          <w:tcPr>
            <w:tcW w:w="958" w:type="dxa"/>
            <w:tcBorders>
              <w:top w:val="nil"/>
              <w:left w:val="nil"/>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rPr>
                <w:rFonts w:eastAsia="Times New Roman"/>
                <w:color w:val="000000"/>
              </w:rPr>
            </w:pPr>
            <w:r w:rsidRPr="00B72728">
              <w:rPr>
                <w:rFonts w:eastAsia="Times New Roman"/>
                <w:color w:val="000000"/>
              </w:rPr>
              <w:t> </w:t>
            </w:r>
          </w:p>
        </w:tc>
      </w:tr>
      <w:tr w:rsidR="00B72728" w:rsidRPr="00B72728" w:rsidTr="00B72728">
        <w:trPr>
          <w:trHeight w:val="315"/>
        </w:trPr>
        <w:tc>
          <w:tcPr>
            <w:tcW w:w="4102" w:type="dxa"/>
            <w:tcBorders>
              <w:top w:val="nil"/>
              <w:left w:val="single" w:sz="8" w:space="0" w:color="auto"/>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jc w:val="right"/>
              <w:rPr>
                <w:rFonts w:eastAsia="Times New Roman"/>
                <w:b/>
                <w:bCs/>
                <w:color w:val="000000"/>
              </w:rPr>
            </w:pPr>
            <w:r w:rsidRPr="00B72728">
              <w:rPr>
                <w:rFonts w:eastAsia="Times New Roman"/>
                <w:b/>
                <w:bCs/>
                <w:color w:val="000000"/>
              </w:rPr>
              <w:t>Total:</w:t>
            </w:r>
          </w:p>
        </w:tc>
        <w:tc>
          <w:tcPr>
            <w:tcW w:w="958" w:type="dxa"/>
            <w:tcBorders>
              <w:top w:val="nil"/>
              <w:left w:val="nil"/>
              <w:bottom w:val="single" w:sz="8" w:space="0" w:color="auto"/>
              <w:right w:val="single" w:sz="8" w:space="0" w:color="auto"/>
            </w:tcBorders>
            <w:shd w:val="clear" w:color="auto" w:fill="auto"/>
            <w:noWrap/>
            <w:vAlign w:val="center"/>
            <w:hideMark/>
          </w:tcPr>
          <w:p w:rsidR="00B72728" w:rsidRPr="00B72728" w:rsidRDefault="00B72728" w:rsidP="00B72728">
            <w:pPr>
              <w:spacing w:after="0" w:line="240" w:lineRule="auto"/>
              <w:jc w:val="right"/>
              <w:rPr>
                <w:rFonts w:eastAsia="Times New Roman"/>
                <w:color w:val="000000"/>
              </w:rPr>
            </w:pPr>
            <w:r w:rsidRPr="00B72728">
              <w:rPr>
                <w:rFonts w:eastAsia="Times New Roman"/>
                <w:color w:val="000000"/>
              </w:rPr>
              <w:t>850</w:t>
            </w:r>
          </w:p>
        </w:tc>
      </w:tr>
    </w:tbl>
    <w:p w:rsidR="00B72728" w:rsidRDefault="00B72728" w:rsidP="00B72728">
      <w:pPr>
        <w:pStyle w:val="NoSpacing"/>
      </w:pPr>
    </w:p>
    <w:p w:rsidR="00B72728" w:rsidRDefault="00B72728" w:rsidP="00E94C3A">
      <w:pPr>
        <w:pStyle w:val="NoSpacing"/>
      </w:pPr>
    </w:p>
    <w:p w:rsidR="00B72728" w:rsidRDefault="00B72728" w:rsidP="00E94C3A">
      <w:pPr>
        <w:pStyle w:val="NoSpacing"/>
      </w:pPr>
      <w:r>
        <w:tab/>
        <w:t>There were a total of 55 targeted TA int</w:t>
      </w:r>
      <w:r w:rsidR="00C80E12">
        <w:t>erventions in Year O</w:t>
      </w:r>
      <w:r w:rsidR="00180B32">
        <w:t xml:space="preserve">ne, most of which included several contacts.  Table </w:t>
      </w:r>
      <w:r w:rsidR="001F4904">
        <w:t>11</w:t>
      </w:r>
      <w:r w:rsidR="00180B32">
        <w:t xml:space="preserve"> below includes the totals for each type of organization for Year One:</w:t>
      </w:r>
    </w:p>
    <w:p w:rsidR="00180B32" w:rsidRDefault="00180B32" w:rsidP="00E94C3A">
      <w:pPr>
        <w:pStyle w:val="NoSpacing"/>
      </w:pPr>
    </w:p>
    <w:p w:rsidR="001F4904" w:rsidRDefault="001F4904" w:rsidP="00E94C3A">
      <w:pPr>
        <w:pStyle w:val="NoSpacing"/>
      </w:pPr>
      <w:r>
        <w:t>Table 11</w:t>
      </w:r>
    </w:p>
    <w:tbl>
      <w:tblPr>
        <w:tblW w:w="5060" w:type="dxa"/>
        <w:tblLook w:val="04A0" w:firstRow="1" w:lastRow="0" w:firstColumn="1" w:lastColumn="0" w:noHBand="0" w:noVBand="1"/>
      </w:tblPr>
      <w:tblGrid>
        <w:gridCol w:w="4102"/>
        <w:gridCol w:w="1070"/>
      </w:tblGrid>
      <w:tr w:rsidR="00180B32" w:rsidRPr="00180B32" w:rsidTr="00180B32">
        <w:trPr>
          <w:trHeight w:val="308"/>
        </w:trPr>
        <w:tc>
          <w:tcPr>
            <w:tcW w:w="5060" w:type="dxa"/>
            <w:gridSpan w:val="2"/>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180B32" w:rsidRPr="00180B32" w:rsidRDefault="00180B32" w:rsidP="00180B32">
            <w:pPr>
              <w:spacing w:after="0" w:line="240" w:lineRule="auto"/>
              <w:jc w:val="center"/>
              <w:rPr>
                <w:rFonts w:eastAsia="Times New Roman"/>
                <w:b/>
                <w:bCs/>
                <w:color w:val="000000"/>
              </w:rPr>
            </w:pPr>
            <w:r w:rsidRPr="00180B32">
              <w:rPr>
                <w:rFonts w:eastAsia="Times New Roman"/>
                <w:b/>
                <w:bCs/>
                <w:color w:val="000000"/>
              </w:rPr>
              <w:t>Targeted TA Total for Year One</w:t>
            </w:r>
          </w:p>
        </w:tc>
      </w:tr>
      <w:tr w:rsidR="00180B32" w:rsidRPr="00180B32" w:rsidTr="00180B32">
        <w:trPr>
          <w:trHeight w:val="315"/>
        </w:trPr>
        <w:tc>
          <w:tcPr>
            <w:tcW w:w="5060" w:type="dxa"/>
            <w:gridSpan w:val="2"/>
            <w:tcBorders>
              <w:top w:val="nil"/>
              <w:left w:val="single" w:sz="8" w:space="0" w:color="auto"/>
              <w:bottom w:val="single" w:sz="8" w:space="0" w:color="auto"/>
              <w:right w:val="single" w:sz="8" w:space="0" w:color="000000"/>
            </w:tcBorders>
            <w:shd w:val="clear" w:color="000000" w:fill="F8CBAD"/>
            <w:noWrap/>
            <w:vAlign w:val="center"/>
            <w:hideMark/>
          </w:tcPr>
          <w:p w:rsidR="00180B32" w:rsidRPr="00180B32" w:rsidRDefault="00180B32" w:rsidP="00180B32">
            <w:pPr>
              <w:spacing w:after="0" w:line="240" w:lineRule="auto"/>
              <w:jc w:val="center"/>
              <w:rPr>
                <w:rFonts w:eastAsia="Times New Roman"/>
                <w:b/>
                <w:bCs/>
                <w:color w:val="000000"/>
              </w:rPr>
            </w:pPr>
            <w:r w:rsidRPr="00180B32">
              <w:rPr>
                <w:rFonts w:eastAsia="Times New Roman"/>
                <w:b/>
                <w:bCs/>
                <w:color w:val="000000"/>
              </w:rPr>
              <w:t xml:space="preserve">Number of Attendees/Participants by Agency </w:t>
            </w:r>
          </w:p>
        </w:tc>
      </w:tr>
      <w:tr w:rsidR="00180B32" w:rsidRPr="00180B32" w:rsidTr="00180B32">
        <w:trPr>
          <w:trHeight w:val="315"/>
        </w:trPr>
        <w:tc>
          <w:tcPr>
            <w:tcW w:w="4102" w:type="dxa"/>
            <w:tcBorders>
              <w:top w:val="nil"/>
              <w:left w:val="single" w:sz="8" w:space="0" w:color="auto"/>
              <w:bottom w:val="single" w:sz="8" w:space="0" w:color="auto"/>
              <w:right w:val="single" w:sz="8" w:space="0" w:color="auto"/>
            </w:tcBorders>
            <w:shd w:val="clear" w:color="000000" w:fill="F8CBAD"/>
            <w:noWrap/>
            <w:vAlign w:val="center"/>
            <w:hideMark/>
          </w:tcPr>
          <w:p w:rsidR="00180B32" w:rsidRPr="00180B32" w:rsidRDefault="00180B32" w:rsidP="00180B32">
            <w:pPr>
              <w:spacing w:after="0" w:line="240" w:lineRule="auto"/>
              <w:jc w:val="center"/>
              <w:rPr>
                <w:rFonts w:eastAsia="Times New Roman"/>
                <w:b/>
                <w:bCs/>
                <w:color w:val="000000"/>
              </w:rPr>
            </w:pPr>
            <w:r w:rsidRPr="00180B32">
              <w:rPr>
                <w:rFonts w:eastAsia="Times New Roman"/>
                <w:b/>
                <w:bCs/>
                <w:color w:val="000000"/>
              </w:rPr>
              <w:t>Agency</w:t>
            </w:r>
          </w:p>
        </w:tc>
        <w:tc>
          <w:tcPr>
            <w:tcW w:w="958" w:type="dxa"/>
            <w:tcBorders>
              <w:top w:val="nil"/>
              <w:left w:val="nil"/>
              <w:bottom w:val="single" w:sz="8" w:space="0" w:color="auto"/>
              <w:right w:val="single" w:sz="8" w:space="0" w:color="auto"/>
            </w:tcBorders>
            <w:shd w:val="clear" w:color="000000" w:fill="F8CBAD"/>
            <w:noWrap/>
            <w:vAlign w:val="center"/>
            <w:hideMark/>
          </w:tcPr>
          <w:p w:rsidR="00180B32" w:rsidRPr="00180B32" w:rsidRDefault="00180B32" w:rsidP="00180B32">
            <w:pPr>
              <w:spacing w:after="0" w:line="240" w:lineRule="auto"/>
              <w:jc w:val="center"/>
              <w:rPr>
                <w:rFonts w:eastAsia="Times New Roman"/>
                <w:b/>
                <w:bCs/>
                <w:color w:val="000000"/>
              </w:rPr>
            </w:pPr>
            <w:r w:rsidRPr="00180B32">
              <w:rPr>
                <w:rFonts w:eastAsia="Times New Roman"/>
                <w:b/>
                <w:bCs/>
                <w:color w:val="000000"/>
              </w:rPr>
              <w:t>Number</w:t>
            </w:r>
          </w:p>
        </w:tc>
      </w:tr>
      <w:tr w:rsidR="00180B32" w:rsidRPr="00180B32" w:rsidTr="00180B32">
        <w:trPr>
          <w:trHeight w:val="315"/>
        </w:trPr>
        <w:tc>
          <w:tcPr>
            <w:tcW w:w="4102" w:type="dxa"/>
            <w:tcBorders>
              <w:top w:val="nil"/>
              <w:left w:val="single" w:sz="8" w:space="0" w:color="auto"/>
              <w:bottom w:val="single" w:sz="8" w:space="0" w:color="auto"/>
              <w:right w:val="single" w:sz="8" w:space="0" w:color="auto"/>
            </w:tcBorders>
            <w:shd w:val="clear" w:color="auto" w:fill="auto"/>
            <w:noWrap/>
            <w:vAlign w:val="center"/>
            <w:hideMark/>
          </w:tcPr>
          <w:p w:rsidR="00180B32" w:rsidRPr="00180B32" w:rsidRDefault="00180B32" w:rsidP="00180B32">
            <w:pPr>
              <w:spacing w:after="0" w:line="240" w:lineRule="auto"/>
              <w:rPr>
                <w:rFonts w:eastAsia="Times New Roman"/>
                <w:color w:val="000000"/>
              </w:rPr>
            </w:pPr>
            <w:r w:rsidRPr="00180B32">
              <w:rPr>
                <w:rFonts w:eastAsia="Times New Roman"/>
                <w:color w:val="000000"/>
              </w:rPr>
              <w:t>State VR Agency</w:t>
            </w:r>
          </w:p>
        </w:tc>
        <w:tc>
          <w:tcPr>
            <w:tcW w:w="958" w:type="dxa"/>
            <w:tcBorders>
              <w:top w:val="nil"/>
              <w:left w:val="nil"/>
              <w:bottom w:val="single" w:sz="8" w:space="0" w:color="auto"/>
              <w:right w:val="single" w:sz="8" w:space="0" w:color="auto"/>
            </w:tcBorders>
            <w:shd w:val="clear" w:color="auto" w:fill="auto"/>
            <w:noWrap/>
            <w:vAlign w:val="center"/>
            <w:hideMark/>
          </w:tcPr>
          <w:p w:rsidR="00180B32" w:rsidRPr="00180B32" w:rsidRDefault="00180B32" w:rsidP="00180B32">
            <w:pPr>
              <w:spacing w:after="0" w:line="240" w:lineRule="auto"/>
              <w:jc w:val="right"/>
              <w:rPr>
                <w:rFonts w:eastAsia="Times New Roman"/>
                <w:color w:val="000000"/>
              </w:rPr>
            </w:pPr>
            <w:r w:rsidRPr="00180B32">
              <w:rPr>
                <w:rFonts w:eastAsia="Times New Roman"/>
                <w:color w:val="000000"/>
              </w:rPr>
              <w:t>1074</w:t>
            </w:r>
          </w:p>
        </w:tc>
      </w:tr>
      <w:tr w:rsidR="00180B32" w:rsidRPr="00180B32" w:rsidTr="00180B32">
        <w:trPr>
          <w:trHeight w:val="315"/>
        </w:trPr>
        <w:tc>
          <w:tcPr>
            <w:tcW w:w="4102" w:type="dxa"/>
            <w:tcBorders>
              <w:top w:val="nil"/>
              <w:left w:val="single" w:sz="8" w:space="0" w:color="auto"/>
              <w:bottom w:val="single" w:sz="8" w:space="0" w:color="auto"/>
              <w:right w:val="single" w:sz="8" w:space="0" w:color="auto"/>
            </w:tcBorders>
            <w:shd w:val="clear" w:color="auto" w:fill="auto"/>
            <w:noWrap/>
            <w:vAlign w:val="center"/>
            <w:hideMark/>
          </w:tcPr>
          <w:p w:rsidR="00180B32" w:rsidRPr="00180B32" w:rsidRDefault="00180B32" w:rsidP="00180B32">
            <w:pPr>
              <w:spacing w:after="0" w:line="240" w:lineRule="auto"/>
              <w:rPr>
                <w:rFonts w:eastAsia="Times New Roman"/>
                <w:color w:val="000000"/>
              </w:rPr>
            </w:pPr>
            <w:r w:rsidRPr="00180B32">
              <w:rPr>
                <w:rFonts w:eastAsia="Times New Roman"/>
                <w:color w:val="000000"/>
              </w:rPr>
              <w:t>Federal Agency</w:t>
            </w:r>
          </w:p>
        </w:tc>
        <w:tc>
          <w:tcPr>
            <w:tcW w:w="958" w:type="dxa"/>
            <w:tcBorders>
              <w:top w:val="nil"/>
              <w:left w:val="nil"/>
              <w:bottom w:val="single" w:sz="8" w:space="0" w:color="auto"/>
              <w:right w:val="single" w:sz="8" w:space="0" w:color="auto"/>
            </w:tcBorders>
            <w:shd w:val="clear" w:color="auto" w:fill="auto"/>
            <w:noWrap/>
            <w:vAlign w:val="center"/>
            <w:hideMark/>
          </w:tcPr>
          <w:p w:rsidR="00180B32" w:rsidRPr="00180B32" w:rsidRDefault="00180B32" w:rsidP="00180B32">
            <w:pPr>
              <w:spacing w:after="0" w:line="240" w:lineRule="auto"/>
              <w:jc w:val="right"/>
              <w:rPr>
                <w:rFonts w:eastAsia="Times New Roman"/>
                <w:color w:val="000000"/>
              </w:rPr>
            </w:pPr>
            <w:r w:rsidRPr="00180B32">
              <w:rPr>
                <w:rFonts w:eastAsia="Times New Roman"/>
                <w:color w:val="000000"/>
              </w:rPr>
              <w:t>15</w:t>
            </w:r>
          </w:p>
        </w:tc>
      </w:tr>
      <w:tr w:rsidR="00180B32" w:rsidRPr="00180B32" w:rsidTr="00180B32">
        <w:trPr>
          <w:trHeight w:val="315"/>
        </w:trPr>
        <w:tc>
          <w:tcPr>
            <w:tcW w:w="4102" w:type="dxa"/>
            <w:tcBorders>
              <w:top w:val="nil"/>
              <w:left w:val="single" w:sz="8" w:space="0" w:color="auto"/>
              <w:bottom w:val="single" w:sz="8" w:space="0" w:color="auto"/>
              <w:right w:val="single" w:sz="8" w:space="0" w:color="auto"/>
            </w:tcBorders>
            <w:shd w:val="clear" w:color="auto" w:fill="auto"/>
            <w:noWrap/>
            <w:vAlign w:val="center"/>
            <w:hideMark/>
          </w:tcPr>
          <w:p w:rsidR="00180B32" w:rsidRPr="00180B32" w:rsidRDefault="00180B32" w:rsidP="00180B32">
            <w:pPr>
              <w:spacing w:after="0" w:line="240" w:lineRule="auto"/>
              <w:rPr>
                <w:rFonts w:eastAsia="Times New Roman"/>
                <w:color w:val="000000"/>
              </w:rPr>
            </w:pPr>
            <w:r w:rsidRPr="00180B32">
              <w:rPr>
                <w:rFonts w:eastAsia="Times New Roman"/>
                <w:color w:val="000000"/>
              </w:rPr>
              <w:t>Secondary or Postsecondary Education</w:t>
            </w:r>
          </w:p>
        </w:tc>
        <w:tc>
          <w:tcPr>
            <w:tcW w:w="958" w:type="dxa"/>
            <w:tcBorders>
              <w:top w:val="nil"/>
              <w:left w:val="nil"/>
              <w:bottom w:val="single" w:sz="8" w:space="0" w:color="auto"/>
              <w:right w:val="single" w:sz="8" w:space="0" w:color="auto"/>
            </w:tcBorders>
            <w:shd w:val="clear" w:color="auto" w:fill="auto"/>
            <w:noWrap/>
            <w:vAlign w:val="center"/>
            <w:hideMark/>
          </w:tcPr>
          <w:p w:rsidR="00180B32" w:rsidRPr="00180B32" w:rsidRDefault="00180B32" w:rsidP="00180B32">
            <w:pPr>
              <w:spacing w:after="0" w:line="240" w:lineRule="auto"/>
              <w:jc w:val="right"/>
              <w:rPr>
                <w:rFonts w:eastAsia="Times New Roman"/>
                <w:color w:val="000000"/>
              </w:rPr>
            </w:pPr>
            <w:r w:rsidRPr="00180B32">
              <w:rPr>
                <w:rFonts w:eastAsia="Times New Roman"/>
                <w:color w:val="000000"/>
              </w:rPr>
              <w:t>112</w:t>
            </w:r>
          </w:p>
        </w:tc>
      </w:tr>
      <w:tr w:rsidR="00180B32" w:rsidRPr="00180B32" w:rsidTr="00180B32">
        <w:trPr>
          <w:trHeight w:val="315"/>
        </w:trPr>
        <w:tc>
          <w:tcPr>
            <w:tcW w:w="4102" w:type="dxa"/>
            <w:tcBorders>
              <w:top w:val="nil"/>
              <w:left w:val="single" w:sz="8" w:space="0" w:color="auto"/>
              <w:bottom w:val="single" w:sz="8" w:space="0" w:color="auto"/>
              <w:right w:val="single" w:sz="8" w:space="0" w:color="auto"/>
            </w:tcBorders>
            <w:shd w:val="clear" w:color="auto" w:fill="auto"/>
            <w:noWrap/>
            <w:vAlign w:val="center"/>
            <w:hideMark/>
          </w:tcPr>
          <w:p w:rsidR="00180B32" w:rsidRPr="00180B32" w:rsidRDefault="00180B32" w:rsidP="00180B32">
            <w:pPr>
              <w:spacing w:after="0" w:line="240" w:lineRule="auto"/>
              <w:rPr>
                <w:rFonts w:eastAsia="Times New Roman"/>
                <w:color w:val="000000"/>
              </w:rPr>
            </w:pPr>
            <w:r w:rsidRPr="00180B32">
              <w:rPr>
                <w:rFonts w:eastAsia="Times New Roman"/>
                <w:color w:val="000000"/>
              </w:rPr>
              <w:t>Community Rehabilitation Program</w:t>
            </w:r>
          </w:p>
        </w:tc>
        <w:tc>
          <w:tcPr>
            <w:tcW w:w="958" w:type="dxa"/>
            <w:tcBorders>
              <w:top w:val="nil"/>
              <w:left w:val="nil"/>
              <w:bottom w:val="single" w:sz="8" w:space="0" w:color="auto"/>
              <w:right w:val="single" w:sz="8" w:space="0" w:color="auto"/>
            </w:tcBorders>
            <w:shd w:val="clear" w:color="auto" w:fill="auto"/>
            <w:noWrap/>
            <w:vAlign w:val="center"/>
            <w:hideMark/>
          </w:tcPr>
          <w:p w:rsidR="00180B32" w:rsidRPr="00180B32" w:rsidRDefault="00180B32" w:rsidP="00180B32">
            <w:pPr>
              <w:spacing w:after="0" w:line="240" w:lineRule="auto"/>
              <w:jc w:val="right"/>
              <w:rPr>
                <w:rFonts w:eastAsia="Times New Roman"/>
                <w:color w:val="000000"/>
              </w:rPr>
            </w:pPr>
            <w:r w:rsidRPr="00180B32">
              <w:rPr>
                <w:rFonts w:eastAsia="Times New Roman"/>
                <w:color w:val="000000"/>
              </w:rPr>
              <w:t>154</w:t>
            </w:r>
          </w:p>
        </w:tc>
      </w:tr>
      <w:tr w:rsidR="00180B32" w:rsidRPr="00180B32" w:rsidTr="00180B32">
        <w:trPr>
          <w:trHeight w:val="315"/>
        </w:trPr>
        <w:tc>
          <w:tcPr>
            <w:tcW w:w="4102" w:type="dxa"/>
            <w:tcBorders>
              <w:top w:val="nil"/>
              <w:left w:val="single" w:sz="8" w:space="0" w:color="auto"/>
              <w:bottom w:val="single" w:sz="8" w:space="0" w:color="auto"/>
              <w:right w:val="single" w:sz="8" w:space="0" w:color="auto"/>
            </w:tcBorders>
            <w:shd w:val="clear" w:color="auto" w:fill="auto"/>
            <w:noWrap/>
            <w:vAlign w:val="center"/>
            <w:hideMark/>
          </w:tcPr>
          <w:p w:rsidR="00180B32" w:rsidRPr="00180B32" w:rsidRDefault="00180B32" w:rsidP="00180B32">
            <w:pPr>
              <w:spacing w:after="0" w:line="240" w:lineRule="auto"/>
              <w:rPr>
                <w:rFonts w:eastAsia="Times New Roman"/>
                <w:color w:val="000000"/>
              </w:rPr>
            </w:pPr>
            <w:r w:rsidRPr="00180B32">
              <w:rPr>
                <w:rFonts w:eastAsia="Times New Roman"/>
                <w:color w:val="000000"/>
              </w:rPr>
              <w:t>Other Rehabilitation Professional</w:t>
            </w:r>
          </w:p>
        </w:tc>
        <w:tc>
          <w:tcPr>
            <w:tcW w:w="958" w:type="dxa"/>
            <w:tcBorders>
              <w:top w:val="nil"/>
              <w:left w:val="nil"/>
              <w:bottom w:val="single" w:sz="8" w:space="0" w:color="auto"/>
              <w:right w:val="single" w:sz="8" w:space="0" w:color="auto"/>
            </w:tcBorders>
            <w:shd w:val="clear" w:color="auto" w:fill="auto"/>
            <w:noWrap/>
            <w:vAlign w:val="center"/>
            <w:hideMark/>
          </w:tcPr>
          <w:p w:rsidR="00180B32" w:rsidRPr="00180B32" w:rsidRDefault="00180B32" w:rsidP="00180B32">
            <w:pPr>
              <w:spacing w:after="0" w:line="240" w:lineRule="auto"/>
              <w:jc w:val="right"/>
              <w:rPr>
                <w:rFonts w:eastAsia="Times New Roman"/>
                <w:color w:val="000000"/>
              </w:rPr>
            </w:pPr>
            <w:r w:rsidRPr="00180B32">
              <w:rPr>
                <w:rFonts w:eastAsia="Times New Roman"/>
                <w:color w:val="000000"/>
              </w:rPr>
              <w:t>30</w:t>
            </w:r>
          </w:p>
        </w:tc>
      </w:tr>
      <w:tr w:rsidR="00180B32" w:rsidRPr="00180B32" w:rsidTr="00180B32">
        <w:trPr>
          <w:trHeight w:val="315"/>
        </w:trPr>
        <w:tc>
          <w:tcPr>
            <w:tcW w:w="4102" w:type="dxa"/>
            <w:tcBorders>
              <w:top w:val="nil"/>
              <w:left w:val="single" w:sz="8" w:space="0" w:color="auto"/>
              <w:bottom w:val="single" w:sz="8" w:space="0" w:color="auto"/>
              <w:right w:val="single" w:sz="8" w:space="0" w:color="auto"/>
            </w:tcBorders>
            <w:shd w:val="clear" w:color="auto" w:fill="auto"/>
            <w:noWrap/>
            <w:vAlign w:val="center"/>
            <w:hideMark/>
          </w:tcPr>
          <w:p w:rsidR="00180B32" w:rsidRPr="00180B32" w:rsidRDefault="00180B32" w:rsidP="00180B32">
            <w:pPr>
              <w:spacing w:after="0" w:line="240" w:lineRule="auto"/>
              <w:rPr>
                <w:rFonts w:eastAsia="Times New Roman"/>
                <w:color w:val="000000"/>
              </w:rPr>
            </w:pPr>
            <w:r w:rsidRPr="00180B32">
              <w:rPr>
                <w:rFonts w:eastAsia="Times New Roman"/>
                <w:color w:val="000000"/>
              </w:rPr>
              <w:t>Other public organizations</w:t>
            </w:r>
          </w:p>
        </w:tc>
        <w:tc>
          <w:tcPr>
            <w:tcW w:w="958" w:type="dxa"/>
            <w:tcBorders>
              <w:top w:val="nil"/>
              <w:left w:val="nil"/>
              <w:bottom w:val="single" w:sz="8" w:space="0" w:color="auto"/>
              <w:right w:val="single" w:sz="8" w:space="0" w:color="auto"/>
            </w:tcBorders>
            <w:shd w:val="clear" w:color="auto" w:fill="auto"/>
            <w:noWrap/>
            <w:vAlign w:val="center"/>
            <w:hideMark/>
          </w:tcPr>
          <w:p w:rsidR="00180B32" w:rsidRPr="00180B32" w:rsidRDefault="00180B32" w:rsidP="00180B32">
            <w:pPr>
              <w:spacing w:after="0" w:line="240" w:lineRule="auto"/>
              <w:jc w:val="right"/>
              <w:rPr>
                <w:rFonts w:eastAsia="Times New Roman"/>
                <w:color w:val="000000"/>
              </w:rPr>
            </w:pPr>
            <w:r w:rsidRPr="00180B32">
              <w:rPr>
                <w:rFonts w:eastAsia="Times New Roman"/>
                <w:color w:val="000000"/>
              </w:rPr>
              <w:t>14</w:t>
            </w:r>
          </w:p>
        </w:tc>
      </w:tr>
      <w:tr w:rsidR="00180B32" w:rsidRPr="00180B32" w:rsidTr="00180B32">
        <w:trPr>
          <w:trHeight w:val="315"/>
        </w:trPr>
        <w:tc>
          <w:tcPr>
            <w:tcW w:w="4102" w:type="dxa"/>
            <w:tcBorders>
              <w:top w:val="nil"/>
              <w:left w:val="single" w:sz="8" w:space="0" w:color="auto"/>
              <w:bottom w:val="single" w:sz="8" w:space="0" w:color="auto"/>
              <w:right w:val="single" w:sz="8" w:space="0" w:color="auto"/>
            </w:tcBorders>
            <w:shd w:val="clear" w:color="auto" w:fill="auto"/>
            <w:noWrap/>
            <w:vAlign w:val="center"/>
            <w:hideMark/>
          </w:tcPr>
          <w:p w:rsidR="00180B32" w:rsidRPr="00180B32" w:rsidRDefault="00180B32" w:rsidP="00180B32">
            <w:pPr>
              <w:spacing w:after="0" w:line="240" w:lineRule="auto"/>
              <w:rPr>
                <w:rFonts w:eastAsia="Times New Roman"/>
                <w:color w:val="000000"/>
              </w:rPr>
            </w:pPr>
            <w:r w:rsidRPr="00180B32">
              <w:rPr>
                <w:rFonts w:eastAsia="Times New Roman"/>
                <w:color w:val="000000"/>
              </w:rPr>
              <w:t>Other private organizations</w:t>
            </w:r>
          </w:p>
        </w:tc>
        <w:tc>
          <w:tcPr>
            <w:tcW w:w="958" w:type="dxa"/>
            <w:tcBorders>
              <w:top w:val="nil"/>
              <w:left w:val="nil"/>
              <w:bottom w:val="single" w:sz="8" w:space="0" w:color="auto"/>
              <w:right w:val="single" w:sz="8" w:space="0" w:color="auto"/>
            </w:tcBorders>
            <w:shd w:val="clear" w:color="auto" w:fill="auto"/>
            <w:noWrap/>
            <w:vAlign w:val="center"/>
            <w:hideMark/>
          </w:tcPr>
          <w:p w:rsidR="00180B32" w:rsidRPr="00180B32" w:rsidRDefault="00180B32" w:rsidP="00180B32">
            <w:pPr>
              <w:spacing w:after="0" w:line="240" w:lineRule="auto"/>
              <w:jc w:val="right"/>
              <w:rPr>
                <w:rFonts w:eastAsia="Times New Roman"/>
                <w:color w:val="000000"/>
              </w:rPr>
            </w:pPr>
            <w:r w:rsidRPr="00180B32">
              <w:rPr>
                <w:rFonts w:eastAsia="Times New Roman"/>
                <w:color w:val="000000"/>
              </w:rPr>
              <w:t>35</w:t>
            </w:r>
          </w:p>
        </w:tc>
      </w:tr>
      <w:tr w:rsidR="00180B32" w:rsidRPr="00180B32" w:rsidTr="00180B32">
        <w:trPr>
          <w:trHeight w:val="315"/>
        </w:trPr>
        <w:tc>
          <w:tcPr>
            <w:tcW w:w="4102" w:type="dxa"/>
            <w:tcBorders>
              <w:top w:val="nil"/>
              <w:left w:val="single" w:sz="8" w:space="0" w:color="auto"/>
              <w:bottom w:val="single" w:sz="8" w:space="0" w:color="auto"/>
              <w:right w:val="single" w:sz="8" w:space="0" w:color="auto"/>
            </w:tcBorders>
            <w:shd w:val="clear" w:color="auto" w:fill="auto"/>
            <w:noWrap/>
            <w:vAlign w:val="center"/>
            <w:hideMark/>
          </w:tcPr>
          <w:p w:rsidR="00180B32" w:rsidRPr="00180B32" w:rsidRDefault="00180B32" w:rsidP="00180B32">
            <w:pPr>
              <w:spacing w:after="0" w:line="240" w:lineRule="auto"/>
              <w:rPr>
                <w:rFonts w:eastAsia="Times New Roman"/>
                <w:color w:val="000000"/>
              </w:rPr>
            </w:pPr>
            <w:r w:rsidRPr="00180B32">
              <w:rPr>
                <w:rFonts w:eastAsia="Times New Roman"/>
                <w:color w:val="000000"/>
              </w:rPr>
              <w:t>Individual</w:t>
            </w:r>
          </w:p>
        </w:tc>
        <w:tc>
          <w:tcPr>
            <w:tcW w:w="958" w:type="dxa"/>
            <w:tcBorders>
              <w:top w:val="nil"/>
              <w:left w:val="nil"/>
              <w:bottom w:val="single" w:sz="8" w:space="0" w:color="auto"/>
              <w:right w:val="single" w:sz="8" w:space="0" w:color="auto"/>
            </w:tcBorders>
            <w:shd w:val="clear" w:color="auto" w:fill="auto"/>
            <w:noWrap/>
            <w:vAlign w:val="center"/>
            <w:hideMark/>
          </w:tcPr>
          <w:p w:rsidR="00180B32" w:rsidRPr="00180B32" w:rsidRDefault="00180B32" w:rsidP="00180B32">
            <w:pPr>
              <w:spacing w:after="0" w:line="240" w:lineRule="auto"/>
              <w:jc w:val="right"/>
              <w:rPr>
                <w:rFonts w:eastAsia="Times New Roman"/>
                <w:color w:val="000000"/>
              </w:rPr>
            </w:pPr>
            <w:r w:rsidRPr="00180B32">
              <w:rPr>
                <w:rFonts w:eastAsia="Times New Roman"/>
                <w:color w:val="000000"/>
              </w:rPr>
              <w:t>1</w:t>
            </w:r>
          </w:p>
        </w:tc>
      </w:tr>
      <w:tr w:rsidR="00180B32" w:rsidRPr="00180B32" w:rsidTr="00180B32">
        <w:trPr>
          <w:trHeight w:val="315"/>
        </w:trPr>
        <w:tc>
          <w:tcPr>
            <w:tcW w:w="4102" w:type="dxa"/>
            <w:tcBorders>
              <w:top w:val="nil"/>
              <w:left w:val="single" w:sz="8" w:space="0" w:color="auto"/>
              <w:bottom w:val="single" w:sz="8" w:space="0" w:color="auto"/>
              <w:right w:val="single" w:sz="8" w:space="0" w:color="auto"/>
            </w:tcBorders>
            <w:shd w:val="clear" w:color="auto" w:fill="auto"/>
            <w:noWrap/>
            <w:vAlign w:val="center"/>
            <w:hideMark/>
          </w:tcPr>
          <w:p w:rsidR="00180B32" w:rsidRPr="00180B32" w:rsidRDefault="00180B32" w:rsidP="00180B32">
            <w:pPr>
              <w:spacing w:after="0" w:line="240" w:lineRule="auto"/>
              <w:rPr>
                <w:rFonts w:eastAsia="Times New Roman"/>
                <w:color w:val="000000"/>
              </w:rPr>
            </w:pPr>
            <w:r w:rsidRPr="00180B32">
              <w:rPr>
                <w:rFonts w:eastAsia="Times New Roman"/>
                <w:color w:val="000000"/>
              </w:rPr>
              <w:t>Other</w:t>
            </w:r>
          </w:p>
        </w:tc>
        <w:tc>
          <w:tcPr>
            <w:tcW w:w="958" w:type="dxa"/>
            <w:tcBorders>
              <w:top w:val="nil"/>
              <w:left w:val="nil"/>
              <w:bottom w:val="single" w:sz="8" w:space="0" w:color="auto"/>
              <w:right w:val="single" w:sz="8" w:space="0" w:color="auto"/>
            </w:tcBorders>
            <w:shd w:val="clear" w:color="auto" w:fill="auto"/>
            <w:noWrap/>
            <w:vAlign w:val="center"/>
            <w:hideMark/>
          </w:tcPr>
          <w:p w:rsidR="00180B32" w:rsidRPr="00180B32" w:rsidRDefault="00180B32" w:rsidP="00180B32">
            <w:pPr>
              <w:spacing w:after="0" w:line="240" w:lineRule="auto"/>
              <w:rPr>
                <w:rFonts w:eastAsia="Times New Roman"/>
                <w:color w:val="000000"/>
              </w:rPr>
            </w:pPr>
            <w:r w:rsidRPr="00180B32">
              <w:rPr>
                <w:rFonts w:eastAsia="Times New Roman"/>
                <w:color w:val="000000"/>
              </w:rPr>
              <w:t> </w:t>
            </w:r>
          </w:p>
        </w:tc>
      </w:tr>
      <w:tr w:rsidR="00180B32" w:rsidRPr="00180B32" w:rsidTr="00180B32">
        <w:trPr>
          <w:trHeight w:val="315"/>
        </w:trPr>
        <w:tc>
          <w:tcPr>
            <w:tcW w:w="4102" w:type="dxa"/>
            <w:tcBorders>
              <w:top w:val="nil"/>
              <w:left w:val="single" w:sz="8" w:space="0" w:color="auto"/>
              <w:bottom w:val="single" w:sz="8" w:space="0" w:color="auto"/>
              <w:right w:val="single" w:sz="8" w:space="0" w:color="auto"/>
            </w:tcBorders>
            <w:shd w:val="clear" w:color="auto" w:fill="auto"/>
            <w:noWrap/>
            <w:vAlign w:val="center"/>
            <w:hideMark/>
          </w:tcPr>
          <w:p w:rsidR="00180B32" w:rsidRPr="00180B32" w:rsidRDefault="00180B32" w:rsidP="00180B32">
            <w:pPr>
              <w:spacing w:after="0" w:line="240" w:lineRule="auto"/>
              <w:jc w:val="right"/>
              <w:rPr>
                <w:rFonts w:eastAsia="Times New Roman"/>
                <w:b/>
                <w:bCs/>
                <w:color w:val="000000"/>
              </w:rPr>
            </w:pPr>
            <w:r w:rsidRPr="00180B32">
              <w:rPr>
                <w:rFonts w:eastAsia="Times New Roman"/>
                <w:b/>
                <w:bCs/>
                <w:color w:val="000000"/>
              </w:rPr>
              <w:t>Total:</w:t>
            </w:r>
          </w:p>
        </w:tc>
        <w:tc>
          <w:tcPr>
            <w:tcW w:w="958" w:type="dxa"/>
            <w:tcBorders>
              <w:top w:val="nil"/>
              <w:left w:val="nil"/>
              <w:bottom w:val="single" w:sz="8" w:space="0" w:color="auto"/>
              <w:right w:val="single" w:sz="8" w:space="0" w:color="auto"/>
            </w:tcBorders>
            <w:shd w:val="clear" w:color="auto" w:fill="auto"/>
            <w:noWrap/>
            <w:vAlign w:val="center"/>
            <w:hideMark/>
          </w:tcPr>
          <w:p w:rsidR="00180B32" w:rsidRPr="00180B32" w:rsidRDefault="00180B32" w:rsidP="00180B32">
            <w:pPr>
              <w:spacing w:after="0" w:line="240" w:lineRule="auto"/>
              <w:jc w:val="right"/>
              <w:rPr>
                <w:rFonts w:eastAsia="Times New Roman"/>
                <w:color w:val="000000"/>
              </w:rPr>
            </w:pPr>
            <w:r w:rsidRPr="00180B32">
              <w:rPr>
                <w:rFonts w:eastAsia="Times New Roman"/>
                <w:color w:val="000000"/>
              </w:rPr>
              <w:t>1435</w:t>
            </w:r>
          </w:p>
        </w:tc>
      </w:tr>
    </w:tbl>
    <w:p w:rsidR="00180B32" w:rsidRDefault="00180B32" w:rsidP="00E94C3A">
      <w:pPr>
        <w:pStyle w:val="NoSpacing"/>
      </w:pPr>
    </w:p>
    <w:p w:rsidR="00180B32" w:rsidRDefault="0039184F" w:rsidP="00E94C3A">
      <w:pPr>
        <w:pStyle w:val="NoSpacing"/>
      </w:pPr>
      <w:r>
        <w:t>The details of the targeted TA that was provided in the fourth quarter are below:</w:t>
      </w:r>
    </w:p>
    <w:p w:rsidR="0039184F" w:rsidRDefault="0039184F" w:rsidP="00E94C3A">
      <w:pPr>
        <w:pStyle w:val="NoSpacing"/>
      </w:pPr>
    </w:p>
    <w:p w:rsidR="0039184F" w:rsidRDefault="0039184F" w:rsidP="004D2ABD">
      <w:pPr>
        <w:pStyle w:val="NoSpacing"/>
        <w:numPr>
          <w:ilvl w:val="0"/>
          <w:numId w:val="7"/>
        </w:numPr>
      </w:pPr>
      <w:r>
        <w:t>Date: 7-14-16 to 9-30-16</w:t>
      </w:r>
    </w:p>
    <w:p w:rsidR="0039184F" w:rsidRDefault="0039184F" w:rsidP="004D2ABD">
      <w:pPr>
        <w:pStyle w:val="NoSpacing"/>
        <w:numPr>
          <w:ilvl w:val="0"/>
          <w:numId w:val="7"/>
        </w:numPr>
      </w:pPr>
      <w:r>
        <w:t xml:space="preserve">State VR agency(s) receiving TA: </w:t>
      </w:r>
      <w:r w:rsidRPr="00C80E12">
        <w:rPr>
          <w:b/>
        </w:rPr>
        <w:t>Alaska VR and Workforce Partners</w:t>
      </w:r>
    </w:p>
    <w:p w:rsidR="0039184F" w:rsidRDefault="0039184F" w:rsidP="004D2ABD">
      <w:pPr>
        <w:pStyle w:val="NoSpacing"/>
        <w:numPr>
          <w:ilvl w:val="0"/>
          <w:numId w:val="7"/>
        </w:numPr>
      </w:pPr>
      <w:r>
        <w:t>Type of event/activity: Four SARA demos</w:t>
      </w:r>
    </w:p>
    <w:p w:rsidR="0039184F" w:rsidRDefault="0039184F" w:rsidP="004D2ABD">
      <w:pPr>
        <w:pStyle w:val="NoSpacing"/>
        <w:numPr>
          <w:ilvl w:val="0"/>
          <w:numId w:val="7"/>
        </w:numPr>
      </w:pPr>
      <w:r>
        <w:t>Topic areas: common performance measures</w:t>
      </w:r>
    </w:p>
    <w:p w:rsidR="0039184F" w:rsidRDefault="0039184F" w:rsidP="004D2ABD">
      <w:pPr>
        <w:pStyle w:val="NoSpacing"/>
        <w:numPr>
          <w:ilvl w:val="0"/>
          <w:numId w:val="7"/>
        </w:numPr>
      </w:pPr>
      <w:r>
        <w:t>Number of attendees/participants by agency: 5 State VR and 7 workforce partners</w:t>
      </w:r>
    </w:p>
    <w:p w:rsidR="0039184F" w:rsidRDefault="0039184F" w:rsidP="004D2ABD">
      <w:pPr>
        <w:pStyle w:val="NoSpacing"/>
        <w:numPr>
          <w:ilvl w:val="0"/>
          <w:numId w:val="7"/>
        </w:numPr>
      </w:pPr>
      <w:r>
        <w:t>Description: A series of SARA demos to Alaska and their workforce partners.  We included this as a targeted TA because it was a repeated process over three months and led to inclusion of Alaska into the SARA pilot ultimately.</w:t>
      </w:r>
    </w:p>
    <w:p w:rsidR="0039184F" w:rsidRDefault="0039184F" w:rsidP="004D2ABD">
      <w:pPr>
        <w:pStyle w:val="NoSpacing"/>
        <w:numPr>
          <w:ilvl w:val="0"/>
          <w:numId w:val="7"/>
        </w:numPr>
      </w:pPr>
      <w:r>
        <w:lastRenderedPageBreak/>
        <w:t>Number of participants that agreed to follow-up: part of the intensive TA agreement and SARA pilot</w:t>
      </w:r>
    </w:p>
    <w:p w:rsidR="0039184F" w:rsidRDefault="0039184F" w:rsidP="0039184F">
      <w:pPr>
        <w:pStyle w:val="NoSpacing"/>
      </w:pPr>
    </w:p>
    <w:p w:rsidR="0039184F" w:rsidRDefault="0039184F" w:rsidP="004D2ABD">
      <w:pPr>
        <w:pStyle w:val="NoSpacing"/>
        <w:numPr>
          <w:ilvl w:val="0"/>
          <w:numId w:val="8"/>
        </w:numPr>
      </w:pPr>
      <w:r>
        <w:t>Date: 7-22-16</w:t>
      </w:r>
    </w:p>
    <w:p w:rsidR="0039184F" w:rsidRDefault="0039184F" w:rsidP="004D2ABD">
      <w:pPr>
        <w:pStyle w:val="NoSpacing"/>
        <w:numPr>
          <w:ilvl w:val="0"/>
          <w:numId w:val="8"/>
        </w:numPr>
      </w:pPr>
      <w:r>
        <w:t xml:space="preserve">State VR agency(s) receiving TA: </w:t>
      </w:r>
      <w:r w:rsidRPr="00C80E12">
        <w:rPr>
          <w:b/>
        </w:rPr>
        <w:t>Arkansas</w:t>
      </w:r>
      <w:r w:rsidR="00C80E12">
        <w:rPr>
          <w:b/>
        </w:rPr>
        <w:t xml:space="preserve"> General</w:t>
      </w:r>
    </w:p>
    <w:p w:rsidR="0039184F" w:rsidRDefault="0039184F" w:rsidP="004D2ABD">
      <w:pPr>
        <w:pStyle w:val="NoSpacing"/>
        <w:numPr>
          <w:ilvl w:val="0"/>
          <w:numId w:val="8"/>
        </w:numPr>
      </w:pPr>
      <w:r>
        <w:t>Type of event/activity: Teleconference series</w:t>
      </w:r>
    </w:p>
    <w:p w:rsidR="0039184F" w:rsidRDefault="0039184F" w:rsidP="004D2ABD">
      <w:pPr>
        <w:pStyle w:val="NoSpacing"/>
        <w:numPr>
          <w:ilvl w:val="0"/>
          <w:numId w:val="8"/>
        </w:numPr>
      </w:pPr>
      <w:r>
        <w:t>Topic areas: 511</w:t>
      </w:r>
    </w:p>
    <w:p w:rsidR="0039184F" w:rsidRDefault="0039184F" w:rsidP="004D2ABD">
      <w:pPr>
        <w:pStyle w:val="NoSpacing"/>
        <w:numPr>
          <w:ilvl w:val="0"/>
          <w:numId w:val="8"/>
        </w:numPr>
      </w:pPr>
      <w:r>
        <w:t>Number of attendees/participants by agency: 3</w:t>
      </w:r>
    </w:p>
    <w:p w:rsidR="0039184F" w:rsidRDefault="0039184F" w:rsidP="004D2ABD">
      <w:pPr>
        <w:pStyle w:val="NoSpacing"/>
        <w:numPr>
          <w:ilvl w:val="0"/>
          <w:numId w:val="8"/>
        </w:numPr>
      </w:pPr>
      <w:r>
        <w:t>Description: This was a series of calls and emails regarding implementation of section 511</w:t>
      </w:r>
    </w:p>
    <w:p w:rsidR="0039184F" w:rsidRDefault="0039184F" w:rsidP="004D2ABD">
      <w:pPr>
        <w:pStyle w:val="NoSpacing"/>
        <w:numPr>
          <w:ilvl w:val="0"/>
          <w:numId w:val="8"/>
        </w:numPr>
      </w:pPr>
      <w:r>
        <w:t>Number of participants that agreed to follow-up: 0</w:t>
      </w:r>
    </w:p>
    <w:p w:rsidR="0039184F" w:rsidRDefault="0039184F" w:rsidP="0039184F">
      <w:pPr>
        <w:pStyle w:val="NoSpacing"/>
      </w:pPr>
    </w:p>
    <w:p w:rsidR="0039184F" w:rsidRDefault="0039184F" w:rsidP="004D2ABD">
      <w:pPr>
        <w:pStyle w:val="NoSpacing"/>
        <w:numPr>
          <w:ilvl w:val="0"/>
          <w:numId w:val="9"/>
        </w:numPr>
      </w:pPr>
      <w:r>
        <w:t>Date: 7-15-16</w:t>
      </w:r>
    </w:p>
    <w:p w:rsidR="0039184F" w:rsidRDefault="0039184F" w:rsidP="004D2ABD">
      <w:pPr>
        <w:pStyle w:val="NoSpacing"/>
        <w:numPr>
          <w:ilvl w:val="0"/>
          <w:numId w:val="9"/>
        </w:numPr>
      </w:pPr>
      <w:r>
        <w:t xml:space="preserve">State VR agency(s) receiving TA:  </w:t>
      </w:r>
      <w:r w:rsidRPr="00C80E12">
        <w:rPr>
          <w:b/>
        </w:rPr>
        <w:t>Arizona combined</w:t>
      </w:r>
    </w:p>
    <w:p w:rsidR="0039184F" w:rsidRDefault="0039184F" w:rsidP="004D2ABD">
      <w:pPr>
        <w:pStyle w:val="NoSpacing"/>
        <w:numPr>
          <w:ilvl w:val="0"/>
          <w:numId w:val="9"/>
        </w:numPr>
      </w:pPr>
      <w:r>
        <w:t>Type of event/activity: Face-to-face meeting</w:t>
      </w:r>
      <w:r>
        <w:tab/>
      </w:r>
      <w:r>
        <w:tab/>
      </w:r>
    </w:p>
    <w:p w:rsidR="0039184F" w:rsidRDefault="0039184F" w:rsidP="004D2ABD">
      <w:pPr>
        <w:pStyle w:val="NoSpacing"/>
        <w:numPr>
          <w:ilvl w:val="0"/>
          <w:numId w:val="9"/>
        </w:numPr>
      </w:pPr>
      <w:r>
        <w:t>Topic areas: Pre-ets 511, CIE and CPM</w:t>
      </w:r>
    </w:p>
    <w:p w:rsidR="0039184F" w:rsidRDefault="0039184F" w:rsidP="004D2ABD">
      <w:pPr>
        <w:pStyle w:val="NoSpacing"/>
        <w:numPr>
          <w:ilvl w:val="0"/>
          <w:numId w:val="9"/>
        </w:numPr>
      </w:pPr>
      <w:r>
        <w:t>Number of attendees/participants by agency: 11</w:t>
      </w:r>
    </w:p>
    <w:p w:rsidR="0039184F" w:rsidRDefault="0039184F" w:rsidP="004D2ABD">
      <w:pPr>
        <w:pStyle w:val="NoSpacing"/>
        <w:numPr>
          <w:ilvl w:val="0"/>
          <w:numId w:val="9"/>
        </w:numPr>
      </w:pPr>
      <w:r>
        <w:t>Description: This was a face-to-face meeting that involved three members of the WINTAC and the Executive management team in Arizona to review their needs around the four topic areas noted above.  This meeting resulted in an intensive TA plan that is still active</w:t>
      </w:r>
    </w:p>
    <w:p w:rsidR="0039184F" w:rsidRDefault="0039184F" w:rsidP="004D2ABD">
      <w:pPr>
        <w:pStyle w:val="NoSpacing"/>
        <w:numPr>
          <w:ilvl w:val="0"/>
          <w:numId w:val="9"/>
        </w:numPr>
      </w:pPr>
      <w:r>
        <w:t>Number of participants that agreed to follow-up:  11 – follow-up resulted in an intensive TA agreement</w:t>
      </w:r>
    </w:p>
    <w:p w:rsidR="0039184F" w:rsidRDefault="0039184F" w:rsidP="0039184F">
      <w:pPr>
        <w:pStyle w:val="NoSpacing"/>
      </w:pPr>
    </w:p>
    <w:p w:rsidR="0039184F" w:rsidRDefault="0039184F" w:rsidP="004D2ABD">
      <w:pPr>
        <w:pStyle w:val="NoSpacing"/>
        <w:numPr>
          <w:ilvl w:val="0"/>
          <w:numId w:val="10"/>
        </w:numPr>
      </w:pPr>
      <w:r>
        <w:t>Date:  9-13-16 through present</w:t>
      </w:r>
    </w:p>
    <w:p w:rsidR="0039184F" w:rsidRDefault="0039184F" w:rsidP="004D2ABD">
      <w:pPr>
        <w:pStyle w:val="NoSpacing"/>
        <w:numPr>
          <w:ilvl w:val="0"/>
          <w:numId w:val="10"/>
        </w:numPr>
      </w:pPr>
      <w:r>
        <w:t xml:space="preserve">State VR agency(s) receiving TA: </w:t>
      </w:r>
      <w:r w:rsidRPr="00C80E12">
        <w:rPr>
          <w:b/>
        </w:rPr>
        <w:t>None.  This TA was provided to 25 secondary school educators and 27 private non-profit staff</w:t>
      </w:r>
      <w:r>
        <w:t xml:space="preserve"> that work for the Family Resource Centers in California and who provide services to youth in the PROMISE program in California.</w:t>
      </w:r>
    </w:p>
    <w:p w:rsidR="0039184F" w:rsidRDefault="0039184F" w:rsidP="004D2ABD">
      <w:pPr>
        <w:pStyle w:val="NoSpacing"/>
        <w:numPr>
          <w:ilvl w:val="0"/>
          <w:numId w:val="10"/>
        </w:numPr>
      </w:pPr>
      <w:r>
        <w:t>Type of event/activity: Seminar presentation and a series of follow-up calls and e-mails</w:t>
      </w:r>
    </w:p>
    <w:p w:rsidR="0039184F" w:rsidRDefault="0039184F" w:rsidP="004D2ABD">
      <w:pPr>
        <w:pStyle w:val="NoSpacing"/>
        <w:numPr>
          <w:ilvl w:val="0"/>
          <w:numId w:val="10"/>
        </w:numPr>
      </w:pPr>
      <w:r>
        <w:t>Topic areas: Pre-</w:t>
      </w:r>
      <w:r w:rsidR="007B1D6C">
        <w:t>ETS</w:t>
      </w:r>
      <w:r>
        <w:t>, 511 and common performance measures.</w:t>
      </w:r>
    </w:p>
    <w:p w:rsidR="0039184F" w:rsidRDefault="0039184F" w:rsidP="004D2ABD">
      <w:pPr>
        <w:pStyle w:val="NoSpacing"/>
        <w:numPr>
          <w:ilvl w:val="0"/>
          <w:numId w:val="10"/>
        </w:numPr>
      </w:pPr>
      <w:r>
        <w:t>Number of attendees/participants by agency: 52 total as identified above</w:t>
      </w:r>
    </w:p>
    <w:p w:rsidR="0039184F" w:rsidRDefault="0039184F" w:rsidP="004D2ABD">
      <w:pPr>
        <w:pStyle w:val="NoSpacing"/>
        <w:numPr>
          <w:ilvl w:val="0"/>
          <w:numId w:val="10"/>
        </w:numPr>
      </w:pPr>
      <w:r>
        <w:t xml:space="preserve">Description: I was asked to present a training to individuals that provide services to youth in the CaPROMISE program at their annual training in San Diego.  I would typically consider this presentation on WIOA to be universal TA, but the series of calls and e-mails that followed rose to the level of targeted TA in my opinion.  The secondary school staff were very interested in more information on WIOA as they have not had any organized training on the law.  </w:t>
      </w:r>
    </w:p>
    <w:p w:rsidR="0039184F" w:rsidRDefault="0039184F" w:rsidP="004D2ABD">
      <w:pPr>
        <w:pStyle w:val="NoSpacing"/>
        <w:numPr>
          <w:ilvl w:val="0"/>
          <w:numId w:val="10"/>
        </w:numPr>
      </w:pPr>
      <w:r>
        <w:t>Number of participants that agreed to follow-up: 3 staff from the Desert Mountain S</w:t>
      </w:r>
      <w:r w:rsidR="007B1D6C">
        <w:t>ELPA</w:t>
      </w:r>
      <w:r>
        <w:t xml:space="preserve"> and San Diego Unified have been the most active in reaching out for further information and follow-up.</w:t>
      </w:r>
    </w:p>
    <w:p w:rsidR="0039184F" w:rsidRDefault="0039184F" w:rsidP="0039184F">
      <w:pPr>
        <w:pStyle w:val="NoSpacing"/>
      </w:pPr>
    </w:p>
    <w:p w:rsidR="0039184F" w:rsidRDefault="0039184F" w:rsidP="004D2ABD">
      <w:pPr>
        <w:pStyle w:val="NoSpacing"/>
        <w:numPr>
          <w:ilvl w:val="0"/>
          <w:numId w:val="11"/>
        </w:numPr>
      </w:pPr>
      <w:r>
        <w:t>Date: 7-21-16 through present</w:t>
      </w:r>
    </w:p>
    <w:p w:rsidR="0039184F" w:rsidRDefault="0039184F" w:rsidP="004D2ABD">
      <w:pPr>
        <w:pStyle w:val="NoSpacing"/>
        <w:numPr>
          <w:ilvl w:val="0"/>
          <w:numId w:val="11"/>
        </w:numPr>
      </w:pPr>
      <w:r>
        <w:t xml:space="preserve">State VR agency(s) receiving TA: </w:t>
      </w:r>
      <w:r w:rsidRPr="00C80E12">
        <w:rPr>
          <w:b/>
        </w:rPr>
        <w:t>CNMI combined</w:t>
      </w:r>
    </w:p>
    <w:p w:rsidR="0039184F" w:rsidRDefault="0039184F" w:rsidP="004D2ABD">
      <w:pPr>
        <w:pStyle w:val="NoSpacing"/>
        <w:numPr>
          <w:ilvl w:val="0"/>
          <w:numId w:val="11"/>
        </w:numPr>
      </w:pPr>
      <w:r>
        <w:t>Type of event/activity:  Teleconferences and e-mail TA</w:t>
      </w:r>
    </w:p>
    <w:p w:rsidR="0039184F" w:rsidRDefault="0039184F" w:rsidP="004D2ABD">
      <w:pPr>
        <w:pStyle w:val="NoSpacing"/>
        <w:numPr>
          <w:ilvl w:val="0"/>
          <w:numId w:val="11"/>
        </w:numPr>
      </w:pPr>
      <w:r>
        <w:t>Topic areas: Common performance measures and pre-ets</w:t>
      </w:r>
    </w:p>
    <w:p w:rsidR="0039184F" w:rsidRDefault="0039184F" w:rsidP="004D2ABD">
      <w:pPr>
        <w:pStyle w:val="NoSpacing"/>
        <w:numPr>
          <w:ilvl w:val="0"/>
          <w:numId w:val="11"/>
        </w:numPr>
      </w:pPr>
      <w:r>
        <w:lastRenderedPageBreak/>
        <w:t>Number of attendees/participants by agency: 4</w:t>
      </w:r>
    </w:p>
    <w:p w:rsidR="0039184F" w:rsidRDefault="0039184F" w:rsidP="004D2ABD">
      <w:pPr>
        <w:pStyle w:val="NoSpacing"/>
        <w:numPr>
          <w:ilvl w:val="0"/>
          <w:numId w:val="11"/>
        </w:numPr>
      </w:pPr>
      <w:r>
        <w:t xml:space="preserve">Description: A series of teleconferences and e-mail has occurred with CNMI at their request to cover the areas of pre-employment transition services and the CPMs.  </w:t>
      </w:r>
    </w:p>
    <w:p w:rsidR="0039184F" w:rsidRDefault="0039184F" w:rsidP="004D2ABD">
      <w:pPr>
        <w:pStyle w:val="NoSpacing"/>
        <w:numPr>
          <w:ilvl w:val="0"/>
          <w:numId w:val="11"/>
        </w:numPr>
      </w:pPr>
      <w:r>
        <w:t>Number of participants that agreed to follow-up: 4</w:t>
      </w:r>
    </w:p>
    <w:p w:rsidR="0039184F" w:rsidRDefault="0039184F" w:rsidP="0039184F">
      <w:pPr>
        <w:pStyle w:val="NoSpacing"/>
      </w:pPr>
    </w:p>
    <w:p w:rsidR="0039184F" w:rsidRDefault="0039184F" w:rsidP="004D2ABD">
      <w:pPr>
        <w:pStyle w:val="NoSpacing"/>
        <w:numPr>
          <w:ilvl w:val="0"/>
          <w:numId w:val="12"/>
        </w:numPr>
      </w:pPr>
      <w:r>
        <w:t>Date: 7-27-16 through 8-31-16</w:t>
      </w:r>
    </w:p>
    <w:p w:rsidR="0039184F" w:rsidRDefault="0039184F" w:rsidP="004D2ABD">
      <w:pPr>
        <w:pStyle w:val="NoSpacing"/>
        <w:numPr>
          <w:ilvl w:val="0"/>
          <w:numId w:val="12"/>
        </w:numPr>
      </w:pPr>
      <w:r>
        <w:t xml:space="preserve">State VR agency(s) receiving TA: </w:t>
      </w:r>
      <w:r w:rsidRPr="00C80E12">
        <w:rPr>
          <w:b/>
        </w:rPr>
        <w:t>Florida general</w:t>
      </w:r>
    </w:p>
    <w:p w:rsidR="0039184F" w:rsidRDefault="0039184F" w:rsidP="004D2ABD">
      <w:pPr>
        <w:pStyle w:val="NoSpacing"/>
        <w:numPr>
          <w:ilvl w:val="0"/>
          <w:numId w:val="12"/>
        </w:numPr>
      </w:pPr>
      <w:r>
        <w:t>Type of event/activity: Series of calls and meeting to provide TA</w:t>
      </w:r>
    </w:p>
    <w:p w:rsidR="0039184F" w:rsidRDefault="0039184F" w:rsidP="004D2ABD">
      <w:pPr>
        <w:pStyle w:val="NoSpacing"/>
        <w:numPr>
          <w:ilvl w:val="0"/>
          <w:numId w:val="12"/>
        </w:numPr>
      </w:pPr>
      <w:r>
        <w:t xml:space="preserve">Topic areas: </w:t>
      </w:r>
      <w:r w:rsidR="007B1D6C">
        <w:t>Pre-ETS</w:t>
      </w:r>
      <w:r>
        <w:t>, 511, service alignment and CPMs</w:t>
      </w:r>
    </w:p>
    <w:p w:rsidR="0039184F" w:rsidRDefault="0039184F" w:rsidP="004D2ABD">
      <w:pPr>
        <w:pStyle w:val="NoSpacing"/>
        <w:numPr>
          <w:ilvl w:val="0"/>
          <w:numId w:val="12"/>
        </w:numPr>
      </w:pPr>
      <w:r>
        <w:t>Number of attendees/participants by agency: 6</w:t>
      </w:r>
    </w:p>
    <w:p w:rsidR="0039184F" w:rsidRDefault="0039184F" w:rsidP="004D2ABD">
      <w:pPr>
        <w:pStyle w:val="NoSpacing"/>
        <w:numPr>
          <w:ilvl w:val="0"/>
          <w:numId w:val="12"/>
        </w:numPr>
      </w:pPr>
      <w:r>
        <w:t xml:space="preserve">Description: A series of call to discuss TA needs regarding Section 511, CPMs, and service alignment.  </w:t>
      </w:r>
    </w:p>
    <w:p w:rsidR="0039184F" w:rsidRDefault="0039184F" w:rsidP="004D2ABD">
      <w:pPr>
        <w:pStyle w:val="NoSpacing"/>
        <w:numPr>
          <w:ilvl w:val="0"/>
          <w:numId w:val="12"/>
        </w:numPr>
      </w:pPr>
      <w:r>
        <w:t>Number of participants that agreed to follow-up: 1</w:t>
      </w:r>
    </w:p>
    <w:p w:rsidR="0039184F" w:rsidRDefault="0039184F" w:rsidP="0039184F">
      <w:pPr>
        <w:pStyle w:val="NoSpacing"/>
      </w:pPr>
    </w:p>
    <w:p w:rsidR="0039184F" w:rsidRDefault="0039184F" w:rsidP="004D2ABD">
      <w:pPr>
        <w:pStyle w:val="NoSpacing"/>
        <w:numPr>
          <w:ilvl w:val="0"/>
          <w:numId w:val="13"/>
        </w:numPr>
      </w:pPr>
      <w:r>
        <w:t>Date: 8-15-16</w:t>
      </w:r>
    </w:p>
    <w:p w:rsidR="0039184F" w:rsidRDefault="0039184F" w:rsidP="004D2ABD">
      <w:pPr>
        <w:pStyle w:val="NoSpacing"/>
        <w:numPr>
          <w:ilvl w:val="0"/>
          <w:numId w:val="13"/>
        </w:numPr>
      </w:pPr>
      <w:r>
        <w:t xml:space="preserve">State VR agency(s) receiving TA: </w:t>
      </w:r>
      <w:r w:rsidRPr="00C80E12">
        <w:rPr>
          <w:b/>
        </w:rPr>
        <w:t>Southeastern State VR agencies</w:t>
      </w:r>
      <w:r>
        <w:t xml:space="preserve"> including Florida, North and South Carolina, Alabama, Mississippi, Louisiana and Puerto Rico.</w:t>
      </w:r>
    </w:p>
    <w:p w:rsidR="0039184F" w:rsidRDefault="0039184F" w:rsidP="004D2ABD">
      <w:pPr>
        <w:pStyle w:val="NoSpacing"/>
        <w:numPr>
          <w:ilvl w:val="0"/>
          <w:numId w:val="13"/>
        </w:numPr>
      </w:pPr>
      <w:r>
        <w:t>Type of event/activity: Teleconference call</w:t>
      </w:r>
    </w:p>
    <w:p w:rsidR="0039184F" w:rsidRDefault="0039184F" w:rsidP="004D2ABD">
      <w:pPr>
        <w:pStyle w:val="NoSpacing"/>
        <w:numPr>
          <w:ilvl w:val="0"/>
          <w:numId w:val="13"/>
        </w:numPr>
      </w:pPr>
      <w:r>
        <w:t>Topic areas: CPMs and 911 reporting</w:t>
      </w:r>
    </w:p>
    <w:p w:rsidR="0039184F" w:rsidRDefault="0039184F" w:rsidP="004D2ABD">
      <w:pPr>
        <w:pStyle w:val="NoSpacing"/>
        <w:numPr>
          <w:ilvl w:val="0"/>
          <w:numId w:val="13"/>
        </w:numPr>
      </w:pPr>
      <w:r>
        <w:t>Number of attendees/participants by agency: 25</w:t>
      </w:r>
    </w:p>
    <w:p w:rsidR="0039184F" w:rsidRDefault="0039184F" w:rsidP="004D2ABD">
      <w:pPr>
        <w:pStyle w:val="NoSpacing"/>
        <w:numPr>
          <w:ilvl w:val="0"/>
          <w:numId w:val="13"/>
        </w:numPr>
      </w:pPr>
      <w:r>
        <w:t>Description: This was a scheduled conference call for Southeastern states to discuss among themselves how they are responding to the implementation of the Common Performance Measures and the new 911 data elements. Among topics discussed were materials and training approaches being used the different states to prepare their staff - managers and counselors - for the new performance measures.</w:t>
      </w:r>
    </w:p>
    <w:p w:rsidR="0039184F" w:rsidRDefault="0039184F" w:rsidP="004D2ABD">
      <w:pPr>
        <w:pStyle w:val="NoSpacing"/>
        <w:numPr>
          <w:ilvl w:val="0"/>
          <w:numId w:val="13"/>
        </w:numPr>
      </w:pPr>
      <w:r>
        <w:t>Number of participants that agreed to follow-up: 0</w:t>
      </w:r>
    </w:p>
    <w:p w:rsidR="0039184F" w:rsidRDefault="0039184F" w:rsidP="0039184F">
      <w:pPr>
        <w:pStyle w:val="NoSpacing"/>
      </w:pPr>
    </w:p>
    <w:p w:rsidR="0039184F" w:rsidRDefault="0039184F" w:rsidP="004D2ABD">
      <w:pPr>
        <w:pStyle w:val="NoSpacing"/>
        <w:numPr>
          <w:ilvl w:val="0"/>
          <w:numId w:val="14"/>
        </w:numPr>
      </w:pPr>
      <w:r>
        <w:t>Date: 8-5-16</w:t>
      </w:r>
    </w:p>
    <w:p w:rsidR="0039184F" w:rsidRDefault="0039184F" w:rsidP="004D2ABD">
      <w:pPr>
        <w:pStyle w:val="NoSpacing"/>
        <w:numPr>
          <w:ilvl w:val="0"/>
          <w:numId w:val="14"/>
        </w:numPr>
      </w:pPr>
      <w:r>
        <w:t xml:space="preserve">State VR agency(s) receiving TA: </w:t>
      </w:r>
      <w:r w:rsidRPr="00C80E12">
        <w:rPr>
          <w:b/>
        </w:rPr>
        <w:t>Mississippi combined</w:t>
      </w:r>
    </w:p>
    <w:p w:rsidR="0039184F" w:rsidRDefault="0039184F" w:rsidP="004D2ABD">
      <w:pPr>
        <w:pStyle w:val="NoSpacing"/>
        <w:numPr>
          <w:ilvl w:val="0"/>
          <w:numId w:val="14"/>
        </w:numPr>
      </w:pPr>
      <w:r>
        <w:t>Type of event/activity: Teleconference</w:t>
      </w:r>
    </w:p>
    <w:p w:rsidR="0039184F" w:rsidRDefault="0039184F" w:rsidP="004D2ABD">
      <w:pPr>
        <w:pStyle w:val="NoSpacing"/>
        <w:numPr>
          <w:ilvl w:val="0"/>
          <w:numId w:val="14"/>
        </w:numPr>
      </w:pPr>
      <w:r>
        <w:t>Topic areas: CPMs</w:t>
      </w:r>
    </w:p>
    <w:p w:rsidR="0039184F" w:rsidRDefault="0039184F" w:rsidP="004D2ABD">
      <w:pPr>
        <w:pStyle w:val="NoSpacing"/>
        <w:numPr>
          <w:ilvl w:val="0"/>
          <w:numId w:val="14"/>
        </w:numPr>
      </w:pPr>
      <w:r>
        <w:t>Number of attendees/participants by agency: 4</w:t>
      </w:r>
    </w:p>
    <w:p w:rsidR="0039184F" w:rsidRDefault="0039184F" w:rsidP="004D2ABD">
      <w:pPr>
        <w:pStyle w:val="NoSpacing"/>
        <w:numPr>
          <w:ilvl w:val="0"/>
          <w:numId w:val="14"/>
        </w:numPr>
      </w:pPr>
      <w:r>
        <w:t xml:space="preserve">Description: This was a teleconference with Mississippi VR staff on the common performance measures and the challenges that the agency is facing in transitioning to the new measures and reporting.  Areas addressed included implications for CRPs, contracts and performance evaluations.    </w:t>
      </w:r>
    </w:p>
    <w:p w:rsidR="0039184F" w:rsidRDefault="0039184F" w:rsidP="004D2ABD">
      <w:pPr>
        <w:pStyle w:val="NoSpacing"/>
        <w:numPr>
          <w:ilvl w:val="0"/>
          <w:numId w:val="14"/>
        </w:numPr>
      </w:pPr>
      <w:r>
        <w:t>Number of participants that agreed to follow-up:  1</w:t>
      </w:r>
    </w:p>
    <w:p w:rsidR="0039184F" w:rsidRDefault="0039184F" w:rsidP="0039184F">
      <w:pPr>
        <w:pStyle w:val="NoSpacing"/>
      </w:pPr>
    </w:p>
    <w:p w:rsidR="0039184F" w:rsidRDefault="0039184F" w:rsidP="004D2ABD">
      <w:pPr>
        <w:pStyle w:val="NoSpacing"/>
        <w:numPr>
          <w:ilvl w:val="0"/>
          <w:numId w:val="15"/>
        </w:numPr>
      </w:pPr>
      <w:r>
        <w:t>Date: 8-24-16 to present</w:t>
      </w:r>
    </w:p>
    <w:p w:rsidR="0039184F" w:rsidRDefault="0039184F" w:rsidP="004D2ABD">
      <w:pPr>
        <w:pStyle w:val="NoSpacing"/>
        <w:numPr>
          <w:ilvl w:val="0"/>
          <w:numId w:val="15"/>
        </w:numPr>
      </w:pPr>
      <w:r>
        <w:t xml:space="preserve">State VR agency(s) receiving TA: </w:t>
      </w:r>
      <w:r w:rsidRPr="00C80E12">
        <w:rPr>
          <w:b/>
        </w:rPr>
        <w:t>Indiana combined</w:t>
      </w:r>
    </w:p>
    <w:p w:rsidR="0039184F" w:rsidRDefault="0039184F" w:rsidP="004D2ABD">
      <w:pPr>
        <w:pStyle w:val="NoSpacing"/>
        <w:numPr>
          <w:ilvl w:val="0"/>
          <w:numId w:val="15"/>
        </w:numPr>
      </w:pPr>
      <w:r>
        <w:t>Type of event/activity: Face-to-face meeting following form e-mails and calls</w:t>
      </w:r>
    </w:p>
    <w:p w:rsidR="0039184F" w:rsidRDefault="0039184F" w:rsidP="004D2ABD">
      <w:pPr>
        <w:pStyle w:val="NoSpacing"/>
        <w:numPr>
          <w:ilvl w:val="0"/>
          <w:numId w:val="15"/>
        </w:numPr>
      </w:pPr>
      <w:r>
        <w:t>Topic areas: pre-ets and 511</w:t>
      </w:r>
    </w:p>
    <w:p w:rsidR="0039184F" w:rsidRDefault="0039184F" w:rsidP="004D2ABD">
      <w:pPr>
        <w:pStyle w:val="NoSpacing"/>
        <w:numPr>
          <w:ilvl w:val="0"/>
          <w:numId w:val="15"/>
        </w:numPr>
      </w:pPr>
      <w:r>
        <w:t>Number of attendees/participants by agency: 6</w:t>
      </w:r>
    </w:p>
    <w:p w:rsidR="0039184F" w:rsidRDefault="0039184F" w:rsidP="004D2ABD">
      <w:pPr>
        <w:pStyle w:val="NoSpacing"/>
        <w:numPr>
          <w:ilvl w:val="0"/>
          <w:numId w:val="15"/>
        </w:numPr>
      </w:pPr>
      <w:r>
        <w:t xml:space="preserve">Description: Following a series of calls and e-mails regarding questions on pre-employment transition services and Section 511, WINTAC staff had an in-person </w:t>
      </w:r>
      <w:r>
        <w:lastRenderedPageBreak/>
        <w:t>meeting with Indiana and the Y-TAC, which will be a partner in the eventual intensive TA agreement.</w:t>
      </w:r>
    </w:p>
    <w:p w:rsidR="0039184F" w:rsidRDefault="0039184F" w:rsidP="004D2ABD">
      <w:pPr>
        <w:pStyle w:val="NoSpacing"/>
        <w:numPr>
          <w:ilvl w:val="0"/>
          <w:numId w:val="15"/>
        </w:numPr>
      </w:pPr>
      <w:r>
        <w:t>Number of participants that agreed to follow-up: 5</w:t>
      </w:r>
    </w:p>
    <w:p w:rsidR="0039184F" w:rsidRDefault="0039184F" w:rsidP="0039184F">
      <w:pPr>
        <w:pStyle w:val="NoSpacing"/>
      </w:pPr>
    </w:p>
    <w:p w:rsidR="0039184F" w:rsidRDefault="0039184F" w:rsidP="004D2ABD">
      <w:pPr>
        <w:pStyle w:val="NoSpacing"/>
        <w:numPr>
          <w:ilvl w:val="0"/>
          <w:numId w:val="16"/>
        </w:numPr>
      </w:pPr>
      <w:r>
        <w:t>Date: 7-1-16 through 9-30-16</w:t>
      </w:r>
    </w:p>
    <w:p w:rsidR="0039184F" w:rsidRDefault="0039184F" w:rsidP="004D2ABD">
      <w:pPr>
        <w:pStyle w:val="NoSpacing"/>
        <w:numPr>
          <w:ilvl w:val="0"/>
          <w:numId w:val="16"/>
        </w:numPr>
      </w:pPr>
      <w:r>
        <w:t xml:space="preserve">State VR agency(s) receiving TA: </w:t>
      </w:r>
      <w:r w:rsidRPr="00C80E12">
        <w:rPr>
          <w:b/>
        </w:rPr>
        <w:t>Iowa Blind</w:t>
      </w:r>
    </w:p>
    <w:p w:rsidR="0039184F" w:rsidRDefault="0039184F" w:rsidP="004D2ABD">
      <w:pPr>
        <w:pStyle w:val="NoSpacing"/>
        <w:numPr>
          <w:ilvl w:val="0"/>
          <w:numId w:val="16"/>
        </w:numPr>
      </w:pPr>
      <w:r>
        <w:t>Type of event/activity: Face-to-face meeting, calls and e-mails over an extended period that led to a pending intensive TA agreement</w:t>
      </w:r>
    </w:p>
    <w:p w:rsidR="0039184F" w:rsidRDefault="0039184F" w:rsidP="004D2ABD">
      <w:pPr>
        <w:pStyle w:val="NoSpacing"/>
        <w:numPr>
          <w:ilvl w:val="0"/>
          <w:numId w:val="16"/>
        </w:numPr>
      </w:pPr>
      <w:r>
        <w:t>Topic areas: P</w:t>
      </w:r>
      <w:r w:rsidR="007B1D6C">
        <w:t>re-ETS</w:t>
      </w:r>
      <w:r>
        <w:t>, competitive integrated employment (customized employment), integration of VR and CPMs.</w:t>
      </w:r>
    </w:p>
    <w:p w:rsidR="0039184F" w:rsidRDefault="0039184F" w:rsidP="004D2ABD">
      <w:pPr>
        <w:pStyle w:val="NoSpacing"/>
        <w:numPr>
          <w:ilvl w:val="0"/>
          <w:numId w:val="16"/>
        </w:numPr>
      </w:pPr>
      <w:r>
        <w:t>Number of att</w:t>
      </w:r>
      <w:r w:rsidR="008D3937">
        <w:t>endees/participants by agency: 7</w:t>
      </w:r>
    </w:p>
    <w:p w:rsidR="0039184F" w:rsidRDefault="0039184F" w:rsidP="004D2ABD">
      <w:pPr>
        <w:pStyle w:val="NoSpacing"/>
        <w:numPr>
          <w:ilvl w:val="0"/>
          <w:numId w:val="16"/>
        </w:numPr>
      </w:pPr>
      <w:r>
        <w:t>Description:  This entry represents a targeted TA process that led to the development of an intensive TA agreement in cooperation with the Y-TAC, the TC-TAC, and the JDVRTAC.  The meetings included:</w:t>
      </w:r>
    </w:p>
    <w:p w:rsidR="0039184F" w:rsidRDefault="0039184F" w:rsidP="0039184F">
      <w:pPr>
        <w:pStyle w:val="NoSpacing"/>
        <w:ind w:left="720"/>
      </w:pPr>
      <w:r>
        <w:t>7/8 &amp; 15 - Completing analysis of General Needs Assessment with TC-TAC (Dr. Kundu) - (1 hour)</w:t>
      </w:r>
      <w:r>
        <w:br/>
        <w:t>8/5 - Pre-ETS activities w/ SMEs (1 hour)</w:t>
      </w:r>
      <w:r>
        <w:br/>
        <w:t>8/5 - CPM activities w/ SMEs (1 hour)</w:t>
      </w:r>
      <w:r>
        <w:br/>
        <w:t>8/8 - Service integration activities (1 hour)</w:t>
      </w:r>
      <w:r>
        <w:br/>
        <w:t>8/11 &amp; 31 - activity discussions with IDB Program Administrator (2 hrs)</w:t>
      </w:r>
      <w:r>
        <w:br/>
        <w:t>9/15 - Meeting with 5 staff and 5 SMEs (5 hrs)</w:t>
      </w:r>
      <w:r>
        <w:br/>
        <w:t>9/27 - review activity outcomes with Program Administrator - (1 hour)</w:t>
      </w:r>
      <w:r>
        <w:br/>
        <w:t>9/28 - coordination with JDVRTAC (1 hr)</w:t>
      </w:r>
      <w:r>
        <w:br/>
        <w:t>9/30 - coordination with YTAC (.5 hr)</w:t>
      </w:r>
    </w:p>
    <w:p w:rsidR="0039184F" w:rsidRDefault="0039184F" w:rsidP="004D2ABD">
      <w:pPr>
        <w:pStyle w:val="NoSpacing"/>
        <w:numPr>
          <w:ilvl w:val="0"/>
          <w:numId w:val="16"/>
        </w:numPr>
      </w:pPr>
      <w:r>
        <w:t>Number of participants that agreed to follow-up: 1</w:t>
      </w:r>
    </w:p>
    <w:p w:rsidR="0039184F" w:rsidRDefault="0039184F" w:rsidP="0039184F">
      <w:pPr>
        <w:pStyle w:val="NoSpacing"/>
      </w:pPr>
    </w:p>
    <w:p w:rsidR="0039184F" w:rsidRDefault="0039184F" w:rsidP="004D2ABD">
      <w:pPr>
        <w:pStyle w:val="NoSpacing"/>
        <w:numPr>
          <w:ilvl w:val="0"/>
          <w:numId w:val="17"/>
        </w:numPr>
      </w:pPr>
      <w:r>
        <w:t>Date: 7-6-16</w:t>
      </w:r>
    </w:p>
    <w:p w:rsidR="0039184F" w:rsidRDefault="0039184F" w:rsidP="004D2ABD">
      <w:pPr>
        <w:pStyle w:val="NoSpacing"/>
        <w:numPr>
          <w:ilvl w:val="0"/>
          <w:numId w:val="17"/>
        </w:numPr>
      </w:pPr>
      <w:r>
        <w:t xml:space="preserve">State VR agency(s) receiving TA: </w:t>
      </w:r>
      <w:r w:rsidRPr="00C80E12">
        <w:rPr>
          <w:b/>
        </w:rPr>
        <w:t>Kentucky, Florida, Washington, North Dakota, Virginia, Texas, West Virginia, Missouri, Wisconsin and Nebraska</w:t>
      </w:r>
      <w:r>
        <w:t>.</w:t>
      </w:r>
    </w:p>
    <w:p w:rsidR="0039184F" w:rsidRDefault="0039184F" w:rsidP="004D2ABD">
      <w:pPr>
        <w:pStyle w:val="NoSpacing"/>
        <w:numPr>
          <w:ilvl w:val="0"/>
          <w:numId w:val="17"/>
        </w:numPr>
      </w:pPr>
      <w:r>
        <w:t>Type of event/activity: Teleconference</w:t>
      </w:r>
    </w:p>
    <w:p w:rsidR="0039184F" w:rsidRDefault="0039184F" w:rsidP="004D2ABD">
      <w:pPr>
        <w:pStyle w:val="NoSpacing"/>
        <w:numPr>
          <w:ilvl w:val="0"/>
          <w:numId w:val="17"/>
        </w:numPr>
      </w:pPr>
      <w:r>
        <w:t xml:space="preserve">Topic areas: Integration of VR </w:t>
      </w:r>
    </w:p>
    <w:p w:rsidR="0039184F" w:rsidRDefault="0039184F" w:rsidP="004D2ABD">
      <w:pPr>
        <w:pStyle w:val="NoSpacing"/>
        <w:numPr>
          <w:ilvl w:val="0"/>
          <w:numId w:val="17"/>
        </w:numPr>
      </w:pPr>
      <w:r>
        <w:t>Number of attendees/participants by agency: 24</w:t>
      </w:r>
    </w:p>
    <w:p w:rsidR="0039184F" w:rsidRDefault="0039184F" w:rsidP="004D2ABD">
      <w:pPr>
        <w:pStyle w:val="NoSpacing"/>
        <w:numPr>
          <w:ilvl w:val="0"/>
          <w:numId w:val="17"/>
        </w:numPr>
      </w:pPr>
      <w:r>
        <w:t>Description: This was a teleconference that generated from those VR programs that signed up for the service integration distribution list.  The purpose was to discuss creating partnerships with DOL partners and sharing effective practices and tools that contribute to service alignment in the AJCs.  This group forms the basis for the beginning of the community of practice in this area.</w:t>
      </w:r>
    </w:p>
    <w:p w:rsidR="0039184F" w:rsidRDefault="0039184F" w:rsidP="004D2ABD">
      <w:pPr>
        <w:pStyle w:val="NoSpacing"/>
        <w:numPr>
          <w:ilvl w:val="0"/>
          <w:numId w:val="17"/>
        </w:numPr>
      </w:pPr>
      <w:r>
        <w:t>Number of participants that agreed to follow-up: All agencies present</w:t>
      </w:r>
    </w:p>
    <w:p w:rsidR="0039184F" w:rsidRDefault="0039184F" w:rsidP="0039184F">
      <w:pPr>
        <w:pStyle w:val="NoSpacing"/>
      </w:pPr>
    </w:p>
    <w:p w:rsidR="0039184F" w:rsidRDefault="0039184F" w:rsidP="004D2ABD">
      <w:pPr>
        <w:pStyle w:val="NoSpacing"/>
        <w:numPr>
          <w:ilvl w:val="0"/>
          <w:numId w:val="18"/>
        </w:numPr>
      </w:pPr>
      <w:r>
        <w:t>Date: 7-18-16 through present</w:t>
      </w:r>
    </w:p>
    <w:p w:rsidR="0039184F" w:rsidRDefault="0039184F" w:rsidP="004D2ABD">
      <w:pPr>
        <w:pStyle w:val="NoSpacing"/>
        <w:numPr>
          <w:ilvl w:val="0"/>
          <w:numId w:val="18"/>
        </w:numPr>
      </w:pPr>
      <w:r>
        <w:t xml:space="preserve">State VR agency(s) receiving TA: </w:t>
      </w:r>
      <w:r w:rsidRPr="00C80E12">
        <w:rPr>
          <w:b/>
        </w:rPr>
        <w:t>Kentucky general and blind</w:t>
      </w:r>
    </w:p>
    <w:p w:rsidR="0039184F" w:rsidRDefault="0039184F" w:rsidP="004D2ABD">
      <w:pPr>
        <w:pStyle w:val="NoSpacing"/>
        <w:numPr>
          <w:ilvl w:val="0"/>
          <w:numId w:val="18"/>
        </w:numPr>
      </w:pPr>
      <w:r>
        <w:t>Type of event/activity: face-to-face and calls and emails</w:t>
      </w:r>
    </w:p>
    <w:p w:rsidR="0039184F" w:rsidRDefault="0039184F" w:rsidP="004D2ABD">
      <w:pPr>
        <w:pStyle w:val="NoSpacing"/>
        <w:numPr>
          <w:ilvl w:val="0"/>
          <w:numId w:val="18"/>
        </w:numPr>
      </w:pPr>
      <w:r>
        <w:t>Topic areas: all 5 areas</w:t>
      </w:r>
    </w:p>
    <w:p w:rsidR="0039184F" w:rsidRDefault="0039184F" w:rsidP="004D2ABD">
      <w:pPr>
        <w:pStyle w:val="NoSpacing"/>
        <w:numPr>
          <w:ilvl w:val="0"/>
          <w:numId w:val="18"/>
        </w:numPr>
      </w:pPr>
      <w:r>
        <w:t>Number of attendees/participants by agency: 4</w:t>
      </w:r>
    </w:p>
    <w:p w:rsidR="0039184F" w:rsidRDefault="0039184F" w:rsidP="004D2ABD">
      <w:pPr>
        <w:pStyle w:val="NoSpacing"/>
        <w:numPr>
          <w:ilvl w:val="0"/>
          <w:numId w:val="18"/>
        </w:numPr>
      </w:pPr>
      <w:r>
        <w:t>Description: This series of targeted TA culminated in a face-to-face meeting that forms the foundation for a pending intensive TA agreement in partnership with the Y-TAC.</w:t>
      </w:r>
    </w:p>
    <w:p w:rsidR="0039184F" w:rsidRDefault="0039184F" w:rsidP="004D2ABD">
      <w:pPr>
        <w:pStyle w:val="NoSpacing"/>
        <w:numPr>
          <w:ilvl w:val="0"/>
          <w:numId w:val="18"/>
        </w:numPr>
      </w:pPr>
      <w:r>
        <w:lastRenderedPageBreak/>
        <w:t>Number of participants that agreed to follow-up: 4</w:t>
      </w:r>
    </w:p>
    <w:p w:rsidR="0039184F" w:rsidRDefault="0039184F" w:rsidP="0039184F">
      <w:pPr>
        <w:pStyle w:val="NoSpacing"/>
      </w:pPr>
    </w:p>
    <w:p w:rsidR="0039184F" w:rsidRDefault="0039184F" w:rsidP="004D2ABD">
      <w:pPr>
        <w:pStyle w:val="NoSpacing"/>
        <w:numPr>
          <w:ilvl w:val="0"/>
          <w:numId w:val="19"/>
        </w:numPr>
      </w:pPr>
      <w:r>
        <w:t>Date: 8-4-16</w:t>
      </w:r>
    </w:p>
    <w:p w:rsidR="0039184F" w:rsidRDefault="0039184F" w:rsidP="004D2ABD">
      <w:pPr>
        <w:pStyle w:val="NoSpacing"/>
        <w:numPr>
          <w:ilvl w:val="0"/>
          <w:numId w:val="19"/>
        </w:numPr>
      </w:pPr>
      <w:r>
        <w:t xml:space="preserve">State VR agency(s) receiving TA: </w:t>
      </w:r>
      <w:r w:rsidRPr="00C80E12">
        <w:rPr>
          <w:b/>
        </w:rPr>
        <w:t>Louisiana combined</w:t>
      </w:r>
    </w:p>
    <w:p w:rsidR="0039184F" w:rsidRDefault="0039184F" w:rsidP="004D2ABD">
      <w:pPr>
        <w:pStyle w:val="NoSpacing"/>
        <w:numPr>
          <w:ilvl w:val="0"/>
          <w:numId w:val="19"/>
        </w:numPr>
      </w:pPr>
      <w:r>
        <w:t>Type of event/activity: phone calls</w:t>
      </w:r>
    </w:p>
    <w:p w:rsidR="0039184F" w:rsidRDefault="0039184F" w:rsidP="004D2ABD">
      <w:pPr>
        <w:pStyle w:val="NoSpacing"/>
        <w:numPr>
          <w:ilvl w:val="0"/>
          <w:numId w:val="19"/>
        </w:numPr>
      </w:pPr>
      <w:r>
        <w:t>Topic areas: Pre-ets and integration of VR</w:t>
      </w:r>
    </w:p>
    <w:p w:rsidR="0039184F" w:rsidRDefault="0039184F" w:rsidP="004D2ABD">
      <w:pPr>
        <w:pStyle w:val="NoSpacing"/>
        <w:numPr>
          <w:ilvl w:val="0"/>
          <w:numId w:val="19"/>
        </w:numPr>
      </w:pPr>
      <w:r>
        <w:t>Number of attendees/participants by agency: 2</w:t>
      </w:r>
    </w:p>
    <w:p w:rsidR="0039184F" w:rsidRDefault="0039184F" w:rsidP="004D2ABD">
      <w:pPr>
        <w:pStyle w:val="NoSpacing"/>
        <w:numPr>
          <w:ilvl w:val="0"/>
          <w:numId w:val="19"/>
        </w:numPr>
      </w:pPr>
      <w:r>
        <w:t xml:space="preserve">Description: Louisiana indicated that they wanted to follow-up with the WINTAC after the final Regs were published.  A series of conversations occurred regarding questions they had about pre-employment transition services and integration of VR.  These conversations and questions and answers are ongoing. </w:t>
      </w:r>
    </w:p>
    <w:p w:rsidR="0039184F" w:rsidRDefault="0039184F" w:rsidP="004D2ABD">
      <w:pPr>
        <w:pStyle w:val="NoSpacing"/>
        <w:numPr>
          <w:ilvl w:val="0"/>
          <w:numId w:val="19"/>
        </w:numPr>
      </w:pPr>
      <w:r>
        <w:t>Number of participants that agreed to follow-up: 0</w:t>
      </w:r>
    </w:p>
    <w:p w:rsidR="0039184F" w:rsidRDefault="0039184F" w:rsidP="0039184F">
      <w:pPr>
        <w:pStyle w:val="NoSpacing"/>
      </w:pPr>
    </w:p>
    <w:p w:rsidR="0039184F" w:rsidRDefault="0039184F" w:rsidP="004D2ABD">
      <w:pPr>
        <w:pStyle w:val="NoSpacing"/>
        <w:numPr>
          <w:ilvl w:val="0"/>
          <w:numId w:val="20"/>
        </w:numPr>
      </w:pPr>
      <w:r>
        <w:t>Date: 8-15-16</w:t>
      </w:r>
    </w:p>
    <w:p w:rsidR="0039184F" w:rsidRDefault="0039184F" w:rsidP="004D2ABD">
      <w:pPr>
        <w:pStyle w:val="NoSpacing"/>
        <w:numPr>
          <w:ilvl w:val="0"/>
          <w:numId w:val="20"/>
        </w:numPr>
      </w:pPr>
      <w:r>
        <w:t xml:space="preserve">State VR agency(s) receiving TA: </w:t>
      </w:r>
      <w:r w:rsidRPr="00C80E12">
        <w:rPr>
          <w:b/>
        </w:rPr>
        <w:t>Massachusetts combined, Connecticut Blind, New York general and blind and Rhode Island general and blind</w:t>
      </w:r>
    </w:p>
    <w:p w:rsidR="0039184F" w:rsidRDefault="0039184F" w:rsidP="004D2ABD">
      <w:pPr>
        <w:pStyle w:val="NoSpacing"/>
        <w:numPr>
          <w:ilvl w:val="0"/>
          <w:numId w:val="20"/>
        </w:numPr>
      </w:pPr>
      <w:r>
        <w:t>Type of event/activity: Teleconference</w:t>
      </w:r>
    </w:p>
    <w:p w:rsidR="0039184F" w:rsidRDefault="0039184F" w:rsidP="004D2ABD">
      <w:pPr>
        <w:pStyle w:val="NoSpacing"/>
        <w:numPr>
          <w:ilvl w:val="0"/>
          <w:numId w:val="20"/>
        </w:numPr>
      </w:pPr>
      <w:r>
        <w:t>Topic areas: CPMs and 911 reporting</w:t>
      </w:r>
    </w:p>
    <w:p w:rsidR="0039184F" w:rsidRDefault="0039184F" w:rsidP="004D2ABD">
      <w:pPr>
        <w:pStyle w:val="NoSpacing"/>
        <w:numPr>
          <w:ilvl w:val="0"/>
          <w:numId w:val="20"/>
        </w:numPr>
      </w:pPr>
      <w:r>
        <w:t>Number of attendees/participants by agency: 25</w:t>
      </w:r>
    </w:p>
    <w:p w:rsidR="0039184F" w:rsidRDefault="0039184F" w:rsidP="004D2ABD">
      <w:pPr>
        <w:pStyle w:val="NoSpacing"/>
        <w:numPr>
          <w:ilvl w:val="0"/>
          <w:numId w:val="20"/>
        </w:numPr>
      </w:pPr>
      <w:r>
        <w:t xml:space="preserve">Description: This was another multiple agency teleconference set up to help VR agencies get answers to questions around the common performance measures and 911 reporting.  </w:t>
      </w:r>
    </w:p>
    <w:p w:rsidR="0039184F" w:rsidRDefault="0039184F" w:rsidP="004D2ABD">
      <w:pPr>
        <w:pStyle w:val="NoSpacing"/>
        <w:numPr>
          <w:ilvl w:val="0"/>
          <w:numId w:val="20"/>
        </w:numPr>
      </w:pPr>
      <w:r>
        <w:t>Number of participants that agreed to follow-up: 25</w:t>
      </w:r>
    </w:p>
    <w:p w:rsidR="0039184F" w:rsidRDefault="0039184F" w:rsidP="0039184F">
      <w:pPr>
        <w:pStyle w:val="NoSpacing"/>
      </w:pPr>
    </w:p>
    <w:p w:rsidR="0039184F" w:rsidRDefault="0039184F" w:rsidP="004D2ABD">
      <w:pPr>
        <w:pStyle w:val="NoSpacing"/>
        <w:numPr>
          <w:ilvl w:val="0"/>
          <w:numId w:val="21"/>
        </w:numPr>
      </w:pPr>
      <w:r>
        <w:t>Date:  8-10-16</w:t>
      </w:r>
    </w:p>
    <w:p w:rsidR="0039184F" w:rsidRDefault="0039184F" w:rsidP="004D2ABD">
      <w:pPr>
        <w:pStyle w:val="NoSpacing"/>
        <w:numPr>
          <w:ilvl w:val="0"/>
          <w:numId w:val="21"/>
        </w:numPr>
      </w:pPr>
      <w:r>
        <w:t xml:space="preserve">State VR agency(s) receiving TA: </w:t>
      </w:r>
      <w:r w:rsidRPr="00C80E12">
        <w:rPr>
          <w:b/>
        </w:rPr>
        <w:t>Minnesota General</w:t>
      </w:r>
    </w:p>
    <w:p w:rsidR="0039184F" w:rsidRDefault="0039184F" w:rsidP="004D2ABD">
      <w:pPr>
        <w:pStyle w:val="NoSpacing"/>
        <w:numPr>
          <w:ilvl w:val="0"/>
          <w:numId w:val="21"/>
        </w:numPr>
      </w:pPr>
      <w:r>
        <w:t>Type of event/activity: Face-to-face training</w:t>
      </w:r>
    </w:p>
    <w:p w:rsidR="0039184F" w:rsidRDefault="0039184F" w:rsidP="004D2ABD">
      <w:pPr>
        <w:pStyle w:val="NoSpacing"/>
        <w:numPr>
          <w:ilvl w:val="0"/>
          <w:numId w:val="21"/>
        </w:numPr>
      </w:pPr>
      <w:r>
        <w:t>Topic areas: Competitive integrated employment</w:t>
      </w:r>
    </w:p>
    <w:p w:rsidR="0039184F" w:rsidRDefault="0039184F" w:rsidP="004D2ABD">
      <w:pPr>
        <w:pStyle w:val="NoSpacing"/>
        <w:numPr>
          <w:ilvl w:val="0"/>
          <w:numId w:val="21"/>
        </w:numPr>
      </w:pPr>
      <w:r>
        <w:t>Number of attendees/participants by agency: 35</w:t>
      </w:r>
    </w:p>
    <w:p w:rsidR="0039184F" w:rsidRDefault="0039184F" w:rsidP="004D2ABD">
      <w:pPr>
        <w:pStyle w:val="NoSpacing"/>
        <w:numPr>
          <w:ilvl w:val="0"/>
          <w:numId w:val="21"/>
        </w:numPr>
      </w:pPr>
      <w:r>
        <w:t>Description: On-site training and facilitation were provided by consultant Ellen Condon. The training was delivered to MVRS Regional Area Mangers and Specialist. They are challenged in determining a model for CIE employment. The training was designed to provide staff with knowledge and skills to place these individuals. Ongoing TA will be provided.  Minnesota has an intensive TA agreement pending.</w:t>
      </w:r>
    </w:p>
    <w:p w:rsidR="0039184F" w:rsidRDefault="0039184F" w:rsidP="004D2ABD">
      <w:pPr>
        <w:pStyle w:val="NoSpacing"/>
        <w:numPr>
          <w:ilvl w:val="0"/>
          <w:numId w:val="21"/>
        </w:numPr>
      </w:pPr>
      <w:r>
        <w:t xml:space="preserve">Number of participants that agreed to follow-up: </w:t>
      </w:r>
      <w:r w:rsidR="008D3937">
        <w:t>0</w:t>
      </w:r>
    </w:p>
    <w:p w:rsidR="0039184F" w:rsidRDefault="0039184F" w:rsidP="0039184F">
      <w:pPr>
        <w:pStyle w:val="NoSpacing"/>
      </w:pPr>
    </w:p>
    <w:p w:rsidR="0039184F" w:rsidRDefault="0039184F" w:rsidP="004D2ABD">
      <w:pPr>
        <w:pStyle w:val="NoSpacing"/>
        <w:numPr>
          <w:ilvl w:val="0"/>
          <w:numId w:val="22"/>
        </w:numPr>
      </w:pPr>
      <w:r>
        <w:t>Date: 7-5-16 through present</w:t>
      </w:r>
    </w:p>
    <w:p w:rsidR="0039184F" w:rsidRDefault="0039184F" w:rsidP="004D2ABD">
      <w:pPr>
        <w:pStyle w:val="NoSpacing"/>
        <w:numPr>
          <w:ilvl w:val="0"/>
          <w:numId w:val="22"/>
        </w:numPr>
      </w:pPr>
      <w:r>
        <w:t xml:space="preserve">State VR agency(s) receiving TA: </w:t>
      </w:r>
      <w:r w:rsidRPr="00C80E12">
        <w:rPr>
          <w:b/>
        </w:rPr>
        <w:t>Mississippi combined</w:t>
      </w:r>
    </w:p>
    <w:p w:rsidR="0039184F" w:rsidRDefault="0039184F" w:rsidP="004D2ABD">
      <w:pPr>
        <w:pStyle w:val="NoSpacing"/>
        <w:numPr>
          <w:ilvl w:val="0"/>
          <w:numId w:val="22"/>
        </w:numPr>
      </w:pPr>
      <w:r>
        <w:t>Type of event/activity: calls, emails and videoconference</w:t>
      </w:r>
    </w:p>
    <w:p w:rsidR="0039184F" w:rsidRDefault="0039184F" w:rsidP="004D2ABD">
      <w:pPr>
        <w:pStyle w:val="NoSpacing"/>
        <w:numPr>
          <w:ilvl w:val="0"/>
          <w:numId w:val="22"/>
        </w:numPr>
      </w:pPr>
      <w:r>
        <w:t>Topic areas: Pre-ets, 511 and CPMs</w:t>
      </w:r>
    </w:p>
    <w:p w:rsidR="0039184F" w:rsidRDefault="0039184F" w:rsidP="004D2ABD">
      <w:pPr>
        <w:pStyle w:val="NoSpacing"/>
        <w:numPr>
          <w:ilvl w:val="0"/>
          <w:numId w:val="22"/>
        </w:numPr>
      </w:pPr>
      <w:r>
        <w:t>Number of attendees/participants by agency: 12</w:t>
      </w:r>
    </w:p>
    <w:p w:rsidR="0039184F" w:rsidRDefault="0039184F" w:rsidP="004D2ABD">
      <w:pPr>
        <w:pStyle w:val="NoSpacing"/>
        <w:numPr>
          <w:ilvl w:val="0"/>
          <w:numId w:val="22"/>
        </w:numPr>
      </w:pPr>
      <w:r>
        <w:t>Description: A series of targeted TA calls and a videoconference to discuss TA needs in the identified areas.  There was a series of questions and answers submitted and responded to in addition to discussion about the activities that would be included in an intensive TA agreement.  This agreement is likely to develop as a result of these conversations.</w:t>
      </w:r>
    </w:p>
    <w:p w:rsidR="0039184F" w:rsidRDefault="0039184F" w:rsidP="004D2ABD">
      <w:pPr>
        <w:pStyle w:val="NoSpacing"/>
        <w:numPr>
          <w:ilvl w:val="0"/>
          <w:numId w:val="22"/>
        </w:numPr>
      </w:pPr>
      <w:r>
        <w:t>Number of participants that agreed to follow-up: 2</w:t>
      </w:r>
    </w:p>
    <w:p w:rsidR="0039184F" w:rsidRDefault="0039184F" w:rsidP="0039184F">
      <w:pPr>
        <w:pStyle w:val="NoSpacing"/>
      </w:pPr>
    </w:p>
    <w:p w:rsidR="0039184F" w:rsidRDefault="0039184F" w:rsidP="004D2ABD">
      <w:pPr>
        <w:pStyle w:val="NoSpacing"/>
        <w:numPr>
          <w:ilvl w:val="0"/>
          <w:numId w:val="23"/>
        </w:numPr>
      </w:pPr>
      <w:r>
        <w:t>Date: 7-5-16 through present</w:t>
      </w:r>
    </w:p>
    <w:p w:rsidR="0039184F" w:rsidRPr="00C80E12" w:rsidRDefault="0039184F" w:rsidP="004D2ABD">
      <w:pPr>
        <w:pStyle w:val="NoSpacing"/>
        <w:numPr>
          <w:ilvl w:val="0"/>
          <w:numId w:val="23"/>
        </w:numPr>
        <w:rPr>
          <w:b/>
        </w:rPr>
      </w:pPr>
      <w:r>
        <w:t xml:space="preserve">State VR agency(s) receiving TA:  </w:t>
      </w:r>
      <w:r w:rsidRPr="00C80E12">
        <w:rPr>
          <w:b/>
        </w:rPr>
        <w:t>Montana combined</w:t>
      </w:r>
    </w:p>
    <w:p w:rsidR="0039184F" w:rsidRDefault="0039184F" w:rsidP="004D2ABD">
      <w:pPr>
        <w:pStyle w:val="NoSpacing"/>
        <w:numPr>
          <w:ilvl w:val="0"/>
          <w:numId w:val="23"/>
        </w:numPr>
      </w:pPr>
      <w:r>
        <w:t>Type of event/activity: A series of calls, a focus group by teleconference, and an in-person visit.</w:t>
      </w:r>
    </w:p>
    <w:p w:rsidR="0039184F" w:rsidRDefault="0039184F" w:rsidP="004D2ABD">
      <w:pPr>
        <w:pStyle w:val="NoSpacing"/>
        <w:numPr>
          <w:ilvl w:val="0"/>
          <w:numId w:val="23"/>
        </w:numPr>
      </w:pPr>
      <w:r>
        <w:t>Topic areas: all 5 topic areas</w:t>
      </w:r>
    </w:p>
    <w:p w:rsidR="0039184F" w:rsidRDefault="0039184F" w:rsidP="004D2ABD">
      <w:pPr>
        <w:pStyle w:val="NoSpacing"/>
        <w:numPr>
          <w:ilvl w:val="0"/>
          <w:numId w:val="23"/>
        </w:numPr>
      </w:pPr>
      <w:r>
        <w:t>Number of attendees/participants by agency: 24</w:t>
      </w:r>
    </w:p>
    <w:p w:rsidR="0039184F" w:rsidRDefault="0039184F" w:rsidP="004D2ABD">
      <w:pPr>
        <w:pStyle w:val="NoSpacing"/>
        <w:numPr>
          <w:ilvl w:val="0"/>
          <w:numId w:val="23"/>
        </w:numPr>
      </w:pPr>
      <w:r>
        <w:t>Description: This entry represents several calls, emails, and an in-person visit that have been aimed at helping the agency get answers to questions on all five topic areas, and which will form the basis for the intensive TA agreement with them.</w:t>
      </w:r>
    </w:p>
    <w:p w:rsidR="0039184F" w:rsidRDefault="0039184F" w:rsidP="004D2ABD">
      <w:pPr>
        <w:pStyle w:val="NoSpacing"/>
        <w:numPr>
          <w:ilvl w:val="0"/>
          <w:numId w:val="23"/>
        </w:numPr>
      </w:pPr>
      <w:r>
        <w:t>Number of participants that agreed to follow-up: 4</w:t>
      </w:r>
    </w:p>
    <w:p w:rsidR="0039184F" w:rsidRDefault="0039184F" w:rsidP="0039184F">
      <w:pPr>
        <w:pStyle w:val="NoSpacing"/>
        <w:ind w:left="360"/>
      </w:pPr>
    </w:p>
    <w:p w:rsidR="0039184F" w:rsidRDefault="0039184F" w:rsidP="004D2ABD">
      <w:pPr>
        <w:pStyle w:val="NoSpacing"/>
        <w:numPr>
          <w:ilvl w:val="0"/>
          <w:numId w:val="24"/>
        </w:numPr>
      </w:pPr>
      <w:r>
        <w:t>Date: 7-13-16</w:t>
      </w:r>
    </w:p>
    <w:p w:rsidR="0039184F" w:rsidRDefault="0039184F" w:rsidP="004D2ABD">
      <w:pPr>
        <w:pStyle w:val="NoSpacing"/>
        <w:numPr>
          <w:ilvl w:val="0"/>
          <w:numId w:val="24"/>
        </w:numPr>
      </w:pPr>
      <w:r>
        <w:t xml:space="preserve">State VR agency(s) receiving TA: </w:t>
      </w:r>
      <w:r w:rsidRPr="00C80E12">
        <w:rPr>
          <w:b/>
        </w:rPr>
        <w:t>Multiple agencies</w:t>
      </w:r>
    </w:p>
    <w:p w:rsidR="0039184F" w:rsidRDefault="0039184F" w:rsidP="004D2ABD">
      <w:pPr>
        <w:pStyle w:val="NoSpacing"/>
        <w:numPr>
          <w:ilvl w:val="0"/>
          <w:numId w:val="24"/>
        </w:numPr>
      </w:pPr>
      <w:r>
        <w:t xml:space="preserve">Type of event/activity: Pre-conference session to answer agency and CRP questions on pre-employment transition services and 511. </w:t>
      </w:r>
    </w:p>
    <w:p w:rsidR="0039184F" w:rsidRDefault="0039184F" w:rsidP="004D2ABD">
      <w:pPr>
        <w:pStyle w:val="NoSpacing"/>
        <w:numPr>
          <w:ilvl w:val="0"/>
          <w:numId w:val="24"/>
        </w:numPr>
      </w:pPr>
      <w:r>
        <w:t>Topic areas: Pre-</w:t>
      </w:r>
      <w:r w:rsidR="007B1D6C">
        <w:t>ETS</w:t>
      </w:r>
      <w:r>
        <w:t xml:space="preserve"> and 511</w:t>
      </w:r>
    </w:p>
    <w:p w:rsidR="0039184F" w:rsidRDefault="0039184F" w:rsidP="004D2ABD">
      <w:pPr>
        <w:pStyle w:val="NoSpacing"/>
        <w:numPr>
          <w:ilvl w:val="0"/>
          <w:numId w:val="24"/>
        </w:numPr>
      </w:pPr>
      <w:r>
        <w:t>Number of attendees/participants by agency: 60 VR staff, 75 school staff, 40 CRP staff and 25 other professionals.</w:t>
      </w:r>
    </w:p>
    <w:p w:rsidR="0039184F" w:rsidRDefault="0039184F" w:rsidP="004D2ABD">
      <w:pPr>
        <w:pStyle w:val="NoSpacing"/>
        <w:numPr>
          <w:ilvl w:val="0"/>
          <w:numId w:val="24"/>
        </w:numPr>
      </w:pPr>
      <w:r>
        <w:t>Description: PA Transition and TA Network hosts an annual training conference on Transition in partnership with the state VR agency. This year, WINTAC was asked to facilitate a pre-conference day with State VR agencies and stakeholders providing transition services in PA on pre-employment transition services.</w:t>
      </w:r>
    </w:p>
    <w:p w:rsidR="0039184F" w:rsidRDefault="0039184F" w:rsidP="004D2ABD">
      <w:pPr>
        <w:pStyle w:val="NoSpacing"/>
        <w:numPr>
          <w:ilvl w:val="0"/>
          <w:numId w:val="24"/>
        </w:numPr>
      </w:pPr>
      <w:r>
        <w:t>Number of participants that agreed to follow-up: 1</w:t>
      </w:r>
    </w:p>
    <w:p w:rsidR="0039184F" w:rsidRDefault="0039184F" w:rsidP="0039184F">
      <w:pPr>
        <w:pStyle w:val="NoSpacing"/>
      </w:pPr>
    </w:p>
    <w:p w:rsidR="0039184F" w:rsidRDefault="0039184F" w:rsidP="004D2ABD">
      <w:pPr>
        <w:pStyle w:val="NoSpacing"/>
        <w:numPr>
          <w:ilvl w:val="0"/>
          <w:numId w:val="25"/>
        </w:numPr>
      </w:pPr>
      <w:r>
        <w:t>Date: 9-3-16 through 9-30-16</w:t>
      </w:r>
    </w:p>
    <w:p w:rsidR="0039184F" w:rsidRDefault="0039184F" w:rsidP="004D2ABD">
      <w:pPr>
        <w:pStyle w:val="NoSpacing"/>
        <w:numPr>
          <w:ilvl w:val="0"/>
          <w:numId w:val="25"/>
        </w:numPr>
      </w:pPr>
      <w:r>
        <w:t xml:space="preserve">State VR agency(s) receiving TA: </w:t>
      </w:r>
      <w:r w:rsidRPr="00C80E12">
        <w:rPr>
          <w:b/>
        </w:rPr>
        <w:t>Nebraska General</w:t>
      </w:r>
    </w:p>
    <w:p w:rsidR="0039184F" w:rsidRDefault="0039184F" w:rsidP="004D2ABD">
      <w:pPr>
        <w:pStyle w:val="NoSpacing"/>
        <w:numPr>
          <w:ilvl w:val="0"/>
          <w:numId w:val="25"/>
        </w:numPr>
      </w:pPr>
      <w:r>
        <w:t>Type of event/activity: Teleconference</w:t>
      </w:r>
    </w:p>
    <w:p w:rsidR="0039184F" w:rsidRDefault="0039184F" w:rsidP="004D2ABD">
      <w:pPr>
        <w:pStyle w:val="NoSpacing"/>
        <w:numPr>
          <w:ilvl w:val="0"/>
          <w:numId w:val="25"/>
        </w:numPr>
      </w:pPr>
      <w:r>
        <w:t>Topic areas: CIE (customized employment)</w:t>
      </w:r>
    </w:p>
    <w:p w:rsidR="0039184F" w:rsidRDefault="0039184F" w:rsidP="004D2ABD">
      <w:pPr>
        <w:pStyle w:val="NoSpacing"/>
        <w:numPr>
          <w:ilvl w:val="0"/>
          <w:numId w:val="25"/>
        </w:numPr>
      </w:pPr>
      <w:r>
        <w:t>Number of attendees/participants by agency: 8</w:t>
      </w:r>
    </w:p>
    <w:p w:rsidR="0039184F" w:rsidRDefault="0039184F" w:rsidP="004D2ABD">
      <w:pPr>
        <w:pStyle w:val="NoSpacing"/>
        <w:numPr>
          <w:ilvl w:val="0"/>
          <w:numId w:val="25"/>
        </w:numPr>
      </w:pPr>
      <w:r>
        <w:t>Description: A series of teleconferences regarding developing customized employment as a service in Nebraska.  This will form the basis for an intensive TA agreement once the CE training certificate is developed.</w:t>
      </w:r>
    </w:p>
    <w:p w:rsidR="0039184F" w:rsidRDefault="0039184F" w:rsidP="004D2ABD">
      <w:pPr>
        <w:pStyle w:val="NoSpacing"/>
        <w:numPr>
          <w:ilvl w:val="0"/>
          <w:numId w:val="25"/>
        </w:numPr>
      </w:pPr>
      <w:r>
        <w:t>Number of participants that agreed to follow-up: 3</w:t>
      </w:r>
    </w:p>
    <w:p w:rsidR="0039184F" w:rsidRDefault="0039184F" w:rsidP="0039184F">
      <w:pPr>
        <w:pStyle w:val="NoSpacing"/>
      </w:pPr>
    </w:p>
    <w:p w:rsidR="0039184F" w:rsidRDefault="0039184F" w:rsidP="004D2ABD">
      <w:pPr>
        <w:pStyle w:val="NoSpacing"/>
        <w:numPr>
          <w:ilvl w:val="0"/>
          <w:numId w:val="26"/>
        </w:numPr>
      </w:pPr>
      <w:r>
        <w:t>Date: 9-29-16</w:t>
      </w:r>
    </w:p>
    <w:p w:rsidR="0039184F" w:rsidRDefault="0039184F" w:rsidP="004D2ABD">
      <w:pPr>
        <w:pStyle w:val="NoSpacing"/>
        <w:numPr>
          <w:ilvl w:val="0"/>
          <w:numId w:val="26"/>
        </w:numPr>
      </w:pPr>
      <w:r>
        <w:t xml:space="preserve">State VR agency(s) receiving TA: </w:t>
      </w:r>
      <w:r w:rsidRPr="00C80E12">
        <w:rPr>
          <w:b/>
        </w:rPr>
        <w:t>Multiple agencies attending NRLI</w:t>
      </w:r>
    </w:p>
    <w:p w:rsidR="0039184F" w:rsidRDefault="0039184F" w:rsidP="004D2ABD">
      <w:pPr>
        <w:pStyle w:val="NoSpacing"/>
        <w:numPr>
          <w:ilvl w:val="0"/>
          <w:numId w:val="26"/>
        </w:numPr>
      </w:pPr>
      <w:r>
        <w:t>Type of event/activity: In-person training/presentation</w:t>
      </w:r>
    </w:p>
    <w:p w:rsidR="0039184F" w:rsidRDefault="0039184F" w:rsidP="004D2ABD">
      <w:pPr>
        <w:pStyle w:val="NoSpacing"/>
        <w:numPr>
          <w:ilvl w:val="0"/>
          <w:numId w:val="26"/>
        </w:numPr>
      </w:pPr>
      <w:r>
        <w:t>Topic areas: Common performance measures</w:t>
      </w:r>
    </w:p>
    <w:p w:rsidR="0039184F" w:rsidRDefault="0039184F" w:rsidP="004D2ABD">
      <w:pPr>
        <w:pStyle w:val="NoSpacing"/>
        <w:numPr>
          <w:ilvl w:val="0"/>
          <w:numId w:val="26"/>
        </w:numPr>
      </w:pPr>
      <w:r>
        <w:t>Number of attendees/participants by agency: 20 State VR agency staff</w:t>
      </w:r>
    </w:p>
    <w:p w:rsidR="0039184F" w:rsidRDefault="0039184F" w:rsidP="004D2ABD">
      <w:pPr>
        <w:pStyle w:val="NoSpacing"/>
        <w:numPr>
          <w:ilvl w:val="0"/>
          <w:numId w:val="26"/>
        </w:numPr>
      </w:pPr>
      <w:r>
        <w:t>Description: Provided a three hour presentation on the common performance measures to VR agency staff attending the National Rehabilitation Leadership Institute</w:t>
      </w:r>
    </w:p>
    <w:p w:rsidR="0039184F" w:rsidRDefault="0039184F" w:rsidP="004D2ABD">
      <w:pPr>
        <w:pStyle w:val="NoSpacing"/>
        <w:numPr>
          <w:ilvl w:val="0"/>
          <w:numId w:val="26"/>
        </w:numPr>
      </w:pPr>
      <w:r>
        <w:t>Number of participants that agreed to follow-up: 0</w:t>
      </w:r>
    </w:p>
    <w:p w:rsidR="0039184F" w:rsidRDefault="0039184F" w:rsidP="0039184F">
      <w:pPr>
        <w:pStyle w:val="NoSpacing"/>
      </w:pPr>
    </w:p>
    <w:p w:rsidR="0039184F" w:rsidRDefault="0039184F" w:rsidP="004D2ABD">
      <w:pPr>
        <w:pStyle w:val="NoSpacing"/>
        <w:numPr>
          <w:ilvl w:val="0"/>
          <w:numId w:val="27"/>
        </w:numPr>
      </w:pPr>
      <w:r>
        <w:t>Date: 9-16-16</w:t>
      </w:r>
    </w:p>
    <w:p w:rsidR="0039184F" w:rsidRDefault="0039184F" w:rsidP="004D2ABD">
      <w:pPr>
        <w:pStyle w:val="NoSpacing"/>
        <w:numPr>
          <w:ilvl w:val="0"/>
          <w:numId w:val="27"/>
        </w:numPr>
      </w:pPr>
      <w:r>
        <w:lastRenderedPageBreak/>
        <w:t xml:space="preserve">State VR agency(s) receiving TA: </w:t>
      </w:r>
      <w:r w:rsidRPr="00C80E12">
        <w:rPr>
          <w:b/>
        </w:rPr>
        <w:t>Multiple</w:t>
      </w:r>
      <w:r>
        <w:t xml:space="preserve"> including Oregon blind and general, Washington blind and general, Maine blind and general, Delaware blind and general, New Hampshire, Pennsylvania, North Dakota and Connecticut blind and general.</w:t>
      </w:r>
    </w:p>
    <w:p w:rsidR="0039184F" w:rsidRDefault="0039184F" w:rsidP="004D2ABD">
      <w:pPr>
        <w:pStyle w:val="NoSpacing"/>
        <w:numPr>
          <w:ilvl w:val="0"/>
          <w:numId w:val="27"/>
        </w:numPr>
      </w:pPr>
      <w:r>
        <w:t>Type of event/activity: Teleconference</w:t>
      </w:r>
    </w:p>
    <w:p w:rsidR="0039184F" w:rsidRDefault="0039184F" w:rsidP="004D2ABD">
      <w:pPr>
        <w:pStyle w:val="NoSpacing"/>
        <w:numPr>
          <w:ilvl w:val="0"/>
          <w:numId w:val="27"/>
        </w:numPr>
      </w:pPr>
      <w:r>
        <w:t>Topic areas: Pre-ets and VR integration</w:t>
      </w:r>
    </w:p>
    <w:p w:rsidR="0039184F" w:rsidRDefault="0039184F" w:rsidP="004D2ABD">
      <w:pPr>
        <w:pStyle w:val="NoSpacing"/>
        <w:numPr>
          <w:ilvl w:val="0"/>
          <w:numId w:val="27"/>
        </w:numPr>
      </w:pPr>
      <w:r>
        <w:t>Number of attendees/participants by agency: 30 VR staff, one educational staff and one individual</w:t>
      </w:r>
    </w:p>
    <w:p w:rsidR="0039184F" w:rsidRDefault="0039184F" w:rsidP="004D2ABD">
      <w:pPr>
        <w:pStyle w:val="NoSpacing"/>
        <w:numPr>
          <w:ilvl w:val="0"/>
          <w:numId w:val="27"/>
        </w:numPr>
      </w:pPr>
      <w:r>
        <w:t>Description: Information from each state had been requested regarding some aspect of Memos of Understanding with Educational Entities for transition services and pre-employment training services. John Connolly, CSAVR, elicited examples of MOUs, including self-identified best practices from State VR Directors. Lou Adams reviewed and compared MOUs from those submitted and compared those to WIOA. The headings required by law and the other common headings for the MOUs were placed into a document and shared with those who had submitted MOUs. Information shared included: What level of detail to you recommend for TA on MOUs. What have you found useful</w:t>
      </w:r>
      <w:r w:rsidR="00083ADA">
        <w:t xml:space="preserve">? </w:t>
      </w:r>
      <w:r>
        <w:t xml:space="preserve">What are your issues and concerns with the MOUs with Educational Entities? In what ways are you working/coordinating currently with Educational Entities on Transition Services, Who pays for which services, and coordination on Pre-employment Services and Section 511? </w:t>
      </w:r>
      <w:r>
        <w:br/>
      </w:r>
      <w:r>
        <w:br/>
        <w:t>The WINTAC Tool Kit Guide: The Formal Interagency Agreement Pre-Employment Transition Services and Transition Services was shared and discussed as a resource for the specific areas of MOUs addressing pre-employment services.</w:t>
      </w:r>
    </w:p>
    <w:p w:rsidR="0039184F" w:rsidRDefault="0039184F" w:rsidP="004D2ABD">
      <w:pPr>
        <w:pStyle w:val="NoSpacing"/>
        <w:numPr>
          <w:ilvl w:val="0"/>
          <w:numId w:val="27"/>
        </w:numPr>
      </w:pPr>
      <w:r>
        <w:t>Number of participants that agreed to follow-up: 6</w:t>
      </w:r>
    </w:p>
    <w:p w:rsidR="0039184F" w:rsidRDefault="0039184F" w:rsidP="0039184F">
      <w:pPr>
        <w:pStyle w:val="NoSpacing"/>
      </w:pPr>
    </w:p>
    <w:p w:rsidR="0039184F" w:rsidRDefault="0039184F" w:rsidP="004D2ABD">
      <w:pPr>
        <w:pStyle w:val="NoSpacing"/>
        <w:numPr>
          <w:ilvl w:val="0"/>
          <w:numId w:val="28"/>
        </w:numPr>
      </w:pPr>
      <w:r>
        <w:t>Date: 9-14-16</w:t>
      </w:r>
    </w:p>
    <w:p w:rsidR="0039184F" w:rsidRDefault="0039184F" w:rsidP="004D2ABD">
      <w:pPr>
        <w:pStyle w:val="NoSpacing"/>
        <w:numPr>
          <w:ilvl w:val="0"/>
          <w:numId w:val="28"/>
        </w:numPr>
      </w:pPr>
      <w:r>
        <w:t xml:space="preserve">State VR agency(s) receiving TA: </w:t>
      </w:r>
      <w:r w:rsidRPr="00C80E12">
        <w:rPr>
          <w:b/>
        </w:rPr>
        <w:t>Pennsylvania</w:t>
      </w:r>
    </w:p>
    <w:p w:rsidR="0039184F" w:rsidRDefault="0039184F" w:rsidP="004D2ABD">
      <w:pPr>
        <w:pStyle w:val="NoSpacing"/>
        <w:numPr>
          <w:ilvl w:val="0"/>
          <w:numId w:val="28"/>
        </w:numPr>
      </w:pPr>
      <w:r>
        <w:t>Type of event/activity: Teleconference</w:t>
      </w:r>
    </w:p>
    <w:p w:rsidR="0039184F" w:rsidRDefault="0039184F" w:rsidP="004D2ABD">
      <w:pPr>
        <w:pStyle w:val="NoSpacing"/>
        <w:numPr>
          <w:ilvl w:val="0"/>
          <w:numId w:val="28"/>
        </w:numPr>
      </w:pPr>
      <w:r>
        <w:t>Topic areas: 511</w:t>
      </w:r>
    </w:p>
    <w:p w:rsidR="0039184F" w:rsidRDefault="0039184F" w:rsidP="004D2ABD">
      <w:pPr>
        <w:pStyle w:val="NoSpacing"/>
        <w:numPr>
          <w:ilvl w:val="0"/>
          <w:numId w:val="28"/>
        </w:numPr>
      </w:pPr>
      <w:r>
        <w:t>Number of attendees/participants by agency: 1</w:t>
      </w:r>
    </w:p>
    <w:p w:rsidR="0039184F" w:rsidRDefault="0039184F" w:rsidP="004D2ABD">
      <w:pPr>
        <w:pStyle w:val="NoSpacing"/>
        <w:numPr>
          <w:ilvl w:val="0"/>
          <w:numId w:val="28"/>
        </w:numPr>
      </w:pPr>
      <w:r>
        <w:t>Description: The VR program had follow-up questions on the Final Regulations regarding Section 511. This came as the result of a lengthy previous conversation we had regarding Section 511 and other topics.</w:t>
      </w:r>
    </w:p>
    <w:p w:rsidR="0039184F" w:rsidRDefault="0039184F" w:rsidP="004D2ABD">
      <w:pPr>
        <w:pStyle w:val="NoSpacing"/>
        <w:numPr>
          <w:ilvl w:val="0"/>
          <w:numId w:val="28"/>
        </w:numPr>
      </w:pPr>
      <w:r>
        <w:t>Number of participants that agreed to follow-up: 1</w:t>
      </w:r>
    </w:p>
    <w:p w:rsidR="0039184F" w:rsidRDefault="0039184F" w:rsidP="0039184F">
      <w:pPr>
        <w:pStyle w:val="NoSpacing"/>
      </w:pPr>
    </w:p>
    <w:p w:rsidR="0039184F" w:rsidRDefault="0039184F" w:rsidP="004D2ABD">
      <w:pPr>
        <w:pStyle w:val="NoSpacing"/>
        <w:numPr>
          <w:ilvl w:val="0"/>
          <w:numId w:val="29"/>
        </w:numPr>
      </w:pPr>
      <w:r>
        <w:t>Date: 8-19-16</w:t>
      </w:r>
    </w:p>
    <w:p w:rsidR="0039184F" w:rsidRDefault="0039184F" w:rsidP="004D2ABD">
      <w:pPr>
        <w:pStyle w:val="NoSpacing"/>
        <w:numPr>
          <w:ilvl w:val="0"/>
          <w:numId w:val="29"/>
        </w:numPr>
      </w:pPr>
      <w:r>
        <w:t xml:space="preserve">State VR agency(s) receiving TA: </w:t>
      </w:r>
      <w:r w:rsidRPr="00C80E12">
        <w:rPr>
          <w:b/>
        </w:rPr>
        <w:t>Rhode Island combined</w:t>
      </w:r>
    </w:p>
    <w:p w:rsidR="0039184F" w:rsidRDefault="0039184F" w:rsidP="004D2ABD">
      <w:pPr>
        <w:pStyle w:val="NoSpacing"/>
        <w:numPr>
          <w:ilvl w:val="0"/>
          <w:numId w:val="29"/>
        </w:numPr>
      </w:pPr>
      <w:r>
        <w:t>Type of event/activity: Teleconference</w:t>
      </w:r>
    </w:p>
    <w:p w:rsidR="0039184F" w:rsidRDefault="0039184F" w:rsidP="004D2ABD">
      <w:pPr>
        <w:pStyle w:val="NoSpacing"/>
        <w:numPr>
          <w:ilvl w:val="0"/>
          <w:numId w:val="29"/>
        </w:numPr>
      </w:pPr>
      <w:r>
        <w:t>Topic areas: pre-employment transition services</w:t>
      </w:r>
    </w:p>
    <w:p w:rsidR="0039184F" w:rsidRDefault="0039184F" w:rsidP="004D2ABD">
      <w:pPr>
        <w:pStyle w:val="NoSpacing"/>
        <w:numPr>
          <w:ilvl w:val="0"/>
          <w:numId w:val="29"/>
        </w:numPr>
      </w:pPr>
      <w:r>
        <w:t>Number of attendees/participants by agency: 4</w:t>
      </w:r>
    </w:p>
    <w:p w:rsidR="0039184F" w:rsidRDefault="0039184F" w:rsidP="004D2ABD">
      <w:pPr>
        <w:pStyle w:val="NoSpacing"/>
        <w:numPr>
          <w:ilvl w:val="0"/>
          <w:numId w:val="29"/>
        </w:numPr>
      </w:pPr>
      <w:r>
        <w:t>Description: Rhode Island contacted the pre-ets team for a call with their Director, Ron, Kat, their field services chief, and Joanne Nanig, QA and data to discuss pre-ets questions. They are were seeking clarity on tracking requirements for potentially eligible as well as pre ets expenditures. They also had questions related to their plan for the provision of pre-ets. They are sending us a draft document for review of the services they are making available with the reserve requirements.</w:t>
      </w:r>
    </w:p>
    <w:p w:rsidR="0039184F" w:rsidRDefault="0039184F" w:rsidP="004D2ABD">
      <w:pPr>
        <w:pStyle w:val="NoSpacing"/>
        <w:numPr>
          <w:ilvl w:val="0"/>
          <w:numId w:val="29"/>
        </w:numPr>
      </w:pPr>
      <w:r>
        <w:lastRenderedPageBreak/>
        <w:t>Number of participants that agreed to follow-up: 1</w:t>
      </w:r>
    </w:p>
    <w:p w:rsidR="0039184F" w:rsidRDefault="0039184F" w:rsidP="0039184F">
      <w:pPr>
        <w:pStyle w:val="NoSpacing"/>
      </w:pPr>
    </w:p>
    <w:p w:rsidR="0039184F" w:rsidRDefault="0039184F" w:rsidP="004D2ABD">
      <w:pPr>
        <w:pStyle w:val="NoSpacing"/>
        <w:numPr>
          <w:ilvl w:val="0"/>
          <w:numId w:val="30"/>
        </w:numPr>
      </w:pPr>
      <w:r>
        <w:t>Date: 9-6-16 to 9-8-16</w:t>
      </w:r>
    </w:p>
    <w:p w:rsidR="0039184F" w:rsidRDefault="0039184F" w:rsidP="004D2ABD">
      <w:pPr>
        <w:pStyle w:val="NoSpacing"/>
        <w:numPr>
          <w:ilvl w:val="0"/>
          <w:numId w:val="30"/>
        </w:numPr>
      </w:pPr>
      <w:r>
        <w:t xml:space="preserve">State VR agency(s) receiving TA:  </w:t>
      </w:r>
      <w:r w:rsidRPr="00C80E12">
        <w:rPr>
          <w:b/>
        </w:rPr>
        <w:t>Multiple</w:t>
      </w:r>
    </w:p>
    <w:p w:rsidR="0039184F" w:rsidRDefault="0039184F" w:rsidP="004D2ABD">
      <w:pPr>
        <w:pStyle w:val="NoSpacing"/>
        <w:numPr>
          <w:ilvl w:val="0"/>
          <w:numId w:val="30"/>
        </w:numPr>
      </w:pPr>
      <w:r>
        <w:t>Type of event/activity: Conference panel discussion</w:t>
      </w:r>
    </w:p>
    <w:p w:rsidR="0039184F" w:rsidRDefault="0039184F" w:rsidP="004D2ABD">
      <w:pPr>
        <w:pStyle w:val="NoSpacing"/>
        <w:numPr>
          <w:ilvl w:val="0"/>
          <w:numId w:val="30"/>
        </w:numPr>
      </w:pPr>
      <w:r>
        <w:t>Topic areas: CPMs</w:t>
      </w:r>
    </w:p>
    <w:p w:rsidR="0039184F" w:rsidRDefault="0039184F" w:rsidP="004D2ABD">
      <w:pPr>
        <w:pStyle w:val="NoSpacing"/>
        <w:numPr>
          <w:ilvl w:val="0"/>
          <w:numId w:val="30"/>
        </w:numPr>
      </w:pPr>
      <w:r>
        <w:t xml:space="preserve">Number of attendees/participants by agency: 140 </w:t>
      </w:r>
    </w:p>
    <w:p w:rsidR="0039184F" w:rsidRDefault="0039184F" w:rsidP="004D2ABD">
      <w:pPr>
        <w:pStyle w:val="NoSpacing"/>
        <w:numPr>
          <w:ilvl w:val="0"/>
          <w:numId w:val="30"/>
        </w:numPr>
      </w:pPr>
      <w:r>
        <w:t>Description: The WINTAC was part of a keynote panel at the 2016 Summit Conference on Program Evaluation. Our role on the panel was to talk about what WINTAC has heard from states about the challenges and successes in the implementation of the Common Performance Measures and 911 reporting. Also discussed the organizational culture changes that may occur as SVRA's work to meet the new Common Performance Measures.</w:t>
      </w:r>
    </w:p>
    <w:p w:rsidR="0039184F" w:rsidRDefault="0039184F" w:rsidP="004D2ABD">
      <w:pPr>
        <w:pStyle w:val="NoSpacing"/>
        <w:numPr>
          <w:ilvl w:val="0"/>
          <w:numId w:val="30"/>
        </w:numPr>
      </w:pPr>
      <w:r>
        <w:t>Number of participants that agreed to follow-up: 0</w:t>
      </w:r>
    </w:p>
    <w:p w:rsidR="0039184F" w:rsidRDefault="0039184F" w:rsidP="0039184F">
      <w:pPr>
        <w:pStyle w:val="NoSpacing"/>
      </w:pPr>
    </w:p>
    <w:p w:rsidR="0039184F" w:rsidRDefault="0039184F" w:rsidP="004D2ABD">
      <w:pPr>
        <w:pStyle w:val="NoSpacing"/>
        <w:numPr>
          <w:ilvl w:val="0"/>
          <w:numId w:val="31"/>
        </w:numPr>
      </w:pPr>
      <w:r>
        <w:t>Date: 7-21-16 through 9-5-16</w:t>
      </w:r>
    </w:p>
    <w:p w:rsidR="0039184F" w:rsidRDefault="0039184F" w:rsidP="004D2ABD">
      <w:pPr>
        <w:pStyle w:val="NoSpacing"/>
        <w:numPr>
          <w:ilvl w:val="0"/>
          <w:numId w:val="31"/>
        </w:numPr>
      </w:pPr>
      <w:r>
        <w:t xml:space="preserve">State VR agency(s) receiving TA: </w:t>
      </w:r>
      <w:r w:rsidRPr="00C80E12">
        <w:rPr>
          <w:b/>
        </w:rPr>
        <w:t>Tennessee</w:t>
      </w:r>
    </w:p>
    <w:p w:rsidR="0039184F" w:rsidRDefault="0039184F" w:rsidP="004D2ABD">
      <w:pPr>
        <w:pStyle w:val="NoSpacing"/>
        <w:numPr>
          <w:ilvl w:val="0"/>
          <w:numId w:val="31"/>
        </w:numPr>
      </w:pPr>
      <w:r>
        <w:t>Type of event/activity: Teleconference</w:t>
      </w:r>
    </w:p>
    <w:p w:rsidR="0039184F" w:rsidRDefault="0039184F" w:rsidP="004D2ABD">
      <w:pPr>
        <w:pStyle w:val="NoSpacing"/>
        <w:numPr>
          <w:ilvl w:val="0"/>
          <w:numId w:val="31"/>
        </w:numPr>
      </w:pPr>
      <w:r>
        <w:t>Topic areas: Pre-ets and CPMs</w:t>
      </w:r>
    </w:p>
    <w:p w:rsidR="0039184F" w:rsidRDefault="0039184F" w:rsidP="004D2ABD">
      <w:pPr>
        <w:pStyle w:val="NoSpacing"/>
        <w:numPr>
          <w:ilvl w:val="0"/>
          <w:numId w:val="31"/>
        </w:numPr>
      </w:pPr>
      <w:r>
        <w:t>Number of attendees/participants by agency: 8</w:t>
      </w:r>
    </w:p>
    <w:p w:rsidR="0039184F" w:rsidRDefault="0039184F" w:rsidP="004D2ABD">
      <w:pPr>
        <w:pStyle w:val="NoSpacing"/>
        <w:numPr>
          <w:ilvl w:val="0"/>
          <w:numId w:val="31"/>
        </w:numPr>
      </w:pPr>
      <w:r>
        <w:t>Description: This 1 and 1/2 hour call was a follow-up to previous TA calls. It included TN staff responsible for district s, IT and case management documentation and expenditures. Specific questions are how to identify "potentially eligible" students, how to provide pre-ets statewide, ensuring that 15% reserve is spent, updating the interagency agreement with SEA, and strategies for competitive, integrated employment.  Tennessee was moving towards an intensive TA plan and then decided to stick with targeted TA until they are through with the JDVRTAC in order to manage their time and resources.</w:t>
      </w:r>
    </w:p>
    <w:p w:rsidR="0039184F" w:rsidRDefault="0039184F" w:rsidP="004D2ABD">
      <w:pPr>
        <w:pStyle w:val="NoSpacing"/>
        <w:numPr>
          <w:ilvl w:val="0"/>
          <w:numId w:val="31"/>
        </w:numPr>
      </w:pPr>
      <w:r>
        <w:t>Number of participants that agreed to follow-up: 1</w:t>
      </w:r>
    </w:p>
    <w:p w:rsidR="0039184F" w:rsidRDefault="0039184F" w:rsidP="0039184F">
      <w:pPr>
        <w:pStyle w:val="NoSpacing"/>
      </w:pPr>
    </w:p>
    <w:p w:rsidR="0039184F" w:rsidRDefault="0039184F" w:rsidP="004D2ABD">
      <w:pPr>
        <w:pStyle w:val="NoSpacing"/>
        <w:numPr>
          <w:ilvl w:val="0"/>
          <w:numId w:val="32"/>
        </w:numPr>
      </w:pPr>
      <w:r>
        <w:t>Date: 9-19-16</w:t>
      </w:r>
    </w:p>
    <w:p w:rsidR="0039184F" w:rsidRDefault="0039184F" w:rsidP="004D2ABD">
      <w:pPr>
        <w:pStyle w:val="NoSpacing"/>
        <w:numPr>
          <w:ilvl w:val="0"/>
          <w:numId w:val="32"/>
        </w:numPr>
      </w:pPr>
      <w:r>
        <w:t xml:space="preserve">State VR agency(s) receiving TA: </w:t>
      </w:r>
      <w:r w:rsidRPr="00C80E12">
        <w:rPr>
          <w:b/>
        </w:rPr>
        <w:t>Wisconsin combined</w:t>
      </w:r>
    </w:p>
    <w:p w:rsidR="0039184F" w:rsidRDefault="0039184F" w:rsidP="004D2ABD">
      <w:pPr>
        <w:pStyle w:val="NoSpacing"/>
        <w:numPr>
          <w:ilvl w:val="0"/>
          <w:numId w:val="32"/>
        </w:numPr>
      </w:pPr>
      <w:r>
        <w:t>Type of event/activity: Teleconference</w:t>
      </w:r>
    </w:p>
    <w:p w:rsidR="0039184F" w:rsidRDefault="0039184F" w:rsidP="004D2ABD">
      <w:pPr>
        <w:pStyle w:val="NoSpacing"/>
        <w:numPr>
          <w:ilvl w:val="0"/>
          <w:numId w:val="32"/>
        </w:numPr>
      </w:pPr>
      <w:r>
        <w:t>Topic areas: Pre-</w:t>
      </w:r>
      <w:r w:rsidR="00083ADA">
        <w:t>ETS</w:t>
      </w:r>
    </w:p>
    <w:p w:rsidR="0039184F" w:rsidRDefault="0039184F" w:rsidP="004D2ABD">
      <w:pPr>
        <w:pStyle w:val="NoSpacing"/>
        <w:numPr>
          <w:ilvl w:val="0"/>
          <w:numId w:val="32"/>
        </w:numPr>
      </w:pPr>
      <w:r>
        <w:t>Number of attendees/participants by agency: 5</w:t>
      </w:r>
    </w:p>
    <w:p w:rsidR="0039184F" w:rsidRDefault="0039184F" w:rsidP="004D2ABD">
      <w:pPr>
        <w:pStyle w:val="NoSpacing"/>
        <w:numPr>
          <w:ilvl w:val="0"/>
          <w:numId w:val="32"/>
        </w:numPr>
      </w:pPr>
      <w:r>
        <w:t>Description: Discussion was in the area of Pre-employment transition services. Specifically they asked about required documentation of disability for a student and potentially eligible</w:t>
      </w:r>
      <w:r w:rsidR="00DA6F9D">
        <w:t xml:space="preserve"> </w:t>
      </w:r>
      <w:r>
        <w:t>s</w:t>
      </w:r>
      <w:r w:rsidR="00DA6F9D">
        <w:t>tudents</w:t>
      </w:r>
      <w:r>
        <w:t xml:space="preserve">. What data had to be collected for 911 on </w:t>
      </w:r>
      <w:r w:rsidR="00083ADA">
        <w:t>Pre-ETS</w:t>
      </w:r>
      <w:r>
        <w:t>. Examples from other states on how they are providing services through providers..... We shared the Alaska examples. They have a lot of concerns with the Milwaukee metro area and are considering doing an outreach effort for potentially eligible students.</w:t>
      </w:r>
    </w:p>
    <w:p w:rsidR="0039184F" w:rsidRDefault="0039184F" w:rsidP="004D2ABD">
      <w:pPr>
        <w:pStyle w:val="NoSpacing"/>
        <w:numPr>
          <w:ilvl w:val="0"/>
          <w:numId w:val="32"/>
        </w:numPr>
      </w:pPr>
      <w:r>
        <w:t>Number of participants that agreed to follow-up: 1</w:t>
      </w:r>
    </w:p>
    <w:p w:rsidR="0039184F" w:rsidRDefault="0039184F" w:rsidP="0039184F">
      <w:pPr>
        <w:pStyle w:val="NoSpacing"/>
      </w:pPr>
    </w:p>
    <w:p w:rsidR="001F57D8" w:rsidRDefault="00BA2283" w:rsidP="001F57D8">
      <w:pPr>
        <w:pStyle w:val="NoSpacing"/>
      </w:pPr>
      <w:r>
        <w:rPr>
          <w:b/>
        </w:rPr>
        <w:pict>
          <v:rect id="_x0000_i1026" style="width:0;height:1.5pt" o:hralign="center" o:hrstd="t" o:hr="t" fillcolor="#a0a0a0" stroked="f"/>
        </w:pict>
      </w:r>
    </w:p>
    <w:p w:rsidR="00153242" w:rsidRDefault="00153242" w:rsidP="00DC7925">
      <w:pPr>
        <w:pStyle w:val="NoSpacing"/>
        <w:ind w:left="720"/>
      </w:pPr>
    </w:p>
    <w:p w:rsidR="006E6A05" w:rsidRPr="0045221A" w:rsidRDefault="001F57D8" w:rsidP="0045221A">
      <w:pPr>
        <w:pStyle w:val="NoSpacing"/>
        <w:shd w:val="clear" w:color="auto" w:fill="DEEAF6" w:themeFill="accent1" w:themeFillTint="33"/>
        <w:jc w:val="center"/>
        <w:rPr>
          <w:b/>
          <w:sz w:val="28"/>
        </w:rPr>
      </w:pPr>
      <w:r w:rsidRPr="0045221A">
        <w:rPr>
          <w:b/>
          <w:sz w:val="28"/>
        </w:rPr>
        <w:t xml:space="preserve">Section </w:t>
      </w:r>
      <w:r w:rsidR="009A0D0E">
        <w:rPr>
          <w:b/>
          <w:sz w:val="28"/>
        </w:rPr>
        <w:t>IV</w:t>
      </w:r>
      <w:r w:rsidRPr="0045221A">
        <w:rPr>
          <w:b/>
          <w:sz w:val="28"/>
        </w:rPr>
        <w:t>: Intensive TA</w:t>
      </w:r>
    </w:p>
    <w:p w:rsidR="006E6A05" w:rsidRDefault="006E6A05" w:rsidP="009422A2">
      <w:pPr>
        <w:pStyle w:val="NoSpacing"/>
      </w:pPr>
    </w:p>
    <w:p w:rsidR="009422A2" w:rsidRDefault="007919C6" w:rsidP="007919C6">
      <w:pPr>
        <w:pStyle w:val="NoSpacing"/>
        <w:ind w:firstLine="720"/>
      </w:pPr>
      <w:r>
        <w:lastRenderedPageBreak/>
        <w:t xml:space="preserve">Year One resulted in the development of nine intensive TA agreements that have been approved by the respective VR agencies.  This number far surpassed the requirement of two in the first year.  It was the purposeful intention of the WINTAC to make the development of these agreements a task of the WINTAC staff and not the VR agency in order to make the process easy for them.  Several of the intensive TA agreements included collaboration with other TA Centers. The process typically included the following steps:  </w:t>
      </w:r>
    </w:p>
    <w:p w:rsidR="007919C6" w:rsidRDefault="007919C6" w:rsidP="004D2ABD">
      <w:pPr>
        <w:pStyle w:val="NoSpacing"/>
        <w:numPr>
          <w:ilvl w:val="0"/>
          <w:numId w:val="33"/>
        </w:numPr>
      </w:pPr>
      <w:r>
        <w:t>Outreach by the state liaison to identify needs;</w:t>
      </w:r>
    </w:p>
    <w:p w:rsidR="007919C6" w:rsidRDefault="007919C6" w:rsidP="004D2ABD">
      <w:pPr>
        <w:pStyle w:val="NoSpacing"/>
        <w:numPr>
          <w:ilvl w:val="0"/>
          <w:numId w:val="33"/>
        </w:numPr>
      </w:pPr>
      <w:r>
        <w:t>A series of calls and emails to clarify the needs and answer questions.  This process often resulted in targeted TA for a period of time prior to the intensive TA agreement being developed and to assemble the team to meet the needs;</w:t>
      </w:r>
    </w:p>
    <w:p w:rsidR="007919C6" w:rsidRDefault="007919C6" w:rsidP="004D2ABD">
      <w:pPr>
        <w:pStyle w:val="NoSpacing"/>
        <w:numPr>
          <w:ilvl w:val="0"/>
          <w:numId w:val="33"/>
        </w:numPr>
      </w:pPr>
      <w:r>
        <w:t>A face-to-face meeting to develop activities and identify outputs and desired outcomes;</w:t>
      </w:r>
    </w:p>
    <w:p w:rsidR="007919C6" w:rsidRDefault="007919C6" w:rsidP="004D2ABD">
      <w:pPr>
        <w:pStyle w:val="NoSpacing"/>
        <w:numPr>
          <w:ilvl w:val="0"/>
          <w:numId w:val="33"/>
        </w:numPr>
      </w:pPr>
      <w:r>
        <w:t>The writing of the plan and submission to the VR agency for review and revision;</w:t>
      </w:r>
    </w:p>
    <w:p w:rsidR="007919C6" w:rsidRDefault="007919C6" w:rsidP="004D2ABD">
      <w:pPr>
        <w:pStyle w:val="NoSpacing"/>
        <w:numPr>
          <w:ilvl w:val="0"/>
          <w:numId w:val="33"/>
        </w:numPr>
      </w:pPr>
      <w:r>
        <w:t>Agreement by the VR agency to the plan;</w:t>
      </w:r>
      <w:r w:rsidR="00083ADA">
        <w:t xml:space="preserve"> and</w:t>
      </w:r>
    </w:p>
    <w:p w:rsidR="007919C6" w:rsidRDefault="007919C6" w:rsidP="004D2ABD">
      <w:pPr>
        <w:pStyle w:val="NoSpacing"/>
        <w:numPr>
          <w:ilvl w:val="0"/>
          <w:numId w:val="33"/>
        </w:numPr>
      </w:pPr>
      <w:r>
        <w:t>Submission of the plan to the RSA project officer.</w:t>
      </w:r>
    </w:p>
    <w:p w:rsidR="007919C6" w:rsidRDefault="007919C6" w:rsidP="007919C6">
      <w:pPr>
        <w:pStyle w:val="NoSpacing"/>
      </w:pPr>
    </w:p>
    <w:p w:rsidR="007919C6" w:rsidRDefault="007919C6" w:rsidP="007919C6">
      <w:pPr>
        <w:pStyle w:val="NoSpacing"/>
        <w:ind w:firstLine="720"/>
      </w:pPr>
      <w:r>
        <w:t>The most frequent topic areas identified as in need of TA included pre-employment transition services, implementation of the requirements of Section 511, and competitive integrated employment, specifically the development of customized employment as a service. The transition to the common performance measures was also a frequent need identified, though not at the level of the other three.</w:t>
      </w:r>
      <w:r w:rsidR="00CD0E5E">
        <w:t xml:space="preserve"> </w:t>
      </w:r>
    </w:p>
    <w:p w:rsidR="00CD0E5E" w:rsidRDefault="00CD0E5E" w:rsidP="00CD0E5E">
      <w:pPr>
        <w:pStyle w:val="NoSpacing"/>
        <w:ind w:firstLine="720"/>
      </w:pPr>
      <w:r>
        <w:t xml:space="preserve">Significant progress has been made on the completion of activities identified in the early intensive TA agreements developed such as California and South Carolina Blind, while others are in the process of planning, implementation and completion. Table </w:t>
      </w:r>
      <w:r w:rsidR="008D3937">
        <w:t>12</w:t>
      </w:r>
      <w:r>
        <w:t xml:space="preserve"> identifies the VR agencies that have completed TA agreements in place, that have pending agreements, and that are in the process of being developed. Those identified as active States means that the intensive TA agreement has been completed, signed by the VR program and submitted to RSA.  The “Agreements pending” list includes those VR agencies that have intensive TA agreements in some phase of completion, and the “Coming soon” list includes those that are very likely to have agreements developed in the first six months of Year Two.</w:t>
      </w:r>
    </w:p>
    <w:p w:rsidR="00CD0E5E" w:rsidRDefault="00CD0E5E" w:rsidP="00CD0E5E">
      <w:pPr>
        <w:pStyle w:val="NoSpacing"/>
        <w:ind w:firstLine="720"/>
      </w:pPr>
      <w:r>
        <w:t xml:space="preserve">Table </w:t>
      </w:r>
      <w:r w:rsidR="001F4904">
        <w:t>12</w:t>
      </w:r>
      <w:r>
        <w:t xml:space="preserve"> includes an identification of the topic areas covered by the TA agreement and the other TACs that are partners in the agreement.  The Youth TAC has been the most frequent partner of the WINTAC in intensive TA to this point.</w:t>
      </w:r>
    </w:p>
    <w:p w:rsidR="00CD0E5E" w:rsidRDefault="00CD0E5E" w:rsidP="00CD0E5E">
      <w:pPr>
        <w:pStyle w:val="NoSpacing"/>
        <w:ind w:firstLine="720"/>
      </w:pPr>
    </w:p>
    <w:p w:rsidR="003C7533" w:rsidRDefault="003C7533" w:rsidP="00CD0E5E">
      <w:pPr>
        <w:pStyle w:val="NoSpacing"/>
      </w:pPr>
    </w:p>
    <w:p w:rsidR="003C7533" w:rsidRDefault="003C7533" w:rsidP="00CD0E5E">
      <w:pPr>
        <w:pStyle w:val="NoSpacing"/>
      </w:pPr>
    </w:p>
    <w:p w:rsidR="003C7533" w:rsidRDefault="003C7533" w:rsidP="00CD0E5E">
      <w:pPr>
        <w:pStyle w:val="NoSpacing"/>
      </w:pPr>
    </w:p>
    <w:p w:rsidR="003C7533" w:rsidRDefault="003C7533" w:rsidP="00CD0E5E">
      <w:pPr>
        <w:pStyle w:val="NoSpacing"/>
      </w:pPr>
    </w:p>
    <w:p w:rsidR="003C7533" w:rsidRDefault="003C7533" w:rsidP="00CD0E5E">
      <w:pPr>
        <w:pStyle w:val="NoSpacing"/>
      </w:pPr>
    </w:p>
    <w:p w:rsidR="003C7533" w:rsidRDefault="003C7533" w:rsidP="00CD0E5E">
      <w:pPr>
        <w:pStyle w:val="NoSpacing"/>
      </w:pPr>
    </w:p>
    <w:p w:rsidR="003C7533" w:rsidRDefault="003C7533" w:rsidP="00CD0E5E">
      <w:pPr>
        <w:pStyle w:val="NoSpacing"/>
      </w:pPr>
    </w:p>
    <w:p w:rsidR="003C7533" w:rsidRDefault="003C7533" w:rsidP="00CD0E5E">
      <w:pPr>
        <w:pStyle w:val="NoSpacing"/>
        <w:sectPr w:rsidR="003C7533" w:rsidSect="0045221A">
          <w:footerReference w:type="default" r:id="rId30"/>
          <w:footerReference w:type="first" r:id="rId31"/>
          <w:pgSz w:w="12240" w:h="15840"/>
          <w:pgMar w:top="1440" w:right="1440" w:bottom="1440" w:left="1440" w:header="720" w:footer="720" w:gutter="0"/>
          <w:pgNumType w:start="0"/>
          <w:cols w:space="720"/>
          <w:titlePg/>
          <w:docGrid w:linePitch="360"/>
        </w:sectPr>
      </w:pPr>
    </w:p>
    <w:tbl>
      <w:tblPr>
        <w:tblpPr w:leftFromText="180" w:rightFromText="180" w:horzAnchor="margin" w:tblpY="469"/>
        <w:tblW w:w="13176" w:type="dxa"/>
        <w:tblLook w:val="04A0" w:firstRow="1" w:lastRow="0" w:firstColumn="1" w:lastColumn="0" w:noHBand="0" w:noVBand="1"/>
      </w:tblPr>
      <w:tblGrid>
        <w:gridCol w:w="3034"/>
        <w:gridCol w:w="1206"/>
        <w:gridCol w:w="576"/>
        <w:gridCol w:w="603"/>
        <w:gridCol w:w="1523"/>
        <w:gridCol w:w="888"/>
        <w:gridCol w:w="1075"/>
        <w:gridCol w:w="1563"/>
        <w:gridCol w:w="1168"/>
        <w:gridCol w:w="924"/>
        <w:gridCol w:w="616"/>
      </w:tblGrid>
      <w:tr w:rsidR="00CD0E5E" w:rsidRPr="00CD0E5E" w:rsidTr="003C7533">
        <w:trPr>
          <w:trHeight w:val="338"/>
        </w:trPr>
        <w:tc>
          <w:tcPr>
            <w:tcW w:w="13176" w:type="dxa"/>
            <w:gridSpan w:val="11"/>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CD0E5E" w:rsidRPr="00CD0E5E" w:rsidRDefault="003C7533" w:rsidP="003C7533">
            <w:pPr>
              <w:spacing w:after="0" w:line="240" w:lineRule="auto"/>
              <w:jc w:val="center"/>
              <w:rPr>
                <w:rFonts w:eastAsia="Times New Roman"/>
                <w:b/>
                <w:bCs/>
                <w:color w:val="000000"/>
              </w:rPr>
            </w:pPr>
            <w:r>
              <w:rPr>
                <w:rFonts w:eastAsia="Times New Roman"/>
                <w:b/>
                <w:bCs/>
                <w:color w:val="000000"/>
              </w:rPr>
              <w:lastRenderedPageBreak/>
              <w:t>Table 12:</w:t>
            </w:r>
            <w:r w:rsidR="00CD0E5E" w:rsidRPr="00CD0E5E">
              <w:rPr>
                <w:rFonts w:eastAsia="Times New Roman"/>
                <w:b/>
                <w:bCs/>
                <w:color w:val="000000"/>
              </w:rPr>
              <w:t>Intensive TA Agreements for Year One</w:t>
            </w:r>
          </w:p>
        </w:tc>
      </w:tr>
      <w:tr w:rsidR="00CD0E5E" w:rsidRPr="00CD0E5E" w:rsidTr="003C7533">
        <w:trPr>
          <w:trHeight w:val="308"/>
        </w:trPr>
        <w:tc>
          <w:tcPr>
            <w:tcW w:w="3034" w:type="dxa"/>
            <w:vMerge w:val="restart"/>
            <w:tcBorders>
              <w:top w:val="nil"/>
              <w:left w:val="single" w:sz="4" w:space="0" w:color="auto"/>
              <w:bottom w:val="single" w:sz="4" w:space="0" w:color="auto"/>
              <w:right w:val="single" w:sz="4" w:space="0" w:color="auto"/>
            </w:tcBorders>
            <w:shd w:val="clear" w:color="000000" w:fill="F8CBAD"/>
            <w:noWrap/>
            <w:vAlign w:val="center"/>
            <w:hideMark/>
          </w:tcPr>
          <w:p w:rsidR="00CD0E5E" w:rsidRPr="00CD0E5E" w:rsidRDefault="00CD0E5E" w:rsidP="003C7533">
            <w:pPr>
              <w:spacing w:after="0" w:line="240" w:lineRule="auto"/>
              <w:jc w:val="center"/>
              <w:rPr>
                <w:rFonts w:eastAsia="Times New Roman"/>
                <w:b/>
                <w:bCs/>
                <w:color w:val="000000"/>
              </w:rPr>
            </w:pPr>
            <w:r w:rsidRPr="00CD0E5E">
              <w:rPr>
                <w:rFonts w:eastAsia="Times New Roman"/>
                <w:b/>
                <w:bCs/>
                <w:color w:val="000000"/>
              </w:rPr>
              <w:t>Active States</w:t>
            </w:r>
          </w:p>
        </w:tc>
        <w:tc>
          <w:tcPr>
            <w:tcW w:w="4796" w:type="dxa"/>
            <w:gridSpan w:val="5"/>
            <w:tcBorders>
              <w:top w:val="single" w:sz="4" w:space="0" w:color="auto"/>
              <w:left w:val="nil"/>
              <w:bottom w:val="single" w:sz="4" w:space="0" w:color="auto"/>
              <w:right w:val="single" w:sz="4" w:space="0" w:color="auto"/>
            </w:tcBorders>
            <w:shd w:val="clear" w:color="000000" w:fill="F8CBAD"/>
            <w:noWrap/>
            <w:vAlign w:val="center"/>
            <w:hideMark/>
          </w:tcPr>
          <w:p w:rsidR="00CD0E5E" w:rsidRPr="00CD0E5E" w:rsidRDefault="00CD0E5E" w:rsidP="003C7533">
            <w:pPr>
              <w:spacing w:after="0" w:line="240" w:lineRule="auto"/>
              <w:jc w:val="center"/>
              <w:rPr>
                <w:rFonts w:eastAsia="Times New Roman"/>
                <w:b/>
                <w:bCs/>
                <w:color w:val="000000"/>
              </w:rPr>
            </w:pPr>
            <w:r w:rsidRPr="00CD0E5E">
              <w:rPr>
                <w:rFonts w:eastAsia="Times New Roman"/>
                <w:b/>
                <w:bCs/>
                <w:color w:val="000000"/>
              </w:rPr>
              <w:t xml:space="preserve">Topic Areas Covered by the Agreement </w:t>
            </w:r>
          </w:p>
        </w:tc>
        <w:tc>
          <w:tcPr>
            <w:tcW w:w="5346" w:type="dxa"/>
            <w:gridSpan w:val="5"/>
            <w:tcBorders>
              <w:top w:val="single" w:sz="4" w:space="0" w:color="auto"/>
              <w:left w:val="nil"/>
              <w:bottom w:val="single" w:sz="4" w:space="0" w:color="auto"/>
              <w:right w:val="single" w:sz="4" w:space="0" w:color="auto"/>
            </w:tcBorders>
            <w:shd w:val="clear" w:color="000000" w:fill="FFF2CC"/>
            <w:noWrap/>
            <w:vAlign w:val="center"/>
            <w:hideMark/>
          </w:tcPr>
          <w:p w:rsidR="00CD0E5E" w:rsidRPr="00CD0E5E" w:rsidRDefault="00CD0E5E" w:rsidP="003C7533">
            <w:pPr>
              <w:spacing w:after="0" w:line="240" w:lineRule="auto"/>
              <w:jc w:val="center"/>
              <w:rPr>
                <w:rFonts w:eastAsia="Times New Roman"/>
                <w:b/>
                <w:bCs/>
                <w:color w:val="000000"/>
              </w:rPr>
            </w:pPr>
            <w:r w:rsidRPr="00CD0E5E">
              <w:rPr>
                <w:rFonts w:eastAsia="Times New Roman"/>
                <w:b/>
                <w:bCs/>
                <w:color w:val="000000"/>
              </w:rPr>
              <w:t>TAC Partners</w:t>
            </w:r>
          </w:p>
        </w:tc>
      </w:tr>
      <w:tr w:rsidR="00CD0E5E" w:rsidRPr="00CD0E5E" w:rsidTr="003C7533">
        <w:trPr>
          <w:trHeight w:val="308"/>
        </w:trPr>
        <w:tc>
          <w:tcPr>
            <w:tcW w:w="3034" w:type="dxa"/>
            <w:vMerge/>
            <w:tcBorders>
              <w:top w:val="nil"/>
              <w:left w:val="single" w:sz="4" w:space="0" w:color="auto"/>
              <w:bottom w:val="single" w:sz="4" w:space="0" w:color="auto"/>
              <w:right w:val="single" w:sz="4" w:space="0" w:color="auto"/>
            </w:tcBorders>
            <w:vAlign w:val="center"/>
            <w:hideMark/>
          </w:tcPr>
          <w:p w:rsidR="00CD0E5E" w:rsidRPr="00CD0E5E" w:rsidRDefault="00CD0E5E" w:rsidP="003C7533">
            <w:pPr>
              <w:spacing w:after="0" w:line="240" w:lineRule="auto"/>
              <w:rPr>
                <w:rFonts w:eastAsia="Times New Roman"/>
                <w:b/>
                <w:bCs/>
                <w:color w:val="000000"/>
              </w:rPr>
            </w:pPr>
          </w:p>
        </w:tc>
        <w:tc>
          <w:tcPr>
            <w:tcW w:w="1206" w:type="dxa"/>
            <w:tcBorders>
              <w:top w:val="nil"/>
              <w:left w:val="nil"/>
              <w:bottom w:val="single" w:sz="4" w:space="0" w:color="auto"/>
              <w:right w:val="single" w:sz="4" w:space="0" w:color="auto"/>
            </w:tcBorders>
            <w:shd w:val="clear" w:color="000000" w:fill="FCE4D6"/>
            <w:noWrap/>
            <w:vAlign w:val="bottom"/>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Pre-ETS</w:t>
            </w:r>
          </w:p>
        </w:tc>
        <w:tc>
          <w:tcPr>
            <w:tcW w:w="576" w:type="dxa"/>
            <w:tcBorders>
              <w:top w:val="nil"/>
              <w:left w:val="nil"/>
              <w:bottom w:val="single" w:sz="4" w:space="0" w:color="auto"/>
              <w:right w:val="single" w:sz="4" w:space="0" w:color="auto"/>
            </w:tcBorders>
            <w:shd w:val="clear" w:color="000000" w:fill="FCE4D6"/>
            <w:noWrap/>
            <w:vAlign w:val="bottom"/>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511</w:t>
            </w:r>
          </w:p>
        </w:tc>
        <w:tc>
          <w:tcPr>
            <w:tcW w:w="603" w:type="dxa"/>
            <w:tcBorders>
              <w:top w:val="nil"/>
              <w:left w:val="nil"/>
              <w:bottom w:val="single" w:sz="4" w:space="0" w:color="auto"/>
              <w:right w:val="single" w:sz="4" w:space="0" w:color="auto"/>
            </w:tcBorders>
            <w:shd w:val="clear" w:color="000000" w:fill="FCE4D6"/>
            <w:noWrap/>
            <w:vAlign w:val="bottom"/>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CIE</w:t>
            </w:r>
          </w:p>
        </w:tc>
        <w:tc>
          <w:tcPr>
            <w:tcW w:w="1523" w:type="dxa"/>
            <w:tcBorders>
              <w:top w:val="nil"/>
              <w:left w:val="nil"/>
              <w:bottom w:val="single" w:sz="4" w:space="0" w:color="auto"/>
              <w:right w:val="single" w:sz="4" w:space="0" w:color="auto"/>
            </w:tcBorders>
            <w:shd w:val="clear" w:color="000000" w:fill="FCE4D6"/>
            <w:noWrap/>
            <w:vAlign w:val="bottom"/>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Integration</w:t>
            </w:r>
          </w:p>
        </w:tc>
        <w:tc>
          <w:tcPr>
            <w:tcW w:w="888" w:type="dxa"/>
            <w:tcBorders>
              <w:top w:val="nil"/>
              <w:left w:val="nil"/>
              <w:bottom w:val="single" w:sz="4" w:space="0" w:color="auto"/>
              <w:right w:val="single" w:sz="4" w:space="0" w:color="auto"/>
            </w:tcBorders>
            <w:shd w:val="clear" w:color="000000" w:fill="FCE4D6"/>
            <w:noWrap/>
            <w:vAlign w:val="bottom"/>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CPMs</w:t>
            </w:r>
          </w:p>
        </w:tc>
        <w:tc>
          <w:tcPr>
            <w:tcW w:w="1075" w:type="dxa"/>
            <w:tcBorders>
              <w:top w:val="nil"/>
              <w:left w:val="nil"/>
              <w:bottom w:val="single" w:sz="4" w:space="0" w:color="auto"/>
              <w:right w:val="single" w:sz="4" w:space="0" w:color="auto"/>
            </w:tcBorders>
            <w:shd w:val="clear" w:color="000000" w:fill="FFF2CC"/>
            <w:noWrap/>
            <w:vAlign w:val="bottom"/>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Y-TAC</w:t>
            </w:r>
          </w:p>
        </w:tc>
        <w:tc>
          <w:tcPr>
            <w:tcW w:w="1563" w:type="dxa"/>
            <w:tcBorders>
              <w:top w:val="nil"/>
              <w:left w:val="nil"/>
              <w:bottom w:val="single" w:sz="4" w:space="0" w:color="auto"/>
              <w:right w:val="single" w:sz="4" w:space="0" w:color="auto"/>
            </w:tcBorders>
            <w:shd w:val="clear" w:color="000000" w:fill="FFF2CC"/>
            <w:noWrap/>
            <w:vAlign w:val="bottom"/>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JDVRTAC</w:t>
            </w:r>
          </w:p>
        </w:tc>
        <w:tc>
          <w:tcPr>
            <w:tcW w:w="1168" w:type="dxa"/>
            <w:tcBorders>
              <w:top w:val="nil"/>
              <w:left w:val="nil"/>
              <w:bottom w:val="single" w:sz="4" w:space="0" w:color="auto"/>
              <w:right w:val="single" w:sz="4" w:space="0" w:color="auto"/>
            </w:tcBorders>
            <w:shd w:val="clear" w:color="000000" w:fill="FFF2CC"/>
            <w:noWrap/>
            <w:vAlign w:val="bottom"/>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NTACT</w:t>
            </w:r>
          </w:p>
        </w:tc>
        <w:tc>
          <w:tcPr>
            <w:tcW w:w="924" w:type="dxa"/>
            <w:tcBorders>
              <w:top w:val="nil"/>
              <w:left w:val="nil"/>
              <w:bottom w:val="single" w:sz="4" w:space="0" w:color="auto"/>
              <w:right w:val="single" w:sz="4" w:space="0" w:color="auto"/>
            </w:tcBorders>
            <w:shd w:val="clear" w:color="000000" w:fill="FFF2CC"/>
            <w:noWrap/>
            <w:vAlign w:val="bottom"/>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PEQA</w:t>
            </w:r>
          </w:p>
        </w:tc>
        <w:tc>
          <w:tcPr>
            <w:tcW w:w="616" w:type="dxa"/>
            <w:tcBorders>
              <w:top w:val="nil"/>
              <w:left w:val="nil"/>
              <w:bottom w:val="single" w:sz="4" w:space="0" w:color="auto"/>
              <w:right w:val="single" w:sz="4" w:space="0" w:color="auto"/>
            </w:tcBorders>
            <w:shd w:val="clear" w:color="000000" w:fill="FFF2CC"/>
            <w:noWrap/>
            <w:vAlign w:val="bottom"/>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DEI</w:t>
            </w:r>
          </w:p>
        </w:tc>
      </w:tr>
      <w:tr w:rsidR="00CD0E5E" w:rsidRPr="00CD0E5E" w:rsidTr="003C7533">
        <w:trPr>
          <w:trHeight w:val="308"/>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CD0E5E" w:rsidRPr="00CD0E5E" w:rsidRDefault="00CD0E5E" w:rsidP="003C7533">
            <w:pPr>
              <w:spacing w:after="0" w:line="240" w:lineRule="auto"/>
              <w:rPr>
                <w:rFonts w:eastAsia="Times New Roman"/>
                <w:color w:val="000000"/>
              </w:rPr>
            </w:pPr>
            <w:r w:rsidRPr="00CD0E5E">
              <w:rPr>
                <w:rFonts w:eastAsia="Times New Roman"/>
                <w:color w:val="000000"/>
              </w:rPr>
              <w:t>California Comb.</w:t>
            </w:r>
          </w:p>
        </w:tc>
        <w:tc>
          <w:tcPr>
            <w:tcW w:w="120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60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152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888"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075"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56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168"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924"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61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r>
      <w:tr w:rsidR="00CD0E5E" w:rsidRPr="00CD0E5E" w:rsidTr="003C7533">
        <w:trPr>
          <w:trHeight w:val="308"/>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CD0E5E" w:rsidRPr="00CD0E5E" w:rsidRDefault="00CD0E5E" w:rsidP="003C7533">
            <w:pPr>
              <w:spacing w:after="0" w:line="240" w:lineRule="auto"/>
              <w:rPr>
                <w:rFonts w:eastAsia="Times New Roman"/>
                <w:color w:val="000000"/>
              </w:rPr>
            </w:pPr>
            <w:r w:rsidRPr="00CD0E5E">
              <w:rPr>
                <w:rFonts w:eastAsia="Times New Roman"/>
                <w:color w:val="000000"/>
              </w:rPr>
              <w:t>South Carolina Blind</w:t>
            </w:r>
          </w:p>
        </w:tc>
        <w:tc>
          <w:tcPr>
            <w:tcW w:w="120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57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60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152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888"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075"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56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168"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924"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61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r>
      <w:tr w:rsidR="00CD0E5E" w:rsidRPr="00CD0E5E" w:rsidTr="003C7533">
        <w:trPr>
          <w:trHeight w:val="308"/>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CD0E5E" w:rsidRPr="00CD0E5E" w:rsidRDefault="00CD0E5E" w:rsidP="003C7533">
            <w:pPr>
              <w:spacing w:after="0" w:line="240" w:lineRule="auto"/>
              <w:rPr>
                <w:rFonts w:eastAsia="Times New Roman"/>
                <w:color w:val="000000"/>
              </w:rPr>
            </w:pPr>
            <w:r w:rsidRPr="00CD0E5E">
              <w:rPr>
                <w:rFonts w:eastAsia="Times New Roman"/>
                <w:color w:val="000000"/>
              </w:rPr>
              <w:t>Alaska Comb.</w:t>
            </w:r>
          </w:p>
        </w:tc>
        <w:tc>
          <w:tcPr>
            <w:tcW w:w="120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57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60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152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888"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1075"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156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168"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924"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61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r>
      <w:tr w:rsidR="00CD0E5E" w:rsidRPr="00CD0E5E" w:rsidTr="003C7533">
        <w:trPr>
          <w:trHeight w:val="308"/>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CD0E5E" w:rsidRPr="00CD0E5E" w:rsidRDefault="00CD0E5E" w:rsidP="003C7533">
            <w:pPr>
              <w:spacing w:after="0" w:line="240" w:lineRule="auto"/>
              <w:rPr>
                <w:rFonts w:eastAsia="Times New Roman"/>
                <w:color w:val="000000"/>
              </w:rPr>
            </w:pPr>
            <w:r w:rsidRPr="00CD0E5E">
              <w:rPr>
                <w:rFonts w:eastAsia="Times New Roman"/>
                <w:color w:val="000000"/>
              </w:rPr>
              <w:t>Arizona Comb.</w:t>
            </w:r>
          </w:p>
        </w:tc>
        <w:tc>
          <w:tcPr>
            <w:tcW w:w="120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57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60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52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888"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1075"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156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168"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924"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61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r>
      <w:tr w:rsidR="00CD0E5E" w:rsidRPr="00CD0E5E" w:rsidTr="003C7533">
        <w:trPr>
          <w:trHeight w:val="308"/>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CD0E5E" w:rsidRPr="00CD0E5E" w:rsidRDefault="00CD0E5E" w:rsidP="003C7533">
            <w:pPr>
              <w:spacing w:after="0" w:line="240" w:lineRule="auto"/>
              <w:rPr>
                <w:rFonts w:eastAsia="Times New Roman"/>
                <w:color w:val="000000"/>
              </w:rPr>
            </w:pPr>
            <w:r w:rsidRPr="00CD0E5E">
              <w:rPr>
                <w:rFonts w:eastAsia="Times New Roman"/>
                <w:color w:val="000000"/>
              </w:rPr>
              <w:t>Hawaii Comb.</w:t>
            </w:r>
          </w:p>
        </w:tc>
        <w:tc>
          <w:tcPr>
            <w:tcW w:w="120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57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60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152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888"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1075"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56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168"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924"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61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r>
      <w:tr w:rsidR="00CD0E5E" w:rsidRPr="00CD0E5E" w:rsidTr="003C7533">
        <w:trPr>
          <w:trHeight w:val="308"/>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CD0E5E" w:rsidRPr="00CD0E5E" w:rsidRDefault="00CD0E5E" w:rsidP="003C7533">
            <w:pPr>
              <w:spacing w:after="0" w:line="240" w:lineRule="auto"/>
              <w:rPr>
                <w:rFonts w:eastAsia="Times New Roman"/>
                <w:color w:val="000000"/>
              </w:rPr>
            </w:pPr>
            <w:r w:rsidRPr="00CD0E5E">
              <w:rPr>
                <w:rFonts w:eastAsia="Times New Roman"/>
                <w:color w:val="000000"/>
              </w:rPr>
              <w:t>Idaho General</w:t>
            </w:r>
          </w:p>
        </w:tc>
        <w:tc>
          <w:tcPr>
            <w:tcW w:w="120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57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60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152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888"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075"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56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168"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924"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61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r>
      <w:tr w:rsidR="00CD0E5E" w:rsidRPr="00CD0E5E" w:rsidTr="003C7533">
        <w:trPr>
          <w:trHeight w:val="308"/>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CD0E5E" w:rsidRPr="00CD0E5E" w:rsidRDefault="00CD0E5E" w:rsidP="003C7533">
            <w:pPr>
              <w:spacing w:after="0" w:line="240" w:lineRule="auto"/>
              <w:rPr>
                <w:rFonts w:eastAsia="Times New Roman"/>
                <w:color w:val="000000"/>
              </w:rPr>
            </w:pPr>
            <w:r w:rsidRPr="00CD0E5E">
              <w:rPr>
                <w:rFonts w:eastAsia="Times New Roman"/>
                <w:color w:val="000000"/>
              </w:rPr>
              <w:t>Maryland Comb.</w:t>
            </w:r>
          </w:p>
        </w:tc>
        <w:tc>
          <w:tcPr>
            <w:tcW w:w="120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57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60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52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888"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075"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56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168"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924"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61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r>
      <w:tr w:rsidR="00CD0E5E" w:rsidRPr="00CD0E5E" w:rsidTr="003C7533">
        <w:trPr>
          <w:trHeight w:val="308"/>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CD0E5E" w:rsidRPr="00CD0E5E" w:rsidRDefault="00CD0E5E" w:rsidP="003C7533">
            <w:pPr>
              <w:spacing w:after="0" w:line="240" w:lineRule="auto"/>
              <w:rPr>
                <w:rFonts w:eastAsia="Times New Roman"/>
                <w:color w:val="000000"/>
              </w:rPr>
            </w:pPr>
            <w:r w:rsidRPr="00CD0E5E">
              <w:rPr>
                <w:rFonts w:eastAsia="Times New Roman"/>
                <w:color w:val="000000"/>
              </w:rPr>
              <w:t>Nevada Comb.</w:t>
            </w:r>
          </w:p>
        </w:tc>
        <w:tc>
          <w:tcPr>
            <w:tcW w:w="120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57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60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152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888"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1075"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156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168"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924"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61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r>
      <w:tr w:rsidR="00CD0E5E" w:rsidRPr="00CD0E5E" w:rsidTr="003C7533">
        <w:trPr>
          <w:trHeight w:val="308"/>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CD0E5E" w:rsidRPr="00CD0E5E" w:rsidRDefault="00CD0E5E" w:rsidP="003C7533">
            <w:pPr>
              <w:spacing w:after="0" w:line="240" w:lineRule="auto"/>
              <w:rPr>
                <w:rFonts w:eastAsia="Times New Roman"/>
                <w:color w:val="000000"/>
              </w:rPr>
            </w:pPr>
            <w:r w:rsidRPr="00CD0E5E">
              <w:rPr>
                <w:rFonts w:eastAsia="Times New Roman"/>
                <w:color w:val="000000"/>
              </w:rPr>
              <w:t>Virginia Blind</w:t>
            </w:r>
          </w:p>
        </w:tc>
        <w:tc>
          <w:tcPr>
            <w:tcW w:w="120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57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60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52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888"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075"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156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168"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924"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61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r>
      <w:tr w:rsidR="00CD0E5E" w:rsidRPr="00CD0E5E" w:rsidTr="003C7533">
        <w:trPr>
          <w:trHeight w:val="465"/>
        </w:trPr>
        <w:tc>
          <w:tcPr>
            <w:tcW w:w="3034" w:type="dxa"/>
            <w:tcBorders>
              <w:top w:val="nil"/>
              <w:left w:val="single" w:sz="4" w:space="0" w:color="auto"/>
              <w:bottom w:val="single" w:sz="4" w:space="0" w:color="auto"/>
              <w:right w:val="single" w:sz="4" w:space="0" w:color="auto"/>
            </w:tcBorders>
            <w:shd w:val="clear" w:color="000000" w:fill="F8CBAD"/>
            <w:noWrap/>
            <w:vAlign w:val="center"/>
            <w:hideMark/>
          </w:tcPr>
          <w:p w:rsidR="00CD0E5E" w:rsidRPr="00CD0E5E" w:rsidRDefault="00CD0E5E" w:rsidP="003C7533">
            <w:pPr>
              <w:spacing w:after="0" w:line="240" w:lineRule="auto"/>
              <w:jc w:val="center"/>
              <w:rPr>
                <w:rFonts w:eastAsia="Times New Roman"/>
                <w:b/>
                <w:bCs/>
                <w:color w:val="000000"/>
              </w:rPr>
            </w:pPr>
            <w:r w:rsidRPr="00CD0E5E">
              <w:rPr>
                <w:rFonts w:eastAsia="Times New Roman"/>
                <w:b/>
                <w:bCs/>
                <w:color w:val="000000"/>
              </w:rPr>
              <w:t>Agreements Pending</w:t>
            </w:r>
          </w:p>
        </w:tc>
        <w:tc>
          <w:tcPr>
            <w:tcW w:w="120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57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60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52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888"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075"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56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168"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924"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61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r>
      <w:tr w:rsidR="00CD0E5E" w:rsidRPr="00CD0E5E" w:rsidTr="003C7533">
        <w:trPr>
          <w:trHeight w:val="308"/>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CD0E5E" w:rsidRPr="00CD0E5E" w:rsidRDefault="00CD0E5E" w:rsidP="003C7533">
            <w:pPr>
              <w:spacing w:after="0" w:line="240" w:lineRule="auto"/>
              <w:rPr>
                <w:rFonts w:eastAsia="Times New Roman"/>
                <w:color w:val="000000"/>
              </w:rPr>
            </w:pPr>
            <w:r w:rsidRPr="00CD0E5E">
              <w:rPr>
                <w:rFonts w:eastAsia="Times New Roman"/>
                <w:color w:val="000000"/>
              </w:rPr>
              <w:t>Indiana Comb.</w:t>
            </w:r>
          </w:p>
        </w:tc>
        <w:tc>
          <w:tcPr>
            <w:tcW w:w="120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57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60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52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888"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1075"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56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168"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924"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61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r>
      <w:tr w:rsidR="00CD0E5E" w:rsidRPr="00CD0E5E" w:rsidTr="003C7533">
        <w:trPr>
          <w:trHeight w:val="308"/>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CD0E5E" w:rsidRPr="00CD0E5E" w:rsidRDefault="00CD0E5E" w:rsidP="003C7533">
            <w:pPr>
              <w:spacing w:after="0" w:line="240" w:lineRule="auto"/>
              <w:rPr>
                <w:rFonts w:eastAsia="Times New Roman"/>
                <w:color w:val="000000"/>
              </w:rPr>
            </w:pPr>
            <w:r w:rsidRPr="00CD0E5E">
              <w:rPr>
                <w:rFonts w:eastAsia="Times New Roman"/>
                <w:color w:val="000000"/>
              </w:rPr>
              <w:t>Iowa Blind</w:t>
            </w:r>
          </w:p>
        </w:tc>
        <w:tc>
          <w:tcPr>
            <w:tcW w:w="120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57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60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152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888"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1075"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156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1168"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924"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61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r>
      <w:tr w:rsidR="00CD0E5E" w:rsidRPr="00CD0E5E" w:rsidTr="003C7533">
        <w:trPr>
          <w:trHeight w:val="308"/>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CD0E5E" w:rsidRPr="00CD0E5E" w:rsidRDefault="00CD0E5E" w:rsidP="003C7533">
            <w:pPr>
              <w:spacing w:after="0" w:line="240" w:lineRule="auto"/>
              <w:rPr>
                <w:rFonts w:eastAsia="Times New Roman"/>
                <w:color w:val="000000"/>
              </w:rPr>
            </w:pPr>
            <w:r w:rsidRPr="00CD0E5E">
              <w:rPr>
                <w:rFonts w:eastAsia="Times New Roman"/>
                <w:color w:val="000000"/>
              </w:rPr>
              <w:t>Kentucky Gen/Blind</w:t>
            </w:r>
          </w:p>
        </w:tc>
        <w:tc>
          <w:tcPr>
            <w:tcW w:w="120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57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60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52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888"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1075"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156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168"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924"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61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r>
      <w:tr w:rsidR="00CD0E5E" w:rsidRPr="00CD0E5E" w:rsidTr="003C7533">
        <w:trPr>
          <w:trHeight w:val="308"/>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CD0E5E" w:rsidRPr="00CD0E5E" w:rsidRDefault="00CD0E5E" w:rsidP="003C7533">
            <w:pPr>
              <w:spacing w:after="0" w:line="240" w:lineRule="auto"/>
              <w:rPr>
                <w:rFonts w:eastAsia="Times New Roman"/>
                <w:color w:val="000000"/>
              </w:rPr>
            </w:pPr>
            <w:r w:rsidRPr="00CD0E5E">
              <w:rPr>
                <w:rFonts w:eastAsia="Times New Roman"/>
                <w:color w:val="000000"/>
              </w:rPr>
              <w:t>Minnesota Gen.</w:t>
            </w:r>
          </w:p>
        </w:tc>
        <w:tc>
          <w:tcPr>
            <w:tcW w:w="120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57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60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52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888"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075"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156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168"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924"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61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r>
      <w:tr w:rsidR="00CD0E5E" w:rsidRPr="00CD0E5E" w:rsidTr="003C7533">
        <w:trPr>
          <w:trHeight w:val="308"/>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CD0E5E" w:rsidRPr="00CD0E5E" w:rsidRDefault="00CD0E5E" w:rsidP="003C7533">
            <w:pPr>
              <w:spacing w:after="0" w:line="240" w:lineRule="auto"/>
              <w:rPr>
                <w:rFonts w:eastAsia="Times New Roman"/>
                <w:color w:val="000000"/>
              </w:rPr>
            </w:pPr>
            <w:r w:rsidRPr="00CD0E5E">
              <w:rPr>
                <w:rFonts w:eastAsia="Times New Roman"/>
                <w:color w:val="000000"/>
              </w:rPr>
              <w:t>Colorado Comb.</w:t>
            </w:r>
          </w:p>
        </w:tc>
        <w:tc>
          <w:tcPr>
            <w:tcW w:w="120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57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60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52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888"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X</w:t>
            </w:r>
          </w:p>
        </w:tc>
        <w:tc>
          <w:tcPr>
            <w:tcW w:w="1075"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56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168"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924"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61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r>
      <w:tr w:rsidR="00CD0E5E" w:rsidRPr="00CD0E5E" w:rsidTr="003C7533">
        <w:trPr>
          <w:trHeight w:val="420"/>
        </w:trPr>
        <w:tc>
          <w:tcPr>
            <w:tcW w:w="3034" w:type="dxa"/>
            <w:tcBorders>
              <w:top w:val="nil"/>
              <w:left w:val="single" w:sz="4" w:space="0" w:color="auto"/>
              <w:bottom w:val="single" w:sz="4" w:space="0" w:color="auto"/>
              <w:right w:val="single" w:sz="4" w:space="0" w:color="auto"/>
            </w:tcBorders>
            <w:shd w:val="clear" w:color="000000" w:fill="F8CBAD"/>
            <w:noWrap/>
            <w:vAlign w:val="center"/>
            <w:hideMark/>
          </w:tcPr>
          <w:p w:rsidR="00CD0E5E" w:rsidRPr="00CD0E5E" w:rsidRDefault="00CD0E5E" w:rsidP="003C7533">
            <w:pPr>
              <w:spacing w:after="0" w:line="240" w:lineRule="auto"/>
              <w:jc w:val="center"/>
              <w:rPr>
                <w:rFonts w:eastAsia="Times New Roman"/>
                <w:b/>
                <w:bCs/>
                <w:color w:val="000000"/>
              </w:rPr>
            </w:pPr>
            <w:r w:rsidRPr="00CD0E5E">
              <w:rPr>
                <w:rFonts w:eastAsia="Times New Roman"/>
                <w:b/>
                <w:bCs/>
                <w:color w:val="000000"/>
              </w:rPr>
              <w:t>Coming Soon</w:t>
            </w:r>
          </w:p>
        </w:tc>
        <w:tc>
          <w:tcPr>
            <w:tcW w:w="120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57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60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52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888"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075"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56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168"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924"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61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r>
      <w:tr w:rsidR="00CD0E5E" w:rsidRPr="00CD0E5E" w:rsidTr="003C7533">
        <w:trPr>
          <w:trHeight w:val="308"/>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CD0E5E" w:rsidRPr="00CD0E5E" w:rsidRDefault="00CD0E5E" w:rsidP="003C7533">
            <w:pPr>
              <w:spacing w:after="0" w:line="240" w:lineRule="auto"/>
              <w:rPr>
                <w:rFonts w:eastAsia="Times New Roman"/>
                <w:color w:val="000000"/>
              </w:rPr>
            </w:pPr>
            <w:r w:rsidRPr="00CD0E5E">
              <w:rPr>
                <w:rFonts w:eastAsia="Times New Roman"/>
                <w:color w:val="000000"/>
              </w:rPr>
              <w:t>Mississippi Comb.</w:t>
            </w:r>
          </w:p>
        </w:tc>
        <w:tc>
          <w:tcPr>
            <w:tcW w:w="120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57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60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52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888"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075"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56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168"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924"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61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r>
      <w:tr w:rsidR="00CD0E5E" w:rsidRPr="00CD0E5E" w:rsidTr="003C7533">
        <w:trPr>
          <w:trHeight w:val="308"/>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CD0E5E" w:rsidRPr="00CD0E5E" w:rsidRDefault="00CD0E5E" w:rsidP="003C7533">
            <w:pPr>
              <w:spacing w:after="0" w:line="240" w:lineRule="auto"/>
              <w:rPr>
                <w:rFonts w:eastAsia="Times New Roman"/>
                <w:color w:val="000000"/>
              </w:rPr>
            </w:pPr>
            <w:r w:rsidRPr="00CD0E5E">
              <w:rPr>
                <w:rFonts w:eastAsia="Times New Roman"/>
                <w:color w:val="000000"/>
              </w:rPr>
              <w:t>Louisiana Comb.</w:t>
            </w:r>
          </w:p>
        </w:tc>
        <w:tc>
          <w:tcPr>
            <w:tcW w:w="120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57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60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52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888"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075"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56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168"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924"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61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r>
      <w:tr w:rsidR="00CD0E5E" w:rsidRPr="00CD0E5E" w:rsidTr="003C7533">
        <w:trPr>
          <w:trHeight w:val="308"/>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CD0E5E" w:rsidRPr="00CD0E5E" w:rsidRDefault="00CD0E5E" w:rsidP="003C7533">
            <w:pPr>
              <w:spacing w:after="0" w:line="240" w:lineRule="auto"/>
              <w:rPr>
                <w:rFonts w:eastAsia="Times New Roman"/>
                <w:color w:val="000000"/>
              </w:rPr>
            </w:pPr>
            <w:r w:rsidRPr="00CD0E5E">
              <w:rPr>
                <w:rFonts w:eastAsia="Times New Roman"/>
                <w:color w:val="000000"/>
              </w:rPr>
              <w:t>Montana Comb.</w:t>
            </w:r>
          </w:p>
        </w:tc>
        <w:tc>
          <w:tcPr>
            <w:tcW w:w="120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57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60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52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888"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075"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56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168"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924"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61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r>
      <w:tr w:rsidR="00CD0E5E" w:rsidRPr="00CD0E5E" w:rsidTr="003C7533">
        <w:trPr>
          <w:trHeight w:val="308"/>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rsidR="00CD0E5E" w:rsidRPr="00CD0E5E" w:rsidRDefault="00CD0E5E" w:rsidP="003C7533">
            <w:pPr>
              <w:spacing w:after="0" w:line="240" w:lineRule="auto"/>
              <w:rPr>
                <w:rFonts w:eastAsia="Times New Roman"/>
                <w:color w:val="000000"/>
              </w:rPr>
            </w:pPr>
            <w:r w:rsidRPr="00CD0E5E">
              <w:rPr>
                <w:rFonts w:eastAsia="Times New Roman"/>
                <w:color w:val="000000"/>
              </w:rPr>
              <w:t>Rhode Island Comb.</w:t>
            </w:r>
          </w:p>
        </w:tc>
        <w:tc>
          <w:tcPr>
            <w:tcW w:w="120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57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60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52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888"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075"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563"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1168"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924"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c>
          <w:tcPr>
            <w:tcW w:w="616" w:type="dxa"/>
            <w:tcBorders>
              <w:top w:val="nil"/>
              <w:left w:val="nil"/>
              <w:bottom w:val="single" w:sz="4" w:space="0" w:color="auto"/>
              <w:right w:val="single" w:sz="4" w:space="0" w:color="auto"/>
            </w:tcBorders>
            <w:shd w:val="clear" w:color="auto" w:fill="auto"/>
            <w:noWrap/>
            <w:vAlign w:val="center"/>
            <w:hideMark/>
          </w:tcPr>
          <w:p w:rsidR="00CD0E5E" w:rsidRPr="00CD0E5E" w:rsidRDefault="00CD0E5E" w:rsidP="003C7533">
            <w:pPr>
              <w:spacing w:after="0" w:line="240" w:lineRule="auto"/>
              <w:jc w:val="center"/>
              <w:rPr>
                <w:rFonts w:eastAsia="Times New Roman"/>
                <w:color w:val="000000"/>
              </w:rPr>
            </w:pPr>
            <w:r w:rsidRPr="00CD0E5E">
              <w:rPr>
                <w:rFonts w:eastAsia="Times New Roman"/>
                <w:color w:val="000000"/>
              </w:rPr>
              <w:t> </w:t>
            </w:r>
          </w:p>
        </w:tc>
      </w:tr>
    </w:tbl>
    <w:p w:rsidR="003C7533" w:rsidRDefault="003C7533" w:rsidP="00CD0E5E">
      <w:pPr>
        <w:pStyle w:val="NoSpacing"/>
      </w:pPr>
    </w:p>
    <w:p w:rsidR="00CD0E5E" w:rsidRPr="003C7533" w:rsidRDefault="00CD0E5E" w:rsidP="003C7533">
      <w:pPr>
        <w:sectPr w:rsidR="00CD0E5E" w:rsidRPr="003C7533" w:rsidSect="009A5200">
          <w:pgSz w:w="15840" w:h="12240" w:orient="landscape"/>
          <w:pgMar w:top="1440" w:right="1440" w:bottom="1440" w:left="1440" w:header="720" w:footer="720" w:gutter="0"/>
          <w:pgNumType w:start="20"/>
          <w:cols w:space="720"/>
          <w:titlePg/>
          <w:docGrid w:linePitch="360"/>
        </w:sectPr>
      </w:pPr>
    </w:p>
    <w:p w:rsidR="00CD0E5E" w:rsidRPr="008D3937" w:rsidRDefault="00C21F4C" w:rsidP="00CD0E5E">
      <w:pPr>
        <w:pStyle w:val="NoSpacing"/>
        <w:rPr>
          <w:b/>
        </w:rPr>
      </w:pPr>
      <w:r w:rsidRPr="008D3937">
        <w:rPr>
          <w:b/>
        </w:rPr>
        <w:lastRenderedPageBreak/>
        <w:t>Intensive TA Activities, Outputs and Outcomes</w:t>
      </w:r>
      <w:r w:rsidR="008D3937" w:rsidRPr="008D3937">
        <w:rPr>
          <w:b/>
        </w:rPr>
        <w:t>:</w:t>
      </w:r>
    </w:p>
    <w:p w:rsidR="00C21F4C" w:rsidRDefault="00C21F4C" w:rsidP="00CD0E5E">
      <w:pPr>
        <w:pStyle w:val="NoSpacing"/>
      </w:pPr>
    </w:p>
    <w:p w:rsidR="00C21F4C" w:rsidRDefault="00C21F4C" w:rsidP="00CD0E5E">
      <w:pPr>
        <w:pStyle w:val="NoSpacing"/>
      </w:pPr>
      <w:r>
        <w:tab/>
        <w:t xml:space="preserve">Each of the intensive TA agreements is developed around a logic model that identifies the activities, outputs and outcomes (short and long term).  It is not possible yet to determine if the intended outcomes of the activities have been achieved because there has not been enough time that has passed since the implementation of the activities.  The status of the activities and the outputs are able to be reported, and is contained in Table </w:t>
      </w:r>
      <w:r w:rsidR="003C7533">
        <w:t>13.</w:t>
      </w:r>
      <w:r w:rsidR="001A0BF6">
        <w:t xml:space="preserve">  The outputs are highlighted in yellow to easily separate them from their associated activities.</w:t>
      </w:r>
    </w:p>
    <w:p w:rsidR="00DA6F9D" w:rsidRDefault="00DA6F9D" w:rsidP="009422A2">
      <w:pPr>
        <w:pStyle w:val="NoSpacing"/>
      </w:pPr>
    </w:p>
    <w:p w:rsidR="00CF43C7" w:rsidRDefault="00CF43C7" w:rsidP="009422A2">
      <w:pPr>
        <w:pStyle w:val="NoSpacing"/>
        <w:sectPr w:rsidR="00CF43C7" w:rsidSect="009A5200">
          <w:pgSz w:w="12240" w:h="15840"/>
          <w:pgMar w:top="1440" w:right="1440" w:bottom="1440" w:left="1440" w:header="720" w:footer="720" w:gutter="0"/>
          <w:cols w:space="720"/>
          <w:titlePg/>
          <w:docGrid w:linePitch="360"/>
        </w:sectPr>
      </w:pPr>
    </w:p>
    <w:p w:rsidR="009142C0" w:rsidRDefault="009142C0" w:rsidP="009142C0">
      <w:pPr>
        <w:pStyle w:val="NoSpacing"/>
        <w:spacing w:before="120" w:after="120"/>
        <w:jc w:val="center"/>
      </w:pPr>
      <w:r>
        <w:rPr>
          <w:rFonts w:eastAsia="Times New Roman"/>
          <w:b/>
          <w:bCs/>
          <w:color w:val="000000"/>
        </w:rPr>
        <w:lastRenderedPageBreak/>
        <w:t xml:space="preserve">Table 13:  </w:t>
      </w:r>
      <w:r w:rsidRPr="00CF43C7">
        <w:rPr>
          <w:rFonts w:eastAsia="Times New Roman"/>
          <w:b/>
          <w:bCs/>
          <w:color w:val="000000"/>
        </w:rPr>
        <w:t>Intensive TA progress in Activities and Outputs by VR Agency Year One</w:t>
      </w:r>
    </w:p>
    <w:p w:rsidR="009142C0" w:rsidRDefault="009142C0" w:rsidP="009422A2">
      <w:pPr>
        <w:pStyle w:val="NoSpacing"/>
      </w:pPr>
    </w:p>
    <w:tbl>
      <w:tblPr>
        <w:tblpPr w:leftFromText="180" w:rightFromText="180" w:vertAnchor="text" w:tblpY="1"/>
        <w:tblOverlap w:val="never"/>
        <w:tblW w:w="11420" w:type="dxa"/>
        <w:tblLook w:val="04A0" w:firstRow="1" w:lastRow="0" w:firstColumn="1" w:lastColumn="0" w:noHBand="0" w:noVBand="1"/>
      </w:tblPr>
      <w:tblGrid>
        <w:gridCol w:w="4280"/>
        <w:gridCol w:w="1180"/>
        <w:gridCol w:w="1420"/>
        <w:gridCol w:w="1300"/>
        <w:gridCol w:w="1080"/>
        <w:gridCol w:w="1080"/>
        <w:gridCol w:w="1080"/>
      </w:tblGrid>
      <w:tr w:rsidR="009142C0" w:rsidRPr="00CF43C7" w:rsidTr="009142C0">
        <w:trPr>
          <w:trHeight w:val="315"/>
        </w:trPr>
        <w:tc>
          <w:tcPr>
            <w:tcW w:w="4280" w:type="dxa"/>
            <w:vMerge w:val="restart"/>
            <w:tcBorders>
              <w:top w:val="single" w:sz="12" w:space="0" w:color="000000"/>
              <w:left w:val="single" w:sz="12" w:space="0" w:color="000000"/>
              <w:bottom w:val="single" w:sz="12" w:space="0" w:color="000000"/>
              <w:right w:val="single" w:sz="12" w:space="0" w:color="000000"/>
            </w:tcBorders>
            <w:shd w:val="clear" w:color="F7CAAC" w:fill="F7CAAC"/>
            <w:vAlign w:val="center"/>
            <w:hideMark/>
          </w:tcPr>
          <w:p w:rsidR="009142C0" w:rsidRPr="00CF43C7" w:rsidRDefault="009142C0" w:rsidP="009142C0">
            <w:pPr>
              <w:spacing w:after="0" w:line="240" w:lineRule="auto"/>
              <w:jc w:val="center"/>
              <w:rPr>
                <w:rFonts w:eastAsia="Times New Roman"/>
                <w:b/>
                <w:bCs/>
                <w:color w:val="000000"/>
              </w:rPr>
            </w:pPr>
            <w:r w:rsidRPr="00CF43C7">
              <w:rPr>
                <w:rFonts w:eastAsia="Times New Roman"/>
                <w:b/>
                <w:bCs/>
                <w:color w:val="000000"/>
              </w:rPr>
              <w:t>VR Agency, Activities and Outputs</w:t>
            </w:r>
          </w:p>
        </w:tc>
        <w:tc>
          <w:tcPr>
            <w:tcW w:w="3900" w:type="dxa"/>
            <w:gridSpan w:val="3"/>
            <w:tcBorders>
              <w:top w:val="single" w:sz="12" w:space="0" w:color="000000"/>
              <w:left w:val="nil"/>
              <w:bottom w:val="single" w:sz="12" w:space="0" w:color="000000"/>
              <w:right w:val="single" w:sz="12" w:space="0" w:color="000000"/>
            </w:tcBorders>
            <w:shd w:val="clear" w:color="F7CAAC" w:fill="F7CAAC"/>
            <w:vAlign w:val="center"/>
            <w:hideMark/>
          </w:tcPr>
          <w:p w:rsidR="009142C0" w:rsidRPr="00CF43C7" w:rsidRDefault="009142C0" w:rsidP="009142C0">
            <w:pPr>
              <w:spacing w:after="0" w:line="240" w:lineRule="auto"/>
              <w:jc w:val="center"/>
              <w:rPr>
                <w:rFonts w:eastAsia="Times New Roman"/>
                <w:b/>
                <w:bCs/>
                <w:color w:val="000000"/>
              </w:rPr>
            </w:pPr>
            <w:r w:rsidRPr="00CF43C7">
              <w:rPr>
                <w:rFonts w:eastAsia="Times New Roman"/>
                <w:b/>
                <w:bCs/>
                <w:color w:val="000000"/>
              </w:rPr>
              <w:t>Activity Progress</w:t>
            </w:r>
          </w:p>
        </w:tc>
        <w:tc>
          <w:tcPr>
            <w:tcW w:w="3240" w:type="dxa"/>
            <w:gridSpan w:val="3"/>
            <w:tcBorders>
              <w:top w:val="single" w:sz="12" w:space="0" w:color="000000"/>
              <w:left w:val="nil"/>
              <w:bottom w:val="single" w:sz="12" w:space="0" w:color="000000"/>
              <w:right w:val="single" w:sz="12" w:space="0" w:color="000000"/>
            </w:tcBorders>
            <w:shd w:val="clear" w:color="FFE598" w:fill="FFE598"/>
            <w:vAlign w:val="center"/>
            <w:hideMark/>
          </w:tcPr>
          <w:p w:rsidR="009142C0" w:rsidRPr="00CF43C7" w:rsidRDefault="009142C0" w:rsidP="009142C0">
            <w:pPr>
              <w:spacing w:after="0" w:line="240" w:lineRule="auto"/>
              <w:jc w:val="center"/>
              <w:rPr>
                <w:rFonts w:eastAsia="Times New Roman"/>
                <w:b/>
                <w:bCs/>
                <w:color w:val="000000"/>
              </w:rPr>
            </w:pPr>
            <w:r w:rsidRPr="00CF43C7">
              <w:rPr>
                <w:rFonts w:eastAsia="Times New Roman"/>
                <w:b/>
                <w:bCs/>
                <w:color w:val="000000"/>
              </w:rPr>
              <w:t>Output Progress</w:t>
            </w:r>
          </w:p>
        </w:tc>
      </w:tr>
      <w:tr w:rsidR="009142C0" w:rsidRPr="00CF43C7" w:rsidTr="009142C0">
        <w:trPr>
          <w:trHeight w:val="315"/>
        </w:trPr>
        <w:tc>
          <w:tcPr>
            <w:tcW w:w="4280" w:type="dxa"/>
            <w:vMerge/>
            <w:tcBorders>
              <w:top w:val="single" w:sz="12" w:space="0" w:color="000000"/>
              <w:left w:val="single" w:sz="12" w:space="0" w:color="000000"/>
              <w:bottom w:val="single" w:sz="12" w:space="0" w:color="000000"/>
              <w:right w:val="single" w:sz="12" w:space="0" w:color="000000"/>
            </w:tcBorders>
            <w:vAlign w:val="center"/>
            <w:hideMark/>
          </w:tcPr>
          <w:p w:rsidR="009142C0" w:rsidRPr="00CF43C7" w:rsidRDefault="009142C0" w:rsidP="009142C0">
            <w:pPr>
              <w:spacing w:after="0" w:line="240" w:lineRule="auto"/>
              <w:rPr>
                <w:rFonts w:eastAsia="Times New Roman"/>
                <w:b/>
                <w:bCs/>
                <w:color w:val="000000"/>
              </w:rPr>
            </w:pPr>
          </w:p>
        </w:tc>
        <w:tc>
          <w:tcPr>
            <w:tcW w:w="1180" w:type="dxa"/>
            <w:tcBorders>
              <w:top w:val="nil"/>
              <w:left w:val="nil"/>
              <w:bottom w:val="single" w:sz="12" w:space="0" w:color="000000"/>
              <w:right w:val="single" w:sz="12" w:space="0" w:color="000000"/>
            </w:tcBorders>
            <w:shd w:val="clear" w:color="FBE4D5" w:fill="FBE4D5"/>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Complete</w:t>
            </w:r>
          </w:p>
        </w:tc>
        <w:tc>
          <w:tcPr>
            <w:tcW w:w="1420" w:type="dxa"/>
            <w:tcBorders>
              <w:top w:val="nil"/>
              <w:left w:val="nil"/>
              <w:bottom w:val="single" w:sz="12" w:space="0" w:color="000000"/>
              <w:right w:val="single" w:sz="12" w:space="0" w:color="000000"/>
            </w:tcBorders>
            <w:shd w:val="clear" w:color="FBE4D5" w:fill="FBE4D5"/>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In Progress</w:t>
            </w:r>
          </w:p>
        </w:tc>
        <w:tc>
          <w:tcPr>
            <w:tcW w:w="1300" w:type="dxa"/>
            <w:tcBorders>
              <w:top w:val="nil"/>
              <w:left w:val="nil"/>
              <w:bottom w:val="single" w:sz="12" w:space="0" w:color="000000"/>
              <w:right w:val="single" w:sz="12" w:space="0" w:color="000000"/>
            </w:tcBorders>
            <w:shd w:val="clear" w:color="FBE4D5" w:fill="FBE4D5"/>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Not Started</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Met</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Partial</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Not Met</w:t>
            </w:r>
          </w:p>
        </w:tc>
      </w:tr>
      <w:tr w:rsidR="009142C0" w:rsidRPr="00CF43C7" w:rsidTr="009142C0">
        <w:trPr>
          <w:trHeight w:val="375"/>
        </w:trPr>
        <w:tc>
          <w:tcPr>
            <w:tcW w:w="4280" w:type="dxa"/>
            <w:tcBorders>
              <w:top w:val="nil"/>
              <w:left w:val="single" w:sz="12" w:space="0" w:color="000000"/>
              <w:bottom w:val="single" w:sz="12" w:space="0" w:color="000000"/>
              <w:right w:val="single" w:sz="12" w:space="0" w:color="000000"/>
            </w:tcBorders>
            <w:shd w:val="clear" w:color="FBE4D5" w:fill="FBE4D5"/>
            <w:vAlign w:val="center"/>
            <w:hideMark/>
          </w:tcPr>
          <w:p w:rsidR="009142C0" w:rsidRPr="00CF43C7" w:rsidRDefault="009142C0" w:rsidP="009142C0">
            <w:pPr>
              <w:spacing w:after="0" w:line="240" w:lineRule="auto"/>
              <w:jc w:val="center"/>
              <w:rPr>
                <w:rFonts w:eastAsia="Times New Roman"/>
                <w:b/>
                <w:bCs/>
                <w:color w:val="000000"/>
              </w:rPr>
            </w:pPr>
            <w:r w:rsidRPr="00CF43C7">
              <w:rPr>
                <w:rFonts w:eastAsia="Times New Roman"/>
                <w:b/>
                <w:bCs/>
                <w:color w:val="000000"/>
              </w:rPr>
              <w:t>California Combined</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r>
      <w:tr w:rsidR="009142C0" w:rsidRPr="00CF43C7" w:rsidTr="009142C0">
        <w:trPr>
          <w:trHeight w:val="630"/>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Strategic planning for implementation of Section 511</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630"/>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Strategic plan with steps identified to implement Section 511 requirements</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630"/>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Develop service team responsibilities for 511</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630"/>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Duty statements for each team member completed</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315"/>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Develop timeline for 511 implementation</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315"/>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Completed timeline</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315"/>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Develop CC&amp;I&amp;R resources</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315"/>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Completed CC</w:t>
            </w:r>
            <w:r>
              <w:rPr>
                <w:rFonts w:eastAsia="Times New Roman"/>
                <w:color w:val="000000"/>
              </w:rPr>
              <w:t>&amp;</w:t>
            </w:r>
            <w:r w:rsidRPr="00CF43C7">
              <w:rPr>
                <w:rFonts w:eastAsia="Times New Roman"/>
                <w:color w:val="000000"/>
              </w:rPr>
              <w:t>I&amp;R resources developed</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315"/>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Develop self-advocacy resources</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xml:space="preserve">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315"/>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Number of resources developed</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315"/>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Develop statewide WIOA training plan</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315"/>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Completed plan</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405"/>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Research CE models nationally</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315"/>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Number of CE models provided to DOR</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630"/>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Research rates paid for the provision of CE by other VR programs</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315"/>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Rate structure provided to DOR</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405"/>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lastRenderedPageBreak/>
              <w:t>Training on CE to CRPs and VR staff</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630"/>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Number of CRP and DOR staff that receive training</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r>
      <w:tr w:rsidR="009142C0" w:rsidRPr="00CF43C7" w:rsidTr="009142C0">
        <w:trPr>
          <w:trHeight w:val="375"/>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Feasibility study of in-house CE provision</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630"/>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Completed feasibility study provided to DOR with recommendations</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r>
      <w:tr w:rsidR="009142C0" w:rsidRPr="00CF43C7" w:rsidTr="009142C0">
        <w:trPr>
          <w:trHeight w:val="315"/>
        </w:trPr>
        <w:tc>
          <w:tcPr>
            <w:tcW w:w="4280" w:type="dxa"/>
            <w:tcBorders>
              <w:top w:val="nil"/>
              <w:left w:val="single" w:sz="12" w:space="0" w:color="000000"/>
              <w:bottom w:val="single" w:sz="12" w:space="0" w:color="000000"/>
              <w:right w:val="single" w:sz="12" w:space="0" w:color="000000"/>
            </w:tcBorders>
            <w:shd w:val="clear" w:color="FBE4D5" w:fill="FBE4D5"/>
            <w:vAlign w:val="center"/>
            <w:hideMark/>
          </w:tcPr>
          <w:p w:rsidR="009142C0" w:rsidRPr="00CF43C7" w:rsidRDefault="009142C0" w:rsidP="009142C0">
            <w:pPr>
              <w:spacing w:after="0" w:line="240" w:lineRule="auto"/>
              <w:jc w:val="center"/>
              <w:rPr>
                <w:rFonts w:eastAsia="Times New Roman"/>
                <w:b/>
                <w:bCs/>
                <w:color w:val="000000"/>
              </w:rPr>
            </w:pPr>
            <w:r w:rsidRPr="00CF43C7">
              <w:rPr>
                <w:rFonts w:eastAsia="Times New Roman"/>
                <w:b/>
                <w:bCs/>
                <w:color w:val="000000"/>
              </w:rPr>
              <w:t>South Carolina Blind</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r>
      <w:tr w:rsidR="009142C0" w:rsidRPr="00CF43C7" w:rsidTr="009142C0">
        <w:trPr>
          <w:trHeight w:val="630"/>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TCI training for core team of SCCB who will become TCI trainers</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630"/>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A trained cadre of staff who will train other staff</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630"/>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Development of a plan to expand and sustain LMI training using the career index</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630"/>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A written plan outlining activities, time lines, roles and responsibilities</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630"/>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Development of agency policy and procedures regarding LMI training</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630"/>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Written and promulgated agency policies and procedures</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630"/>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Evaluation of TCI+ utilization by SCCB staff</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1245"/>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Default="009142C0" w:rsidP="009142C0">
            <w:pPr>
              <w:spacing w:after="0" w:line="240" w:lineRule="auto"/>
              <w:jc w:val="right"/>
              <w:rPr>
                <w:rFonts w:eastAsia="Times New Roman"/>
                <w:color w:val="000000"/>
              </w:rPr>
            </w:pPr>
            <w:r w:rsidRPr="00CF43C7">
              <w:rPr>
                <w:rFonts w:eastAsia="Times New Roman"/>
                <w:color w:val="000000"/>
              </w:rPr>
              <w:t>Completed evaluation that identifies utilizati</w:t>
            </w:r>
            <w:r>
              <w:rPr>
                <w:rFonts w:eastAsia="Times New Roman"/>
                <w:color w:val="000000"/>
              </w:rPr>
              <w:t>o</w:t>
            </w:r>
            <w:r w:rsidRPr="00CF43C7">
              <w:rPr>
                <w:rFonts w:eastAsia="Times New Roman"/>
                <w:color w:val="000000"/>
              </w:rPr>
              <w:t>n of TCI+ by SCCB staff and the effect on vocational counseling and employment outcomes of consumers</w:t>
            </w:r>
          </w:p>
          <w:p w:rsidR="009142C0" w:rsidRDefault="009142C0" w:rsidP="009142C0">
            <w:pPr>
              <w:spacing w:after="0" w:line="240" w:lineRule="auto"/>
              <w:jc w:val="right"/>
              <w:rPr>
                <w:rFonts w:eastAsia="Times New Roman"/>
                <w:color w:val="000000"/>
              </w:rPr>
            </w:pPr>
          </w:p>
          <w:p w:rsidR="009142C0" w:rsidRPr="00CF43C7" w:rsidRDefault="009142C0" w:rsidP="009142C0">
            <w:pPr>
              <w:spacing w:after="0" w:line="240" w:lineRule="auto"/>
              <w:jc w:val="right"/>
              <w:rPr>
                <w:rFonts w:eastAsia="Times New Roman"/>
                <w:color w:val="000000"/>
              </w:rPr>
            </w:pP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r>
      <w:tr w:rsidR="009142C0" w:rsidRPr="00CF43C7" w:rsidTr="009142C0">
        <w:trPr>
          <w:trHeight w:val="315"/>
        </w:trPr>
        <w:tc>
          <w:tcPr>
            <w:tcW w:w="4280" w:type="dxa"/>
            <w:tcBorders>
              <w:top w:val="nil"/>
              <w:left w:val="single" w:sz="12" w:space="0" w:color="000000"/>
              <w:bottom w:val="single" w:sz="12" w:space="0" w:color="000000"/>
              <w:right w:val="single" w:sz="12" w:space="0" w:color="000000"/>
            </w:tcBorders>
            <w:shd w:val="clear" w:color="FBE4D5" w:fill="FBE4D5"/>
            <w:vAlign w:val="center"/>
            <w:hideMark/>
          </w:tcPr>
          <w:p w:rsidR="009142C0" w:rsidRPr="00CF43C7" w:rsidRDefault="009142C0" w:rsidP="009142C0">
            <w:pPr>
              <w:spacing w:after="0" w:line="240" w:lineRule="auto"/>
              <w:jc w:val="center"/>
              <w:rPr>
                <w:rFonts w:eastAsia="Times New Roman"/>
                <w:b/>
                <w:bCs/>
                <w:color w:val="000000"/>
              </w:rPr>
            </w:pPr>
            <w:r w:rsidRPr="00CF43C7">
              <w:rPr>
                <w:rFonts w:eastAsia="Times New Roman"/>
                <w:b/>
                <w:bCs/>
                <w:color w:val="000000"/>
              </w:rPr>
              <w:lastRenderedPageBreak/>
              <w:t>Idaho General</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r>
      <w:tr w:rsidR="009142C0" w:rsidRPr="00CF43C7" w:rsidTr="009142C0">
        <w:trPr>
          <w:trHeight w:val="630"/>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Strategic planning with IDVR for implementation of Section 511requirements</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630"/>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A completed strategic plan with responsibilities and timelines</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1245"/>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Assist the VR program to develop process mapping and policies and procedures that will ensure they are compliant with all of the requirements of Section 511</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930"/>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Completed mapping and policies and procedures that address documentation requirements of Section 511</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2160"/>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Assist in the development of career counseling, and information and referral services to be provided to youth and adults prior to entering into SMW jobs, and those currently employed in SMW jobs that are known to IDVR at the prescribed time intervals</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1245"/>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Number and type of CC&amp;I&amp;R resources developed and the number and percentage of youth and adults that receive this information at prescribed intervals</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1860"/>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lastRenderedPageBreak/>
              <w:t>Assist IDVR to identify and provide information on self-advocacy, self-determination and peer mentoring training opportunities that can be made available to individuals working in SMW for employers with less than 15 people</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1545"/>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Percent of individuals that receive information on self-advocacy, self-determination and peer mentoring opportunities available in their geographic area at prescribed intervals</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r>
      <w:tr w:rsidR="009142C0" w:rsidRPr="00CF43C7" w:rsidTr="009142C0">
        <w:trPr>
          <w:trHeight w:val="1545"/>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Provide information to IDVR on customized employment models and rates as a foundation for the development of their model and rate structure for the provision of CE in Idaho</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930"/>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The number of rates and models provided to IDVR from other State VR agencies that provide CE</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630"/>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Review and/or development of policies and procedures for CE</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630"/>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Completed and approved policies and procedures governing the provision of CE</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r>
      <w:tr w:rsidR="009142C0" w:rsidRPr="00CF43C7" w:rsidTr="009142C0">
        <w:trPr>
          <w:trHeight w:val="1245"/>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Arrange for the provision of training on CE to IDVR staff and CRPs in Idaho to assess when CE should be provided and to develop capacity to provide CE</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630"/>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The number of CRP and IDVR staff that attend and completed the training</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r>
      <w:tr w:rsidR="009142C0" w:rsidRPr="00CF43C7" w:rsidTr="009142C0">
        <w:trPr>
          <w:trHeight w:val="315"/>
        </w:trPr>
        <w:tc>
          <w:tcPr>
            <w:tcW w:w="4280" w:type="dxa"/>
            <w:tcBorders>
              <w:top w:val="nil"/>
              <w:left w:val="single" w:sz="12" w:space="0" w:color="000000"/>
              <w:bottom w:val="single" w:sz="12" w:space="0" w:color="000000"/>
              <w:right w:val="single" w:sz="12" w:space="0" w:color="000000"/>
            </w:tcBorders>
            <w:shd w:val="clear" w:color="FBE4D5" w:fill="FBE4D5"/>
            <w:vAlign w:val="center"/>
            <w:hideMark/>
          </w:tcPr>
          <w:p w:rsidR="009142C0" w:rsidRPr="00CF43C7" w:rsidRDefault="009142C0" w:rsidP="009142C0">
            <w:pPr>
              <w:spacing w:after="0" w:line="240" w:lineRule="auto"/>
              <w:jc w:val="center"/>
              <w:rPr>
                <w:rFonts w:eastAsia="Times New Roman"/>
                <w:b/>
                <w:bCs/>
                <w:color w:val="000000"/>
              </w:rPr>
            </w:pPr>
            <w:r w:rsidRPr="00CF43C7">
              <w:rPr>
                <w:rFonts w:eastAsia="Times New Roman"/>
                <w:b/>
                <w:bCs/>
                <w:color w:val="000000"/>
              </w:rPr>
              <w:lastRenderedPageBreak/>
              <w:t>Nevada Combined</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b/>
                <w:bCs/>
                <w:color w:val="000000"/>
              </w:rPr>
            </w:pPr>
            <w:r w:rsidRPr="00CF43C7">
              <w:rPr>
                <w:rFonts w:eastAsia="Times New Roman"/>
                <w:b/>
                <w:bCs/>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b/>
                <w:bCs/>
                <w:color w:val="000000"/>
              </w:rPr>
            </w:pPr>
            <w:r w:rsidRPr="00CF43C7">
              <w:rPr>
                <w:rFonts w:eastAsia="Times New Roman"/>
                <w:b/>
                <w:bCs/>
                <w:color w:val="000000"/>
              </w:rPr>
              <w:t> </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b/>
                <w:bCs/>
                <w:color w:val="000000"/>
              </w:rPr>
            </w:pPr>
            <w:r w:rsidRPr="00CF43C7">
              <w:rPr>
                <w:rFonts w:eastAsia="Times New Roman"/>
                <w:b/>
                <w:bCs/>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b/>
                <w:bCs/>
                <w:color w:val="000000"/>
              </w:rPr>
            </w:pPr>
            <w:r w:rsidRPr="00CF43C7">
              <w:rPr>
                <w:rFonts w:eastAsia="Times New Roman"/>
                <w:b/>
                <w:bCs/>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b/>
                <w:bCs/>
                <w:color w:val="000000"/>
              </w:rPr>
            </w:pPr>
            <w:r w:rsidRPr="00CF43C7">
              <w:rPr>
                <w:rFonts w:eastAsia="Times New Roman"/>
                <w:b/>
                <w:bCs/>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b/>
                <w:bCs/>
                <w:color w:val="000000"/>
              </w:rPr>
            </w:pPr>
            <w:r w:rsidRPr="00CF43C7">
              <w:rPr>
                <w:rFonts w:eastAsia="Times New Roman"/>
                <w:b/>
                <w:bCs/>
                <w:color w:val="000000"/>
              </w:rPr>
              <w:t> </w:t>
            </w:r>
          </w:p>
        </w:tc>
      </w:tr>
      <w:tr w:rsidR="009142C0" w:rsidRPr="00CF43C7" w:rsidTr="009142C0">
        <w:trPr>
          <w:trHeight w:val="1545"/>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WINTAC will work with NRD to develop a plan for the provision of each of the required pre-ets services through community providers, education partners, contracting staff, or VR staff</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930"/>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A written plan that identifies how each of the required services will be provided by which entity and by various modalities</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1245"/>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WINTAC will work with NRD to explore and expand pre-ets services delivery through an online /electronic modality for students with disabilities</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1545"/>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A completed assessment, analysis and recommendations for possible online or electronic options for providing pre-ets services to the large geographic areas of Nevada</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r>
      <w:tr w:rsidR="009142C0" w:rsidRPr="00CF43C7" w:rsidTr="009142C0">
        <w:trPr>
          <w:trHeight w:val="1245"/>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 xml:space="preserve">Work with NRD to develop and implement a plan to ensure that the 15% reserve of Federal funds are spent on allowable expenditures for </w:t>
            </w:r>
            <w:r>
              <w:rPr>
                <w:rFonts w:eastAsia="Times New Roman"/>
                <w:color w:val="000000"/>
              </w:rPr>
              <w:t>Pre-ETS</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930"/>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A completed plan that identifies allowable expenditures and the activities and services on which the funds will be spent</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930"/>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Development and/or review of existing documentation policies and procedures for the provision of</w:t>
            </w:r>
            <w:r>
              <w:rPr>
                <w:rFonts w:eastAsia="Times New Roman"/>
                <w:color w:val="000000"/>
              </w:rPr>
              <w:t xml:space="preserve"> Pre-ETS</w:t>
            </w:r>
            <w:r w:rsidRPr="00CF43C7">
              <w:rPr>
                <w:rFonts w:eastAsia="Times New Roman"/>
                <w:color w:val="000000"/>
              </w:rPr>
              <w:t xml:space="preserve"> and expenditures</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1545"/>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lastRenderedPageBreak/>
              <w:t>A completed review of documentation policies and procedures and the provision of recommendations for any changes to ensure compliance with Section 113 of WIOA and 2CFR 200</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r>
      <w:tr w:rsidR="009142C0" w:rsidRPr="00CF43C7" w:rsidTr="009142C0">
        <w:trPr>
          <w:trHeight w:val="2775"/>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Review current interagency agreements with NRD and LEAs and develop an updated interagency agreement with an education agency to use as a template that encompasses the required elements in WIOA; and develop and implement inter-local agreements with each of the 16 school districts in Nevada consistent with the template identified above</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930"/>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Completed review of agreements with the development of a template that can be used across all school districts in the State</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630"/>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Strategic planning with NRD for implementation of Section 511requirements</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630"/>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A completed strategic plan with responsibilities and timelines</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630"/>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Development and/or review of CC&amp;I&amp;R and self-advocacy materials</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630"/>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Completed CC&amp;I&amp;R and self-advocacy materials</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1245"/>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lastRenderedPageBreak/>
              <w:t>Arrange for the provision of training on CE to NRD staff and CRPs in Nevada to assess when CE should be provided and to develop capacity to provide CE</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315"/>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Number of individuals that attend training</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r>
      <w:tr w:rsidR="009142C0" w:rsidRPr="00CF43C7" w:rsidTr="009142C0">
        <w:trPr>
          <w:trHeight w:val="630"/>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Assist NRD to identify processes to capture and report data necessary for the CPMs</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1245"/>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Completed process-mapping; and a vision/plan for how NRD will use CPM/911 data for future agency and resource development</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r>
      <w:tr w:rsidR="009142C0" w:rsidRPr="00CF43C7" w:rsidTr="009142C0">
        <w:trPr>
          <w:trHeight w:val="1245"/>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Assist NRD staff to understand the CPMs and the potential impact on policies and procedures, and specific implications for various NRD positions</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1245"/>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The number of staff that understand the impact of the CPMs on current policies and procedures and their implications for various NRD positions</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1245"/>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Assist NRD to develop policies and procedures and work performance standards for staff evaluation that reflect the new CPMs</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930"/>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Completed revisions or creation of policies and procedures and work performance standards</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r>
      <w:tr w:rsidR="009142C0" w:rsidRPr="00CF43C7" w:rsidTr="009142C0">
        <w:trPr>
          <w:trHeight w:val="630"/>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lastRenderedPageBreak/>
              <w:t>In partnership with NRD, provide agency-wide training on the CPMs to NRD staff</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315"/>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 xml:space="preserve">The number of staff that attend training </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315"/>
        </w:trPr>
        <w:tc>
          <w:tcPr>
            <w:tcW w:w="4280" w:type="dxa"/>
            <w:tcBorders>
              <w:top w:val="nil"/>
              <w:left w:val="single" w:sz="12" w:space="0" w:color="000000"/>
              <w:bottom w:val="single" w:sz="12" w:space="0" w:color="000000"/>
              <w:right w:val="single" w:sz="12" w:space="0" w:color="000000"/>
            </w:tcBorders>
            <w:shd w:val="clear" w:color="FBE4D5" w:fill="FBE4D5"/>
            <w:vAlign w:val="center"/>
            <w:hideMark/>
          </w:tcPr>
          <w:p w:rsidR="009142C0" w:rsidRPr="00CF43C7" w:rsidRDefault="009142C0" w:rsidP="009142C0">
            <w:pPr>
              <w:spacing w:after="0" w:line="240" w:lineRule="auto"/>
              <w:jc w:val="center"/>
              <w:rPr>
                <w:rFonts w:eastAsia="Times New Roman"/>
                <w:b/>
                <w:bCs/>
                <w:color w:val="000000"/>
              </w:rPr>
            </w:pPr>
            <w:r w:rsidRPr="00CF43C7">
              <w:rPr>
                <w:rFonts w:eastAsia="Times New Roman"/>
                <w:b/>
                <w:bCs/>
                <w:color w:val="000000"/>
              </w:rPr>
              <w:t>Virginia Blind</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r>
      <w:tr w:rsidR="009142C0" w:rsidRPr="00CF43C7" w:rsidTr="009142C0">
        <w:trPr>
          <w:trHeight w:val="1545"/>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WINTAC will work with DBVI to develop a plan for the provision of each of the required pre-ets services through community providers, education partners, contracting staff, or VR staff</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930"/>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A written plan that identifies how each of the required services will be provided by which entity and by various modalities</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r>
      <w:tr w:rsidR="009142C0" w:rsidRPr="00CF43C7" w:rsidTr="009142C0">
        <w:trPr>
          <w:trHeight w:val="1245"/>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Exploration of how to expand pre-ets service delivery through DBVI's Center for the Blind and possible electronic/online options and modalities</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1545"/>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A completed assessment, analysis and recommenda</w:t>
            </w:r>
            <w:r>
              <w:rPr>
                <w:rFonts w:eastAsia="Times New Roman"/>
                <w:color w:val="000000"/>
              </w:rPr>
              <w:t>t</w:t>
            </w:r>
            <w:r w:rsidRPr="00CF43C7">
              <w:rPr>
                <w:rFonts w:eastAsia="Times New Roman"/>
                <w:color w:val="000000"/>
              </w:rPr>
              <w:t>ions for possible options for providing pre-ets sta</w:t>
            </w:r>
            <w:r>
              <w:rPr>
                <w:rFonts w:eastAsia="Times New Roman"/>
                <w:color w:val="000000"/>
              </w:rPr>
              <w:t>t</w:t>
            </w:r>
            <w:r w:rsidRPr="00CF43C7">
              <w:rPr>
                <w:rFonts w:eastAsia="Times New Roman"/>
                <w:color w:val="000000"/>
              </w:rPr>
              <w:t>ewide using the Center for the Blind as well as online or electronic options</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1245"/>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Work with DBVI to develop and implement a plan to ensure that the 15% reserve of Federal funds are spent on allowable expenditures for pre-ets</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930"/>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A completed plan that identifies allowable expenditures and the activities and services on which the funds will be spent</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930"/>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lastRenderedPageBreak/>
              <w:t>Development and/or review of existing documentation policies and procedures for the provision of pre-ets and expenditures</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1545"/>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A completed review of documentation policies and procedures and the provision of recommendations for any changes to ensure compliance with Section 113 of WIOA and 2CFR 200</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1545"/>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Develop a marketing plan inclusive of both direct and indirect strategies to increase the engagement of students/youth with disabilities receiving pre-ets and/or traditional DBVI services</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315"/>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Completed marketing plan</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2160"/>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Review current interagency agreements with DBVI and SEA and develop an updated interagency agreement with an education agency to use as a template that encompasses the required elements in WIOA; and develop and implement interagency agreements with LEAs</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930"/>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Completed review of agreements and development of template agreem</w:t>
            </w:r>
            <w:r>
              <w:rPr>
                <w:rFonts w:eastAsia="Times New Roman"/>
                <w:color w:val="000000"/>
              </w:rPr>
              <w:t>e</w:t>
            </w:r>
            <w:r w:rsidRPr="00CF43C7">
              <w:rPr>
                <w:rFonts w:eastAsia="Times New Roman"/>
                <w:color w:val="000000"/>
              </w:rPr>
              <w:t>nt with SEA that can be used with LEAs</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1545"/>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Develop a plan to provide and expand the provision of supported employment services for students and youth that includes the expending of the 50% SE funds and 10% match</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315"/>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lastRenderedPageBreak/>
              <w:t>A completed plan</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r>
      <w:tr w:rsidR="009142C0" w:rsidRPr="00CF43C7" w:rsidTr="009142C0">
        <w:trPr>
          <w:trHeight w:val="315"/>
        </w:trPr>
        <w:tc>
          <w:tcPr>
            <w:tcW w:w="4280" w:type="dxa"/>
            <w:tcBorders>
              <w:top w:val="nil"/>
              <w:left w:val="single" w:sz="12" w:space="0" w:color="000000"/>
              <w:bottom w:val="single" w:sz="12" w:space="0" w:color="000000"/>
              <w:right w:val="single" w:sz="12" w:space="0" w:color="000000"/>
            </w:tcBorders>
            <w:shd w:val="clear" w:color="FBE4D5" w:fill="FBE4D5"/>
            <w:vAlign w:val="center"/>
            <w:hideMark/>
          </w:tcPr>
          <w:p w:rsidR="009142C0" w:rsidRPr="00CF43C7" w:rsidRDefault="009142C0" w:rsidP="009142C0">
            <w:pPr>
              <w:spacing w:after="0" w:line="240" w:lineRule="auto"/>
              <w:jc w:val="center"/>
              <w:rPr>
                <w:rFonts w:eastAsia="Times New Roman"/>
                <w:b/>
                <w:bCs/>
                <w:color w:val="000000"/>
              </w:rPr>
            </w:pPr>
            <w:r w:rsidRPr="00CF43C7">
              <w:rPr>
                <w:rFonts w:eastAsia="Times New Roman"/>
                <w:b/>
                <w:bCs/>
                <w:color w:val="000000"/>
              </w:rPr>
              <w:t>Hawaii Combined</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r>
      <w:tr w:rsidR="009142C0" w:rsidRPr="00CF43C7" w:rsidTr="009142C0">
        <w:trPr>
          <w:trHeight w:val="1545"/>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WINTAC will work with DVR to develop a plan for the provision of each of the required pre-ets services through community providers, education partners, contracting staff, or VR staff</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930"/>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A written plan that identifies how each of the required services will be provided by which entity and by various modalities</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r>
      <w:tr w:rsidR="009142C0" w:rsidRPr="00CF43C7" w:rsidTr="009142C0">
        <w:trPr>
          <w:trHeight w:val="1245"/>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Work with DVR to develop and implement a plan to ensure that the 15% reserve of Federal funds are spent on allowable expenditures for pre-ets</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930"/>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A completed plan that identifies allowable expenditures and the activities and services on which the funds will be spent</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r>
      <w:tr w:rsidR="009142C0" w:rsidRPr="00CF43C7" w:rsidTr="009142C0">
        <w:trPr>
          <w:trHeight w:val="930"/>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Development and/or review of existing documentation policies and procedures for the provision of pre-ets and expenditures</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1545"/>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A completed review of documentation policies and procedures and the provision of recommendations for any changes to ensure compliance with Section 113 of WIOA and 2CFR 200</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r>
      <w:tr w:rsidR="009142C0" w:rsidRPr="00CF43C7" w:rsidTr="009142C0">
        <w:trPr>
          <w:trHeight w:val="1860"/>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lastRenderedPageBreak/>
              <w:t>Review current interagency agreements with DVR and LEAs and develop an updated interagency agreement with an education agency to use as a template that encompasses the required elements in WIOA</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930"/>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Completed review of agreements with the development of a template that can be used across all school districts in the State</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r>
      <w:tr w:rsidR="009142C0" w:rsidRPr="00CF43C7" w:rsidTr="009142C0">
        <w:trPr>
          <w:trHeight w:val="630"/>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Strategic planning for implementation of Section 511</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630"/>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Strategic plan with steps identified to implement Section 511 requirements</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xml:space="preserve">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315"/>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Develop CC&amp;I&amp;R resources</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315"/>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Completed CC</w:t>
            </w:r>
            <w:r>
              <w:rPr>
                <w:rFonts w:eastAsia="Times New Roman"/>
                <w:color w:val="000000"/>
              </w:rPr>
              <w:t>&amp;</w:t>
            </w:r>
            <w:r w:rsidRPr="00CF43C7">
              <w:rPr>
                <w:rFonts w:eastAsia="Times New Roman"/>
                <w:color w:val="000000"/>
              </w:rPr>
              <w:t>I&amp;R resources developed</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1245"/>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Arrange for the provision of training on SE to DVR staff and CRPs in Hawaii to assess when SE should be provided and to develop capacity to provide SE</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315"/>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Number of individuals that attend training</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r>
      <w:tr w:rsidR="009142C0" w:rsidRPr="00CF43C7" w:rsidTr="009142C0">
        <w:trPr>
          <w:trHeight w:val="930"/>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Assist DVR in the development of MOUs with partner agencies that include all of the required elements</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315"/>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Completed MOUs</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r>
      <w:tr w:rsidR="009142C0" w:rsidRPr="00CF43C7" w:rsidTr="009142C0">
        <w:trPr>
          <w:trHeight w:val="630"/>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Assist DVR to identify processes to capture and report data necessary for the CPMs</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xml:space="preserve">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1245"/>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lastRenderedPageBreak/>
              <w:t>Completed process-mapping; and a vision/plan for how DVR will use CPM/911 data for future agency and resource development</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1245"/>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Assist DVR to develop policies and procedures and work performance standards for staff evaluation that reflect the new CPMs</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930"/>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Completed revisions or creation of policies and procedures and work performance standards</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630"/>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In partnership with DVR, provide agency-wide training on the CPMs to DVR staff</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315"/>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Number of staff that attend training</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315"/>
        </w:trPr>
        <w:tc>
          <w:tcPr>
            <w:tcW w:w="4280" w:type="dxa"/>
            <w:tcBorders>
              <w:top w:val="nil"/>
              <w:left w:val="single" w:sz="12" w:space="0" w:color="000000"/>
              <w:bottom w:val="single" w:sz="12" w:space="0" w:color="000000"/>
              <w:right w:val="single" w:sz="12" w:space="0" w:color="000000"/>
            </w:tcBorders>
            <w:shd w:val="clear" w:color="FBE4D5" w:fill="FBE4D5"/>
            <w:vAlign w:val="center"/>
            <w:hideMark/>
          </w:tcPr>
          <w:p w:rsidR="009142C0" w:rsidRPr="00CF43C7" w:rsidRDefault="009142C0" w:rsidP="009142C0">
            <w:pPr>
              <w:spacing w:after="0" w:line="240" w:lineRule="auto"/>
              <w:jc w:val="center"/>
              <w:rPr>
                <w:rFonts w:eastAsia="Times New Roman"/>
                <w:b/>
                <w:bCs/>
                <w:color w:val="000000"/>
              </w:rPr>
            </w:pPr>
            <w:r w:rsidRPr="00CF43C7">
              <w:rPr>
                <w:rFonts w:eastAsia="Times New Roman"/>
                <w:b/>
                <w:bCs/>
                <w:color w:val="000000"/>
              </w:rPr>
              <w:t>Alaska Combined</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r>
      <w:tr w:rsidR="009142C0" w:rsidRPr="00CF43C7" w:rsidTr="009142C0">
        <w:trPr>
          <w:trHeight w:val="2160"/>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Peer Mentoring: WINTAC TA team will work with Alaska VR to develop a plan for the development of a custom-designed Peer Mentoring Pilot program. It is anticipated that Alaska will chose to provide these services through community providers and partners</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1545"/>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A written plan that identifies how each of the required services will be provided by which entity and by various modalities; and A written plan outlining strategies and specific target dates for training.</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2160"/>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lastRenderedPageBreak/>
              <w:t>WINTAC TA team will work with Alaska VR to explore the use of technology in training of staff and peer mentoring training and services to ensure the availability of program services delivery throughout the state.  Content will include Alaska Specific resources and references</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1860"/>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A plan to customize existing electronic training modules for both project coordinators and peer mentors reflecting Alaska’s priorities; and Evaluation plan for project coordinator and mentor training and service delivery</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1545"/>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WINTAC will work with AKDVR to develop a plan for the provision of each of the required pre-ets services through community providers, education partners, contracting staff, or VR staff</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930"/>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A written plan that identifies how each of the required services will be provided by which entity and by various modalities</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1545"/>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Pre-ETS: WINTAC will work with AKDVR to explore and expand Pre-ETS services delivery through an online /electronic modality for students with disabilities</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1245"/>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lastRenderedPageBreak/>
              <w:t>A completed assessment, analysis and recommendations for possible online or electronic options for providing Pre-ETS services to students in rural Alaska</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r>
      <w:tr w:rsidR="009142C0" w:rsidRPr="00CF43C7" w:rsidTr="009142C0">
        <w:trPr>
          <w:trHeight w:val="930"/>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Development and/or review of existing documentation policies and procedures for the provision of pre-ets and expenditures</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1545"/>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A completed review of documentation policies and procedures and the provision of recommendations for any changes to ensure compliance with Section 113 of WIOA and 2CFR 200</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r>
      <w:tr w:rsidR="009142C0" w:rsidRPr="00CF43C7" w:rsidTr="009142C0">
        <w:trPr>
          <w:trHeight w:val="1860"/>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Review current interagency agreements with AKDVR and LEAs and develop an updated interagency agreement with an education agency to use as a template that encompasses the required elements in WIOA</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930"/>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Completed review of agreements with the development of a template that can be used across all school districts in the State</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r>
      <w:tr w:rsidR="009142C0" w:rsidRPr="00CF43C7" w:rsidTr="009142C0">
        <w:trPr>
          <w:trHeight w:val="1245"/>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Common Measures: Assist AKDVR counselors to identify relevance of data collection and reporting necessary for the CPMs</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315"/>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A completed data crosswalk matrix</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930"/>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lastRenderedPageBreak/>
              <w:t>Assist AKDVR to develop policies and procedures for staff evaluation that reflect the new CPMs</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630"/>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Common Measures: Completed revisions or creation of policies and procedures</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r>
      <w:tr w:rsidR="009142C0" w:rsidRPr="00CF43C7" w:rsidTr="009142C0">
        <w:trPr>
          <w:trHeight w:val="1860"/>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Implement SARA as a pilot project statewide in Alaska with VR and Title I, II and III as a method for collecting and documenting client data necessary for CPM reporting, cross agency case management, and an improved consumer experience</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r>
              <w:rPr>
                <w:rFonts w:eastAsia="Times New Roman"/>
                <w:color w:val="000000"/>
              </w:rPr>
              <w:t>X</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1245"/>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Alaska specific design of SARA and implementation of SARA across multiple divisions for inclusion of Titles; I, II, III and IV</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Pr>
                <w:rFonts w:eastAsia="Times New Roman"/>
                <w:color w:val="000000"/>
              </w:rPr>
              <w:t>X</w:t>
            </w: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630"/>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Strategic planning for implementation of Section 511</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xml:space="preserve">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630"/>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Strategic plan with steps identified to implement Section 511 requirements</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xml:space="preserve">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2160"/>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Expansion of integrated Business Engagement to include Customized and Supported Employment (CE &amp; SE) strategies and inclusion of LMI training for counselors.   In addition, targeted work with Alaska DVR’s assessment teams &amp; staff to incorporate these tools</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Pr>
                <w:rFonts w:eastAsia="Times New Roman"/>
                <w:color w:val="000000"/>
              </w:rPr>
              <w:t>X</w:t>
            </w: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1545"/>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lastRenderedPageBreak/>
              <w:t>Increased counselor and CRP capacity to utilize LMI, CE and SE tools and statewide expansion of existing Business Engagement Services Team (BEST) to effectively engage in businesses</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Pr>
                <w:rFonts w:eastAsia="Times New Roman"/>
                <w:color w:val="000000"/>
              </w:rPr>
              <w:t>X</w:t>
            </w:r>
            <w:r w:rsidRPr="00CF43C7">
              <w:rPr>
                <w:rFonts w:eastAsia="Times New Roman"/>
                <w:color w:val="000000"/>
              </w:rPr>
              <w:t> </w:t>
            </w:r>
          </w:p>
        </w:tc>
      </w:tr>
      <w:tr w:rsidR="009142C0" w:rsidRPr="00CF43C7" w:rsidTr="009142C0">
        <w:trPr>
          <w:trHeight w:val="315"/>
        </w:trPr>
        <w:tc>
          <w:tcPr>
            <w:tcW w:w="4280" w:type="dxa"/>
            <w:tcBorders>
              <w:top w:val="nil"/>
              <w:left w:val="single" w:sz="12" w:space="0" w:color="000000"/>
              <w:bottom w:val="single" w:sz="12" w:space="0" w:color="000000"/>
              <w:right w:val="single" w:sz="12" w:space="0" w:color="000000"/>
            </w:tcBorders>
            <w:shd w:val="clear" w:color="FBE4D5" w:fill="FBE4D5"/>
            <w:vAlign w:val="center"/>
            <w:hideMark/>
          </w:tcPr>
          <w:p w:rsidR="009142C0" w:rsidRPr="00CF43C7" w:rsidRDefault="009142C0" w:rsidP="009142C0">
            <w:pPr>
              <w:spacing w:after="0" w:line="240" w:lineRule="auto"/>
              <w:jc w:val="center"/>
              <w:rPr>
                <w:rFonts w:eastAsia="Times New Roman"/>
                <w:b/>
                <w:bCs/>
                <w:color w:val="000000"/>
              </w:rPr>
            </w:pPr>
            <w:r w:rsidRPr="00CF43C7">
              <w:rPr>
                <w:rFonts w:eastAsia="Times New Roman"/>
                <w:b/>
                <w:bCs/>
                <w:color w:val="000000"/>
              </w:rPr>
              <w:t>Maryland Combined</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r>
      <w:tr w:rsidR="009142C0" w:rsidRPr="00CF43C7" w:rsidTr="009142C0">
        <w:trPr>
          <w:trHeight w:val="1545"/>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WINTAC will work with DORS to develop a plan for the provision of each of the required pre-ets services through community providers, education partners, contracting staff, or VR staff</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930"/>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A written plan that identifies how each of the required services will be provided by which entity and by various modalities</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1245"/>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Work with DORS to develop and implement a plan to ensure that the 15% reserve of Federal funds are spent on allowable expenditures for pre-ets</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930"/>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A completed plan that identifies allowable expenditures and the activities and services on which the funds will be spent</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930"/>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Development and/or review of existing documentation policies and procedures for the provision of pre-ets and expenditures</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1545"/>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lastRenderedPageBreak/>
              <w:t>A completed review of documentation policies and procedures and the provision of recommendations for any changes to ensure compliance with Section 113 of WIOA and 2CFR 200</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1860"/>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Review current interagency agreements with DORS and LEAs and develop an updated interagency agreement with an education agency to use as a template that encompasses the required elements in WIOA</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930"/>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Completed review of agreements with the development of a template that can be used across all school districts in the State</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1245"/>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WINTAC will work with DORS to explore and expand pre-ets services delivery through an online /electronic modality for students with disabilities</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1245"/>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A completed assessment, analysis and recommendations for possible online or electronic options for providing pre-ets services statewide</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r>
      <w:tr w:rsidR="009142C0" w:rsidRPr="00CF43C7" w:rsidTr="009142C0">
        <w:trPr>
          <w:trHeight w:val="930"/>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Assist DORS with development of a collaborative pre-ets/ transition coordination institute</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630"/>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Default="009142C0" w:rsidP="009142C0">
            <w:pPr>
              <w:spacing w:after="0" w:line="240" w:lineRule="auto"/>
              <w:jc w:val="right"/>
              <w:rPr>
                <w:rFonts w:eastAsia="Times New Roman"/>
                <w:color w:val="000000"/>
              </w:rPr>
            </w:pPr>
            <w:r w:rsidRPr="00CF43C7">
              <w:rPr>
                <w:rFonts w:eastAsia="Times New Roman"/>
                <w:color w:val="000000"/>
              </w:rPr>
              <w:t>Implementation of an annual cross-agency collaborative pre-ets transition institute</w:t>
            </w:r>
          </w:p>
          <w:p w:rsidR="009142C0" w:rsidRPr="00CF43C7" w:rsidRDefault="009142C0" w:rsidP="009142C0">
            <w:pPr>
              <w:spacing w:after="0" w:line="240" w:lineRule="auto"/>
              <w:jc w:val="right"/>
              <w:rPr>
                <w:rFonts w:eastAsia="Times New Roman"/>
                <w:color w:val="000000"/>
              </w:rPr>
            </w:pP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315"/>
        </w:trPr>
        <w:tc>
          <w:tcPr>
            <w:tcW w:w="4280" w:type="dxa"/>
            <w:tcBorders>
              <w:top w:val="nil"/>
              <w:left w:val="single" w:sz="12" w:space="0" w:color="000000"/>
              <w:bottom w:val="single" w:sz="12" w:space="0" w:color="000000"/>
              <w:right w:val="single" w:sz="12" w:space="0" w:color="000000"/>
            </w:tcBorders>
            <w:shd w:val="clear" w:color="FBE4D5" w:fill="FBE4D5"/>
            <w:vAlign w:val="center"/>
            <w:hideMark/>
          </w:tcPr>
          <w:p w:rsidR="009142C0" w:rsidRPr="00CF43C7" w:rsidRDefault="009142C0" w:rsidP="009142C0">
            <w:pPr>
              <w:spacing w:after="0" w:line="240" w:lineRule="auto"/>
              <w:jc w:val="center"/>
              <w:rPr>
                <w:rFonts w:eastAsia="Times New Roman"/>
                <w:b/>
                <w:bCs/>
                <w:color w:val="000000"/>
              </w:rPr>
            </w:pPr>
            <w:r w:rsidRPr="00CF43C7">
              <w:rPr>
                <w:rFonts w:eastAsia="Times New Roman"/>
                <w:b/>
                <w:bCs/>
                <w:color w:val="000000"/>
              </w:rPr>
              <w:lastRenderedPageBreak/>
              <w:t>Arizona Combined</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b/>
                <w:bCs/>
                <w:color w:val="000000"/>
              </w:rPr>
            </w:pPr>
            <w:r w:rsidRPr="00CF43C7">
              <w:rPr>
                <w:rFonts w:eastAsia="Times New Roman"/>
                <w:b/>
                <w:bCs/>
                <w:color w:val="000000"/>
              </w:rPr>
              <w:t> </w:t>
            </w:r>
          </w:p>
        </w:tc>
      </w:tr>
      <w:tr w:rsidR="009142C0" w:rsidRPr="00CF43C7" w:rsidTr="009142C0">
        <w:trPr>
          <w:trHeight w:val="1545"/>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WINTAC will work with AZRS to develop a plan for the provision of each of the required pre-ets services through community providers, education partners, contracting staff, or VR staff</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930"/>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A written plan that identifies how each of the required services will be provided by which entity and by various modalities</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1245"/>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Work with AZRS to develop and implement a plan to ensure that the 15% reserve of Federal funds are spent on allowable expenditures for pre-ets</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930"/>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A completed plan that identifies allowable expenditures and the activities and services on which the funds will be spent</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930"/>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Development and/or review of existing documentation policies and procedures for the provision of pre-ets and expenditures</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1545"/>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A completed review of documentation policies and procedures and the provision of recommendations for any changes to ensure compliance with Section 113 of WIOA and 2CFR 200</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1860"/>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lastRenderedPageBreak/>
              <w:t>Review current interagency agreements with AZRS and LEAs and develop an updated interagency agreement with an education agency to use as a template that encompasses the required elements in WIOA</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930"/>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Completed review of agreements with the development of a template that can be used across all school districts in the State</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630"/>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Strategic planning for implementation of Section 511</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630"/>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Strategic plan with steps identified to implement Section 511 requirements</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315"/>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Develop CC&amp;I&amp;R resources</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315"/>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Completed CC</w:t>
            </w:r>
            <w:r>
              <w:rPr>
                <w:rFonts w:eastAsia="Times New Roman"/>
                <w:color w:val="000000"/>
              </w:rPr>
              <w:t>&amp;</w:t>
            </w:r>
            <w:r w:rsidRPr="00CF43C7">
              <w:rPr>
                <w:rFonts w:eastAsia="Times New Roman"/>
                <w:color w:val="000000"/>
              </w:rPr>
              <w:t>I&amp;R resources developed</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930"/>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Arrange for the provision of training on SE to AZRS staff especially related to the development of natural supports</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315"/>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Number of individuals that attend training</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r>
      <w:tr w:rsidR="009142C0" w:rsidRPr="00CF43C7" w:rsidTr="009142C0">
        <w:trPr>
          <w:trHeight w:val="930"/>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Assist AZRS to identify processes to capture and report data necessary for the Common Performance Measures (CPMs)</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1245"/>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Completed process-mapping; and a vision/plan for how AZRS will use CPM/911 data for future agency and resource development</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r>
      <w:tr w:rsidR="009142C0" w:rsidRPr="00CF43C7" w:rsidTr="009142C0">
        <w:trPr>
          <w:trHeight w:val="1245"/>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lastRenderedPageBreak/>
              <w:t>In partnership with AZRS, provide agency-wide training on the CPMs to AZRS staff that focuses on how the CPMs affect the counseling process and client planning</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315"/>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The number of staff that attend training</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r>
      <w:tr w:rsidR="009142C0" w:rsidRPr="00CF43C7" w:rsidTr="009142C0">
        <w:trPr>
          <w:trHeight w:val="1245"/>
        </w:trPr>
        <w:tc>
          <w:tcPr>
            <w:tcW w:w="4280" w:type="dxa"/>
            <w:tcBorders>
              <w:top w:val="nil"/>
              <w:left w:val="single" w:sz="12" w:space="0" w:color="000000"/>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rPr>
                <w:rFonts w:eastAsia="Times New Roman"/>
                <w:color w:val="000000"/>
              </w:rPr>
            </w:pPr>
            <w:r w:rsidRPr="00CF43C7">
              <w:rPr>
                <w:rFonts w:eastAsia="Times New Roman"/>
                <w:color w:val="000000"/>
              </w:rPr>
              <w:t>Assist AZRS to develop policies and procedures and work performance standards for staff evaluation that reflect the new CPMs</w:t>
            </w:r>
          </w:p>
        </w:tc>
        <w:tc>
          <w:tcPr>
            <w:tcW w:w="11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c>
          <w:tcPr>
            <w:tcW w:w="130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auto" w:fill="auto"/>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r>
      <w:tr w:rsidR="009142C0" w:rsidRPr="00CF43C7" w:rsidTr="009142C0">
        <w:trPr>
          <w:trHeight w:val="930"/>
        </w:trPr>
        <w:tc>
          <w:tcPr>
            <w:tcW w:w="4280" w:type="dxa"/>
            <w:tcBorders>
              <w:top w:val="nil"/>
              <w:left w:val="single" w:sz="12" w:space="0" w:color="000000"/>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right"/>
              <w:rPr>
                <w:rFonts w:eastAsia="Times New Roman"/>
                <w:color w:val="000000"/>
              </w:rPr>
            </w:pPr>
            <w:r w:rsidRPr="00CF43C7">
              <w:rPr>
                <w:rFonts w:eastAsia="Times New Roman"/>
                <w:color w:val="000000"/>
              </w:rPr>
              <w:t>Completed revisions or creation of policies and procedures and work performance standards</w:t>
            </w:r>
          </w:p>
        </w:tc>
        <w:tc>
          <w:tcPr>
            <w:tcW w:w="11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42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30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 </w:t>
            </w:r>
          </w:p>
        </w:tc>
        <w:tc>
          <w:tcPr>
            <w:tcW w:w="1080" w:type="dxa"/>
            <w:tcBorders>
              <w:top w:val="nil"/>
              <w:left w:val="nil"/>
              <w:bottom w:val="single" w:sz="12" w:space="0" w:color="000000"/>
              <w:right w:val="single" w:sz="12" w:space="0" w:color="000000"/>
            </w:tcBorders>
            <w:shd w:val="clear" w:color="FEF2CB" w:fill="FEF2CB"/>
            <w:vAlign w:val="center"/>
            <w:hideMark/>
          </w:tcPr>
          <w:p w:rsidR="009142C0" w:rsidRPr="00CF43C7" w:rsidRDefault="009142C0" w:rsidP="009142C0">
            <w:pPr>
              <w:spacing w:after="0" w:line="240" w:lineRule="auto"/>
              <w:jc w:val="center"/>
              <w:rPr>
                <w:rFonts w:eastAsia="Times New Roman"/>
                <w:color w:val="000000"/>
              </w:rPr>
            </w:pPr>
            <w:r w:rsidRPr="00CF43C7">
              <w:rPr>
                <w:rFonts w:eastAsia="Times New Roman"/>
                <w:color w:val="000000"/>
              </w:rPr>
              <w:t>X</w:t>
            </w:r>
          </w:p>
        </w:tc>
      </w:tr>
    </w:tbl>
    <w:p w:rsidR="009142C0" w:rsidRDefault="009142C0" w:rsidP="009422A2">
      <w:pPr>
        <w:pStyle w:val="NoSpacing"/>
      </w:pPr>
    </w:p>
    <w:p w:rsidR="009142C0" w:rsidRDefault="009142C0" w:rsidP="009422A2">
      <w:pPr>
        <w:pStyle w:val="NoSpacing"/>
      </w:pPr>
    </w:p>
    <w:p w:rsidR="009142C0" w:rsidRDefault="009142C0" w:rsidP="009422A2">
      <w:pPr>
        <w:pStyle w:val="NoSpacing"/>
      </w:pPr>
    </w:p>
    <w:p w:rsidR="009142C0" w:rsidRDefault="009142C0" w:rsidP="009422A2">
      <w:pPr>
        <w:pStyle w:val="NoSpacing"/>
      </w:pPr>
    </w:p>
    <w:p w:rsidR="009142C0" w:rsidRDefault="009142C0" w:rsidP="009422A2">
      <w:pPr>
        <w:pStyle w:val="NoSpacing"/>
      </w:pPr>
    </w:p>
    <w:p w:rsidR="009142C0" w:rsidRDefault="009142C0" w:rsidP="009422A2">
      <w:pPr>
        <w:pStyle w:val="NoSpacing"/>
      </w:pPr>
    </w:p>
    <w:p w:rsidR="009142C0" w:rsidRDefault="009142C0" w:rsidP="009422A2">
      <w:pPr>
        <w:pStyle w:val="NoSpacing"/>
      </w:pPr>
    </w:p>
    <w:p w:rsidR="009142C0" w:rsidRDefault="009142C0" w:rsidP="009422A2">
      <w:pPr>
        <w:pStyle w:val="NoSpacing"/>
      </w:pPr>
    </w:p>
    <w:p w:rsidR="009142C0" w:rsidRDefault="009142C0" w:rsidP="009422A2">
      <w:pPr>
        <w:pStyle w:val="NoSpacing"/>
      </w:pPr>
    </w:p>
    <w:p w:rsidR="009142C0" w:rsidRDefault="009142C0" w:rsidP="009422A2">
      <w:pPr>
        <w:pStyle w:val="NoSpacing"/>
      </w:pPr>
    </w:p>
    <w:p w:rsidR="00BD32F6" w:rsidRDefault="00BD32F6" w:rsidP="00BD32F6">
      <w:pPr>
        <w:pStyle w:val="NoSpacing"/>
      </w:pPr>
    </w:p>
    <w:p w:rsidR="00CF43C7" w:rsidRDefault="00CF43C7" w:rsidP="009422A2">
      <w:pPr>
        <w:pStyle w:val="NoSpacing"/>
      </w:pPr>
    </w:p>
    <w:p w:rsidR="00CF43C7" w:rsidRDefault="00CF43C7" w:rsidP="009422A2">
      <w:pPr>
        <w:pStyle w:val="NoSpacing"/>
        <w:sectPr w:rsidR="00CF43C7" w:rsidSect="009A5200">
          <w:pgSz w:w="15840" w:h="12240" w:orient="landscape"/>
          <w:pgMar w:top="1440" w:right="1440" w:bottom="1440" w:left="1440" w:header="720" w:footer="720" w:gutter="0"/>
          <w:cols w:space="720"/>
          <w:titlePg/>
          <w:docGrid w:linePitch="360"/>
        </w:sectPr>
      </w:pPr>
    </w:p>
    <w:p w:rsidR="001A0BF6" w:rsidRPr="003E76D5" w:rsidRDefault="00CF43C7" w:rsidP="009422A2">
      <w:pPr>
        <w:pStyle w:val="NoSpacing"/>
        <w:rPr>
          <w:b/>
        </w:rPr>
      </w:pPr>
      <w:r>
        <w:rPr>
          <w:b/>
        </w:rPr>
        <w:lastRenderedPageBreak/>
        <w:t>W</w:t>
      </w:r>
      <w:r w:rsidR="001A0BF6" w:rsidRPr="003E76D5">
        <w:rPr>
          <w:b/>
        </w:rPr>
        <w:t>orkforce Innovation Pilot Projects (WIPPs)</w:t>
      </w:r>
    </w:p>
    <w:p w:rsidR="001A0BF6" w:rsidRDefault="001A0BF6" w:rsidP="009422A2">
      <w:pPr>
        <w:pStyle w:val="NoSpacing"/>
      </w:pPr>
    </w:p>
    <w:p w:rsidR="001A0BF6" w:rsidRDefault="001A0BF6" w:rsidP="009422A2">
      <w:pPr>
        <w:pStyle w:val="NoSpacing"/>
      </w:pPr>
      <w:r>
        <w:tab/>
        <w:t>There has been major progress on the WIPPs that were planned for the WINTAC.  The Career Index Plus (TCI+) has been piloted in South Carolina Blind and is being rolled out nationally, with a phased-</w:t>
      </w:r>
      <w:r w:rsidR="001768C3">
        <w:t>i</w:t>
      </w:r>
      <w:r>
        <w:t xml:space="preserve">n approach.  Idaho, Colorado and Kentucky will be part of the second phase of the roll-out, with seven states following these three, and then all 80 VR programs will have access.  The WINTAC was awarded a supplement that will be used to provide a much deeper level of training to VR agencies </w:t>
      </w:r>
      <w:r w:rsidR="001768C3">
        <w:t xml:space="preserve">in Year Two </w:t>
      </w:r>
      <w:r>
        <w:t>than was originally planned</w:t>
      </w:r>
      <w:r w:rsidR="001768C3">
        <w:t>.  In addition, we will be establishing ten communities of practice (one in each region), that will consist of TCI+ users that will become adept at using TCI+ and that can act as  trainers for the programs, helping to ensure that the use of LMI is infused in the VR process in the future.  The TCI+ training is being conducted in partnership with the JDVRTAC, who will be conducting the ethical and clinical practice training piece, which applies not only to TCI+, but LMI generally.  This component will help to ensure that TCI+ users will use the information to enhance informed choice.</w:t>
      </w:r>
    </w:p>
    <w:p w:rsidR="001768C3" w:rsidRDefault="001768C3" w:rsidP="009422A2">
      <w:pPr>
        <w:pStyle w:val="NoSpacing"/>
      </w:pPr>
      <w:r>
        <w:tab/>
        <w:t>The SARA pilot project is well ahead of schedule.  We have identified the three pilot sites, which includes Kentucky, Nevada and Alaska (three active intensive TA states).  We are meeting with these VR program administrative staff and IT staff over the course of the next two months to initiate the pilot.  All three States were recipients of the TEGL grants, and wrote the use of SARA statewide into their grant proposals.  This is an exciting development and will allow us to use the pilot projects as a way to get the projects up and running in time for statewide implementation.</w:t>
      </w:r>
    </w:p>
    <w:p w:rsidR="001768C3" w:rsidRDefault="001768C3" w:rsidP="009422A2">
      <w:pPr>
        <w:pStyle w:val="NoSpacing"/>
      </w:pPr>
      <w:r>
        <w:tab/>
        <w:t xml:space="preserve">The peer mentoring pilot is active in Alaska, putting this project well ahead of schedule. </w:t>
      </w:r>
      <w:r w:rsidR="00C10EE9">
        <w:t>Utah was also recently confirmed as the second pilot site. Maryland expressed interest in becoming the third site, so we may end up being a year ahead of schedule in implementing this project.</w:t>
      </w:r>
    </w:p>
    <w:p w:rsidR="00C10EE9" w:rsidRDefault="00C10EE9" w:rsidP="009422A2">
      <w:pPr>
        <w:pStyle w:val="NoSpacing"/>
      </w:pPr>
    </w:p>
    <w:p w:rsidR="00C10EE9" w:rsidRPr="003E76D5" w:rsidRDefault="00C10EE9" w:rsidP="009422A2">
      <w:pPr>
        <w:pStyle w:val="NoSpacing"/>
        <w:rPr>
          <w:b/>
        </w:rPr>
      </w:pPr>
      <w:r w:rsidRPr="003E76D5">
        <w:rPr>
          <w:b/>
        </w:rPr>
        <w:t>Collaboration with other TACs</w:t>
      </w:r>
    </w:p>
    <w:p w:rsidR="00C10EE9" w:rsidRDefault="00C10EE9" w:rsidP="009422A2">
      <w:pPr>
        <w:pStyle w:val="NoSpacing"/>
      </w:pPr>
    </w:p>
    <w:p w:rsidR="00C10EE9" w:rsidRDefault="00C10EE9" w:rsidP="009422A2">
      <w:pPr>
        <w:pStyle w:val="NoSpacing"/>
      </w:pPr>
      <w:r>
        <w:tab/>
        <w:t>The WINTAC has been very active in collaborating with other TA Centers in planning and implementing TA.  Some of the collaborations include:</w:t>
      </w:r>
    </w:p>
    <w:p w:rsidR="00C10EE9" w:rsidRDefault="00C10EE9" w:rsidP="004D2ABD">
      <w:pPr>
        <w:pStyle w:val="NoSpacing"/>
        <w:numPr>
          <w:ilvl w:val="0"/>
          <w:numId w:val="34"/>
        </w:numPr>
      </w:pPr>
      <w:r>
        <w:t>Partnering with the JDVRTAC to coordinate and run the monthly technical assistance center collaborative (TACC) calls;</w:t>
      </w:r>
    </w:p>
    <w:p w:rsidR="00C10EE9" w:rsidRDefault="00C10EE9" w:rsidP="004D2ABD">
      <w:pPr>
        <w:pStyle w:val="NoSpacing"/>
        <w:numPr>
          <w:ilvl w:val="0"/>
          <w:numId w:val="34"/>
        </w:numPr>
      </w:pPr>
      <w:r>
        <w:t>Developing intensive TA agreements with several different TACs, most frequently with the Y-TAC, but the NTACT, JDVRTAC, PEQA and DEI centers were also included;</w:t>
      </w:r>
    </w:p>
    <w:p w:rsidR="00C10EE9" w:rsidRDefault="00C10EE9" w:rsidP="004D2ABD">
      <w:pPr>
        <w:pStyle w:val="NoSpacing"/>
        <w:numPr>
          <w:ilvl w:val="0"/>
          <w:numId w:val="34"/>
        </w:numPr>
      </w:pPr>
      <w:r>
        <w:t>Partnering with the JDVRTAC to deliver TCI+ training;</w:t>
      </w:r>
    </w:p>
    <w:p w:rsidR="00FE598E" w:rsidRDefault="00FE598E" w:rsidP="004D2ABD">
      <w:pPr>
        <w:pStyle w:val="NoSpacing"/>
        <w:numPr>
          <w:ilvl w:val="0"/>
          <w:numId w:val="34"/>
        </w:numPr>
      </w:pPr>
      <w:r>
        <w:t>Function as the liaison for the TACs to the NCRTM;</w:t>
      </w:r>
    </w:p>
    <w:p w:rsidR="00C10EE9" w:rsidRDefault="00C10EE9" w:rsidP="004D2ABD">
      <w:pPr>
        <w:pStyle w:val="NoSpacing"/>
        <w:numPr>
          <w:ilvl w:val="0"/>
          <w:numId w:val="34"/>
        </w:numPr>
      </w:pPr>
      <w:r>
        <w:t>Partnering with the Y-TAC to develop customized employment training as a national certificate that will be available to VR programs and CRPs nationally;</w:t>
      </w:r>
      <w:r w:rsidR="003E76D5">
        <w:t xml:space="preserve"> and</w:t>
      </w:r>
    </w:p>
    <w:p w:rsidR="00C10EE9" w:rsidRDefault="00C10EE9" w:rsidP="004D2ABD">
      <w:pPr>
        <w:pStyle w:val="NoSpacing"/>
        <w:numPr>
          <w:ilvl w:val="0"/>
          <w:numId w:val="34"/>
        </w:numPr>
      </w:pPr>
      <w:r>
        <w:t>Partnering with the Y-TAC to develop resources for pre-employment transition services and other youth services electronically</w:t>
      </w:r>
      <w:r w:rsidR="003E76D5">
        <w:t>.</w:t>
      </w:r>
    </w:p>
    <w:p w:rsidR="00C10EE9" w:rsidRDefault="00C10EE9" w:rsidP="003E76D5">
      <w:pPr>
        <w:pStyle w:val="NoSpacing"/>
      </w:pPr>
    </w:p>
    <w:p w:rsidR="003E76D5" w:rsidRDefault="003E76D5" w:rsidP="003E76D5">
      <w:pPr>
        <w:pStyle w:val="NoSpacing"/>
      </w:pPr>
      <w:r>
        <w:t>The WINTAC will continue to work closely with the other TACs as we develop intensive TA plans and begin projects to serve our VR customers.  Several of our pending or planned intensive TA agreements are collaborations with other TACs, and it is becoming the norm to have at least one other TAC as a partner in every agreement.</w:t>
      </w:r>
    </w:p>
    <w:p w:rsidR="001A0BF6" w:rsidRDefault="001A0BF6" w:rsidP="009422A2">
      <w:pPr>
        <w:pStyle w:val="NoSpacing"/>
      </w:pPr>
    </w:p>
    <w:p w:rsidR="001A0BF6" w:rsidRPr="00CF43C7" w:rsidRDefault="003E76D5" w:rsidP="009422A2">
      <w:pPr>
        <w:pStyle w:val="NoSpacing"/>
        <w:rPr>
          <w:b/>
        </w:rPr>
      </w:pPr>
      <w:r w:rsidRPr="00CF43C7">
        <w:rPr>
          <w:b/>
        </w:rPr>
        <w:t xml:space="preserve">Section 2:  Review of Application and Cooperative Agreement </w:t>
      </w:r>
    </w:p>
    <w:p w:rsidR="003E76D5" w:rsidRDefault="003E76D5" w:rsidP="009422A2">
      <w:pPr>
        <w:pStyle w:val="NoSpacing"/>
      </w:pPr>
    </w:p>
    <w:p w:rsidR="003E76D5" w:rsidRDefault="003E76D5" w:rsidP="009422A2">
      <w:pPr>
        <w:pStyle w:val="NoSpacing"/>
      </w:pPr>
      <w:r>
        <w:t>No changes identified at this time</w:t>
      </w:r>
    </w:p>
    <w:p w:rsidR="003E76D5" w:rsidRDefault="003E76D5" w:rsidP="009422A2">
      <w:pPr>
        <w:pStyle w:val="NoSpacing"/>
      </w:pPr>
    </w:p>
    <w:p w:rsidR="003E76D5" w:rsidRPr="00CF43C7" w:rsidRDefault="003E76D5" w:rsidP="009422A2">
      <w:pPr>
        <w:pStyle w:val="NoSpacing"/>
        <w:rPr>
          <w:b/>
        </w:rPr>
      </w:pPr>
      <w:r w:rsidRPr="00CF43C7">
        <w:rPr>
          <w:b/>
        </w:rPr>
        <w:t>Section 3:  Work Plan</w:t>
      </w:r>
    </w:p>
    <w:p w:rsidR="00DA6F9D" w:rsidRDefault="00DA6F9D" w:rsidP="009422A2">
      <w:pPr>
        <w:pStyle w:val="NoSpacing"/>
      </w:pPr>
    </w:p>
    <w:p w:rsidR="00FE598E" w:rsidRDefault="00FE598E" w:rsidP="009422A2">
      <w:pPr>
        <w:pStyle w:val="NoSpacing"/>
      </w:pPr>
      <w:r>
        <w:tab/>
        <w:t xml:space="preserve">The Year Two work plan is contained in Table </w:t>
      </w:r>
      <w:r w:rsidR="003C7533">
        <w:t>14</w:t>
      </w:r>
      <w:r>
        <w:t xml:space="preserve"> below.  The edits/additions to the work plan from the plan submitted at the beginning of the project include the removal or revision of objectives reached and the inclusion of the customized employment and electronic pre-employment transition services resources that will be developed with carry-over funds.  The Career Index Plus pilot project was revised to include the increased training available through the supplement funds.  The SARA and peer mentoring pilots were revised to include the identified SVRAs for each pilot that are known to date.</w:t>
      </w:r>
    </w:p>
    <w:p w:rsidR="00957A8E" w:rsidRDefault="00957A8E" w:rsidP="009422A2">
      <w:pPr>
        <w:pStyle w:val="NoSpacing"/>
      </w:pPr>
    </w:p>
    <w:p w:rsidR="00957A8E" w:rsidRDefault="00957A8E" w:rsidP="009422A2">
      <w:pPr>
        <w:pStyle w:val="NoSpacing"/>
      </w:pPr>
      <w:r w:rsidRPr="003C7533">
        <w:rPr>
          <w:b/>
        </w:rPr>
        <w:t>Budget and Narrative</w:t>
      </w:r>
      <w:r>
        <w:t>:  Please see Part C below.</w:t>
      </w:r>
    </w:p>
    <w:p w:rsidR="00957A8E" w:rsidRDefault="00957A8E" w:rsidP="009422A2">
      <w:pPr>
        <w:pStyle w:val="NoSpacing"/>
      </w:pPr>
    </w:p>
    <w:p w:rsidR="00957A8E" w:rsidRDefault="00957A8E" w:rsidP="009422A2">
      <w:pPr>
        <w:pStyle w:val="NoSpacing"/>
      </w:pPr>
      <w:r w:rsidRPr="003C7533">
        <w:rPr>
          <w:b/>
        </w:rPr>
        <w:t>Person Loading Chart for Year 2 and beyond</w:t>
      </w:r>
      <w:r>
        <w:t>:  Please see attachment</w:t>
      </w:r>
    </w:p>
    <w:p w:rsidR="00957A8E" w:rsidRDefault="00957A8E" w:rsidP="009422A2">
      <w:pPr>
        <w:pStyle w:val="NoSpacing"/>
      </w:pPr>
    </w:p>
    <w:p w:rsidR="00957A8E" w:rsidRDefault="00957A8E" w:rsidP="009422A2">
      <w:pPr>
        <w:pStyle w:val="NoSpacing"/>
      </w:pPr>
      <w:r w:rsidRPr="003C7533">
        <w:rPr>
          <w:b/>
        </w:rPr>
        <w:t>Subcontracts</w:t>
      </w:r>
      <w:r>
        <w:t>:  Each of the subcontracts for Year two is being completed and will be sent the Project Officer upon completion.</w:t>
      </w:r>
    </w:p>
    <w:p w:rsidR="00E04890" w:rsidRDefault="00E04890" w:rsidP="009422A2">
      <w:pPr>
        <w:pStyle w:val="NoSpacing"/>
      </w:pPr>
    </w:p>
    <w:p w:rsidR="00E04890" w:rsidRDefault="00E04890" w:rsidP="009422A2">
      <w:pPr>
        <w:pStyle w:val="NoSpacing"/>
        <w:sectPr w:rsidR="00E04890" w:rsidSect="009A5200">
          <w:pgSz w:w="12240" w:h="15840"/>
          <w:pgMar w:top="1440" w:right="1440" w:bottom="1440" w:left="1440" w:header="720" w:footer="720" w:gutter="0"/>
          <w:cols w:space="720"/>
          <w:titlePg/>
          <w:docGrid w:linePitch="360"/>
        </w:sectPr>
      </w:pPr>
    </w:p>
    <w:tbl>
      <w:tblPr>
        <w:tblW w:w="12180" w:type="dxa"/>
        <w:tblLook w:val="04A0" w:firstRow="1" w:lastRow="0" w:firstColumn="1" w:lastColumn="0" w:noHBand="0" w:noVBand="1"/>
      </w:tblPr>
      <w:tblGrid>
        <w:gridCol w:w="5194"/>
        <w:gridCol w:w="3097"/>
        <w:gridCol w:w="950"/>
        <w:gridCol w:w="960"/>
        <w:gridCol w:w="980"/>
        <w:gridCol w:w="999"/>
      </w:tblGrid>
      <w:tr w:rsidR="00A631A3" w:rsidRPr="00A631A3" w:rsidTr="00A631A3">
        <w:trPr>
          <w:divId w:val="1360082967"/>
          <w:trHeight w:val="593"/>
        </w:trPr>
        <w:tc>
          <w:tcPr>
            <w:tcW w:w="12180" w:type="dxa"/>
            <w:gridSpan w:val="6"/>
            <w:tcBorders>
              <w:top w:val="single" w:sz="4" w:space="0" w:color="auto"/>
              <w:left w:val="single" w:sz="4" w:space="0" w:color="auto"/>
              <w:bottom w:val="single" w:sz="4" w:space="0" w:color="auto"/>
              <w:right w:val="nil"/>
            </w:tcBorders>
            <w:shd w:val="clear" w:color="000000" w:fill="F4B084"/>
            <w:vAlign w:val="center"/>
            <w:hideMark/>
          </w:tcPr>
          <w:p w:rsidR="003C7533" w:rsidRDefault="003C7533" w:rsidP="00A631A3">
            <w:pPr>
              <w:spacing w:after="0" w:line="240" w:lineRule="auto"/>
              <w:rPr>
                <w:rFonts w:eastAsia="Times New Roman"/>
                <w:b/>
                <w:bCs/>
                <w:color w:val="000000"/>
              </w:rPr>
            </w:pPr>
            <w:r>
              <w:rPr>
                <w:rFonts w:eastAsia="Times New Roman"/>
                <w:b/>
                <w:bCs/>
                <w:color w:val="000000"/>
              </w:rPr>
              <w:lastRenderedPageBreak/>
              <w:t>Table 14</w:t>
            </w:r>
          </w:p>
          <w:p w:rsidR="00A631A3" w:rsidRPr="00A631A3" w:rsidRDefault="00A631A3" w:rsidP="00A631A3">
            <w:pPr>
              <w:spacing w:after="0" w:line="240" w:lineRule="auto"/>
              <w:rPr>
                <w:rFonts w:eastAsia="Times New Roman"/>
                <w:b/>
                <w:bCs/>
                <w:color w:val="000000"/>
              </w:rPr>
            </w:pPr>
            <w:r w:rsidRPr="00A631A3">
              <w:rPr>
                <w:rFonts w:eastAsia="Times New Roman"/>
                <w:b/>
                <w:bCs/>
                <w:color w:val="000000"/>
              </w:rPr>
              <w:t>Goal:  To assist SVRAs and related agencies and professionals to successfully meet the requirements of WIOA</w:t>
            </w:r>
          </w:p>
        </w:tc>
      </w:tr>
      <w:tr w:rsidR="00A631A3" w:rsidRPr="00A631A3" w:rsidTr="00A631A3">
        <w:trPr>
          <w:divId w:val="1360082967"/>
          <w:trHeight w:val="773"/>
        </w:trPr>
        <w:tc>
          <w:tcPr>
            <w:tcW w:w="12180" w:type="dxa"/>
            <w:gridSpan w:val="6"/>
            <w:tcBorders>
              <w:top w:val="single" w:sz="4" w:space="0" w:color="auto"/>
              <w:left w:val="single" w:sz="4" w:space="0" w:color="auto"/>
              <w:bottom w:val="single" w:sz="4" w:space="0" w:color="auto"/>
              <w:right w:val="single" w:sz="4" w:space="0" w:color="auto"/>
            </w:tcBorders>
            <w:shd w:val="clear" w:color="000000" w:fill="F8CBAD"/>
            <w:vAlign w:val="center"/>
            <w:hideMark/>
          </w:tcPr>
          <w:p w:rsidR="00A631A3" w:rsidRPr="00A631A3" w:rsidRDefault="00A631A3" w:rsidP="00A631A3">
            <w:pPr>
              <w:spacing w:after="0" w:line="240" w:lineRule="auto"/>
              <w:rPr>
                <w:rFonts w:eastAsia="Times New Roman"/>
                <w:color w:val="000000"/>
              </w:rPr>
            </w:pPr>
            <w:r w:rsidRPr="00A631A3">
              <w:rPr>
                <w:rFonts w:eastAsia="Times New Roman"/>
                <w:b/>
                <w:bCs/>
                <w:color w:val="000000"/>
              </w:rPr>
              <w:t>Objective 1</w:t>
            </w:r>
            <w:r w:rsidRPr="00A631A3">
              <w:rPr>
                <w:rFonts w:eastAsia="Times New Roman"/>
                <w:color w:val="000000"/>
              </w:rPr>
              <w:t>: Develop knowledge that will assist SVRAs and related professionals and agencies to meet effectively meet the requirements of WIOA</w:t>
            </w:r>
          </w:p>
        </w:tc>
      </w:tr>
      <w:tr w:rsidR="00A631A3" w:rsidRPr="00A631A3" w:rsidTr="00E04890">
        <w:trPr>
          <w:divId w:val="1360082967"/>
          <w:trHeight w:val="465"/>
        </w:trPr>
        <w:tc>
          <w:tcPr>
            <w:tcW w:w="5194" w:type="dxa"/>
            <w:vMerge w:val="restart"/>
            <w:tcBorders>
              <w:top w:val="nil"/>
              <w:left w:val="single" w:sz="4" w:space="0" w:color="auto"/>
              <w:bottom w:val="single" w:sz="4" w:space="0" w:color="auto"/>
              <w:right w:val="single" w:sz="4" w:space="0" w:color="auto"/>
            </w:tcBorders>
            <w:shd w:val="clear" w:color="000000" w:fill="FCE4D6"/>
            <w:vAlign w:val="center"/>
            <w:hideMark/>
          </w:tcPr>
          <w:p w:rsidR="00A631A3" w:rsidRPr="00A631A3" w:rsidRDefault="00A631A3" w:rsidP="00A631A3">
            <w:pPr>
              <w:spacing w:after="0" w:line="240" w:lineRule="auto"/>
              <w:jc w:val="center"/>
              <w:rPr>
                <w:rFonts w:eastAsia="Times New Roman"/>
                <w:b/>
                <w:bCs/>
                <w:color w:val="000000"/>
              </w:rPr>
            </w:pPr>
            <w:r w:rsidRPr="00A631A3">
              <w:rPr>
                <w:rFonts w:eastAsia="Times New Roman"/>
                <w:b/>
                <w:bCs/>
                <w:color w:val="000000"/>
              </w:rPr>
              <w:t>Activities</w:t>
            </w:r>
          </w:p>
        </w:tc>
        <w:tc>
          <w:tcPr>
            <w:tcW w:w="3097" w:type="dxa"/>
            <w:vMerge w:val="restart"/>
            <w:tcBorders>
              <w:top w:val="nil"/>
              <w:left w:val="single" w:sz="4" w:space="0" w:color="auto"/>
              <w:bottom w:val="single" w:sz="4" w:space="0" w:color="auto"/>
              <w:right w:val="single" w:sz="4" w:space="0" w:color="auto"/>
            </w:tcBorders>
            <w:shd w:val="clear" w:color="000000" w:fill="FCE4D6"/>
            <w:vAlign w:val="center"/>
            <w:hideMark/>
          </w:tcPr>
          <w:p w:rsidR="00A631A3" w:rsidRPr="00A631A3" w:rsidRDefault="00A631A3" w:rsidP="00A631A3">
            <w:pPr>
              <w:spacing w:after="0" w:line="240" w:lineRule="auto"/>
              <w:jc w:val="center"/>
              <w:rPr>
                <w:rFonts w:eastAsia="Times New Roman"/>
                <w:b/>
                <w:bCs/>
                <w:color w:val="000000"/>
              </w:rPr>
            </w:pPr>
            <w:r w:rsidRPr="00A631A3">
              <w:rPr>
                <w:rFonts w:eastAsia="Times New Roman"/>
                <w:b/>
                <w:bCs/>
                <w:color w:val="000000"/>
              </w:rPr>
              <w:t>Milestone - Outcomes</w:t>
            </w:r>
          </w:p>
        </w:tc>
        <w:tc>
          <w:tcPr>
            <w:tcW w:w="3889" w:type="dxa"/>
            <w:gridSpan w:val="4"/>
            <w:tcBorders>
              <w:top w:val="single" w:sz="4" w:space="0" w:color="auto"/>
              <w:left w:val="nil"/>
              <w:bottom w:val="single" w:sz="4" w:space="0" w:color="auto"/>
              <w:right w:val="single" w:sz="4" w:space="0" w:color="auto"/>
            </w:tcBorders>
            <w:shd w:val="clear" w:color="000000" w:fill="FCE4D6"/>
            <w:vAlign w:val="center"/>
            <w:hideMark/>
          </w:tcPr>
          <w:p w:rsidR="00A631A3" w:rsidRPr="00A631A3" w:rsidRDefault="00A631A3" w:rsidP="00A631A3">
            <w:pPr>
              <w:spacing w:after="0" w:line="240" w:lineRule="auto"/>
              <w:jc w:val="center"/>
              <w:rPr>
                <w:rFonts w:eastAsia="Times New Roman"/>
                <w:b/>
                <w:bCs/>
                <w:color w:val="000000"/>
              </w:rPr>
            </w:pPr>
            <w:r w:rsidRPr="00A631A3">
              <w:rPr>
                <w:rFonts w:eastAsia="Times New Roman"/>
                <w:b/>
                <w:bCs/>
                <w:color w:val="000000"/>
              </w:rPr>
              <w:t> </w:t>
            </w:r>
          </w:p>
        </w:tc>
      </w:tr>
      <w:tr w:rsidR="00A631A3" w:rsidRPr="00A631A3" w:rsidTr="00E04890">
        <w:trPr>
          <w:divId w:val="1360082967"/>
          <w:trHeight w:val="315"/>
        </w:trPr>
        <w:tc>
          <w:tcPr>
            <w:tcW w:w="5194" w:type="dxa"/>
            <w:vMerge/>
            <w:tcBorders>
              <w:top w:val="nil"/>
              <w:left w:val="single" w:sz="4" w:space="0" w:color="auto"/>
              <w:bottom w:val="single" w:sz="4" w:space="0" w:color="auto"/>
              <w:right w:val="single" w:sz="4" w:space="0" w:color="auto"/>
            </w:tcBorders>
            <w:vAlign w:val="center"/>
            <w:hideMark/>
          </w:tcPr>
          <w:p w:rsidR="00A631A3" w:rsidRPr="00A631A3" w:rsidRDefault="00A631A3" w:rsidP="00A631A3">
            <w:pPr>
              <w:spacing w:after="0" w:line="240" w:lineRule="auto"/>
              <w:rPr>
                <w:rFonts w:eastAsia="Times New Roman"/>
                <w:b/>
                <w:bCs/>
                <w:color w:val="000000"/>
              </w:rPr>
            </w:pPr>
          </w:p>
        </w:tc>
        <w:tc>
          <w:tcPr>
            <w:tcW w:w="3097" w:type="dxa"/>
            <w:vMerge/>
            <w:tcBorders>
              <w:top w:val="nil"/>
              <w:left w:val="single" w:sz="4" w:space="0" w:color="auto"/>
              <w:bottom w:val="single" w:sz="4" w:space="0" w:color="auto"/>
              <w:right w:val="single" w:sz="4" w:space="0" w:color="auto"/>
            </w:tcBorders>
            <w:vAlign w:val="center"/>
            <w:hideMark/>
          </w:tcPr>
          <w:p w:rsidR="00A631A3" w:rsidRPr="00A631A3" w:rsidRDefault="00A631A3" w:rsidP="00A631A3">
            <w:pPr>
              <w:spacing w:after="0" w:line="240" w:lineRule="auto"/>
              <w:rPr>
                <w:rFonts w:eastAsia="Times New Roman"/>
                <w:b/>
                <w:bCs/>
                <w:color w:val="000000"/>
              </w:rPr>
            </w:pPr>
          </w:p>
        </w:tc>
        <w:tc>
          <w:tcPr>
            <w:tcW w:w="950" w:type="dxa"/>
            <w:tcBorders>
              <w:top w:val="nil"/>
              <w:left w:val="nil"/>
              <w:bottom w:val="single" w:sz="4" w:space="0" w:color="auto"/>
              <w:right w:val="single" w:sz="4" w:space="0" w:color="auto"/>
            </w:tcBorders>
            <w:shd w:val="clear" w:color="000000" w:fill="FCE4D6"/>
            <w:vAlign w:val="center"/>
            <w:hideMark/>
          </w:tcPr>
          <w:p w:rsidR="00A631A3" w:rsidRPr="00A631A3" w:rsidRDefault="00A631A3" w:rsidP="00A631A3">
            <w:pPr>
              <w:spacing w:after="0" w:line="240" w:lineRule="auto"/>
              <w:jc w:val="center"/>
              <w:rPr>
                <w:rFonts w:eastAsia="Times New Roman"/>
                <w:b/>
                <w:bCs/>
                <w:color w:val="000000"/>
              </w:rPr>
            </w:pPr>
            <w:r w:rsidRPr="00A631A3">
              <w:rPr>
                <w:rFonts w:eastAsia="Times New Roman"/>
                <w:b/>
                <w:bCs/>
                <w:color w:val="000000"/>
              </w:rPr>
              <w:t>Year 2</w:t>
            </w:r>
          </w:p>
        </w:tc>
        <w:tc>
          <w:tcPr>
            <w:tcW w:w="960" w:type="dxa"/>
            <w:tcBorders>
              <w:top w:val="nil"/>
              <w:left w:val="nil"/>
              <w:bottom w:val="single" w:sz="4" w:space="0" w:color="auto"/>
              <w:right w:val="single" w:sz="4" w:space="0" w:color="auto"/>
            </w:tcBorders>
            <w:shd w:val="clear" w:color="000000" w:fill="FCE4D6"/>
            <w:vAlign w:val="center"/>
            <w:hideMark/>
          </w:tcPr>
          <w:p w:rsidR="00A631A3" w:rsidRPr="00A631A3" w:rsidRDefault="00A631A3" w:rsidP="00A631A3">
            <w:pPr>
              <w:spacing w:after="0" w:line="240" w:lineRule="auto"/>
              <w:jc w:val="center"/>
              <w:rPr>
                <w:rFonts w:eastAsia="Times New Roman"/>
                <w:b/>
                <w:bCs/>
                <w:color w:val="000000"/>
              </w:rPr>
            </w:pPr>
            <w:r w:rsidRPr="00A631A3">
              <w:rPr>
                <w:rFonts w:eastAsia="Times New Roman"/>
                <w:b/>
                <w:bCs/>
                <w:color w:val="000000"/>
              </w:rPr>
              <w:t>Year 3</w:t>
            </w:r>
          </w:p>
        </w:tc>
        <w:tc>
          <w:tcPr>
            <w:tcW w:w="980" w:type="dxa"/>
            <w:tcBorders>
              <w:top w:val="nil"/>
              <w:left w:val="nil"/>
              <w:bottom w:val="single" w:sz="4" w:space="0" w:color="auto"/>
              <w:right w:val="single" w:sz="4" w:space="0" w:color="auto"/>
            </w:tcBorders>
            <w:shd w:val="clear" w:color="000000" w:fill="FCE4D6"/>
            <w:vAlign w:val="center"/>
            <w:hideMark/>
          </w:tcPr>
          <w:p w:rsidR="00A631A3" w:rsidRPr="00A631A3" w:rsidRDefault="00A631A3" w:rsidP="00A631A3">
            <w:pPr>
              <w:spacing w:after="0" w:line="240" w:lineRule="auto"/>
              <w:jc w:val="center"/>
              <w:rPr>
                <w:rFonts w:eastAsia="Times New Roman"/>
                <w:b/>
                <w:bCs/>
                <w:color w:val="000000"/>
              </w:rPr>
            </w:pPr>
            <w:r w:rsidRPr="00A631A3">
              <w:rPr>
                <w:rFonts w:eastAsia="Times New Roman"/>
                <w:b/>
                <w:bCs/>
                <w:color w:val="000000"/>
              </w:rPr>
              <w:t>Year 4</w:t>
            </w:r>
          </w:p>
        </w:tc>
        <w:tc>
          <w:tcPr>
            <w:tcW w:w="999" w:type="dxa"/>
            <w:tcBorders>
              <w:top w:val="nil"/>
              <w:left w:val="nil"/>
              <w:bottom w:val="single" w:sz="4" w:space="0" w:color="auto"/>
              <w:right w:val="single" w:sz="4" w:space="0" w:color="auto"/>
            </w:tcBorders>
            <w:shd w:val="clear" w:color="000000" w:fill="FCE4D6"/>
            <w:vAlign w:val="center"/>
            <w:hideMark/>
          </w:tcPr>
          <w:p w:rsidR="00A631A3" w:rsidRPr="00A631A3" w:rsidRDefault="00A631A3" w:rsidP="00A631A3">
            <w:pPr>
              <w:spacing w:after="0" w:line="240" w:lineRule="auto"/>
              <w:jc w:val="center"/>
              <w:rPr>
                <w:rFonts w:eastAsia="Times New Roman"/>
                <w:b/>
                <w:bCs/>
                <w:color w:val="000000"/>
              </w:rPr>
            </w:pPr>
            <w:r w:rsidRPr="00A631A3">
              <w:rPr>
                <w:rFonts w:eastAsia="Times New Roman"/>
                <w:b/>
                <w:bCs/>
                <w:color w:val="000000"/>
              </w:rPr>
              <w:t>Year 5</w:t>
            </w:r>
          </w:p>
        </w:tc>
      </w:tr>
      <w:tr w:rsidR="00A631A3" w:rsidRPr="00A631A3" w:rsidTr="00E04890">
        <w:trPr>
          <w:divId w:val="1360082967"/>
          <w:trHeight w:val="923"/>
        </w:trPr>
        <w:tc>
          <w:tcPr>
            <w:tcW w:w="5194" w:type="dxa"/>
            <w:tcBorders>
              <w:top w:val="nil"/>
              <w:left w:val="single" w:sz="4" w:space="0" w:color="auto"/>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rPr>
                <w:rFonts w:eastAsia="Times New Roman"/>
                <w:color w:val="000000"/>
              </w:rPr>
            </w:pPr>
            <w:r w:rsidRPr="00A631A3">
              <w:rPr>
                <w:rFonts w:eastAsia="Times New Roman"/>
                <w:color w:val="000000"/>
              </w:rPr>
              <w:t>Add to the literature review on evidence-based and promising practices in the five topic areas as they are identified and/or developed</w:t>
            </w:r>
          </w:p>
        </w:tc>
        <w:tc>
          <w:tcPr>
            <w:tcW w:w="3097"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rPr>
                <w:rFonts w:eastAsia="Times New Roman"/>
                <w:color w:val="000000"/>
              </w:rPr>
            </w:pPr>
            <w:r w:rsidRPr="00A631A3">
              <w:rPr>
                <w:rFonts w:eastAsia="Times New Roman"/>
                <w:color w:val="000000"/>
              </w:rPr>
              <w:t>Completed literature review</w:t>
            </w:r>
          </w:p>
        </w:tc>
        <w:tc>
          <w:tcPr>
            <w:tcW w:w="950"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Q1-4</w:t>
            </w:r>
          </w:p>
        </w:tc>
        <w:tc>
          <w:tcPr>
            <w:tcW w:w="960"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Q1-4</w:t>
            </w:r>
          </w:p>
        </w:tc>
        <w:tc>
          <w:tcPr>
            <w:tcW w:w="980"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Q1-4</w:t>
            </w:r>
          </w:p>
        </w:tc>
        <w:tc>
          <w:tcPr>
            <w:tcW w:w="999"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Q1-4</w:t>
            </w:r>
          </w:p>
        </w:tc>
      </w:tr>
      <w:tr w:rsidR="00A631A3" w:rsidRPr="00A631A3" w:rsidTr="00A631A3">
        <w:trPr>
          <w:divId w:val="1360082967"/>
          <w:trHeight w:val="570"/>
        </w:trPr>
        <w:tc>
          <w:tcPr>
            <w:tcW w:w="121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rPr>
                <w:rFonts w:eastAsia="Times New Roman"/>
                <w:color w:val="000000"/>
              </w:rPr>
            </w:pPr>
            <w:r w:rsidRPr="00A631A3">
              <w:rPr>
                <w:rFonts w:eastAsia="Times New Roman"/>
                <w:b/>
                <w:bCs/>
                <w:color w:val="000000"/>
              </w:rPr>
              <w:t>Responsible Entity and Person(s):</w:t>
            </w:r>
            <w:r w:rsidRPr="00A631A3">
              <w:rPr>
                <w:rFonts w:eastAsia="Times New Roman"/>
                <w:color w:val="000000"/>
              </w:rPr>
              <w:t xml:space="preserve"> SDSU-CC, CK, LO and FS; NDI-DK; GW-MMK and MD; UA-JM and SO; CSAVR - WDC; PW-BB</w:t>
            </w:r>
          </w:p>
        </w:tc>
      </w:tr>
      <w:tr w:rsidR="00A631A3" w:rsidRPr="00A631A3" w:rsidTr="00E04890">
        <w:trPr>
          <w:divId w:val="1360082967"/>
          <w:trHeight w:val="615"/>
        </w:trPr>
        <w:tc>
          <w:tcPr>
            <w:tcW w:w="5194" w:type="dxa"/>
            <w:tcBorders>
              <w:top w:val="nil"/>
              <w:left w:val="single" w:sz="4" w:space="0" w:color="auto"/>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rPr>
                <w:rFonts w:eastAsia="Times New Roman"/>
                <w:color w:val="000000"/>
              </w:rPr>
            </w:pPr>
            <w:r w:rsidRPr="00A631A3">
              <w:rPr>
                <w:rFonts w:eastAsia="Times New Roman"/>
                <w:color w:val="000000"/>
              </w:rPr>
              <w:t xml:space="preserve">Continue to develop and refine tool kits for all five topic areas </w:t>
            </w:r>
          </w:p>
        </w:tc>
        <w:tc>
          <w:tcPr>
            <w:tcW w:w="3097"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rPr>
                <w:rFonts w:eastAsia="Times New Roman"/>
                <w:color w:val="000000"/>
              </w:rPr>
            </w:pPr>
            <w:r w:rsidRPr="00A631A3">
              <w:rPr>
                <w:rFonts w:eastAsia="Times New Roman"/>
                <w:color w:val="000000"/>
              </w:rPr>
              <w:t xml:space="preserve">Five curriculum guides completed with regular updates </w:t>
            </w:r>
          </w:p>
        </w:tc>
        <w:tc>
          <w:tcPr>
            <w:tcW w:w="950"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Q1-4</w:t>
            </w:r>
          </w:p>
        </w:tc>
        <w:tc>
          <w:tcPr>
            <w:tcW w:w="960"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Q1-4</w:t>
            </w:r>
          </w:p>
        </w:tc>
        <w:tc>
          <w:tcPr>
            <w:tcW w:w="980"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Q1-4</w:t>
            </w:r>
          </w:p>
        </w:tc>
        <w:tc>
          <w:tcPr>
            <w:tcW w:w="999"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Q1-4</w:t>
            </w:r>
          </w:p>
        </w:tc>
      </w:tr>
      <w:tr w:rsidR="00A631A3" w:rsidRPr="00A631A3" w:rsidTr="00A631A3">
        <w:trPr>
          <w:divId w:val="1360082967"/>
          <w:trHeight w:val="593"/>
        </w:trPr>
        <w:tc>
          <w:tcPr>
            <w:tcW w:w="121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rPr>
                <w:rFonts w:eastAsia="Times New Roman"/>
                <w:color w:val="000000"/>
              </w:rPr>
            </w:pPr>
            <w:r w:rsidRPr="00A631A3">
              <w:rPr>
                <w:rFonts w:eastAsia="Times New Roman"/>
                <w:b/>
                <w:bCs/>
                <w:color w:val="000000"/>
              </w:rPr>
              <w:t>Responsible Entity and Person(s):</w:t>
            </w:r>
            <w:r w:rsidRPr="00A631A3">
              <w:rPr>
                <w:rFonts w:eastAsia="Times New Roman"/>
                <w:color w:val="000000"/>
              </w:rPr>
              <w:t xml:space="preserve"> SDSU - Topics 2&amp;3; NDI/LEAD Center - Topics 4&amp;5; UA - Topics 3&amp;4; GW - Topics 1 &amp; 2; PW - Topics 4&amp;5</w:t>
            </w:r>
          </w:p>
        </w:tc>
      </w:tr>
      <w:tr w:rsidR="00A631A3" w:rsidRPr="00A631A3" w:rsidTr="00A631A3">
        <w:trPr>
          <w:divId w:val="1360082967"/>
          <w:trHeight w:val="1133"/>
        </w:trPr>
        <w:tc>
          <w:tcPr>
            <w:tcW w:w="12180" w:type="dxa"/>
            <w:gridSpan w:val="6"/>
            <w:tcBorders>
              <w:top w:val="single" w:sz="4" w:space="0" w:color="auto"/>
              <w:left w:val="single" w:sz="4" w:space="0" w:color="auto"/>
              <w:bottom w:val="single" w:sz="4" w:space="0" w:color="auto"/>
              <w:right w:val="single" w:sz="4" w:space="0" w:color="auto"/>
            </w:tcBorders>
            <w:shd w:val="clear" w:color="000000" w:fill="F8CBAD"/>
            <w:vAlign w:val="center"/>
            <w:hideMark/>
          </w:tcPr>
          <w:p w:rsidR="00A631A3" w:rsidRPr="00A631A3" w:rsidRDefault="00A631A3" w:rsidP="00A631A3">
            <w:pPr>
              <w:spacing w:after="0" w:line="240" w:lineRule="auto"/>
              <w:rPr>
                <w:rFonts w:eastAsia="Times New Roman"/>
                <w:color w:val="000000"/>
              </w:rPr>
            </w:pPr>
            <w:r w:rsidRPr="00A631A3">
              <w:rPr>
                <w:rFonts w:eastAsia="Times New Roman"/>
                <w:b/>
                <w:bCs/>
                <w:color w:val="000000"/>
              </w:rPr>
              <w:t>Objective 2:</w:t>
            </w:r>
            <w:r w:rsidRPr="00A631A3">
              <w:rPr>
                <w:rFonts w:eastAsia="Times New Roman"/>
                <w:color w:val="000000"/>
              </w:rPr>
              <w:t xml:space="preserve">  Provide technical assistance and dissemination activities to SVRAs and related agencies and rehabilit</w:t>
            </w:r>
            <w:r>
              <w:rPr>
                <w:rFonts w:eastAsia="Times New Roman"/>
                <w:color w:val="000000"/>
              </w:rPr>
              <w:t xml:space="preserve">ation professionals </w:t>
            </w:r>
            <w:r w:rsidRPr="00A631A3">
              <w:rPr>
                <w:rFonts w:eastAsia="Times New Roman"/>
                <w:color w:val="000000"/>
              </w:rPr>
              <w:t>related to the five topic areas to help them develop the skills and processes needed to meet the requirements of WIOA.</w:t>
            </w:r>
          </w:p>
        </w:tc>
      </w:tr>
      <w:tr w:rsidR="00A631A3" w:rsidRPr="00A631A3" w:rsidTr="00E04890">
        <w:trPr>
          <w:divId w:val="1360082967"/>
          <w:trHeight w:val="1845"/>
        </w:trPr>
        <w:tc>
          <w:tcPr>
            <w:tcW w:w="5194" w:type="dxa"/>
            <w:tcBorders>
              <w:top w:val="nil"/>
              <w:left w:val="single" w:sz="4" w:space="0" w:color="auto"/>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rPr>
                <w:rFonts w:eastAsia="Times New Roman"/>
                <w:color w:val="000000"/>
              </w:rPr>
            </w:pPr>
            <w:r w:rsidRPr="00A631A3">
              <w:rPr>
                <w:rFonts w:eastAsia="Times New Roman"/>
                <w:color w:val="000000"/>
              </w:rPr>
              <w:t>Continue to provide intensive TA to the nine SVRAs with active agreements developed in the first year: Complete the intensive TA agreements and provide intensive TA to the five pending SVRAs in Year Two; develop the intensive TA agreements with four other VR agencies and begin providing intensive TA.</w:t>
            </w:r>
          </w:p>
        </w:tc>
        <w:tc>
          <w:tcPr>
            <w:tcW w:w="3097"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rPr>
                <w:rFonts w:eastAsia="Times New Roman"/>
                <w:color w:val="000000"/>
              </w:rPr>
            </w:pPr>
            <w:r w:rsidRPr="00A631A3">
              <w:rPr>
                <w:rFonts w:eastAsia="Times New Roman"/>
                <w:color w:val="000000"/>
              </w:rPr>
              <w:t>Nine active agreements sustained; 9 new agreements developed and signed by the SVRAs</w:t>
            </w:r>
          </w:p>
        </w:tc>
        <w:tc>
          <w:tcPr>
            <w:tcW w:w="950"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at least 9 SVRAs</w:t>
            </w:r>
          </w:p>
        </w:tc>
        <w:tc>
          <w:tcPr>
            <w:tcW w:w="960"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at least 7 SVRAs</w:t>
            </w:r>
          </w:p>
        </w:tc>
        <w:tc>
          <w:tcPr>
            <w:tcW w:w="980"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at least 7 SVRAs</w:t>
            </w:r>
          </w:p>
        </w:tc>
        <w:tc>
          <w:tcPr>
            <w:tcW w:w="999"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TBD</w:t>
            </w:r>
          </w:p>
        </w:tc>
      </w:tr>
      <w:tr w:rsidR="00A631A3" w:rsidRPr="00A631A3" w:rsidTr="00A631A3">
        <w:trPr>
          <w:divId w:val="1360082967"/>
          <w:trHeight w:val="623"/>
        </w:trPr>
        <w:tc>
          <w:tcPr>
            <w:tcW w:w="121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rPr>
                <w:rFonts w:eastAsia="Times New Roman"/>
                <w:color w:val="000000"/>
              </w:rPr>
            </w:pPr>
            <w:r w:rsidRPr="00A631A3">
              <w:rPr>
                <w:rFonts w:eastAsia="Times New Roman"/>
                <w:b/>
                <w:bCs/>
                <w:color w:val="000000"/>
              </w:rPr>
              <w:t>Responsible Entity and Person(s):</w:t>
            </w:r>
            <w:r w:rsidRPr="00A631A3">
              <w:rPr>
                <w:rFonts w:eastAsia="Times New Roman"/>
                <w:color w:val="000000"/>
              </w:rPr>
              <w:t xml:space="preserve"> SDSU - Topics 2&amp;3; NDI/LEAD Center - Topics 4&amp;5; UA - Topics 3&amp;4; GW - Topics 1 &amp; 2; PW - Topics 4&amp;5</w:t>
            </w:r>
          </w:p>
        </w:tc>
      </w:tr>
      <w:tr w:rsidR="00A631A3" w:rsidRPr="00A631A3" w:rsidTr="00E04890">
        <w:trPr>
          <w:divId w:val="1360082967"/>
          <w:trHeight w:val="1230"/>
        </w:trPr>
        <w:tc>
          <w:tcPr>
            <w:tcW w:w="5194" w:type="dxa"/>
            <w:tcBorders>
              <w:top w:val="nil"/>
              <w:left w:val="single" w:sz="4" w:space="0" w:color="auto"/>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rPr>
                <w:rFonts w:eastAsia="Times New Roman"/>
                <w:color w:val="000000"/>
              </w:rPr>
            </w:pPr>
            <w:r w:rsidRPr="00A631A3">
              <w:rPr>
                <w:rFonts w:eastAsia="Times New Roman"/>
                <w:color w:val="000000"/>
              </w:rPr>
              <w:lastRenderedPageBreak/>
              <w:t>A broad range of targeted, specialized and universal TA is provided to SVRAs and related professionals to effectively respond to the changes required by WIOA</w:t>
            </w:r>
          </w:p>
        </w:tc>
        <w:tc>
          <w:tcPr>
            <w:tcW w:w="3097"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rPr>
                <w:rFonts w:eastAsia="Times New Roman"/>
                <w:color w:val="000000"/>
              </w:rPr>
            </w:pPr>
            <w:r w:rsidRPr="00A631A3">
              <w:rPr>
                <w:rFonts w:eastAsia="Times New Roman"/>
                <w:color w:val="000000"/>
              </w:rPr>
              <w:t>State-of-the art IT platform continuously populated with information to assist SVRAs in responding to WIOA</w:t>
            </w:r>
          </w:p>
        </w:tc>
        <w:tc>
          <w:tcPr>
            <w:tcW w:w="950"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Q1-4</w:t>
            </w:r>
          </w:p>
        </w:tc>
        <w:tc>
          <w:tcPr>
            <w:tcW w:w="960"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Q1-4</w:t>
            </w:r>
          </w:p>
        </w:tc>
        <w:tc>
          <w:tcPr>
            <w:tcW w:w="980"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Q1-4</w:t>
            </w:r>
          </w:p>
        </w:tc>
        <w:tc>
          <w:tcPr>
            <w:tcW w:w="999"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Q1-4</w:t>
            </w:r>
          </w:p>
        </w:tc>
      </w:tr>
      <w:tr w:rsidR="00A631A3" w:rsidRPr="00A631A3" w:rsidTr="00A631A3">
        <w:trPr>
          <w:divId w:val="1360082967"/>
          <w:trHeight w:val="308"/>
        </w:trPr>
        <w:tc>
          <w:tcPr>
            <w:tcW w:w="121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rPr>
                <w:rFonts w:eastAsia="Times New Roman"/>
                <w:color w:val="000000"/>
              </w:rPr>
            </w:pPr>
            <w:r w:rsidRPr="00A631A3">
              <w:rPr>
                <w:rFonts w:eastAsia="Times New Roman"/>
                <w:b/>
                <w:bCs/>
                <w:color w:val="000000"/>
              </w:rPr>
              <w:t>Responsible Entity and Person(s):</w:t>
            </w:r>
            <w:r w:rsidRPr="00A631A3">
              <w:rPr>
                <w:rFonts w:eastAsia="Times New Roman"/>
                <w:color w:val="000000"/>
              </w:rPr>
              <w:t xml:space="preserve"> SDSU- CDL</w:t>
            </w:r>
          </w:p>
        </w:tc>
      </w:tr>
      <w:tr w:rsidR="00A631A3" w:rsidRPr="00A631A3" w:rsidTr="00E04890">
        <w:trPr>
          <w:divId w:val="1360082967"/>
          <w:trHeight w:val="593"/>
        </w:trPr>
        <w:tc>
          <w:tcPr>
            <w:tcW w:w="5194" w:type="dxa"/>
            <w:tcBorders>
              <w:top w:val="nil"/>
              <w:left w:val="single" w:sz="4" w:space="0" w:color="auto"/>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rPr>
                <w:rFonts w:eastAsia="Times New Roman"/>
                <w:color w:val="000000"/>
              </w:rPr>
            </w:pPr>
            <w:r w:rsidRPr="00A631A3">
              <w:rPr>
                <w:rFonts w:eastAsia="Times New Roman"/>
                <w:color w:val="000000"/>
              </w:rPr>
              <w:t>Grow the Career Index Plus pilot project through phases to national access and usage</w:t>
            </w:r>
          </w:p>
        </w:tc>
        <w:tc>
          <w:tcPr>
            <w:tcW w:w="3097"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rPr>
                <w:rFonts w:eastAsia="Times New Roman"/>
                <w:color w:val="000000"/>
              </w:rPr>
            </w:pPr>
            <w:r w:rsidRPr="00A631A3">
              <w:rPr>
                <w:rFonts w:eastAsia="Times New Roman"/>
                <w:color w:val="000000"/>
              </w:rPr>
              <w:t>Three SVRAs trained, then seven, then all SVRAs</w:t>
            </w:r>
          </w:p>
        </w:tc>
        <w:tc>
          <w:tcPr>
            <w:tcW w:w="950"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Q 1-4</w:t>
            </w:r>
          </w:p>
        </w:tc>
        <w:tc>
          <w:tcPr>
            <w:tcW w:w="960"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Q 1-4</w:t>
            </w:r>
          </w:p>
        </w:tc>
        <w:tc>
          <w:tcPr>
            <w:tcW w:w="980"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Q 1-4</w:t>
            </w:r>
          </w:p>
        </w:tc>
        <w:tc>
          <w:tcPr>
            <w:tcW w:w="999"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Q 1-4</w:t>
            </w:r>
          </w:p>
        </w:tc>
      </w:tr>
      <w:tr w:rsidR="00A631A3" w:rsidRPr="00A631A3" w:rsidTr="00A631A3">
        <w:trPr>
          <w:divId w:val="1360082967"/>
          <w:trHeight w:val="413"/>
        </w:trPr>
        <w:tc>
          <w:tcPr>
            <w:tcW w:w="121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rPr>
                <w:rFonts w:eastAsia="Times New Roman"/>
                <w:color w:val="000000"/>
              </w:rPr>
            </w:pPr>
            <w:r w:rsidRPr="00A631A3">
              <w:rPr>
                <w:rFonts w:eastAsia="Times New Roman"/>
                <w:b/>
                <w:bCs/>
                <w:color w:val="000000"/>
              </w:rPr>
              <w:t>Responsible Entity and Person(s):</w:t>
            </w:r>
            <w:r w:rsidRPr="00A631A3">
              <w:rPr>
                <w:rFonts w:eastAsia="Times New Roman"/>
                <w:color w:val="000000"/>
              </w:rPr>
              <w:t xml:space="preserve"> Career Index </w:t>
            </w:r>
            <w:r w:rsidR="00957A8E">
              <w:rPr>
                <w:rFonts w:eastAsia="Times New Roman"/>
                <w:color w:val="000000"/>
              </w:rPr>
              <w:t>–</w:t>
            </w:r>
            <w:r w:rsidRPr="00A631A3">
              <w:rPr>
                <w:rFonts w:eastAsia="Times New Roman"/>
                <w:color w:val="000000"/>
              </w:rPr>
              <w:t xml:space="preserve"> KDN</w:t>
            </w:r>
          </w:p>
        </w:tc>
      </w:tr>
      <w:tr w:rsidR="00A631A3" w:rsidRPr="00A631A3" w:rsidTr="00E04890">
        <w:trPr>
          <w:divId w:val="1360082967"/>
          <w:trHeight w:val="765"/>
        </w:trPr>
        <w:tc>
          <w:tcPr>
            <w:tcW w:w="5194" w:type="dxa"/>
            <w:tcBorders>
              <w:top w:val="nil"/>
              <w:left w:val="single" w:sz="4" w:space="0" w:color="auto"/>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rPr>
                <w:rFonts w:eastAsia="Times New Roman"/>
                <w:color w:val="000000"/>
              </w:rPr>
            </w:pPr>
            <w:r w:rsidRPr="00A631A3">
              <w:rPr>
                <w:rFonts w:eastAsia="Times New Roman"/>
                <w:color w:val="000000"/>
              </w:rPr>
              <w:t>Implements the SARA pilot project in Kentucky, Nevada and Alaska</w:t>
            </w:r>
          </w:p>
        </w:tc>
        <w:tc>
          <w:tcPr>
            <w:tcW w:w="3097"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rPr>
                <w:rFonts w:eastAsia="Times New Roman"/>
                <w:color w:val="000000"/>
              </w:rPr>
            </w:pPr>
            <w:r w:rsidRPr="00A631A3">
              <w:rPr>
                <w:rFonts w:eastAsia="Times New Roman"/>
                <w:color w:val="000000"/>
              </w:rPr>
              <w:t>SARA fully operational in all three SVRAs</w:t>
            </w:r>
          </w:p>
        </w:tc>
        <w:tc>
          <w:tcPr>
            <w:tcW w:w="950"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Q1-4</w:t>
            </w:r>
          </w:p>
        </w:tc>
        <w:tc>
          <w:tcPr>
            <w:tcW w:w="960"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Q1-4</w:t>
            </w:r>
          </w:p>
        </w:tc>
        <w:tc>
          <w:tcPr>
            <w:tcW w:w="980"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Q1-4</w:t>
            </w:r>
          </w:p>
        </w:tc>
        <w:tc>
          <w:tcPr>
            <w:tcW w:w="999"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Q1-4</w:t>
            </w:r>
          </w:p>
        </w:tc>
      </w:tr>
      <w:tr w:rsidR="00A631A3" w:rsidRPr="00A631A3" w:rsidTr="00A631A3">
        <w:trPr>
          <w:divId w:val="1360082967"/>
          <w:trHeight w:val="353"/>
        </w:trPr>
        <w:tc>
          <w:tcPr>
            <w:tcW w:w="121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rPr>
                <w:rFonts w:eastAsia="Times New Roman"/>
                <w:color w:val="000000"/>
              </w:rPr>
            </w:pPr>
            <w:r w:rsidRPr="00A631A3">
              <w:rPr>
                <w:rFonts w:eastAsia="Times New Roman"/>
                <w:b/>
                <w:bCs/>
                <w:color w:val="000000"/>
              </w:rPr>
              <w:t>Responsible Entity and Person(s):</w:t>
            </w:r>
            <w:r w:rsidRPr="00A631A3">
              <w:rPr>
                <w:rFonts w:eastAsia="Times New Roman"/>
                <w:color w:val="000000"/>
              </w:rPr>
              <w:t xml:space="preserve"> Career Index </w:t>
            </w:r>
            <w:r w:rsidR="00957A8E">
              <w:rPr>
                <w:rFonts w:eastAsia="Times New Roman"/>
                <w:color w:val="000000"/>
              </w:rPr>
              <w:t>–</w:t>
            </w:r>
            <w:r w:rsidRPr="00A631A3">
              <w:rPr>
                <w:rFonts w:eastAsia="Times New Roman"/>
                <w:color w:val="000000"/>
              </w:rPr>
              <w:t xml:space="preserve"> KDN</w:t>
            </w:r>
          </w:p>
        </w:tc>
      </w:tr>
      <w:tr w:rsidR="00A631A3" w:rsidRPr="00A631A3" w:rsidTr="00E04890">
        <w:trPr>
          <w:divId w:val="1360082967"/>
          <w:trHeight w:val="1298"/>
        </w:trPr>
        <w:tc>
          <w:tcPr>
            <w:tcW w:w="5194" w:type="dxa"/>
            <w:tcBorders>
              <w:top w:val="nil"/>
              <w:left w:val="single" w:sz="4" w:space="0" w:color="auto"/>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rPr>
                <w:rFonts w:eastAsia="Times New Roman"/>
                <w:color w:val="000000"/>
              </w:rPr>
            </w:pPr>
            <w:r w:rsidRPr="00A631A3">
              <w:rPr>
                <w:rFonts w:eastAsia="Times New Roman"/>
                <w:color w:val="000000"/>
              </w:rPr>
              <w:t>Implement the peer mentoring pilot project in identified SVRAs</w:t>
            </w:r>
          </w:p>
        </w:tc>
        <w:tc>
          <w:tcPr>
            <w:tcW w:w="3097"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rPr>
                <w:rFonts w:eastAsia="Times New Roman"/>
                <w:color w:val="000000"/>
              </w:rPr>
            </w:pPr>
            <w:r w:rsidRPr="00A631A3">
              <w:rPr>
                <w:rFonts w:eastAsia="Times New Roman"/>
                <w:color w:val="000000"/>
              </w:rPr>
              <w:t>Peer mentoring established in four sites, starting in Alaska and Utah.  Two other sites to be determined</w:t>
            </w:r>
          </w:p>
        </w:tc>
        <w:tc>
          <w:tcPr>
            <w:tcW w:w="950"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Q1-4</w:t>
            </w:r>
          </w:p>
        </w:tc>
        <w:tc>
          <w:tcPr>
            <w:tcW w:w="960"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Q1-4</w:t>
            </w:r>
          </w:p>
        </w:tc>
        <w:tc>
          <w:tcPr>
            <w:tcW w:w="980"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Q1-4</w:t>
            </w:r>
          </w:p>
        </w:tc>
        <w:tc>
          <w:tcPr>
            <w:tcW w:w="999"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Q1-4</w:t>
            </w:r>
          </w:p>
        </w:tc>
      </w:tr>
      <w:tr w:rsidR="00A631A3" w:rsidRPr="00A631A3" w:rsidTr="00A631A3">
        <w:trPr>
          <w:divId w:val="1360082967"/>
          <w:trHeight w:val="353"/>
        </w:trPr>
        <w:tc>
          <w:tcPr>
            <w:tcW w:w="121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rPr>
                <w:rFonts w:eastAsia="Times New Roman"/>
                <w:color w:val="000000"/>
              </w:rPr>
            </w:pPr>
            <w:r w:rsidRPr="00A631A3">
              <w:rPr>
                <w:rFonts w:eastAsia="Times New Roman"/>
                <w:b/>
                <w:bCs/>
                <w:color w:val="000000"/>
              </w:rPr>
              <w:t>Responsible Entity and Person(s):</w:t>
            </w:r>
            <w:r w:rsidRPr="00A631A3">
              <w:rPr>
                <w:rFonts w:eastAsia="Times New Roman"/>
                <w:color w:val="000000"/>
              </w:rPr>
              <w:t xml:space="preserve"> Policy Works </w:t>
            </w:r>
            <w:r w:rsidR="00957A8E">
              <w:rPr>
                <w:rFonts w:eastAsia="Times New Roman"/>
                <w:color w:val="000000"/>
              </w:rPr>
              <w:t>–</w:t>
            </w:r>
            <w:r w:rsidRPr="00A631A3">
              <w:rPr>
                <w:rFonts w:eastAsia="Times New Roman"/>
                <w:color w:val="000000"/>
              </w:rPr>
              <w:t xml:space="preserve"> BB</w:t>
            </w:r>
          </w:p>
        </w:tc>
      </w:tr>
      <w:tr w:rsidR="00A631A3" w:rsidRPr="00A631A3" w:rsidTr="00E04890">
        <w:trPr>
          <w:divId w:val="1360082967"/>
          <w:trHeight w:val="1845"/>
        </w:trPr>
        <w:tc>
          <w:tcPr>
            <w:tcW w:w="5194" w:type="dxa"/>
            <w:tcBorders>
              <w:top w:val="nil"/>
              <w:left w:val="single" w:sz="4" w:space="0" w:color="auto"/>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rPr>
                <w:rFonts w:eastAsia="Times New Roman"/>
                <w:color w:val="000000"/>
              </w:rPr>
            </w:pPr>
            <w:r w:rsidRPr="00A631A3">
              <w:rPr>
                <w:rFonts w:eastAsia="Times New Roman"/>
                <w:color w:val="000000"/>
              </w:rPr>
              <w:t>Develop a customized employment national certificate that will be available to SVRAs and CRPs to develop capacity, ensure consistency and fidelity of service delivery, and increase the quantity and quality of employment outcomes for individuals with the most significant disabilities</w:t>
            </w:r>
          </w:p>
        </w:tc>
        <w:tc>
          <w:tcPr>
            <w:tcW w:w="3097"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rPr>
                <w:rFonts w:eastAsia="Times New Roman"/>
                <w:color w:val="000000"/>
              </w:rPr>
            </w:pPr>
            <w:r w:rsidRPr="00A631A3">
              <w:rPr>
                <w:rFonts w:eastAsia="Times New Roman"/>
                <w:color w:val="000000"/>
              </w:rPr>
              <w:t>A national certificate is developed and made available to SVRAs and CRPs</w:t>
            </w:r>
          </w:p>
        </w:tc>
        <w:tc>
          <w:tcPr>
            <w:tcW w:w="950"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Q1-4</w:t>
            </w:r>
          </w:p>
        </w:tc>
        <w:tc>
          <w:tcPr>
            <w:tcW w:w="960"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Q1-4</w:t>
            </w:r>
          </w:p>
        </w:tc>
        <w:tc>
          <w:tcPr>
            <w:tcW w:w="980"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Q1-4</w:t>
            </w:r>
          </w:p>
        </w:tc>
        <w:tc>
          <w:tcPr>
            <w:tcW w:w="999"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Q1-4</w:t>
            </w:r>
          </w:p>
        </w:tc>
      </w:tr>
      <w:tr w:rsidR="00A631A3" w:rsidRPr="00A631A3" w:rsidTr="00A631A3">
        <w:trPr>
          <w:divId w:val="1360082967"/>
          <w:trHeight w:val="593"/>
        </w:trPr>
        <w:tc>
          <w:tcPr>
            <w:tcW w:w="121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rPr>
                <w:rFonts w:eastAsia="Times New Roman"/>
                <w:color w:val="000000"/>
              </w:rPr>
            </w:pPr>
            <w:r w:rsidRPr="00A631A3">
              <w:rPr>
                <w:rFonts w:eastAsia="Times New Roman"/>
                <w:b/>
                <w:bCs/>
                <w:color w:val="000000"/>
              </w:rPr>
              <w:t>Responsible Entity and Person(s):</w:t>
            </w:r>
            <w:r w:rsidRPr="00A631A3">
              <w:rPr>
                <w:rFonts w:eastAsia="Times New Roman"/>
                <w:color w:val="000000"/>
              </w:rPr>
              <w:t xml:space="preserve"> SDSU - CC and CK</w:t>
            </w:r>
          </w:p>
        </w:tc>
      </w:tr>
      <w:tr w:rsidR="00A631A3" w:rsidRPr="00A631A3" w:rsidTr="00E04890">
        <w:trPr>
          <w:divId w:val="1360082967"/>
          <w:trHeight w:val="1230"/>
        </w:trPr>
        <w:tc>
          <w:tcPr>
            <w:tcW w:w="5194" w:type="dxa"/>
            <w:tcBorders>
              <w:top w:val="nil"/>
              <w:left w:val="single" w:sz="4" w:space="0" w:color="auto"/>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rPr>
                <w:rFonts w:eastAsia="Times New Roman"/>
                <w:color w:val="000000"/>
              </w:rPr>
            </w:pPr>
            <w:r w:rsidRPr="00A631A3">
              <w:rPr>
                <w:rFonts w:eastAsia="Times New Roman"/>
                <w:color w:val="000000"/>
              </w:rPr>
              <w:t>Develop online/electronic resources to provide to SVRAs that will help them deliver the five required pre-employment transition services</w:t>
            </w:r>
          </w:p>
        </w:tc>
        <w:tc>
          <w:tcPr>
            <w:tcW w:w="3097"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rPr>
                <w:rFonts w:eastAsia="Times New Roman"/>
                <w:color w:val="000000"/>
              </w:rPr>
            </w:pPr>
            <w:r w:rsidRPr="00A631A3">
              <w:rPr>
                <w:rFonts w:eastAsia="Times New Roman"/>
                <w:color w:val="000000"/>
              </w:rPr>
              <w:t>Fully developed online/electronic resources that are available on the WINTAC website</w:t>
            </w:r>
          </w:p>
        </w:tc>
        <w:tc>
          <w:tcPr>
            <w:tcW w:w="950"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Q1-4</w:t>
            </w:r>
          </w:p>
        </w:tc>
        <w:tc>
          <w:tcPr>
            <w:tcW w:w="960"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Q1-4</w:t>
            </w:r>
          </w:p>
        </w:tc>
        <w:tc>
          <w:tcPr>
            <w:tcW w:w="980"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Q1-4</w:t>
            </w:r>
          </w:p>
        </w:tc>
        <w:tc>
          <w:tcPr>
            <w:tcW w:w="999"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Q1-4</w:t>
            </w:r>
          </w:p>
        </w:tc>
      </w:tr>
      <w:tr w:rsidR="00A631A3" w:rsidRPr="00A631A3" w:rsidTr="00A631A3">
        <w:trPr>
          <w:divId w:val="1360082967"/>
          <w:trHeight w:val="593"/>
        </w:trPr>
        <w:tc>
          <w:tcPr>
            <w:tcW w:w="121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rPr>
                <w:rFonts w:eastAsia="Times New Roman"/>
                <w:color w:val="000000"/>
              </w:rPr>
            </w:pPr>
            <w:r w:rsidRPr="00A631A3">
              <w:rPr>
                <w:rFonts w:eastAsia="Times New Roman"/>
                <w:b/>
                <w:bCs/>
                <w:color w:val="000000"/>
              </w:rPr>
              <w:lastRenderedPageBreak/>
              <w:t>Responsible Entity and Person(s):</w:t>
            </w:r>
            <w:r w:rsidRPr="00A631A3">
              <w:rPr>
                <w:rFonts w:eastAsia="Times New Roman"/>
                <w:color w:val="000000"/>
              </w:rPr>
              <w:t xml:space="preserve"> GW - MK, MD and CJ</w:t>
            </w:r>
          </w:p>
        </w:tc>
      </w:tr>
      <w:tr w:rsidR="00A631A3" w:rsidRPr="00A631A3" w:rsidTr="00A631A3">
        <w:trPr>
          <w:divId w:val="1360082967"/>
          <w:trHeight w:val="690"/>
        </w:trPr>
        <w:tc>
          <w:tcPr>
            <w:tcW w:w="12180" w:type="dxa"/>
            <w:gridSpan w:val="6"/>
            <w:tcBorders>
              <w:top w:val="single" w:sz="4" w:space="0" w:color="auto"/>
              <w:left w:val="single" w:sz="4" w:space="0" w:color="auto"/>
              <w:bottom w:val="single" w:sz="4" w:space="0" w:color="auto"/>
              <w:right w:val="single" w:sz="4" w:space="0" w:color="auto"/>
            </w:tcBorders>
            <w:shd w:val="clear" w:color="000000" w:fill="F8CBAD"/>
            <w:vAlign w:val="center"/>
            <w:hideMark/>
          </w:tcPr>
          <w:p w:rsidR="00A631A3" w:rsidRPr="00A631A3" w:rsidRDefault="00A631A3" w:rsidP="00A631A3">
            <w:pPr>
              <w:spacing w:after="0" w:line="240" w:lineRule="auto"/>
              <w:rPr>
                <w:rFonts w:eastAsia="Times New Roman"/>
                <w:color w:val="000000"/>
              </w:rPr>
            </w:pPr>
            <w:r w:rsidRPr="00A631A3">
              <w:rPr>
                <w:rFonts w:eastAsia="Times New Roman"/>
                <w:color w:val="000000"/>
              </w:rPr>
              <w:t>Objective 3: Coordinate activities between SVRAs and their partners to assist in their effective response to the requirements of WIOA.</w:t>
            </w:r>
          </w:p>
        </w:tc>
      </w:tr>
      <w:tr w:rsidR="00A631A3" w:rsidRPr="00A631A3" w:rsidTr="00E04890">
        <w:trPr>
          <w:divId w:val="1360082967"/>
          <w:trHeight w:val="923"/>
        </w:trPr>
        <w:tc>
          <w:tcPr>
            <w:tcW w:w="5194" w:type="dxa"/>
            <w:tcBorders>
              <w:top w:val="nil"/>
              <w:left w:val="single" w:sz="4" w:space="0" w:color="auto"/>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rPr>
                <w:rFonts w:eastAsia="Times New Roman"/>
                <w:color w:val="000000"/>
              </w:rPr>
            </w:pPr>
            <w:r w:rsidRPr="00A631A3">
              <w:rPr>
                <w:rFonts w:eastAsia="Times New Roman"/>
                <w:color w:val="000000"/>
              </w:rPr>
              <w:t>Establish CoPs in each of the five topic areas that act as vehicles for communication and exchange of information</w:t>
            </w:r>
          </w:p>
        </w:tc>
        <w:tc>
          <w:tcPr>
            <w:tcW w:w="3097"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rPr>
                <w:rFonts w:eastAsia="Times New Roman"/>
                <w:color w:val="000000"/>
              </w:rPr>
            </w:pPr>
            <w:r w:rsidRPr="00A631A3">
              <w:rPr>
                <w:rFonts w:eastAsia="Times New Roman"/>
                <w:color w:val="000000"/>
              </w:rPr>
              <w:t>CoPs established and functioning</w:t>
            </w:r>
          </w:p>
        </w:tc>
        <w:tc>
          <w:tcPr>
            <w:tcW w:w="950"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Q 1-4</w:t>
            </w:r>
          </w:p>
        </w:tc>
        <w:tc>
          <w:tcPr>
            <w:tcW w:w="960"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Q 1-4</w:t>
            </w:r>
          </w:p>
        </w:tc>
        <w:tc>
          <w:tcPr>
            <w:tcW w:w="980"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Q 1-4</w:t>
            </w:r>
          </w:p>
        </w:tc>
        <w:tc>
          <w:tcPr>
            <w:tcW w:w="999"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Q 1-4</w:t>
            </w:r>
          </w:p>
        </w:tc>
      </w:tr>
      <w:tr w:rsidR="00A631A3" w:rsidRPr="00A631A3" w:rsidTr="00A631A3">
        <w:trPr>
          <w:divId w:val="1360082967"/>
          <w:trHeight w:val="638"/>
        </w:trPr>
        <w:tc>
          <w:tcPr>
            <w:tcW w:w="121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rPr>
                <w:rFonts w:eastAsia="Times New Roman"/>
                <w:color w:val="000000"/>
              </w:rPr>
            </w:pPr>
            <w:r w:rsidRPr="00A631A3">
              <w:rPr>
                <w:rFonts w:eastAsia="Times New Roman"/>
                <w:b/>
                <w:bCs/>
                <w:color w:val="000000"/>
              </w:rPr>
              <w:t>Responsible Entity and Person(s):</w:t>
            </w:r>
            <w:r w:rsidRPr="00A631A3">
              <w:rPr>
                <w:rFonts w:eastAsia="Times New Roman"/>
                <w:color w:val="000000"/>
              </w:rPr>
              <w:t xml:space="preserve"> SDSU - Topics 2&amp;3; NDI/LEAD Center - Topics 4&amp;5; UA - Topics 3&amp;4; GW - Topics 1 &amp; 2; PW - Topics 4&amp;5</w:t>
            </w:r>
          </w:p>
        </w:tc>
      </w:tr>
      <w:tr w:rsidR="00A631A3" w:rsidRPr="00A631A3" w:rsidTr="00E04890">
        <w:trPr>
          <w:divId w:val="1360082967"/>
          <w:trHeight w:val="923"/>
        </w:trPr>
        <w:tc>
          <w:tcPr>
            <w:tcW w:w="5194" w:type="dxa"/>
            <w:tcBorders>
              <w:top w:val="nil"/>
              <w:left w:val="single" w:sz="4" w:space="0" w:color="auto"/>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rPr>
                <w:rFonts w:eastAsia="Times New Roman"/>
                <w:color w:val="000000"/>
              </w:rPr>
            </w:pPr>
            <w:r w:rsidRPr="00A631A3">
              <w:rPr>
                <w:rFonts w:eastAsia="Times New Roman"/>
                <w:color w:val="000000"/>
              </w:rPr>
              <w:t>Communicate, coordinate and collaborate with other DOE, DOL, DOC, HHS funded projects to support learning and KD and KT.</w:t>
            </w:r>
          </w:p>
        </w:tc>
        <w:tc>
          <w:tcPr>
            <w:tcW w:w="3097"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rPr>
                <w:rFonts w:eastAsia="Times New Roman"/>
                <w:color w:val="000000"/>
              </w:rPr>
            </w:pPr>
            <w:r w:rsidRPr="00A631A3">
              <w:rPr>
                <w:rFonts w:eastAsia="Times New Roman"/>
                <w:color w:val="000000"/>
              </w:rPr>
              <w:t>Number of related TACs and other projects contacted and engaged</w:t>
            </w:r>
          </w:p>
        </w:tc>
        <w:tc>
          <w:tcPr>
            <w:tcW w:w="950"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Q 1-4</w:t>
            </w:r>
          </w:p>
        </w:tc>
        <w:tc>
          <w:tcPr>
            <w:tcW w:w="960"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Q 1-4</w:t>
            </w:r>
          </w:p>
        </w:tc>
        <w:tc>
          <w:tcPr>
            <w:tcW w:w="980"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Q 1-4</w:t>
            </w:r>
          </w:p>
        </w:tc>
        <w:tc>
          <w:tcPr>
            <w:tcW w:w="999"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Q 1-4</w:t>
            </w:r>
          </w:p>
        </w:tc>
      </w:tr>
      <w:tr w:rsidR="00A631A3" w:rsidRPr="00A631A3" w:rsidTr="00A631A3">
        <w:trPr>
          <w:divId w:val="1360082967"/>
          <w:trHeight w:val="443"/>
        </w:trPr>
        <w:tc>
          <w:tcPr>
            <w:tcW w:w="121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rPr>
                <w:rFonts w:eastAsia="Times New Roman"/>
                <w:color w:val="000000"/>
              </w:rPr>
            </w:pPr>
            <w:r w:rsidRPr="00A631A3">
              <w:rPr>
                <w:rFonts w:eastAsia="Times New Roman"/>
                <w:b/>
                <w:bCs/>
                <w:color w:val="000000"/>
              </w:rPr>
              <w:t>Responsible Entity and Person(s):</w:t>
            </w:r>
            <w:r w:rsidRPr="00A631A3">
              <w:rPr>
                <w:rFonts w:eastAsia="Times New Roman"/>
                <w:color w:val="000000"/>
              </w:rPr>
              <w:t xml:space="preserve"> Project Directors from each partner</w:t>
            </w:r>
          </w:p>
        </w:tc>
      </w:tr>
      <w:tr w:rsidR="00A631A3" w:rsidRPr="00A631A3" w:rsidTr="00E04890">
        <w:trPr>
          <w:divId w:val="1360082967"/>
          <w:trHeight w:val="923"/>
        </w:trPr>
        <w:tc>
          <w:tcPr>
            <w:tcW w:w="5194" w:type="dxa"/>
            <w:tcBorders>
              <w:top w:val="nil"/>
              <w:left w:val="single" w:sz="4" w:space="0" w:color="auto"/>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rPr>
                <w:rFonts w:eastAsia="Times New Roman"/>
                <w:color w:val="000000"/>
              </w:rPr>
            </w:pPr>
            <w:r w:rsidRPr="00A631A3">
              <w:rPr>
                <w:rFonts w:eastAsia="Times New Roman"/>
                <w:color w:val="000000"/>
              </w:rPr>
              <w:t>Maintain ongoing communication with RSA project officer and other RSA staff as required</w:t>
            </w:r>
          </w:p>
        </w:tc>
        <w:tc>
          <w:tcPr>
            <w:tcW w:w="3097"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rPr>
                <w:rFonts w:eastAsia="Times New Roman"/>
                <w:color w:val="000000"/>
              </w:rPr>
            </w:pPr>
            <w:r w:rsidRPr="00A631A3">
              <w:rPr>
                <w:rFonts w:eastAsia="Times New Roman"/>
                <w:color w:val="000000"/>
              </w:rPr>
              <w:t>Frequency of communication and number of staff from RSA engaged</w:t>
            </w:r>
          </w:p>
        </w:tc>
        <w:tc>
          <w:tcPr>
            <w:tcW w:w="950"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Q 1-4</w:t>
            </w:r>
          </w:p>
        </w:tc>
        <w:tc>
          <w:tcPr>
            <w:tcW w:w="960"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Q 1-4</w:t>
            </w:r>
          </w:p>
        </w:tc>
        <w:tc>
          <w:tcPr>
            <w:tcW w:w="980"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Q 1-4</w:t>
            </w:r>
          </w:p>
        </w:tc>
        <w:tc>
          <w:tcPr>
            <w:tcW w:w="999" w:type="dxa"/>
            <w:tcBorders>
              <w:top w:val="nil"/>
              <w:left w:val="nil"/>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jc w:val="center"/>
              <w:rPr>
                <w:rFonts w:eastAsia="Times New Roman"/>
                <w:color w:val="000000"/>
              </w:rPr>
            </w:pPr>
            <w:r w:rsidRPr="00A631A3">
              <w:rPr>
                <w:rFonts w:eastAsia="Times New Roman"/>
                <w:color w:val="000000"/>
              </w:rPr>
              <w:t>Q 1-4</w:t>
            </w:r>
          </w:p>
        </w:tc>
      </w:tr>
      <w:tr w:rsidR="00A631A3" w:rsidRPr="00A631A3" w:rsidTr="00A631A3">
        <w:trPr>
          <w:divId w:val="1360082967"/>
          <w:trHeight w:val="308"/>
        </w:trPr>
        <w:tc>
          <w:tcPr>
            <w:tcW w:w="121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631A3" w:rsidRPr="00A631A3" w:rsidRDefault="00A631A3" w:rsidP="00A631A3">
            <w:pPr>
              <w:spacing w:after="0" w:line="240" w:lineRule="auto"/>
              <w:rPr>
                <w:rFonts w:eastAsia="Times New Roman"/>
                <w:color w:val="000000"/>
              </w:rPr>
            </w:pPr>
            <w:r w:rsidRPr="00A631A3">
              <w:rPr>
                <w:rFonts w:eastAsia="Times New Roman"/>
                <w:b/>
                <w:bCs/>
                <w:color w:val="000000"/>
              </w:rPr>
              <w:t>Responsible Entity and Person(s):</w:t>
            </w:r>
            <w:r w:rsidRPr="00A631A3">
              <w:rPr>
                <w:rFonts w:eastAsia="Times New Roman"/>
                <w:color w:val="000000"/>
              </w:rPr>
              <w:t xml:space="preserve"> Project Directors from each partner</w:t>
            </w:r>
          </w:p>
        </w:tc>
      </w:tr>
    </w:tbl>
    <w:p w:rsidR="00FE598E" w:rsidRDefault="00FE598E" w:rsidP="009422A2">
      <w:pPr>
        <w:pStyle w:val="NoSpacing"/>
      </w:pPr>
      <w:r>
        <w:br w:type="textWrapping" w:clear="all"/>
      </w:r>
    </w:p>
    <w:sectPr w:rsidR="00FE598E" w:rsidSect="004B6BCE">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283" w:rsidRDefault="00BA2283" w:rsidP="00F42C14">
      <w:pPr>
        <w:spacing w:after="0" w:line="240" w:lineRule="auto"/>
      </w:pPr>
      <w:r>
        <w:separator/>
      </w:r>
    </w:p>
  </w:endnote>
  <w:endnote w:type="continuationSeparator" w:id="0">
    <w:p w:rsidR="00BA2283" w:rsidRDefault="00BA2283" w:rsidP="00F42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286943"/>
      <w:docPartObj>
        <w:docPartGallery w:val="Page Numbers (Bottom of Page)"/>
        <w:docPartUnique/>
      </w:docPartObj>
    </w:sdtPr>
    <w:sdtEndPr>
      <w:rPr>
        <w:noProof/>
      </w:rPr>
    </w:sdtEndPr>
    <w:sdtContent>
      <w:p w:rsidR="009142C0" w:rsidRDefault="009142C0">
        <w:pPr>
          <w:pStyle w:val="Footer"/>
          <w:jc w:val="center"/>
        </w:pPr>
        <w:r>
          <w:fldChar w:fldCharType="begin"/>
        </w:r>
        <w:r>
          <w:instrText xml:space="preserve"> PAGE   \* MERGEFORMAT </w:instrText>
        </w:r>
        <w:r>
          <w:fldChar w:fldCharType="separate"/>
        </w:r>
        <w:r w:rsidR="00FB02E7">
          <w:rPr>
            <w:noProof/>
          </w:rPr>
          <w:t>16</w:t>
        </w:r>
        <w:r>
          <w:rPr>
            <w:noProof/>
          </w:rPr>
          <w:fldChar w:fldCharType="end"/>
        </w:r>
      </w:p>
    </w:sdtContent>
  </w:sdt>
  <w:p w:rsidR="009142C0" w:rsidRDefault="00914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366033"/>
      <w:docPartObj>
        <w:docPartGallery w:val="Page Numbers (Bottom of Page)"/>
        <w:docPartUnique/>
      </w:docPartObj>
    </w:sdtPr>
    <w:sdtEndPr>
      <w:rPr>
        <w:noProof/>
      </w:rPr>
    </w:sdtEndPr>
    <w:sdtContent>
      <w:p w:rsidR="009142C0" w:rsidRDefault="009142C0">
        <w:pPr>
          <w:pStyle w:val="Footer"/>
          <w:jc w:val="center"/>
        </w:pPr>
        <w:r>
          <w:fldChar w:fldCharType="begin"/>
        </w:r>
        <w:r>
          <w:instrText xml:space="preserve"> PAGE   \* MERGEFORMAT </w:instrText>
        </w:r>
        <w:r>
          <w:fldChar w:fldCharType="separate"/>
        </w:r>
        <w:r w:rsidR="00FB02E7">
          <w:rPr>
            <w:noProof/>
          </w:rPr>
          <w:t>0</w:t>
        </w:r>
        <w:r>
          <w:rPr>
            <w:noProof/>
          </w:rPr>
          <w:fldChar w:fldCharType="end"/>
        </w:r>
      </w:p>
    </w:sdtContent>
  </w:sdt>
  <w:p w:rsidR="009142C0" w:rsidRDefault="00914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283" w:rsidRDefault="00BA2283" w:rsidP="00F42C14">
      <w:pPr>
        <w:spacing w:after="0" w:line="240" w:lineRule="auto"/>
      </w:pPr>
      <w:r>
        <w:separator/>
      </w:r>
    </w:p>
  </w:footnote>
  <w:footnote w:type="continuationSeparator" w:id="0">
    <w:p w:rsidR="00BA2283" w:rsidRDefault="00BA2283" w:rsidP="00F42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757F"/>
    <w:multiLevelType w:val="hybridMultilevel"/>
    <w:tmpl w:val="4AB0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83256"/>
    <w:multiLevelType w:val="hybridMultilevel"/>
    <w:tmpl w:val="3E42D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03E18"/>
    <w:multiLevelType w:val="hybridMultilevel"/>
    <w:tmpl w:val="3AE488A8"/>
    <w:lvl w:ilvl="0" w:tplc="E8A8F658">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011CC"/>
    <w:multiLevelType w:val="hybridMultilevel"/>
    <w:tmpl w:val="12D83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51C68"/>
    <w:multiLevelType w:val="hybridMultilevel"/>
    <w:tmpl w:val="EC647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006F0"/>
    <w:multiLevelType w:val="hybridMultilevel"/>
    <w:tmpl w:val="918C3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62F1A"/>
    <w:multiLevelType w:val="hybridMultilevel"/>
    <w:tmpl w:val="16EE2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06925"/>
    <w:multiLevelType w:val="hybridMultilevel"/>
    <w:tmpl w:val="0BB81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02F32"/>
    <w:multiLevelType w:val="hybridMultilevel"/>
    <w:tmpl w:val="A0C2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42F0D"/>
    <w:multiLevelType w:val="hybridMultilevel"/>
    <w:tmpl w:val="87E4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26ADB"/>
    <w:multiLevelType w:val="hybridMultilevel"/>
    <w:tmpl w:val="AF947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80638"/>
    <w:multiLevelType w:val="hybridMultilevel"/>
    <w:tmpl w:val="D3506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CC771B"/>
    <w:multiLevelType w:val="hybridMultilevel"/>
    <w:tmpl w:val="FE081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76E6D"/>
    <w:multiLevelType w:val="hybridMultilevel"/>
    <w:tmpl w:val="A0706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936A8"/>
    <w:multiLevelType w:val="hybridMultilevel"/>
    <w:tmpl w:val="10A86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1121F7"/>
    <w:multiLevelType w:val="hybridMultilevel"/>
    <w:tmpl w:val="83E09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82B47"/>
    <w:multiLevelType w:val="hybridMultilevel"/>
    <w:tmpl w:val="6AF6F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E705E4"/>
    <w:multiLevelType w:val="hybridMultilevel"/>
    <w:tmpl w:val="4E88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516C4F"/>
    <w:multiLevelType w:val="hybridMultilevel"/>
    <w:tmpl w:val="3362A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6F53F4"/>
    <w:multiLevelType w:val="hybridMultilevel"/>
    <w:tmpl w:val="37542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7F770A"/>
    <w:multiLevelType w:val="hybridMultilevel"/>
    <w:tmpl w:val="77E86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426A6C"/>
    <w:multiLevelType w:val="hybridMultilevel"/>
    <w:tmpl w:val="95A4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623605"/>
    <w:multiLevelType w:val="hybridMultilevel"/>
    <w:tmpl w:val="C592E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0E212B"/>
    <w:multiLevelType w:val="hybridMultilevel"/>
    <w:tmpl w:val="6AB2D0A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4" w15:restartNumberingAfterBreak="0">
    <w:nsid w:val="5A232764"/>
    <w:multiLevelType w:val="hybridMultilevel"/>
    <w:tmpl w:val="97AC0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F60F85"/>
    <w:multiLevelType w:val="hybridMultilevel"/>
    <w:tmpl w:val="3F34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430769"/>
    <w:multiLevelType w:val="hybridMultilevel"/>
    <w:tmpl w:val="74DCA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E41B80"/>
    <w:multiLevelType w:val="hybridMultilevel"/>
    <w:tmpl w:val="D562B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B813ED"/>
    <w:multiLevelType w:val="hybridMultilevel"/>
    <w:tmpl w:val="D8BAD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133A8D"/>
    <w:multiLevelType w:val="hybridMultilevel"/>
    <w:tmpl w:val="FEE40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F5030D"/>
    <w:multiLevelType w:val="hybridMultilevel"/>
    <w:tmpl w:val="B40E1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276A06"/>
    <w:multiLevelType w:val="hybridMultilevel"/>
    <w:tmpl w:val="2534B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231247"/>
    <w:multiLevelType w:val="hybridMultilevel"/>
    <w:tmpl w:val="7A6E5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C31ECD"/>
    <w:multiLevelType w:val="hybridMultilevel"/>
    <w:tmpl w:val="40AC7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657F1A"/>
    <w:multiLevelType w:val="hybridMultilevel"/>
    <w:tmpl w:val="8E746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C0432E"/>
    <w:multiLevelType w:val="hybridMultilevel"/>
    <w:tmpl w:val="EA461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23"/>
  </w:num>
  <w:num w:numId="4">
    <w:abstractNumId w:val="25"/>
  </w:num>
  <w:num w:numId="5">
    <w:abstractNumId w:val="28"/>
  </w:num>
  <w:num w:numId="6">
    <w:abstractNumId w:val="5"/>
  </w:num>
  <w:num w:numId="7">
    <w:abstractNumId w:val="21"/>
  </w:num>
  <w:num w:numId="8">
    <w:abstractNumId w:val="3"/>
  </w:num>
  <w:num w:numId="9">
    <w:abstractNumId w:val="30"/>
  </w:num>
  <w:num w:numId="10">
    <w:abstractNumId w:val="34"/>
  </w:num>
  <w:num w:numId="11">
    <w:abstractNumId w:val="14"/>
  </w:num>
  <w:num w:numId="12">
    <w:abstractNumId w:val="24"/>
  </w:num>
  <w:num w:numId="13">
    <w:abstractNumId w:val="20"/>
  </w:num>
  <w:num w:numId="14">
    <w:abstractNumId w:val="11"/>
  </w:num>
  <w:num w:numId="15">
    <w:abstractNumId w:val="16"/>
  </w:num>
  <w:num w:numId="16">
    <w:abstractNumId w:val="0"/>
  </w:num>
  <w:num w:numId="17">
    <w:abstractNumId w:val="13"/>
  </w:num>
  <w:num w:numId="18">
    <w:abstractNumId w:val="26"/>
  </w:num>
  <w:num w:numId="19">
    <w:abstractNumId w:val="35"/>
  </w:num>
  <w:num w:numId="20">
    <w:abstractNumId w:val="4"/>
  </w:num>
  <w:num w:numId="21">
    <w:abstractNumId w:val="12"/>
  </w:num>
  <w:num w:numId="22">
    <w:abstractNumId w:val="33"/>
  </w:num>
  <w:num w:numId="23">
    <w:abstractNumId w:val="31"/>
  </w:num>
  <w:num w:numId="24">
    <w:abstractNumId w:val="10"/>
  </w:num>
  <w:num w:numId="25">
    <w:abstractNumId w:val="15"/>
  </w:num>
  <w:num w:numId="26">
    <w:abstractNumId w:val="1"/>
  </w:num>
  <w:num w:numId="27">
    <w:abstractNumId w:val="18"/>
  </w:num>
  <w:num w:numId="28">
    <w:abstractNumId w:val="19"/>
  </w:num>
  <w:num w:numId="29">
    <w:abstractNumId w:val="32"/>
  </w:num>
  <w:num w:numId="30">
    <w:abstractNumId w:val="29"/>
  </w:num>
  <w:num w:numId="31">
    <w:abstractNumId w:val="6"/>
  </w:num>
  <w:num w:numId="32">
    <w:abstractNumId w:val="22"/>
  </w:num>
  <w:num w:numId="33">
    <w:abstractNumId w:val="7"/>
  </w:num>
  <w:num w:numId="34">
    <w:abstractNumId w:val="9"/>
  </w:num>
  <w:num w:numId="35">
    <w:abstractNumId w:val="2"/>
  </w:num>
  <w:num w:numId="36">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proofState w:spelling="clean" w:grammar="clean"/>
  <w:documentProtection w:edit="readOnly" w:enforcement="1" w:cryptProviderType="rsaAES" w:cryptAlgorithmClass="hash" w:cryptAlgorithmType="typeAny" w:cryptAlgorithmSid="14" w:cryptSpinCount="100000" w:hash="OPpN44vRZyNZlf2xFk2kZw1AGiS/A9SM8PgQlYcxR5ZKyQUnnJI0AIe+PvPzOncqcHTSSXhK4kB4YQgxAUgxzw==" w:salt="VDW6CazzPBPV0uIaH19EK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95"/>
    <w:rsid w:val="00052933"/>
    <w:rsid w:val="00083ADA"/>
    <w:rsid w:val="001061BF"/>
    <w:rsid w:val="00153242"/>
    <w:rsid w:val="00175958"/>
    <w:rsid w:val="00176425"/>
    <w:rsid w:val="001768C3"/>
    <w:rsid w:val="00180757"/>
    <w:rsid w:val="00180B32"/>
    <w:rsid w:val="001951B3"/>
    <w:rsid w:val="001A0BF6"/>
    <w:rsid w:val="001A0C9C"/>
    <w:rsid w:val="001A4D32"/>
    <w:rsid w:val="001C7EA8"/>
    <w:rsid w:val="001D016D"/>
    <w:rsid w:val="001F4904"/>
    <w:rsid w:val="001F57D8"/>
    <w:rsid w:val="00226A3F"/>
    <w:rsid w:val="00234F28"/>
    <w:rsid w:val="00253111"/>
    <w:rsid w:val="00292209"/>
    <w:rsid w:val="002A18A4"/>
    <w:rsid w:val="0039184F"/>
    <w:rsid w:val="003C7533"/>
    <w:rsid w:val="003D16F1"/>
    <w:rsid w:val="003E6C16"/>
    <w:rsid w:val="003E76D5"/>
    <w:rsid w:val="003E79F0"/>
    <w:rsid w:val="00414E50"/>
    <w:rsid w:val="004207B1"/>
    <w:rsid w:val="0043532A"/>
    <w:rsid w:val="00437C17"/>
    <w:rsid w:val="0045221A"/>
    <w:rsid w:val="00481833"/>
    <w:rsid w:val="004A215C"/>
    <w:rsid w:val="004B6BCE"/>
    <w:rsid w:val="004D2ABD"/>
    <w:rsid w:val="004E0A46"/>
    <w:rsid w:val="00512247"/>
    <w:rsid w:val="00523EA3"/>
    <w:rsid w:val="0054237D"/>
    <w:rsid w:val="0056728E"/>
    <w:rsid w:val="005F379B"/>
    <w:rsid w:val="00617B06"/>
    <w:rsid w:val="006E6A05"/>
    <w:rsid w:val="00743097"/>
    <w:rsid w:val="007702D6"/>
    <w:rsid w:val="00774727"/>
    <w:rsid w:val="007919C6"/>
    <w:rsid w:val="007A0B49"/>
    <w:rsid w:val="007B1D6C"/>
    <w:rsid w:val="007C07E5"/>
    <w:rsid w:val="008A3695"/>
    <w:rsid w:val="008D3937"/>
    <w:rsid w:val="009076B2"/>
    <w:rsid w:val="009142C0"/>
    <w:rsid w:val="00936FD4"/>
    <w:rsid w:val="009422A2"/>
    <w:rsid w:val="00957A8E"/>
    <w:rsid w:val="009A0D0E"/>
    <w:rsid w:val="009A2FCF"/>
    <w:rsid w:val="009A5200"/>
    <w:rsid w:val="009C6E5E"/>
    <w:rsid w:val="009F5130"/>
    <w:rsid w:val="00A03BEC"/>
    <w:rsid w:val="00A06E71"/>
    <w:rsid w:val="00A631A3"/>
    <w:rsid w:val="00A95591"/>
    <w:rsid w:val="00AA4CA9"/>
    <w:rsid w:val="00AB13F1"/>
    <w:rsid w:val="00B46F0D"/>
    <w:rsid w:val="00B678AA"/>
    <w:rsid w:val="00B72728"/>
    <w:rsid w:val="00BA2283"/>
    <w:rsid w:val="00BB69A8"/>
    <w:rsid w:val="00BC02DC"/>
    <w:rsid w:val="00BD32F6"/>
    <w:rsid w:val="00BE0D03"/>
    <w:rsid w:val="00C10EE9"/>
    <w:rsid w:val="00C21F4C"/>
    <w:rsid w:val="00C704E2"/>
    <w:rsid w:val="00C80E12"/>
    <w:rsid w:val="00CA40BF"/>
    <w:rsid w:val="00CC00B0"/>
    <w:rsid w:val="00CD0E5E"/>
    <w:rsid w:val="00CD5D98"/>
    <w:rsid w:val="00CF43C7"/>
    <w:rsid w:val="00D96558"/>
    <w:rsid w:val="00DA6F9D"/>
    <w:rsid w:val="00DC7925"/>
    <w:rsid w:val="00DE7241"/>
    <w:rsid w:val="00E04890"/>
    <w:rsid w:val="00E30844"/>
    <w:rsid w:val="00E92654"/>
    <w:rsid w:val="00E94C3A"/>
    <w:rsid w:val="00F42C14"/>
    <w:rsid w:val="00FB02E7"/>
    <w:rsid w:val="00FB4C3F"/>
    <w:rsid w:val="00FD1E0E"/>
    <w:rsid w:val="00FD22AA"/>
    <w:rsid w:val="00FE5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74499EF-6521-4274-B494-40960745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A3695"/>
    <w:pPr>
      <w:spacing w:after="0" w:line="240" w:lineRule="auto"/>
    </w:pPr>
  </w:style>
  <w:style w:type="character" w:customStyle="1" w:styleId="NoSpacingChar">
    <w:name w:val="No Spacing Char"/>
    <w:basedOn w:val="DefaultParagraphFont"/>
    <w:link w:val="NoSpacing"/>
    <w:uiPriority w:val="1"/>
    <w:rsid w:val="0045221A"/>
  </w:style>
  <w:style w:type="paragraph" w:styleId="ListParagraph">
    <w:name w:val="List Paragraph"/>
    <w:basedOn w:val="Normal"/>
    <w:uiPriority w:val="34"/>
    <w:qFormat/>
    <w:rsid w:val="00DC7925"/>
    <w:pPr>
      <w:ind w:left="720"/>
      <w:contextualSpacing/>
    </w:pPr>
  </w:style>
  <w:style w:type="paragraph" w:styleId="IntenseQuote">
    <w:name w:val="Intense Quote"/>
    <w:basedOn w:val="Normal"/>
    <w:next w:val="Normal"/>
    <w:link w:val="IntenseQuoteChar"/>
    <w:uiPriority w:val="30"/>
    <w:qFormat/>
    <w:rsid w:val="001C7EA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C7EA8"/>
    <w:rPr>
      <w:i/>
      <w:iCs/>
      <w:color w:val="5B9BD5" w:themeColor="accent1"/>
    </w:rPr>
  </w:style>
  <w:style w:type="table" w:styleId="TableGrid">
    <w:name w:val="Table Grid"/>
    <w:basedOn w:val="TableNormal"/>
    <w:uiPriority w:val="39"/>
    <w:rsid w:val="001C7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7EA8"/>
    <w:rPr>
      <w:color w:val="0563C1" w:themeColor="hyperlink"/>
      <w:u w:val="single"/>
    </w:rPr>
  </w:style>
  <w:style w:type="table" w:customStyle="1" w:styleId="TableGrid1">
    <w:name w:val="Table Grid1"/>
    <w:basedOn w:val="TableNormal"/>
    <w:next w:val="TableGrid"/>
    <w:uiPriority w:val="39"/>
    <w:rsid w:val="00F42C14"/>
    <w:pPr>
      <w:spacing w:after="0" w:line="240" w:lineRule="auto"/>
    </w:pPr>
    <w:rPr>
      <w:rFonts w:asciiTheme="minorHAnsi" w:eastAsiaTheme="minorEastAsia" w:hAnsiTheme="minorHAnsi" w:cstheme="min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2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14"/>
  </w:style>
  <w:style w:type="paragraph" w:styleId="Footer">
    <w:name w:val="footer"/>
    <w:basedOn w:val="Normal"/>
    <w:link w:val="FooterChar"/>
    <w:uiPriority w:val="99"/>
    <w:unhideWhenUsed/>
    <w:rsid w:val="00F42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C14"/>
  </w:style>
  <w:style w:type="paragraph" w:styleId="BalloonText">
    <w:name w:val="Balloon Text"/>
    <w:basedOn w:val="Normal"/>
    <w:link w:val="BalloonTextChar"/>
    <w:uiPriority w:val="99"/>
    <w:semiHidden/>
    <w:unhideWhenUsed/>
    <w:rsid w:val="001A0C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0C9C"/>
    <w:rPr>
      <w:rFonts w:ascii="Lucida Grande" w:hAnsi="Lucida Grande" w:cs="Lucida Grande"/>
      <w:sz w:val="18"/>
      <w:szCs w:val="18"/>
    </w:rPr>
  </w:style>
  <w:style w:type="character" w:styleId="CommentReference">
    <w:name w:val="annotation reference"/>
    <w:basedOn w:val="DefaultParagraphFont"/>
    <w:uiPriority w:val="99"/>
    <w:semiHidden/>
    <w:unhideWhenUsed/>
    <w:rsid w:val="001A0C9C"/>
    <w:rPr>
      <w:sz w:val="18"/>
      <w:szCs w:val="18"/>
    </w:rPr>
  </w:style>
  <w:style w:type="paragraph" w:styleId="CommentText">
    <w:name w:val="annotation text"/>
    <w:basedOn w:val="Normal"/>
    <w:link w:val="CommentTextChar"/>
    <w:uiPriority w:val="99"/>
    <w:semiHidden/>
    <w:unhideWhenUsed/>
    <w:rsid w:val="001A0C9C"/>
    <w:pPr>
      <w:spacing w:line="240" w:lineRule="auto"/>
    </w:pPr>
  </w:style>
  <w:style w:type="character" w:customStyle="1" w:styleId="CommentTextChar">
    <w:name w:val="Comment Text Char"/>
    <w:basedOn w:val="DefaultParagraphFont"/>
    <w:link w:val="CommentText"/>
    <w:uiPriority w:val="99"/>
    <w:semiHidden/>
    <w:rsid w:val="001A0C9C"/>
  </w:style>
  <w:style w:type="paragraph" w:styleId="CommentSubject">
    <w:name w:val="annotation subject"/>
    <w:basedOn w:val="CommentText"/>
    <w:next w:val="CommentText"/>
    <w:link w:val="CommentSubjectChar"/>
    <w:uiPriority w:val="99"/>
    <w:semiHidden/>
    <w:unhideWhenUsed/>
    <w:rsid w:val="001A0C9C"/>
    <w:rPr>
      <w:b/>
      <w:bCs/>
      <w:sz w:val="20"/>
      <w:szCs w:val="20"/>
    </w:rPr>
  </w:style>
  <w:style w:type="character" w:customStyle="1" w:styleId="CommentSubjectChar">
    <w:name w:val="Comment Subject Char"/>
    <w:basedOn w:val="CommentTextChar"/>
    <w:link w:val="CommentSubject"/>
    <w:uiPriority w:val="99"/>
    <w:semiHidden/>
    <w:rsid w:val="001A0C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7829">
      <w:bodyDiv w:val="1"/>
      <w:marLeft w:val="0"/>
      <w:marRight w:val="0"/>
      <w:marTop w:val="0"/>
      <w:marBottom w:val="0"/>
      <w:divBdr>
        <w:top w:val="none" w:sz="0" w:space="0" w:color="auto"/>
        <w:left w:val="none" w:sz="0" w:space="0" w:color="auto"/>
        <w:bottom w:val="none" w:sz="0" w:space="0" w:color="auto"/>
        <w:right w:val="none" w:sz="0" w:space="0" w:color="auto"/>
      </w:divBdr>
    </w:div>
    <w:div w:id="42292470">
      <w:bodyDiv w:val="1"/>
      <w:marLeft w:val="0"/>
      <w:marRight w:val="0"/>
      <w:marTop w:val="0"/>
      <w:marBottom w:val="0"/>
      <w:divBdr>
        <w:top w:val="none" w:sz="0" w:space="0" w:color="auto"/>
        <w:left w:val="none" w:sz="0" w:space="0" w:color="auto"/>
        <w:bottom w:val="none" w:sz="0" w:space="0" w:color="auto"/>
        <w:right w:val="none" w:sz="0" w:space="0" w:color="auto"/>
      </w:divBdr>
    </w:div>
    <w:div w:id="90442264">
      <w:bodyDiv w:val="1"/>
      <w:marLeft w:val="0"/>
      <w:marRight w:val="0"/>
      <w:marTop w:val="0"/>
      <w:marBottom w:val="0"/>
      <w:divBdr>
        <w:top w:val="none" w:sz="0" w:space="0" w:color="auto"/>
        <w:left w:val="none" w:sz="0" w:space="0" w:color="auto"/>
        <w:bottom w:val="none" w:sz="0" w:space="0" w:color="auto"/>
        <w:right w:val="none" w:sz="0" w:space="0" w:color="auto"/>
      </w:divBdr>
    </w:div>
    <w:div w:id="97065877">
      <w:bodyDiv w:val="1"/>
      <w:marLeft w:val="0"/>
      <w:marRight w:val="0"/>
      <w:marTop w:val="0"/>
      <w:marBottom w:val="0"/>
      <w:divBdr>
        <w:top w:val="none" w:sz="0" w:space="0" w:color="auto"/>
        <w:left w:val="none" w:sz="0" w:space="0" w:color="auto"/>
        <w:bottom w:val="none" w:sz="0" w:space="0" w:color="auto"/>
        <w:right w:val="none" w:sz="0" w:space="0" w:color="auto"/>
      </w:divBdr>
    </w:div>
    <w:div w:id="137036369">
      <w:bodyDiv w:val="1"/>
      <w:marLeft w:val="0"/>
      <w:marRight w:val="0"/>
      <w:marTop w:val="0"/>
      <w:marBottom w:val="0"/>
      <w:divBdr>
        <w:top w:val="none" w:sz="0" w:space="0" w:color="auto"/>
        <w:left w:val="none" w:sz="0" w:space="0" w:color="auto"/>
        <w:bottom w:val="none" w:sz="0" w:space="0" w:color="auto"/>
        <w:right w:val="none" w:sz="0" w:space="0" w:color="auto"/>
      </w:divBdr>
    </w:div>
    <w:div w:id="221871314">
      <w:bodyDiv w:val="1"/>
      <w:marLeft w:val="0"/>
      <w:marRight w:val="0"/>
      <w:marTop w:val="0"/>
      <w:marBottom w:val="0"/>
      <w:divBdr>
        <w:top w:val="none" w:sz="0" w:space="0" w:color="auto"/>
        <w:left w:val="none" w:sz="0" w:space="0" w:color="auto"/>
        <w:bottom w:val="none" w:sz="0" w:space="0" w:color="auto"/>
        <w:right w:val="none" w:sz="0" w:space="0" w:color="auto"/>
      </w:divBdr>
    </w:div>
    <w:div w:id="228269087">
      <w:bodyDiv w:val="1"/>
      <w:marLeft w:val="0"/>
      <w:marRight w:val="0"/>
      <w:marTop w:val="0"/>
      <w:marBottom w:val="0"/>
      <w:divBdr>
        <w:top w:val="none" w:sz="0" w:space="0" w:color="auto"/>
        <w:left w:val="none" w:sz="0" w:space="0" w:color="auto"/>
        <w:bottom w:val="none" w:sz="0" w:space="0" w:color="auto"/>
        <w:right w:val="none" w:sz="0" w:space="0" w:color="auto"/>
      </w:divBdr>
    </w:div>
    <w:div w:id="236593959">
      <w:bodyDiv w:val="1"/>
      <w:marLeft w:val="0"/>
      <w:marRight w:val="0"/>
      <w:marTop w:val="0"/>
      <w:marBottom w:val="0"/>
      <w:divBdr>
        <w:top w:val="none" w:sz="0" w:space="0" w:color="auto"/>
        <w:left w:val="none" w:sz="0" w:space="0" w:color="auto"/>
        <w:bottom w:val="none" w:sz="0" w:space="0" w:color="auto"/>
        <w:right w:val="none" w:sz="0" w:space="0" w:color="auto"/>
      </w:divBdr>
    </w:div>
    <w:div w:id="338001357">
      <w:bodyDiv w:val="1"/>
      <w:marLeft w:val="0"/>
      <w:marRight w:val="0"/>
      <w:marTop w:val="0"/>
      <w:marBottom w:val="0"/>
      <w:divBdr>
        <w:top w:val="none" w:sz="0" w:space="0" w:color="auto"/>
        <w:left w:val="none" w:sz="0" w:space="0" w:color="auto"/>
        <w:bottom w:val="none" w:sz="0" w:space="0" w:color="auto"/>
        <w:right w:val="none" w:sz="0" w:space="0" w:color="auto"/>
      </w:divBdr>
    </w:div>
    <w:div w:id="435949084">
      <w:bodyDiv w:val="1"/>
      <w:marLeft w:val="0"/>
      <w:marRight w:val="0"/>
      <w:marTop w:val="0"/>
      <w:marBottom w:val="0"/>
      <w:divBdr>
        <w:top w:val="none" w:sz="0" w:space="0" w:color="auto"/>
        <w:left w:val="none" w:sz="0" w:space="0" w:color="auto"/>
        <w:bottom w:val="none" w:sz="0" w:space="0" w:color="auto"/>
        <w:right w:val="none" w:sz="0" w:space="0" w:color="auto"/>
      </w:divBdr>
    </w:div>
    <w:div w:id="448430048">
      <w:bodyDiv w:val="1"/>
      <w:marLeft w:val="0"/>
      <w:marRight w:val="0"/>
      <w:marTop w:val="0"/>
      <w:marBottom w:val="0"/>
      <w:divBdr>
        <w:top w:val="none" w:sz="0" w:space="0" w:color="auto"/>
        <w:left w:val="none" w:sz="0" w:space="0" w:color="auto"/>
        <w:bottom w:val="none" w:sz="0" w:space="0" w:color="auto"/>
        <w:right w:val="none" w:sz="0" w:space="0" w:color="auto"/>
      </w:divBdr>
    </w:div>
    <w:div w:id="580720323">
      <w:bodyDiv w:val="1"/>
      <w:marLeft w:val="0"/>
      <w:marRight w:val="0"/>
      <w:marTop w:val="0"/>
      <w:marBottom w:val="0"/>
      <w:divBdr>
        <w:top w:val="none" w:sz="0" w:space="0" w:color="auto"/>
        <w:left w:val="none" w:sz="0" w:space="0" w:color="auto"/>
        <w:bottom w:val="none" w:sz="0" w:space="0" w:color="auto"/>
        <w:right w:val="none" w:sz="0" w:space="0" w:color="auto"/>
      </w:divBdr>
    </w:div>
    <w:div w:id="586689454">
      <w:bodyDiv w:val="1"/>
      <w:marLeft w:val="0"/>
      <w:marRight w:val="0"/>
      <w:marTop w:val="0"/>
      <w:marBottom w:val="0"/>
      <w:divBdr>
        <w:top w:val="none" w:sz="0" w:space="0" w:color="auto"/>
        <w:left w:val="none" w:sz="0" w:space="0" w:color="auto"/>
        <w:bottom w:val="none" w:sz="0" w:space="0" w:color="auto"/>
        <w:right w:val="none" w:sz="0" w:space="0" w:color="auto"/>
      </w:divBdr>
    </w:div>
    <w:div w:id="714547051">
      <w:bodyDiv w:val="1"/>
      <w:marLeft w:val="0"/>
      <w:marRight w:val="0"/>
      <w:marTop w:val="0"/>
      <w:marBottom w:val="0"/>
      <w:divBdr>
        <w:top w:val="none" w:sz="0" w:space="0" w:color="auto"/>
        <w:left w:val="none" w:sz="0" w:space="0" w:color="auto"/>
        <w:bottom w:val="none" w:sz="0" w:space="0" w:color="auto"/>
        <w:right w:val="none" w:sz="0" w:space="0" w:color="auto"/>
      </w:divBdr>
    </w:div>
    <w:div w:id="741373851">
      <w:bodyDiv w:val="1"/>
      <w:marLeft w:val="0"/>
      <w:marRight w:val="0"/>
      <w:marTop w:val="0"/>
      <w:marBottom w:val="0"/>
      <w:divBdr>
        <w:top w:val="none" w:sz="0" w:space="0" w:color="auto"/>
        <w:left w:val="none" w:sz="0" w:space="0" w:color="auto"/>
        <w:bottom w:val="none" w:sz="0" w:space="0" w:color="auto"/>
        <w:right w:val="none" w:sz="0" w:space="0" w:color="auto"/>
      </w:divBdr>
    </w:div>
    <w:div w:id="787044530">
      <w:bodyDiv w:val="1"/>
      <w:marLeft w:val="0"/>
      <w:marRight w:val="0"/>
      <w:marTop w:val="0"/>
      <w:marBottom w:val="0"/>
      <w:divBdr>
        <w:top w:val="none" w:sz="0" w:space="0" w:color="auto"/>
        <w:left w:val="none" w:sz="0" w:space="0" w:color="auto"/>
        <w:bottom w:val="none" w:sz="0" w:space="0" w:color="auto"/>
        <w:right w:val="none" w:sz="0" w:space="0" w:color="auto"/>
      </w:divBdr>
    </w:div>
    <w:div w:id="810177206">
      <w:bodyDiv w:val="1"/>
      <w:marLeft w:val="0"/>
      <w:marRight w:val="0"/>
      <w:marTop w:val="0"/>
      <w:marBottom w:val="0"/>
      <w:divBdr>
        <w:top w:val="none" w:sz="0" w:space="0" w:color="auto"/>
        <w:left w:val="none" w:sz="0" w:space="0" w:color="auto"/>
        <w:bottom w:val="none" w:sz="0" w:space="0" w:color="auto"/>
        <w:right w:val="none" w:sz="0" w:space="0" w:color="auto"/>
      </w:divBdr>
    </w:div>
    <w:div w:id="820388004">
      <w:bodyDiv w:val="1"/>
      <w:marLeft w:val="0"/>
      <w:marRight w:val="0"/>
      <w:marTop w:val="0"/>
      <w:marBottom w:val="0"/>
      <w:divBdr>
        <w:top w:val="none" w:sz="0" w:space="0" w:color="auto"/>
        <w:left w:val="none" w:sz="0" w:space="0" w:color="auto"/>
        <w:bottom w:val="none" w:sz="0" w:space="0" w:color="auto"/>
        <w:right w:val="none" w:sz="0" w:space="0" w:color="auto"/>
      </w:divBdr>
    </w:div>
    <w:div w:id="952828980">
      <w:bodyDiv w:val="1"/>
      <w:marLeft w:val="0"/>
      <w:marRight w:val="0"/>
      <w:marTop w:val="0"/>
      <w:marBottom w:val="0"/>
      <w:divBdr>
        <w:top w:val="none" w:sz="0" w:space="0" w:color="auto"/>
        <w:left w:val="none" w:sz="0" w:space="0" w:color="auto"/>
        <w:bottom w:val="none" w:sz="0" w:space="0" w:color="auto"/>
        <w:right w:val="none" w:sz="0" w:space="0" w:color="auto"/>
      </w:divBdr>
    </w:div>
    <w:div w:id="1023559478">
      <w:bodyDiv w:val="1"/>
      <w:marLeft w:val="0"/>
      <w:marRight w:val="0"/>
      <w:marTop w:val="0"/>
      <w:marBottom w:val="0"/>
      <w:divBdr>
        <w:top w:val="none" w:sz="0" w:space="0" w:color="auto"/>
        <w:left w:val="none" w:sz="0" w:space="0" w:color="auto"/>
        <w:bottom w:val="none" w:sz="0" w:space="0" w:color="auto"/>
        <w:right w:val="none" w:sz="0" w:space="0" w:color="auto"/>
      </w:divBdr>
    </w:div>
    <w:div w:id="1075318548">
      <w:bodyDiv w:val="1"/>
      <w:marLeft w:val="0"/>
      <w:marRight w:val="0"/>
      <w:marTop w:val="0"/>
      <w:marBottom w:val="0"/>
      <w:divBdr>
        <w:top w:val="none" w:sz="0" w:space="0" w:color="auto"/>
        <w:left w:val="none" w:sz="0" w:space="0" w:color="auto"/>
        <w:bottom w:val="none" w:sz="0" w:space="0" w:color="auto"/>
        <w:right w:val="none" w:sz="0" w:space="0" w:color="auto"/>
      </w:divBdr>
    </w:div>
    <w:div w:id="1225220800">
      <w:bodyDiv w:val="1"/>
      <w:marLeft w:val="0"/>
      <w:marRight w:val="0"/>
      <w:marTop w:val="0"/>
      <w:marBottom w:val="0"/>
      <w:divBdr>
        <w:top w:val="none" w:sz="0" w:space="0" w:color="auto"/>
        <w:left w:val="none" w:sz="0" w:space="0" w:color="auto"/>
        <w:bottom w:val="none" w:sz="0" w:space="0" w:color="auto"/>
        <w:right w:val="none" w:sz="0" w:space="0" w:color="auto"/>
      </w:divBdr>
    </w:div>
    <w:div w:id="1360082967">
      <w:bodyDiv w:val="1"/>
      <w:marLeft w:val="0"/>
      <w:marRight w:val="0"/>
      <w:marTop w:val="0"/>
      <w:marBottom w:val="0"/>
      <w:divBdr>
        <w:top w:val="none" w:sz="0" w:space="0" w:color="auto"/>
        <w:left w:val="none" w:sz="0" w:space="0" w:color="auto"/>
        <w:bottom w:val="none" w:sz="0" w:space="0" w:color="auto"/>
        <w:right w:val="none" w:sz="0" w:space="0" w:color="auto"/>
      </w:divBdr>
    </w:div>
    <w:div w:id="1474833076">
      <w:bodyDiv w:val="1"/>
      <w:marLeft w:val="0"/>
      <w:marRight w:val="0"/>
      <w:marTop w:val="0"/>
      <w:marBottom w:val="0"/>
      <w:divBdr>
        <w:top w:val="none" w:sz="0" w:space="0" w:color="auto"/>
        <w:left w:val="none" w:sz="0" w:space="0" w:color="auto"/>
        <w:bottom w:val="none" w:sz="0" w:space="0" w:color="auto"/>
        <w:right w:val="none" w:sz="0" w:space="0" w:color="auto"/>
      </w:divBdr>
    </w:div>
    <w:div w:id="1506438057">
      <w:bodyDiv w:val="1"/>
      <w:marLeft w:val="0"/>
      <w:marRight w:val="0"/>
      <w:marTop w:val="0"/>
      <w:marBottom w:val="0"/>
      <w:divBdr>
        <w:top w:val="none" w:sz="0" w:space="0" w:color="auto"/>
        <w:left w:val="none" w:sz="0" w:space="0" w:color="auto"/>
        <w:bottom w:val="none" w:sz="0" w:space="0" w:color="auto"/>
        <w:right w:val="none" w:sz="0" w:space="0" w:color="auto"/>
      </w:divBdr>
    </w:div>
    <w:div w:id="1602906601">
      <w:bodyDiv w:val="1"/>
      <w:marLeft w:val="0"/>
      <w:marRight w:val="0"/>
      <w:marTop w:val="0"/>
      <w:marBottom w:val="0"/>
      <w:divBdr>
        <w:top w:val="none" w:sz="0" w:space="0" w:color="auto"/>
        <w:left w:val="none" w:sz="0" w:space="0" w:color="auto"/>
        <w:bottom w:val="none" w:sz="0" w:space="0" w:color="auto"/>
        <w:right w:val="none" w:sz="0" w:space="0" w:color="auto"/>
      </w:divBdr>
    </w:div>
    <w:div w:id="1621763293">
      <w:bodyDiv w:val="1"/>
      <w:marLeft w:val="0"/>
      <w:marRight w:val="0"/>
      <w:marTop w:val="0"/>
      <w:marBottom w:val="0"/>
      <w:divBdr>
        <w:top w:val="none" w:sz="0" w:space="0" w:color="auto"/>
        <w:left w:val="none" w:sz="0" w:space="0" w:color="auto"/>
        <w:bottom w:val="none" w:sz="0" w:space="0" w:color="auto"/>
        <w:right w:val="none" w:sz="0" w:space="0" w:color="auto"/>
      </w:divBdr>
    </w:div>
    <w:div w:id="1695616667">
      <w:bodyDiv w:val="1"/>
      <w:marLeft w:val="0"/>
      <w:marRight w:val="0"/>
      <w:marTop w:val="0"/>
      <w:marBottom w:val="0"/>
      <w:divBdr>
        <w:top w:val="none" w:sz="0" w:space="0" w:color="auto"/>
        <w:left w:val="none" w:sz="0" w:space="0" w:color="auto"/>
        <w:bottom w:val="none" w:sz="0" w:space="0" w:color="auto"/>
        <w:right w:val="none" w:sz="0" w:space="0" w:color="auto"/>
      </w:divBdr>
    </w:div>
    <w:div w:id="1720007586">
      <w:bodyDiv w:val="1"/>
      <w:marLeft w:val="0"/>
      <w:marRight w:val="0"/>
      <w:marTop w:val="0"/>
      <w:marBottom w:val="0"/>
      <w:divBdr>
        <w:top w:val="none" w:sz="0" w:space="0" w:color="auto"/>
        <w:left w:val="none" w:sz="0" w:space="0" w:color="auto"/>
        <w:bottom w:val="none" w:sz="0" w:space="0" w:color="auto"/>
        <w:right w:val="none" w:sz="0" w:space="0" w:color="auto"/>
      </w:divBdr>
    </w:div>
    <w:div w:id="1788309665">
      <w:bodyDiv w:val="1"/>
      <w:marLeft w:val="0"/>
      <w:marRight w:val="0"/>
      <w:marTop w:val="0"/>
      <w:marBottom w:val="0"/>
      <w:divBdr>
        <w:top w:val="none" w:sz="0" w:space="0" w:color="auto"/>
        <w:left w:val="none" w:sz="0" w:space="0" w:color="auto"/>
        <w:bottom w:val="none" w:sz="0" w:space="0" w:color="auto"/>
        <w:right w:val="none" w:sz="0" w:space="0" w:color="auto"/>
      </w:divBdr>
    </w:div>
    <w:div w:id="1932228677">
      <w:bodyDiv w:val="1"/>
      <w:marLeft w:val="0"/>
      <w:marRight w:val="0"/>
      <w:marTop w:val="0"/>
      <w:marBottom w:val="0"/>
      <w:divBdr>
        <w:top w:val="none" w:sz="0" w:space="0" w:color="auto"/>
        <w:left w:val="none" w:sz="0" w:space="0" w:color="auto"/>
        <w:bottom w:val="none" w:sz="0" w:space="0" w:color="auto"/>
        <w:right w:val="none" w:sz="0" w:space="0" w:color="auto"/>
      </w:divBdr>
    </w:div>
    <w:div w:id="1954745004">
      <w:bodyDiv w:val="1"/>
      <w:marLeft w:val="0"/>
      <w:marRight w:val="0"/>
      <w:marTop w:val="0"/>
      <w:marBottom w:val="0"/>
      <w:divBdr>
        <w:top w:val="none" w:sz="0" w:space="0" w:color="auto"/>
        <w:left w:val="none" w:sz="0" w:space="0" w:color="auto"/>
        <w:bottom w:val="none" w:sz="0" w:space="0" w:color="auto"/>
        <w:right w:val="none" w:sz="0" w:space="0" w:color="auto"/>
      </w:divBdr>
    </w:div>
    <w:div w:id="2027095421">
      <w:bodyDiv w:val="1"/>
      <w:marLeft w:val="0"/>
      <w:marRight w:val="0"/>
      <w:marTop w:val="0"/>
      <w:marBottom w:val="0"/>
      <w:divBdr>
        <w:top w:val="none" w:sz="0" w:space="0" w:color="auto"/>
        <w:left w:val="none" w:sz="0" w:space="0" w:color="auto"/>
        <w:bottom w:val="none" w:sz="0" w:space="0" w:color="auto"/>
        <w:right w:val="none" w:sz="0" w:space="0" w:color="auto"/>
      </w:divBdr>
    </w:div>
    <w:div w:id="2045710339">
      <w:bodyDiv w:val="1"/>
      <w:marLeft w:val="0"/>
      <w:marRight w:val="0"/>
      <w:marTop w:val="0"/>
      <w:marBottom w:val="0"/>
      <w:divBdr>
        <w:top w:val="none" w:sz="0" w:space="0" w:color="auto"/>
        <w:left w:val="none" w:sz="0" w:space="0" w:color="auto"/>
        <w:bottom w:val="none" w:sz="0" w:space="0" w:color="auto"/>
        <w:right w:val="none" w:sz="0" w:space="0" w:color="auto"/>
      </w:divBdr>
    </w:div>
    <w:div w:id="2063672766">
      <w:bodyDiv w:val="1"/>
      <w:marLeft w:val="0"/>
      <w:marRight w:val="0"/>
      <w:marTop w:val="0"/>
      <w:marBottom w:val="0"/>
      <w:divBdr>
        <w:top w:val="none" w:sz="0" w:space="0" w:color="auto"/>
        <w:left w:val="none" w:sz="0" w:space="0" w:color="auto"/>
        <w:bottom w:val="none" w:sz="0" w:space="0" w:color="auto"/>
        <w:right w:val="none" w:sz="0" w:space="0" w:color="auto"/>
      </w:divBdr>
    </w:div>
    <w:div w:id="20975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hyperlink" Target="http://www.wintac.org/training" TargetMode="External"/><Relationship Id="rId18" Type="http://schemas.openxmlformats.org/officeDocument/2006/relationships/image" Target="media/image2.jpeg"/><Relationship Id="rId26" Type="http://schemas.openxmlformats.org/officeDocument/2006/relationships/hyperlink" Target="http://www.wintac.org/topic-areas/pre-employment-transition-services/overview/job-exploration-counseling" TargetMode="External"/><Relationship Id="rId3" Type="http://schemas.openxmlformats.org/officeDocument/2006/relationships/settings" Target="settings.xml"/><Relationship Id="rId21" Type="http://schemas.openxmlformats.org/officeDocument/2006/relationships/hyperlink" Target="http://www.wintac.org/topic-areas/pre-employment-transition-services/overview/work-based-learning-experiences" TargetMode="External"/><Relationship Id="rId7" Type="http://schemas.openxmlformats.org/officeDocument/2006/relationships/image" Target="media/image1.wmf"/><Relationship Id="rId12" Type="http://schemas.openxmlformats.org/officeDocument/2006/relationships/hyperlink" Target="https://calendar.google.com/calendar/render?pli=1&amp;gsessionid=YxJTtr-ItvJ1ghoxndyU2g" TargetMode="External"/><Relationship Id="rId17" Type="http://schemas.openxmlformats.org/officeDocument/2006/relationships/hyperlink" Target="http://www.wintac.org/topic-areas/pre-employment-transition-services/resources" TargetMode="External"/><Relationship Id="rId25" Type="http://schemas.openxmlformats.org/officeDocument/2006/relationships/hyperlink" Target="http://www.wintac.org/trainin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intac.org/topic-areas/pre-employment-transition-services" TargetMode="External"/><Relationship Id="rId20" Type="http://schemas.openxmlformats.org/officeDocument/2006/relationships/hyperlink" Target="http://www.wintac.org/topic-areas/pre-employment-transition-services/overview/work-based-learning-experiences" TargetMode="External"/><Relationship Id="rId29" Type="http://schemas.openxmlformats.org/officeDocument/2006/relationships/hyperlink" Target="http://www.wintac.org/topic-areas/pre-employment-transition-services/resour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ntac.org/user/login" TargetMode="External"/><Relationship Id="rId24" Type="http://schemas.openxmlformats.org/officeDocument/2006/relationships/hyperlink" Target="http://www.wintac.org/resource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wintac.org/topic-areas/pre-employment-transition-services/overview/job-exploration-counseling" TargetMode="External"/><Relationship Id="rId23" Type="http://schemas.openxmlformats.org/officeDocument/2006/relationships/hyperlink" Target="https://calendar.google.com/calendar/render?pli=1&amp;gsessionid=YxJTtr-ItvJ1ghoxndyU2g" TargetMode="External"/><Relationship Id="rId28" Type="http://schemas.openxmlformats.org/officeDocument/2006/relationships/hyperlink" Target="http://www.wintac.org/topic-areas/pre-employment-transition-services/laws-regs-and-policy" TargetMode="External"/><Relationship Id="rId10" Type="http://schemas.openxmlformats.org/officeDocument/2006/relationships/hyperlink" Target="http://www.wintac.org/topic-areas/pre-employment-transition-services/overview/work-based-learning-experiences" TargetMode="External"/><Relationship Id="rId19" Type="http://schemas.openxmlformats.org/officeDocument/2006/relationships/image" Target="media/image3.jpe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wintac.org/topic-areas/pre-employment-transition-services/overview/work-based-learning-experiences" TargetMode="External"/><Relationship Id="rId14" Type="http://schemas.openxmlformats.org/officeDocument/2006/relationships/hyperlink" Target="http://www.wintac.org/resources" TargetMode="External"/><Relationship Id="rId22" Type="http://schemas.openxmlformats.org/officeDocument/2006/relationships/hyperlink" Target="http://www.wintac.org/user/login" TargetMode="External"/><Relationship Id="rId27" Type="http://schemas.openxmlformats.org/officeDocument/2006/relationships/hyperlink" Target="http://www.wintac.org/about-us/information-about-u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10517</Words>
  <Characters>59950</Characters>
  <Application>Microsoft Office Word</Application>
  <DocSecurity>8</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QUARTER AND yeAR</Company>
  <LinksUpToDate>false</LinksUpToDate>
  <CharactersWithSpaces>70327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name here</dc:creator>
  <cp:keywords/>
  <dc:description/>
  <cp:lastModifiedBy>M</cp:lastModifiedBy>
  <cp:revision>2</cp:revision>
  <cp:lastPrinted>2019-01-08T00:21:00Z</cp:lastPrinted>
  <dcterms:created xsi:type="dcterms:W3CDTF">2019-01-08T00:24:00Z</dcterms:created>
  <dcterms:modified xsi:type="dcterms:W3CDTF">2019-01-08T00:24:00Z</dcterms:modified>
</cp:coreProperties>
</file>