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Pre-Employment Transition Services Good Idea List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list is a compilation of ideas we have received from all of you as you are dealing with the COVID-19 pandemic and continuing the provision of services.  These are in no particular order and we put them in as we receive them.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a TED Talk by Rosie King: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How autism freed me to be myself</w:t>
        </w:r>
      </w:hyperlink>
      <w:r w:rsidDel="00000000" w:rsidR="00000000" w:rsidRPr="00000000">
        <w:rPr>
          <w:sz w:val="24"/>
          <w:szCs w:val="24"/>
          <w:rtl w:val="0"/>
        </w:rPr>
        <w:t xml:space="preserve"> as a self-advocacy activity and have a discussion.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about deaf individuals working in a number of different fields as part of a Work Based Learning Experience: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Deaf talent everywhere!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Counselors/providers can have a student send them a survey of what they learned, or a student could record themselves talking about what they learned and send in, or talk with the counselor/provider over the phone. Get creative.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students with no internet connectivity, distribute pre-employment transition services activities with the meal pick up through their schools. Many schools prepare meals daily that students/families pick up.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providers reach out to students about the continuation of pre-employment transition services. They can discuss the students rights for a FAPE and do this all as part of self-advocacy.  This would be a billable service.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using the regulatory authority to address telecommunications issues with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delivering remote services.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rtl w:val="0"/>
        </w:rPr>
        <w:t xml:space="preserve">361.49 Scope of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0068ac"/>
            <w:rtl w:val="0"/>
          </w:rPr>
          <w:t xml:space="preserve">vocational rehabilitation services</w:t>
        </w:r>
      </w:hyperlink>
      <w:r w:rsidDel="00000000" w:rsidR="00000000" w:rsidRPr="00000000">
        <w:rPr>
          <w:rFonts w:ascii="Verdana" w:cs="Verdana" w:eastAsia="Verdana" w:hAnsi="Verdana"/>
          <w:b w:val="1"/>
          <w:color w:val="333333"/>
          <w:rtl w:val="0"/>
        </w:rPr>
        <w:t xml:space="preserve"> for groups of individuals with disabilities.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rtl w:val="0"/>
        </w:rPr>
        <w:t xml:space="preserve">(a)</w:t>
      </w: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 The </w:t>
      </w:r>
      <w:hyperlink r:id="rId9">
        <w:r w:rsidDel="00000000" w:rsidR="00000000" w:rsidRPr="00000000">
          <w:rPr>
            <w:rFonts w:ascii="Verdana" w:cs="Verdana" w:eastAsia="Verdana" w:hAnsi="Verdana"/>
            <w:color w:val="0068ac"/>
            <w:rtl w:val="0"/>
          </w:rPr>
          <w:t xml:space="preserve">designated State unit</w:t>
        </w:r>
      </w:hyperlink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 may provide for the following </w:t>
      </w:r>
      <w:hyperlink r:id="rId10">
        <w:r w:rsidDel="00000000" w:rsidR="00000000" w:rsidRPr="00000000">
          <w:rPr>
            <w:rFonts w:ascii="Verdana" w:cs="Verdana" w:eastAsia="Verdana" w:hAnsi="Verdana"/>
            <w:color w:val="0068ac"/>
            <w:rtl w:val="0"/>
          </w:rPr>
          <w:t xml:space="preserve">vocational rehabilitation services</w:t>
        </w:r>
      </w:hyperlink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 for the benefit of groups of individuals with disabilities: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1440" w:hanging="360"/>
        <w:rPr>
          <w:rFonts w:ascii="Verdana" w:cs="Verdana" w:eastAsia="Verdana" w:hAnsi="Verdana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highlight w:val="white"/>
          <w:rtl w:val="0"/>
        </w:rPr>
        <w:t xml:space="preserve">(2)</w:t>
      </w: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 Telecommunications systems that have the potential for substantially improving </w:t>
      </w:r>
      <w:hyperlink r:id="rId11">
        <w:r w:rsidDel="00000000" w:rsidR="00000000" w:rsidRPr="00000000">
          <w:rPr>
            <w:rFonts w:ascii="Verdana" w:cs="Verdana" w:eastAsia="Verdana" w:hAnsi="Verdana"/>
            <w:color w:val="0068ac"/>
            <w:highlight w:val="white"/>
            <w:rtl w:val="0"/>
          </w:rPr>
          <w:t xml:space="preserve">vocational rehabilitation</w:t>
        </w:r>
      </w:hyperlink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 service delivery methods and developing appropriate programming to meet the particular needs of individuals with disabilities, including telephone, television, video description services, satellite, tactile-vibratory devices, and similar systems, as appropriate.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1440" w:hanging="360"/>
        <w:rPr>
          <w:rFonts w:ascii="Verdana" w:cs="Verdana" w:eastAsia="Verdana" w:hAnsi="Verdana"/>
          <w:color w:val="33333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One state is using a local cable channel to deliver pre-ets lessons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Verdana" w:cs="Verdana" w:eastAsia="Verdana" w:hAnsi="Verdana"/>
          <w:color w:val="33333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For students that may have a computer but no internet access, consider putting materials together in a jump drive that can be sent to a student to use. Follow up with a phone call to check in and go over questions.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rFonts w:ascii="Verdana" w:cs="Verdana" w:eastAsia="Verdana" w:hAnsi="Verdana"/>
          <w:color w:val="33333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Use the Victor Reader Stream for students who are blind and visually impaired. Record lessons on an SD card that can be sent to the student to use.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  <w:rPr>
          <w:rFonts w:ascii="Verdana" w:cs="Verdana" w:eastAsia="Verdana" w:hAnsi="Verdana"/>
          <w:color w:val="333333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Partner with a local radio reading service for the delivery of a pre-ets hour of learning as a possibility. </w:t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Find stations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aw.cornell.edu/definitions/index.php?width=840&amp;height=800&amp;iframe=true&amp;def_id=c8c1fa3276871ccd53891a4407c18112&amp;term_occur=999&amp;term_src=Title:34:Subtitle:B:Chapter:III:Part:361:Subpart:B:Subjgrp:136:361.49" TargetMode="External"/><Relationship Id="rId10" Type="http://schemas.openxmlformats.org/officeDocument/2006/relationships/hyperlink" Target="https://www.law.cornell.edu/definitions/index.php?width=840&amp;height=800&amp;iframe=true&amp;def_id=7e00b0ac6ee0689e591b894c7be44744&amp;term_occur=999&amp;term_src=Title:34:Subtitle:B:Chapter:III:Part:361:Subpart:B:Subjgrp:136:361.49" TargetMode="External"/><Relationship Id="rId12" Type="http://schemas.openxmlformats.org/officeDocument/2006/relationships/hyperlink" Target="https://iaais.org/stations/" TargetMode="External"/><Relationship Id="rId9" Type="http://schemas.openxmlformats.org/officeDocument/2006/relationships/hyperlink" Target="https://www.law.cornell.edu/definitions/index.php?width=840&amp;height=800&amp;iframe=true&amp;def_id=743f87ab1cdda0a017cdd8cb37460ab7&amp;term_occur=999&amp;term_src=Title:34:Subtitle:B:Chapter:III:Part:361:Subpart:B:Subjgrp:136:361.4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ed.com/talks/rosie_king_how_autism_freed_me_to_be_myself" TargetMode="External"/><Relationship Id="rId7" Type="http://schemas.openxmlformats.org/officeDocument/2006/relationships/hyperlink" Target="https://www.huffpost.com/entry/deaftalent-everywhere-par_b_8913208" TargetMode="External"/><Relationship Id="rId8" Type="http://schemas.openxmlformats.org/officeDocument/2006/relationships/hyperlink" Target="https://www.law.cornell.edu/definitions/index.php?width=840&amp;height=800&amp;iframe=true&amp;def_id=7e00b0ac6ee0689e591b894c7be44744&amp;term_occur=999&amp;term_src=Title:34:Subtitle:B:Chapter:III:Part:361:Subpart:B:Subjgrp:136:361.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