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89040" w14:textId="5EF3B3CB" w:rsidR="000B1F87" w:rsidRPr="00DE78BC" w:rsidRDefault="0022298C" w:rsidP="00DE78BC">
      <w:pPr>
        <w:pStyle w:val="ListParagraph"/>
        <w:numPr>
          <w:ilvl w:val="0"/>
          <w:numId w:val="8"/>
        </w:numPr>
        <w:spacing w:before="100" w:beforeAutospacing="1" w:after="100" w:afterAutospacing="1"/>
        <w:rPr>
          <w:rFonts w:ascii="Verdana" w:eastAsia="Times New Roman" w:hAnsi="Verdana"/>
          <w:b/>
          <w:sz w:val="20"/>
          <w:szCs w:val="20"/>
        </w:rPr>
      </w:pPr>
      <w:bookmarkStart w:id="0" w:name="_GoBack"/>
      <w:bookmarkEnd w:id="0"/>
      <w:r w:rsidRPr="00DE78BC">
        <w:rPr>
          <w:rFonts w:ascii="Verdana" w:eastAsia="Times New Roman" w:hAnsi="Verdana"/>
          <w:b/>
          <w:sz w:val="20"/>
          <w:szCs w:val="20"/>
        </w:rPr>
        <w:t>If a customer i</w:t>
      </w:r>
      <w:r w:rsidR="00135BAE" w:rsidRPr="00DE78BC">
        <w:rPr>
          <w:rFonts w:ascii="Verdana" w:eastAsia="Times New Roman" w:hAnsi="Verdana"/>
          <w:b/>
          <w:sz w:val="20"/>
          <w:szCs w:val="20"/>
        </w:rPr>
        <w:t>s in Phases 3</w:t>
      </w:r>
      <w:r w:rsidR="00B224A5" w:rsidRPr="00DE78BC">
        <w:rPr>
          <w:rFonts w:ascii="Verdana" w:eastAsia="Times New Roman" w:hAnsi="Verdana"/>
          <w:b/>
          <w:sz w:val="20"/>
          <w:szCs w:val="20"/>
        </w:rPr>
        <w:t>-5</w:t>
      </w:r>
      <w:r w:rsidR="002D5DEA" w:rsidRPr="00DE78BC">
        <w:rPr>
          <w:rFonts w:ascii="Verdana" w:eastAsia="Times New Roman" w:hAnsi="Verdana"/>
          <w:b/>
          <w:sz w:val="20"/>
          <w:szCs w:val="20"/>
        </w:rPr>
        <w:t xml:space="preserve"> (i.e. hours have been negotiated and the services are in-progress)</w:t>
      </w:r>
      <w:r w:rsidR="00B224A5" w:rsidRPr="00DE78BC">
        <w:rPr>
          <w:rFonts w:ascii="Verdana" w:eastAsia="Times New Roman" w:hAnsi="Verdana"/>
          <w:b/>
          <w:sz w:val="20"/>
          <w:szCs w:val="20"/>
        </w:rPr>
        <w:t xml:space="preserve"> and the job is put on-hold and the </w:t>
      </w:r>
      <w:r w:rsidR="00B224A5" w:rsidRPr="00DE78BC">
        <w:rPr>
          <w:rFonts w:ascii="Verdana" w:eastAsia="Times New Roman" w:hAnsi="Verdana"/>
          <w:b/>
          <w:sz w:val="20"/>
          <w:szCs w:val="20"/>
          <w:u w:val="single"/>
        </w:rPr>
        <w:t>customer does not wish to seek alternative employmen</w:t>
      </w:r>
      <w:r w:rsidR="00B224A5" w:rsidRPr="00DE78BC">
        <w:rPr>
          <w:rFonts w:ascii="Verdana" w:eastAsia="Times New Roman" w:hAnsi="Verdana"/>
          <w:b/>
          <w:sz w:val="20"/>
          <w:szCs w:val="20"/>
        </w:rPr>
        <w:t xml:space="preserve">t, how can the provider support the customer through this time and the return to work period?  </w:t>
      </w:r>
    </w:p>
    <w:p w14:paraId="6F42B53F" w14:textId="16BF8B7A" w:rsidR="00B224A5" w:rsidRPr="00DE78BC" w:rsidRDefault="00B224A5" w:rsidP="00DE78BC">
      <w:pPr>
        <w:pStyle w:val="ListParagraph"/>
        <w:numPr>
          <w:ilvl w:val="1"/>
          <w:numId w:val="8"/>
        </w:numPr>
        <w:spacing w:before="100" w:beforeAutospacing="1" w:after="100" w:afterAutospacing="1"/>
        <w:rPr>
          <w:rFonts w:ascii="Verdana" w:eastAsia="Times New Roman" w:hAnsi="Verdana"/>
          <w:color w:val="000000" w:themeColor="text1"/>
          <w:sz w:val="20"/>
          <w:szCs w:val="20"/>
        </w:rPr>
      </w:pPr>
      <w:r w:rsidRPr="00DE78BC">
        <w:rPr>
          <w:rFonts w:ascii="Verdana" w:eastAsia="Times New Roman" w:hAnsi="Verdana"/>
          <w:color w:val="000000" w:themeColor="text1"/>
          <w:sz w:val="20"/>
          <w:szCs w:val="20"/>
        </w:rPr>
        <w:t>Job Mentoring</w:t>
      </w:r>
      <w:r w:rsidR="0022298C" w:rsidRPr="00DE78BC">
        <w:rPr>
          <w:rFonts w:ascii="Verdana" w:eastAsia="Times New Roman" w:hAnsi="Verdana"/>
          <w:color w:val="000000" w:themeColor="text1"/>
          <w:sz w:val="20"/>
          <w:szCs w:val="20"/>
        </w:rPr>
        <w:t xml:space="preserve"> (SE009)</w:t>
      </w:r>
      <w:r w:rsidRPr="00DE78BC">
        <w:rPr>
          <w:rFonts w:ascii="Verdana" w:eastAsia="Times New Roman" w:hAnsi="Verdana"/>
          <w:color w:val="000000" w:themeColor="text1"/>
          <w:sz w:val="20"/>
          <w:szCs w:val="20"/>
        </w:rPr>
        <w:t xml:space="preserve"> may be used to provide this type of support </w:t>
      </w:r>
      <w:r w:rsidR="0022298C" w:rsidRPr="00DE78BC">
        <w:rPr>
          <w:rFonts w:ascii="Verdana" w:hAnsi="Verdana"/>
          <w:color w:val="000000" w:themeColor="text1"/>
          <w:sz w:val="20"/>
          <w:szCs w:val="20"/>
        </w:rPr>
        <w:t>during the COVID-19 mitigation period</w:t>
      </w:r>
      <w:r w:rsidR="00AA685E">
        <w:rPr>
          <w:rFonts w:ascii="Verdana" w:hAnsi="Verdana"/>
          <w:color w:val="000000" w:themeColor="text1"/>
          <w:sz w:val="20"/>
          <w:szCs w:val="20"/>
        </w:rPr>
        <w:t xml:space="preserve"> with VRC approval and an IPE amendment if necessary</w:t>
      </w:r>
      <w:r w:rsidR="0095697B" w:rsidRPr="00DE78BC">
        <w:rPr>
          <w:rFonts w:ascii="Verdana" w:hAnsi="Verdana"/>
          <w:color w:val="000000" w:themeColor="text1"/>
          <w:sz w:val="20"/>
          <w:szCs w:val="20"/>
        </w:rPr>
        <w:t>.  T</w:t>
      </w:r>
      <w:r w:rsidR="00F66249" w:rsidRPr="00DE78BC">
        <w:rPr>
          <w:rFonts w:ascii="Verdana" w:hAnsi="Verdana"/>
          <w:color w:val="000000" w:themeColor="text1"/>
          <w:sz w:val="20"/>
          <w:szCs w:val="20"/>
        </w:rPr>
        <w:t xml:space="preserve">he mentoring </w:t>
      </w:r>
      <w:r w:rsidRPr="00DE78BC">
        <w:rPr>
          <w:rFonts w:ascii="Verdana" w:eastAsia="Times New Roman" w:hAnsi="Verdana"/>
          <w:color w:val="000000" w:themeColor="text1"/>
          <w:sz w:val="20"/>
          <w:szCs w:val="20"/>
        </w:rPr>
        <w:t xml:space="preserve">may include contacts with customer and employer, referral to other community services, assistance with applying for unemployment benefits and other off-site supports.  </w:t>
      </w:r>
    </w:p>
    <w:p w14:paraId="6D303575" w14:textId="77777777" w:rsidR="00B224A5" w:rsidRPr="00DE78BC" w:rsidRDefault="00B224A5" w:rsidP="00B224A5">
      <w:pPr>
        <w:pStyle w:val="ListParagraph"/>
        <w:spacing w:before="100" w:beforeAutospacing="1" w:after="100" w:afterAutospacing="1"/>
        <w:rPr>
          <w:rFonts w:ascii="Verdana" w:eastAsia="Times New Roman" w:hAnsi="Verdana"/>
          <w:b/>
          <w:sz w:val="20"/>
          <w:szCs w:val="20"/>
        </w:rPr>
      </w:pPr>
    </w:p>
    <w:p w14:paraId="6D7FC835" w14:textId="77777777" w:rsidR="000B1F87" w:rsidRPr="00DE78BC" w:rsidRDefault="00135BAE" w:rsidP="00DE78BC">
      <w:pPr>
        <w:pStyle w:val="ListParagraph"/>
        <w:numPr>
          <w:ilvl w:val="0"/>
          <w:numId w:val="8"/>
        </w:numPr>
        <w:rPr>
          <w:rFonts w:ascii="Verdana" w:hAnsi="Verdana"/>
          <w:b/>
          <w:sz w:val="20"/>
          <w:szCs w:val="20"/>
        </w:rPr>
      </w:pPr>
      <w:r w:rsidRPr="00DE78BC">
        <w:rPr>
          <w:rFonts w:ascii="Verdana" w:hAnsi="Verdana"/>
          <w:b/>
          <w:sz w:val="20"/>
          <w:szCs w:val="20"/>
        </w:rPr>
        <w:t>If a customer is in Phases 3</w:t>
      </w:r>
      <w:r w:rsidR="00D34E95" w:rsidRPr="00DE78BC">
        <w:rPr>
          <w:rFonts w:ascii="Verdana" w:hAnsi="Verdana"/>
          <w:b/>
          <w:sz w:val="20"/>
          <w:szCs w:val="20"/>
        </w:rPr>
        <w:t xml:space="preserve">-5 </w:t>
      </w:r>
      <w:r w:rsidR="002D5DEA" w:rsidRPr="00DE78BC">
        <w:rPr>
          <w:rFonts w:ascii="Verdana" w:eastAsia="Times New Roman" w:hAnsi="Verdana"/>
          <w:b/>
          <w:sz w:val="20"/>
          <w:szCs w:val="20"/>
        </w:rPr>
        <w:t xml:space="preserve">(i.e. hours have been negotiated and the services are in-progress) </w:t>
      </w:r>
      <w:r w:rsidR="00D34E95" w:rsidRPr="00DE78BC">
        <w:rPr>
          <w:rFonts w:ascii="Verdana" w:hAnsi="Verdana"/>
          <w:b/>
          <w:sz w:val="20"/>
          <w:szCs w:val="20"/>
        </w:rPr>
        <w:t xml:space="preserve">and the job is put on-hold and </w:t>
      </w:r>
      <w:r w:rsidR="00F66249" w:rsidRPr="00DE78BC">
        <w:rPr>
          <w:rFonts w:ascii="Verdana" w:hAnsi="Verdana"/>
          <w:b/>
          <w:sz w:val="20"/>
          <w:szCs w:val="20"/>
        </w:rPr>
        <w:t xml:space="preserve">the </w:t>
      </w:r>
      <w:r w:rsidR="00D34E95" w:rsidRPr="00DE78BC">
        <w:rPr>
          <w:rFonts w:ascii="Verdana" w:hAnsi="Verdana"/>
          <w:b/>
          <w:sz w:val="20"/>
          <w:szCs w:val="20"/>
          <w:u w:val="single"/>
        </w:rPr>
        <w:t>customer wants</w:t>
      </w:r>
      <w:r w:rsidR="00B15F01" w:rsidRPr="00DE78BC">
        <w:rPr>
          <w:rFonts w:ascii="Verdana" w:hAnsi="Verdana"/>
          <w:b/>
          <w:sz w:val="20"/>
          <w:szCs w:val="20"/>
          <w:u w:val="single"/>
        </w:rPr>
        <w:t xml:space="preserve"> to </w:t>
      </w:r>
      <w:r w:rsidR="00D34E95" w:rsidRPr="00DE78BC">
        <w:rPr>
          <w:rFonts w:ascii="Verdana" w:hAnsi="Verdana"/>
          <w:b/>
          <w:sz w:val="20"/>
          <w:szCs w:val="20"/>
          <w:u w:val="single"/>
        </w:rPr>
        <w:t>seek alternative employment</w:t>
      </w:r>
      <w:r w:rsidR="00D34E95" w:rsidRPr="00DE78BC">
        <w:rPr>
          <w:rFonts w:ascii="Verdana" w:hAnsi="Verdana"/>
          <w:b/>
          <w:sz w:val="20"/>
          <w:szCs w:val="20"/>
        </w:rPr>
        <w:t xml:space="preserve">, can providers assist with this?  </w:t>
      </w:r>
    </w:p>
    <w:p w14:paraId="5A307916" w14:textId="35DB322E" w:rsidR="00DF3503" w:rsidRPr="00DE78BC" w:rsidRDefault="006555D3" w:rsidP="00DE78BC">
      <w:pPr>
        <w:pStyle w:val="ListParagraph"/>
        <w:numPr>
          <w:ilvl w:val="1"/>
          <w:numId w:val="8"/>
        </w:numPr>
        <w:rPr>
          <w:rFonts w:ascii="Verdana" w:hAnsi="Verdana"/>
          <w:color w:val="000000" w:themeColor="text1"/>
          <w:sz w:val="20"/>
          <w:szCs w:val="20"/>
        </w:rPr>
      </w:pPr>
      <w:r w:rsidRPr="00DE78BC">
        <w:rPr>
          <w:rFonts w:ascii="Verdana" w:hAnsi="Verdana"/>
          <w:color w:val="000000" w:themeColor="text1"/>
          <w:sz w:val="20"/>
          <w:szCs w:val="20"/>
        </w:rPr>
        <w:t>Customers who make the informed choice to seek alternative employment while their primary job is on-hold may be supported through Job Mentoring (SE009) during the COVID-19 mitigation period</w:t>
      </w:r>
      <w:r w:rsidR="00AA685E">
        <w:rPr>
          <w:rFonts w:ascii="Verdana" w:hAnsi="Verdana"/>
          <w:color w:val="000000" w:themeColor="text1"/>
          <w:sz w:val="20"/>
          <w:szCs w:val="20"/>
        </w:rPr>
        <w:t xml:space="preserve"> with VRC approval</w:t>
      </w:r>
      <w:r w:rsidRPr="00DE78BC">
        <w:rPr>
          <w:rFonts w:ascii="Verdana" w:hAnsi="Verdana"/>
          <w:color w:val="000000" w:themeColor="text1"/>
          <w:sz w:val="20"/>
          <w:szCs w:val="20"/>
        </w:rPr>
        <w:t xml:space="preserve">.  </w:t>
      </w:r>
      <w:r w:rsidR="000F5FE7" w:rsidRPr="00DE78BC">
        <w:rPr>
          <w:rFonts w:ascii="Verdana" w:hAnsi="Verdana"/>
          <w:color w:val="000000" w:themeColor="text1"/>
          <w:sz w:val="20"/>
          <w:szCs w:val="20"/>
        </w:rPr>
        <w:t>This is allowed even if</w:t>
      </w:r>
      <w:r w:rsidR="00684571" w:rsidRPr="00DE78BC">
        <w:rPr>
          <w:rFonts w:ascii="Verdana" w:hAnsi="Verdana"/>
          <w:color w:val="000000" w:themeColor="text1"/>
          <w:sz w:val="20"/>
          <w:szCs w:val="20"/>
        </w:rPr>
        <w:t xml:space="preserve"> the alternative</w:t>
      </w:r>
      <w:r w:rsidR="000F5FE7" w:rsidRPr="00DE78BC">
        <w:rPr>
          <w:rFonts w:ascii="Verdana" w:hAnsi="Verdana"/>
          <w:color w:val="000000" w:themeColor="text1"/>
          <w:sz w:val="20"/>
          <w:szCs w:val="20"/>
        </w:rPr>
        <w:t xml:space="preserve"> job is considered “temporary”.</w:t>
      </w:r>
    </w:p>
    <w:p w14:paraId="10A2271F" w14:textId="77777777" w:rsidR="00D34E95" w:rsidRPr="00DE78BC" w:rsidRDefault="00D34E95" w:rsidP="00D34E95">
      <w:pPr>
        <w:pStyle w:val="ListParagraph"/>
        <w:rPr>
          <w:rFonts w:ascii="Verdana" w:hAnsi="Verdana"/>
          <w:b/>
          <w:sz w:val="20"/>
          <w:szCs w:val="20"/>
        </w:rPr>
      </w:pPr>
    </w:p>
    <w:p w14:paraId="37C399D8" w14:textId="77777777" w:rsidR="000B1F87" w:rsidRPr="00DE78BC" w:rsidRDefault="00D34E95" w:rsidP="00DE78BC">
      <w:pPr>
        <w:pStyle w:val="ListParagraph"/>
        <w:numPr>
          <w:ilvl w:val="0"/>
          <w:numId w:val="8"/>
        </w:numPr>
        <w:rPr>
          <w:rFonts w:ascii="Verdana" w:hAnsi="Verdana"/>
          <w:b/>
          <w:sz w:val="20"/>
          <w:szCs w:val="20"/>
        </w:rPr>
      </w:pPr>
      <w:r w:rsidRPr="00DE78BC">
        <w:rPr>
          <w:rFonts w:ascii="Verdana" w:hAnsi="Verdana"/>
          <w:b/>
          <w:sz w:val="20"/>
          <w:szCs w:val="20"/>
        </w:rPr>
        <w:t>What is the procedure for utilizing Job Mentoring as specified in questions #1 and #2?</w:t>
      </w:r>
    </w:p>
    <w:p w14:paraId="65F1B52E" w14:textId="49845891" w:rsidR="000B1F87" w:rsidRDefault="000B1F87" w:rsidP="00DE78BC">
      <w:pPr>
        <w:pStyle w:val="ListParagraph"/>
        <w:numPr>
          <w:ilvl w:val="1"/>
          <w:numId w:val="8"/>
        </w:numPr>
        <w:rPr>
          <w:rFonts w:ascii="Verdana" w:hAnsi="Verdana"/>
          <w:color w:val="000000" w:themeColor="text1"/>
          <w:sz w:val="20"/>
          <w:szCs w:val="20"/>
        </w:rPr>
      </w:pPr>
      <w:r w:rsidRPr="00DE78BC">
        <w:rPr>
          <w:rFonts w:ascii="Verdana" w:hAnsi="Verdana"/>
          <w:color w:val="000000" w:themeColor="text1"/>
          <w:sz w:val="20"/>
          <w:szCs w:val="20"/>
        </w:rPr>
        <w:t xml:space="preserve">In these situations, </w:t>
      </w:r>
      <w:r w:rsidR="00AA685E">
        <w:rPr>
          <w:rFonts w:ascii="Verdana" w:hAnsi="Verdana"/>
          <w:color w:val="000000" w:themeColor="text1"/>
          <w:sz w:val="20"/>
          <w:szCs w:val="20"/>
        </w:rPr>
        <w:t xml:space="preserve">the VRC may authorize </w:t>
      </w:r>
      <w:r w:rsidRPr="00DE78BC">
        <w:rPr>
          <w:rFonts w:ascii="Verdana" w:hAnsi="Verdana"/>
          <w:color w:val="000000" w:themeColor="text1"/>
          <w:sz w:val="20"/>
          <w:szCs w:val="20"/>
        </w:rPr>
        <w:t xml:space="preserve">Job Mentoring (SE009) apart from the existing performance-based SE or customized employment services which are on-hold.  If the customer is expected to return to his/her primary employment, existing phases may remain in effect (i.e. the PO’s can stay open).  </w:t>
      </w:r>
    </w:p>
    <w:p w14:paraId="754680F9" w14:textId="77777777" w:rsidR="009C5607" w:rsidRDefault="009C5607" w:rsidP="009C5607">
      <w:pPr>
        <w:pStyle w:val="ListParagraph"/>
        <w:ind w:left="1440"/>
        <w:rPr>
          <w:rFonts w:ascii="Verdana" w:hAnsi="Verdana"/>
          <w:color w:val="000000" w:themeColor="text1"/>
          <w:sz w:val="20"/>
          <w:szCs w:val="20"/>
        </w:rPr>
      </w:pPr>
    </w:p>
    <w:p w14:paraId="78F91505" w14:textId="77777777" w:rsidR="009C5607" w:rsidRPr="00DE78BC" w:rsidRDefault="009C5607" w:rsidP="009C5607">
      <w:pPr>
        <w:pStyle w:val="ListParagraph"/>
        <w:numPr>
          <w:ilvl w:val="0"/>
          <w:numId w:val="8"/>
        </w:numPr>
        <w:rPr>
          <w:rFonts w:ascii="Verdana" w:hAnsi="Verdana"/>
          <w:b/>
          <w:sz w:val="20"/>
          <w:szCs w:val="20"/>
        </w:rPr>
      </w:pPr>
      <w:r w:rsidRPr="00DE78BC">
        <w:rPr>
          <w:rFonts w:ascii="Verdana" w:hAnsi="Verdana" w:cs="Segoe UI"/>
          <w:b/>
          <w:color w:val="000000"/>
          <w:sz w:val="20"/>
          <w:szCs w:val="20"/>
        </w:rPr>
        <w:t>What if the customer is laid off before the end of Phases 3, 4, or 5?  For example, what if the customer reaches the 90</w:t>
      </w:r>
      <w:r w:rsidRPr="00DE78BC">
        <w:rPr>
          <w:rFonts w:ascii="Verdana" w:hAnsi="Verdana" w:cs="Segoe UI"/>
          <w:b/>
          <w:color w:val="000000"/>
          <w:sz w:val="20"/>
          <w:szCs w:val="20"/>
          <w:vertAlign w:val="superscript"/>
        </w:rPr>
        <w:t>th</w:t>
      </w:r>
      <w:r w:rsidRPr="00DE78BC">
        <w:rPr>
          <w:rFonts w:ascii="Verdana" w:hAnsi="Verdana" w:cs="Segoe UI"/>
          <w:b/>
          <w:color w:val="000000"/>
          <w:sz w:val="20"/>
          <w:szCs w:val="20"/>
        </w:rPr>
        <w:t xml:space="preserve"> day from stability while laid off?</w:t>
      </w:r>
    </w:p>
    <w:p w14:paraId="06A85555" w14:textId="77777777" w:rsidR="009C5607" w:rsidRPr="009C5607" w:rsidRDefault="009C5607" w:rsidP="009C5607">
      <w:pPr>
        <w:pStyle w:val="ListParagraph"/>
        <w:numPr>
          <w:ilvl w:val="1"/>
          <w:numId w:val="8"/>
        </w:numPr>
        <w:rPr>
          <w:rFonts w:ascii="Verdana" w:hAnsi="Verdana"/>
          <w:color w:val="000000" w:themeColor="text1"/>
          <w:sz w:val="20"/>
          <w:szCs w:val="20"/>
        </w:rPr>
      </w:pPr>
      <w:r w:rsidRPr="00DE78BC">
        <w:rPr>
          <w:rFonts w:ascii="Verdana" w:eastAsia="Calibri" w:hAnsi="Verdana"/>
          <w:color w:val="000000" w:themeColor="text1"/>
          <w:sz w:val="20"/>
          <w:szCs w:val="20"/>
        </w:rPr>
        <w:t xml:space="preserve">Phases 3-5 may not be partially billed as customers must meet the established phase milestones for payment to be issued.  When a customer’s job is temporarily on hold, the phase should be paused until they return to that job, at which time the phase may continue from where it left off.  In the example for this question (i.e. Phase 5), if the customer is laid off at the </w:t>
      </w:r>
      <w:r>
        <w:rPr>
          <w:rFonts w:ascii="Verdana" w:eastAsia="Calibri" w:hAnsi="Verdana"/>
          <w:color w:val="000000" w:themeColor="text1"/>
          <w:sz w:val="20"/>
          <w:szCs w:val="20"/>
        </w:rPr>
        <w:t>time</w:t>
      </w:r>
      <w:r w:rsidRPr="00DE78BC">
        <w:rPr>
          <w:rFonts w:ascii="Verdana" w:eastAsia="Calibri" w:hAnsi="Verdana"/>
          <w:color w:val="000000" w:themeColor="text1"/>
          <w:sz w:val="20"/>
          <w:szCs w:val="20"/>
        </w:rPr>
        <w:t xml:space="preserve"> they would have reached the 90</w:t>
      </w:r>
      <w:r w:rsidRPr="00DE78BC">
        <w:rPr>
          <w:rFonts w:ascii="Verdana" w:eastAsia="Calibri" w:hAnsi="Verdana"/>
          <w:color w:val="000000" w:themeColor="text1"/>
          <w:sz w:val="20"/>
          <w:szCs w:val="20"/>
          <w:vertAlign w:val="superscript"/>
        </w:rPr>
        <w:t>th</w:t>
      </w:r>
      <w:r w:rsidRPr="00DE78BC">
        <w:rPr>
          <w:rFonts w:ascii="Verdana" w:eastAsia="Calibri" w:hAnsi="Verdana"/>
          <w:color w:val="000000" w:themeColor="text1"/>
          <w:sz w:val="20"/>
          <w:szCs w:val="20"/>
        </w:rPr>
        <w:t xml:space="preserve"> day from stability, they didn’t actually reach 90 days </w:t>
      </w:r>
      <w:r w:rsidRPr="00DE78BC">
        <w:rPr>
          <w:rFonts w:ascii="Verdana" w:eastAsia="Calibri" w:hAnsi="Verdana"/>
          <w:i/>
          <w:color w:val="000000" w:themeColor="text1"/>
          <w:sz w:val="20"/>
          <w:szCs w:val="20"/>
          <w:u w:val="single"/>
        </w:rPr>
        <w:t>in</w:t>
      </w:r>
      <w:r w:rsidRPr="00DE78BC">
        <w:rPr>
          <w:rFonts w:ascii="Verdana" w:eastAsia="Calibri" w:hAnsi="Verdana"/>
          <w:color w:val="000000" w:themeColor="text1"/>
          <w:sz w:val="20"/>
          <w:szCs w:val="20"/>
        </w:rPr>
        <w:t xml:space="preserve"> stability.  Upon returning to work, the customer must complete the remaining days of employment to equal 90 days in stability.</w:t>
      </w:r>
      <w:r w:rsidRPr="00DE78BC">
        <w:rPr>
          <w:rFonts w:ascii="Verdana" w:hAnsi="Verdana" w:cs="Segoe UI"/>
          <w:color w:val="000000" w:themeColor="text1"/>
          <w:sz w:val="20"/>
          <w:szCs w:val="20"/>
        </w:rPr>
        <w:t> </w:t>
      </w:r>
    </w:p>
    <w:p w14:paraId="571FEE8C" w14:textId="77777777" w:rsidR="009C5607" w:rsidRDefault="009C5607" w:rsidP="009C5607">
      <w:pPr>
        <w:pStyle w:val="ListParagraph"/>
        <w:ind w:left="1440"/>
        <w:rPr>
          <w:rFonts w:ascii="Verdana" w:hAnsi="Verdana"/>
          <w:color w:val="000000" w:themeColor="text1"/>
          <w:sz w:val="20"/>
          <w:szCs w:val="20"/>
        </w:rPr>
      </w:pPr>
    </w:p>
    <w:p w14:paraId="7AA28B66" w14:textId="77777777" w:rsidR="009C5607" w:rsidRPr="00DE78BC" w:rsidRDefault="009C5607" w:rsidP="009C5607">
      <w:pPr>
        <w:pStyle w:val="ListParagraph"/>
        <w:numPr>
          <w:ilvl w:val="0"/>
          <w:numId w:val="8"/>
        </w:numPr>
        <w:rPr>
          <w:rFonts w:ascii="Verdana" w:hAnsi="Verdana"/>
          <w:b/>
          <w:sz w:val="20"/>
          <w:szCs w:val="20"/>
        </w:rPr>
      </w:pPr>
      <w:r w:rsidRPr="00DE78BC">
        <w:rPr>
          <w:rFonts w:ascii="Verdana" w:hAnsi="Verdana"/>
          <w:b/>
          <w:sz w:val="20"/>
          <w:szCs w:val="20"/>
        </w:rPr>
        <w:t>What happens if the employer will not allow a provider access to the workplace to render onsite supports during Phases 2-5?</w:t>
      </w:r>
    </w:p>
    <w:p w14:paraId="48CAC0B0" w14:textId="77777777" w:rsidR="009C5607" w:rsidRPr="00DE78BC" w:rsidRDefault="009C5607" w:rsidP="009C5607">
      <w:pPr>
        <w:pStyle w:val="ListParagraph"/>
        <w:numPr>
          <w:ilvl w:val="1"/>
          <w:numId w:val="8"/>
        </w:numPr>
        <w:rPr>
          <w:rFonts w:ascii="Verdana" w:hAnsi="Verdana"/>
          <w:iCs/>
          <w:color w:val="000000" w:themeColor="text1"/>
          <w:sz w:val="20"/>
          <w:szCs w:val="20"/>
        </w:rPr>
      </w:pPr>
      <w:r w:rsidRPr="00DE78BC">
        <w:rPr>
          <w:rFonts w:ascii="Verdana" w:hAnsi="Verdana"/>
          <w:iCs/>
          <w:color w:val="000000" w:themeColor="text1"/>
          <w:sz w:val="20"/>
          <w:szCs w:val="20"/>
        </w:rPr>
        <w:t xml:space="preserve">If the employer will not allow a provider access to the workplace to render onsite supports during Phase 2, the provider may continue to support the customer off-site as needed until the phase ends.  After Phase 2 has concluded in this instance, services should transition to Job Mentoring rather than continuing with negotiated hours.  The employer’s refusal of access must be documented by the VRC in CWDS.  </w:t>
      </w:r>
    </w:p>
    <w:p w14:paraId="254F0ADD" w14:textId="128235AF" w:rsidR="009C5607" w:rsidRDefault="009C5607" w:rsidP="009C5607">
      <w:pPr>
        <w:pStyle w:val="ListParagraph"/>
        <w:numPr>
          <w:ilvl w:val="1"/>
          <w:numId w:val="8"/>
        </w:numPr>
        <w:rPr>
          <w:rFonts w:ascii="Verdana" w:hAnsi="Verdana"/>
          <w:color w:val="000000" w:themeColor="text1"/>
          <w:sz w:val="20"/>
          <w:szCs w:val="20"/>
        </w:rPr>
      </w:pPr>
      <w:r w:rsidRPr="00DE78BC">
        <w:rPr>
          <w:rFonts w:ascii="Verdana" w:hAnsi="Verdana"/>
          <w:color w:val="000000" w:themeColor="text1"/>
          <w:sz w:val="20"/>
          <w:szCs w:val="20"/>
        </w:rPr>
        <w:t xml:space="preserve">If the employer will not allow a provider access to the workplace to render onsite supports during Phases 3-5 </w:t>
      </w:r>
      <w:r w:rsidRPr="00DE78BC">
        <w:rPr>
          <w:rFonts w:ascii="Verdana" w:eastAsia="Times New Roman" w:hAnsi="Verdana"/>
          <w:color w:val="000000" w:themeColor="text1"/>
          <w:sz w:val="20"/>
          <w:szCs w:val="20"/>
        </w:rPr>
        <w:t>(i.e. hours have been negotiated and the services are in-progress)</w:t>
      </w:r>
      <w:r w:rsidRPr="00DE78BC">
        <w:rPr>
          <w:rFonts w:ascii="Verdana" w:hAnsi="Verdana"/>
          <w:color w:val="000000" w:themeColor="text1"/>
          <w:sz w:val="20"/>
          <w:szCs w:val="20"/>
        </w:rPr>
        <w:t xml:space="preserve">, the provider may continue to support the customer off-site as needed.  The employer’s refusal of access must be documented by the VRC in CWDS.  </w:t>
      </w:r>
    </w:p>
    <w:p w14:paraId="70288C8E" w14:textId="77777777" w:rsidR="009C5607" w:rsidRPr="00DE78BC" w:rsidRDefault="009C5607" w:rsidP="009C5607">
      <w:pPr>
        <w:pStyle w:val="ListParagraph"/>
        <w:rPr>
          <w:rFonts w:ascii="Verdana" w:hAnsi="Verdana"/>
          <w:b/>
          <w:color w:val="FF0000"/>
          <w:sz w:val="20"/>
          <w:szCs w:val="20"/>
        </w:rPr>
      </w:pPr>
    </w:p>
    <w:p w14:paraId="5EA519AC" w14:textId="77777777" w:rsidR="009C5607" w:rsidRPr="00DE78BC" w:rsidRDefault="009C5607" w:rsidP="009C5607">
      <w:pPr>
        <w:pStyle w:val="ListParagraph"/>
        <w:numPr>
          <w:ilvl w:val="0"/>
          <w:numId w:val="8"/>
        </w:numPr>
        <w:rPr>
          <w:rFonts w:ascii="Verdana" w:hAnsi="Verdana"/>
          <w:b/>
          <w:color w:val="000000" w:themeColor="text1"/>
          <w:sz w:val="20"/>
          <w:szCs w:val="20"/>
        </w:rPr>
      </w:pPr>
      <w:r w:rsidRPr="00DE78BC">
        <w:rPr>
          <w:rFonts w:ascii="Verdana" w:hAnsi="Verdana"/>
          <w:b/>
          <w:color w:val="000000" w:themeColor="text1"/>
          <w:sz w:val="20"/>
          <w:szCs w:val="20"/>
        </w:rPr>
        <w:lastRenderedPageBreak/>
        <w:t xml:space="preserve">What documentation is the provider required to submit when an employer refuses to allow the CRP staff on-site? </w:t>
      </w:r>
    </w:p>
    <w:p w14:paraId="7ED6BF83" w14:textId="77777777" w:rsidR="009C5607" w:rsidRPr="00DE78BC" w:rsidRDefault="009C5607" w:rsidP="009C5607">
      <w:pPr>
        <w:pStyle w:val="ListParagraph"/>
        <w:numPr>
          <w:ilvl w:val="1"/>
          <w:numId w:val="8"/>
        </w:numPr>
        <w:rPr>
          <w:rFonts w:ascii="Verdana" w:hAnsi="Verdana"/>
          <w:color w:val="000000" w:themeColor="text1"/>
          <w:sz w:val="20"/>
          <w:szCs w:val="20"/>
        </w:rPr>
      </w:pPr>
      <w:bookmarkStart w:id="1" w:name="_Hlk37421364"/>
      <w:r w:rsidRPr="00DE78BC">
        <w:rPr>
          <w:rFonts w:ascii="Verdana" w:hAnsi="Verdana"/>
          <w:color w:val="000000" w:themeColor="text1"/>
          <w:sz w:val="20"/>
          <w:szCs w:val="20"/>
        </w:rPr>
        <w:t>Examples of acceptable documentation include but are not limited to:</w:t>
      </w:r>
    </w:p>
    <w:p w14:paraId="0F7DF13D" w14:textId="77777777" w:rsidR="009C5607" w:rsidRPr="00DE78BC" w:rsidRDefault="009C5607" w:rsidP="009C5607">
      <w:pPr>
        <w:pStyle w:val="ListParagraph"/>
        <w:numPr>
          <w:ilvl w:val="2"/>
          <w:numId w:val="8"/>
        </w:numPr>
        <w:rPr>
          <w:rFonts w:ascii="Verdana" w:hAnsi="Verdana"/>
          <w:color w:val="000000" w:themeColor="text1"/>
          <w:sz w:val="20"/>
          <w:szCs w:val="20"/>
        </w:rPr>
      </w:pPr>
      <w:r w:rsidRPr="00DE78BC">
        <w:rPr>
          <w:rFonts w:ascii="Verdana" w:hAnsi="Verdana"/>
          <w:color w:val="000000" w:themeColor="text1"/>
          <w:sz w:val="20"/>
          <w:szCs w:val="20"/>
        </w:rPr>
        <w:t>Letter or email from the employer</w:t>
      </w:r>
      <w:r>
        <w:rPr>
          <w:rFonts w:ascii="Verdana" w:hAnsi="Verdana"/>
          <w:color w:val="000000" w:themeColor="text1"/>
          <w:sz w:val="20"/>
          <w:szCs w:val="20"/>
        </w:rPr>
        <w:t>; or</w:t>
      </w:r>
    </w:p>
    <w:p w14:paraId="6D9C7352" w14:textId="2C365E71" w:rsidR="009C5607" w:rsidRDefault="009C5607" w:rsidP="009C5607">
      <w:pPr>
        <w:pStyle w:val="ListParagraph"/>
        <w:numPr>
          <w:ilvl w:val="2"/>
          <w:numId w:val="8"/>
        </w:numPr>
        <w:rPr>
          <w:rFonts w:ascii="Verdana" w:hAnsi="Verdana"/>
          <w:color w:val="000000" w:themeColor="text1"/>
          <w:sz w:val="20"/>
          <w:szCs w:val="20"/>
        </w:rPr>
      </w:pPr>
      <w:r w:rsidRPr="00DE78BC">
        <w:rPr>
          <w:rFonts w:ascii="Verdana" w:hAnsi="Verdana"/>
          <w:color w:val="000000" w:themeColor="text1"/>
          <w:sz w:val="20"/>
          <w:szCs w:val="20"/>
        </w:rPr>
        <w:t>Verbal report from the CRP or employer to the VRC captured in a Case Progress Note within CWDS indicating the date, names, and details of the communication</w:t>
      </w:r>
      <w:r>
        <w:rPr>
          <w:rFonts w:ascii="Verdana" w:hAnsi="Verdana"/>
          <w:color w:val="000000" w:themeColor="text1"/>
          <w:sz w:val="20"/>
          <w:szCs w:val="20"/>
        </w:rPr>
        <w:t>.</w:t>
      </w:r>
    </w:p>
    <w:p w14:paraId="3CD1D1AB" w14:textId="77777777" w:rsidR="009C5607" w:rsidRDefault="009C5607" w:rsidP="009C5607">
      <w:pPr>
        <w:pStyle w:val="ListParagraph"/>
        <w:ind w:left="2160"/>
        <w:rPr>
          <w:rFonts w:ascii="Verdana" w:hAnsi="Verdana"/>
          <w:color w:val="000000" w:themeColor="text1"/>
          <w:sz w:val="20"/>
          <w:szCs w:val="20"/>
        </w:rPr>
      </w:pPr>
    </w:p>
    <w:p w14:paraId="3DBD08EC" w14:textId="77777777" w:rsidR="009C5607" w:rsidRPr="00DE78BC" w:rsidRDefault="009C5607" w:rsidP="009C5607">
      <w:pPr>
        <w:pStyle w:val="ListParagraph"/>
        <w:numPr>
          <w:ilvl w:val="0"/>
          <w:numId w:val="8"/>
        </w:numPr>
        <w:rPr>
          <w:rFonts w:ascii="Verdana" w:hAnsi="Verdana"/>
          <w:b/>
          <w:color w:val="000000" w:themeColor="text1"/>
          <w:sz w:val="20"/>
          <w:szCs w:val="20"/>
        </w:rPr>
      </w:pPr>
      <w:r w:rsidRPr="00DE78BC">
        <w:rPr>
          <w:rFonts w:ascii="Verdana" w:hAnsi="Verdana"/>
          <w:b/>
          <w:color w:val="000000" w:themeColor="text1"/>
          <w:sz w:val="20"/>
          <w:szCs w:val="20"/>
        </w:rPr>
        <w:t>If a provider has to support a customer “off-site” due to an employer restricting access to the worksite, what are some examples of “off-site” activities?</w:t>
      </w:r>
    </w:p>
    <w:p w14:paraId="180C28F1" w14:textId="77777777" w:rsidR="009C5607" w:rsidRPr="00DE78BC" w:rsidRDefault="009C5607" w:rsidP="009C5607">
      <w:pPr>
        <w:pStyle w:val="ListParagraph"/>
        <w:numPr>
          <w:ilvl w:val="1"/>
          <w:numId w:val="8"/>
        </w:numPr>
        <w:rPr>
          <w:rFonts w:ascii="Verdana" w:hAnsi="Verdana"/>
          <w:color w:val="000000" w:themeColor="text1"/>
          <w:sz w:val="20"/>
          <w:szCs w:val="20"/>
        </w:rPr>
      </w:pPr>
      <w:r w:rsidRPr="00DE78BC">
        <w:rPr>
          <w:rFonts w:ascii="Verdana" w:hAnsi="Verdana"/>
          <w:color w:val="000000" w:themeColor="text1"/>
          <w:sz w:val="20"/>
          <w:szCs w:val="20"/>
        </w:rPr>
        <w:t>Off-site support during this time may include but is not limited to:</w:t>
      </w:r>
    </w:p>
    <w:p w14:paraId="258B6BE9" w14:textId="77777777" w:rsidR="009C5607" w:rsidRPr="00DE78BC" w:rsidRDefault="009C5607" w:rsidP="009C5607">
      <w:pPr>
        <w:pStyle w:val="ListParagraph"/>
        <w:numPr>
          <w:ilvl w:val="2"/>
          <w:numId w:val="8"/>
        </w:numPr>
        <w:ind w:left="2250" w:hanging="270"/>
        <w:rPr>
          <w:rFonts w:ascii="Verdana" w:hAnsi="Verdana"/>
          <w:color w:val="000000" w:themeColor="text1"/>
          <w:sz w:val="20"/>
          <w:szCs w:val="20"/>
        </w:rPr>
      </w:pPr>
      <w:r w:rsidRPr="00DE78BC">
        <w:rPr>
          <w:rFonts w:ascii="Verdana" w:hAnsi="Verdana"/>
          <w:color w:val="000000" w:themeColor="text1"/>
          <w:sz w:val="20"/>
          <w:szCs w:val="20"/>
        </w:rPr>
        <w:t>Researching/planning transportation to and from work</w:t>
      </w:r>
      <w:r>
        <w:rPr>
          <w:rFonts w:ascii="Verdana" w:hAnsi="Verdana"/>
          <w:color w:val="000000" w:themeColor="text1"/>
          <w:sz w:val="20"/>
          <w:szCs w:val="20"/>
        </w:rPr>
        <w:t>;</w:t>
      </w:r>
    </w:p>
    <w:p w14:paraId="70B7929F" w14:textId="77777777" w:rsidR="009C5607" w:rsidRPr="00DE78BC" w:rsidRDefault="009C5607" w:rsidP="009C5607">
      <w:pPr>
        <w:pStyle w:val="ListParagraph"/>
        <w:numPr>
          <w:ilvl w:val="2"/>
          <w:numId w:val="8"/>
        </w:numPr>
        <w:ind w:left="2250" w:hanging="270"/>
        <w:rPr>
          <w:rFonts w:ascii="Verdana" w:hAnsi="Verdana"/>
          <w:color w:val="000000" w:themeColor="text1"/>
          <w:sz w:val="20"/>
          <w:szCs w:val="20"/>
        </w:rPr>
      </w:pPr>
      <w:r w:rsidRPr="00DE78BC">
        <w:rPr>
          <w:rFonts w:ascii="Verdana" w:hAnsi="Verdana"/>
          <w:color w:val="000000" w:themeColor="text1"/>
          <w:sz w:val="20"/>
          <w:szCs w:val="20"/>
        </w:rPr>
        <w:t>Establishing natural supports and job accommodations</w:t>
      </w:r>
      <w:r>
        <w:rPr>
          <w:rFonts w:ascii="Verdana" w:hAnsi="Verdana"/>
          <w:color w:val="000000" w:themeColor="text1"/>
          <w:sz w:val="20"/>
          <w:szCs w:val="20"/>
        </w:rPr>
        <w:t>;</w:t>
      </w:r>
    </w:p>
    <w:p w14:paraId="4D80DAD1" w14:textId="77777777" w:rsidR="009C5607" w:rsidRPr="00DE78BC" w:rsidRDefault="009C5607" w:rsidP="009C5607">
      <w:pPr>
        <w:pStyle w:val="ListParagraph"/>
        <w:numPr>
          <w:ilvl w:val="2"/>
          <w:numId w:val="8"/>
        </w:numPr>
        <w:ind w:left="2250" w:hanging="270"/>
        <w:rPr>
          <w:rFonts w:ascii="Verdana" w:hAnsi="Verdana"/>
          <w:color w:val="000000" w:themeColor="text1"/>
          <w:sz w:val="20"/>
          <w:szCs w:val="20"/>
        </w:rPr>
      </w:pPr>
      <w:r w:rsidRPr="00DE78BC">
        <w:rPr>
          <w:rFonts w:ascii="Verdana" w:hAnsi="Verdana"/>
          <w:color w:val="000000" w:themeColor="text1"/>
          <w:sz w:val="20"/>
          <w:szCs w:val="20"/>
        </w:rPr>
        <w:t>Team meetings</w:t>
      </w:r>
      <w:r>
        <w:rPr>
          <w:rFonts w:ascii="Verdana" w:hAnsi="Verdana"/>
          <w:color w:val="000000" w:themeColor="text1"/>
          <w:sz w:val="20"/>
          <w:szCs w:val="20"/>
        </w:rPr>
        <w:t>;</w:t>
      </w:r>
    </w:p>
    <w:p w14:paraId="635763E8" w14:textId="77777777" w:rsidR="009C5607" w:rsidRPr="00DE78BC" w:rsidRDefault="009C5607" w:rsidP="009C5607">
      <w:pPr>
        <w:pStyle w:val="ListParagraph"/>
        <w:numPr>
          <w:ilvl w:val="2"/>
          <w:numId w:val="8"/>
        </w:numPr>
        <w:ind w:left="2250" w:hanging="270"/>
        <w:rPr>
          <w:rFonts w:ascii="Verdana" w:hAnsi="Verdana"/>
          <w:color w:val="000000" w:themeColor="text1"/>
          <w:sz w:val="20"/>
          <w:szCs w:val="20"/>
        </w:rPr>
      </w:pPr>
      <w:r w:rsidRPr="00DE78BC">
        <w:rPr>
          <w:rFonts w:ascii="Verdana" w:hAnsi="Verdana"/>
          <w:color w:val="000000" w:themeColor="text1"/>
          <w:sz w:val="20"/>
          <w:szCs w:val="20"/>
        </w:rPr>
        <w:t>Instruction in self-advocacy</w:t>
      </w:r>
      <w:r>
        <w:rPr>
          <w:rFonts w:ascii="Verdana" w:hAnsi="Verdana"/>
          <w:color w:val="000000" w:themeColor="text1"/>
          <w:sz w:val="20"/>
          <w:szCs w:val="20"/>
        </w:rPr>
        <w:t>;</w:t>
      </w:r>
    </w:p>
    <w:p w14:paraId="2AA0AF46" w14:textId="77777777" w:rsidR="009C5607" w:rsidRPr="00DE78BC" w:rsidRDefault="009C5607" w:rsidP="009C5607">
      <w:pPr>
        <w:pStyle w:val="ListParagraph"/>
        <w:numPr>
          <w:ilvl w:val="2"/>
          <w:numId w:val="8"/>
        </w:numPr>
        <w:ind w:left="2250" w:hanging="270"/>
        <w:rPr>
          <w:rFonts w:ascii="Verdana" w:hAnsi="Verdana"/>
          <w:color w:val="000000" w:themeColor="text1"/>
          <w:sz w:val="20"/>
          <w:szCs w:val="20"/>
        </w:rPr>
      </w:pPr>
      <w:r w:rsidRPr="00DE78BC">
        <w:rPr>
          <w:rFonts w:ascii="Verdana" w:hAnsi="Verdana"/>
          <w:color w:val="000000" w:themeColor="text1"/>
          <w:sz w:val="20"/>
          <w:szCs w:val="20"/>
        </w:rPr>
        <w:t>Social skills training</w:t>
      </w:r>
      <w:r>
        <w:rPr>
          <w:rFonts w:ascii="Verdana" w:hAnsi="Verdana"/>
          <w:color w:val="000000" w:themeColor="text1"/>
          <w:sz w:val="20"/>
          <w:szCs w:val="20"/>
        </w:rPr>
        <w:t>;</w:t>
      </w:r>
    </w:p>
    <w:p w14:paraId="7170CACC" w14:textId="77777777" w:rsidR="009C5607" w:rsidRPr="00DE78BC" w:rsidRDefault="009C5607" w:rsidP="009C5607">
      <w:pPr>
        <w:pStyle w:val="ListParagraph"/>
        <w:numPr>
          <w:ilvl w:val="2"/>
          <w:numId w:val="8"/>
        </w:numPr>
        <w:ind w:left="2250" w:hanging="270"/>
        <w:rPr>
          <w:rFonts w:ascii="Verdana" w:hAnsi="Verdana"/>
          <w:color w:val="000000" w:themeColor="text1"/>
          <w:sz w:val="20"/>
          <w:szCs w:val="20"/>
        </w:rPr>
      </w:pPr>
      <w:r w:rsidRPr="00DE78BC">
        <w:rPr>
          <w:rFonts w:ascii="Verdana" w:hAnsi="Verdana"/>
          <w:color w:val="000000" w:themeColor="text1"/>
          <w:sz w:val="20"/>
          <w:szCs w:val="20"/>
        </w:rPr>
        <w:t>Behavior management</w:t>
      </w:r>
      <w:r>
        <w:rPr>
          <w:rFonts w:ascii="Verdana" w:hAnsi="Verdana"/>
          <w:color w:val="000000" w:themeColor="text1"/>
          <w:sz w:val="20"/>
          <w:szCs w:val="20"/>
        </w:rPr>
        <w:t>;</w:t>
      </w:r>
    </w:p>
    <w:p w14:paraId="0F20E10F" w14:textId="77777777" w:rsidR="009C5607" w:rsidRPr="00DE78BC" w:rsidRDefault="009C5607" w:rsidP="009C5607">
      <w:pPr>
        <w:pStyle w:val="ListParagraph"/>
        <w:numPr>
          <w:ilvl w:val="2"/>
          <w:numId w:val="8"/>
        </w:numPr>
        <w:ind w:left="2250" w:hanging="270"/>
        <w:rPr>
          <w:rFonts w:ascii="Verdana" w:hAnsi="Verdana"/>
          <w:color w:val="000000" w:themeColor="text1"/>
          <w:sz w:val="20"/>
          <w:szCs w:val="20"/>
        </w:rPr>
      </w:pPr>
      <w:r w:rsidRPr="00DE78BC">
        <w:rPr>
          <w:rFonts w:ascii="Verdana" w:hAnsi="Verdana"/>
          <w:color w:val="000000" w:themeColor="text1"/>
          <w:sz w:val="20"/>
          <w:szCs w:val="20"/>
        </w:rPr>
        <w:t>Money management training</w:t>
      </w:r>
      <w:r>
        <w:rPr>
          <w:rFonts w:ascii="Verdana" w:hAnsi="Verdana"/>
          <w:color w:val="000000" w:themeColor="text1"/>
          <w:sz w:val="20"/>
          <w:szCs w:val="20"/>
        </w:rPr>
        <w:t>;</w:t>
      </w:r>
    </w:p>
    <w:p w14:paraId="7B66B41E" w14:textId="77777777" w:rsidR="009C5607" w:rsidRPr="00DE78BC" w:rsidRDefault="009C5607" w:rsidP="009C5607">
      <w:pPr>
        <w:pStyle w:val="ListParagraph"/>
        <w:numPr>
          <w:ilvl w:val="2"/>
          <w:numId w:val="8"/>
        </w:numPr>
        <w:ind w:left="2250" w:hanging="270"/>
        <w:rPr>
          <w:rFonts w:ascii="Verdana" w:hAnsi="Verdana"/>
          <w:color w:val="000000" w:themeColor="text1"/>
          <w:sz w:val="20"/>
          <w:szCs w:val="20"/>
        </w:rPr>
      </w:pPr>
      <w:r w:rsidRPr="00DE78BC">
        <w:rPr>
          <w:rFonts w:ascii="Verdana" w:hAnsi="Verdana"/>
          <w:color w:val="000000" w:themeColor="text1"/>
          <w:sz w:val="20"/>
          <w:szCs w:val="20"/>
        </w:rPr>
        <w:t>Job skills instruction (if the skills can be effectively instructed off-site in person or virtually)</w:t>
      </w:r>
      <w:r>
        <w:rPr>
          <w:rFonts w:ascii="Verdana" w:hAnsi="Verdana"/>
          <w:color w:val="000000" w:themeColor="text1"/>
          <w:sz w:val="20"/>
          <w:szCs w:val="20"/>
        </w:rPr>
        <w:t>;</w:t>
      </w:r>
    </w:p>
    <w:p w14:paraId="2E18E187" w14:textId="77777777" w:rsidR="009C5607" w:rsidRPr="00DE78BC" w:rsidRDefault="009C5607" w:rsidP="009C5607">
      <w:pPr>
        <w:pStyle w:val="ListParagraph"/>
        <w:numPr>
          <w:ilvl w:val="2"/>
          <w:numId w:val="8"/>
        </w:numPr>
        <w:ind w:left="2250" w:hanging="270"/>
        <w:rPr>
          <w:rFonts w:ascii="Verdana" w:hAnsi="Verdana"/>
          <w:color w:val="000000" w:themeColor="text1"/>
          <w:sz w:val="20"/>
          <w:szCs w:val="20"/>
        </w:rPr>
      </w:pPr>
      <w:r w:rsidRPr="00DE78BC">
        <w:rPr>
          <w:rFonts w:ascii="Verdana" w:hAnsi="Verdana"/>
          <w:color w:val="000000" w:themeColor="text1"/>
          <w:sz w:val="20"/>
          <w:szCs w:val="20"/>
        </w:rPr>
        <w:t>Referral to other services (e.g. Benefits Counseling)</w:t>
      </w:r>
      <w:r>
        <w:rPr>
          <w:rFonts w:ascii="Verdana" w:hAnsi="Verdana"/>
          <w:color w:val="000000" w:themeColor="text1"/>
          <w:sz w:val="20"/>
          <w:szCs w:val="20"/>
        </w:rPr>
        <w:t>;</w:t>
      </w:r>
    </w:p>
    <w:p w14:paraId="0B90D0FD" w14:textId="77777777" w:rsidR="009C5607" w:rsidRPr="00DE78BC" w:rsidRDefault="009C5607" w:rsidP="009C5607">
      <w:pPr>
        <w:pStyle w:val="ListParagraph"/>
        <w:numPr>
          <w:ilvl w:val="2"/>
          <w:numId w:val="8"/>
        </w:numPr>
        <w:ind w:left="2250" w:hanging="270"/>
        <w:rPr>
          <w:rFonts w:ascii="Verdana" w:hAnsi="Verdana"/>
          <w:color w:val="000000" w:themeColor="text1"/>
          <w:sz w:val="20"/>
          <w:szCs w:val="20"/>
        </w:rPr>
      </w:pPr>
      <w:r w:rsidRPr="00DE78BC">
        <w:rPr>
          <w:rFonts w:ascii="Verdana" w:hAnsi="Verdana"/>
          <w:color w:val="000000" w:themeColor="text1"/>
          <w:sz w:val="20"/>
          <w:szCs w:val="20"/>
        </w:rPr>
        <w:t>Coordination of accommodations and/or assistive (rehabilitation) technology</w:t>
      </w:r>
      <w:r>
        <w:rPr>
          <w:rFonts w:ascii="Verdana" w:hAnsi="Verdana"/>
          <w:color w:val="000000" w:themeColor="text1"/>
          <w:sz w:val="20"/>
          <w:szCs w:val="20"/>
        </w:rPr>
        <w:t>;</w:t>
      </w:r>
    </w:p>
    <w:p w14:paraId="4DAE1E53" w14:textId="77777777" w:rsidR="009C5607" w:rsidRPr="00DE78BC" w:rsidRDefault="009C5607" w:rsidP="009C5607">
      <w:pPr>
        <w:pStyle w:val="ListParagraph"/>
        <w:numPr>
          <w:ilvl w:val="2"/>
          <w:numId w:val="8"/>
        </w:numPr>
        <w:ind w:left="2250" w:hanging="270"/>
        <w:rPr>
          <w:rFonts w:ascii="Verdana" w:hAnsi="Verdana"/>
          <w:color w:val="000000" w:themeColor="text1"/>
          <w:sz w:val="20"/>
          <w:szCs w:val="20"/>
        </w:rPr>
      </w:pPr>
      <w:r w:rsidRPr="00DE78BC">
        <w:rPr>
          <w:rFonts w:ascii="Verdana" w:hAnsi="Verdana"/>
          <w:color w:val="000000" w:themeColor="text1"/>
          <w:sz w:val="20"/>
          <w:szCs w:val="20"/>
        </w:rPr>
        <w:t>Employer contact on behalf of customer</w:t>
      </w:r>
      <w:r>
        <w:rPr>
          <w:rFonts w:ascii="Verdana" w:hAnsi="Verdana"/>
          <w:color w:val="000000" w:themeColor="text1"/>
          <w:sz w:val="20"/>
          <w:szCs w:val="20"/>
        </w:rPr>
        <w:t>;</w:t>
      </w:r>
    </w:p>
    <w:p w14:paraId="2BCE3AA2" w14:textId="77777777" w:rsidR="009C5607" w:rsidRPr="00DE78BC" w:rsidRDefault="009C5607" w:rsidP="009C5607">
      <w:pPr>
        <w:pStyle w:val="ListParagraph"/>
        <w:numPr>
          <w:ilvl w:val="2"/>
          <w:numId w:val="8"/>
        </w:numPr>
        <w:ind w:left="2250" w:hanging="270"/>
        <w:rPr>
          <w:rFonts w:ascii="Verdana" w:hAnsi="Verdana"/>
          <w:color w:val="000000" w:themeColor="text1"/>
          <w:sz w:val="20"/>
          <w:szCs w:val="20"/>
        </w:rPr>
      </w:pPr>
      <w:r w:rsidRPr="00DE78BC">
        <w:rPr>
          <w:rFonts w:ascii="Verdana" w:hAnsi="Verdana"/>
          <w:color w:val="000000" w:themeColor="text1"/>
          <w:sz w:val="20"/>
          <w:szCs w:val="20"/>
        </w:rPr>
        <w:t>Phone calls to customer, employer or supports</w:t>
      </w:r>
      <w:r>
        <w:rPr>
          <w:rFonts w:ascii="Verdana" w:hAnsi="Verdana"/>
          <w:color w:val="000000" w:themeColor="text1"/>
          <w:sz w:val="20"/>
          <w:szCs w:val="20"/>
        </w:rPr>
        <w:t>; and/or</w:t>
      </w:r>
    </w:p>
    <w:p w14:paraId="2E05C1A6" w14:textId="0539F901" w:rsidR="009C5607" w:rsidRPr="009C5607" w:rsidRDefault="009C5607" w:rsidP="009C5607">
      <w:pPr>
        <w:pStyle w:val="ListParagraph"/>
        <w:numPr>
          <w:ilvl w:val="2"/>
          <w:numId w:val="8"/>
        </w:numPr>
        <w:ind w:left="2250" w:hanging="270"/>
        <w:rPr>
          <w:rFonts w:ascii="Verdana" w:hAnsi="Verdana"/>
          <w:color w:val="000000" w:themeColor="text1"/>
          <w:sz w:val="20"/>
          <w:szCs w:val="20"/>
        </w:rPr>
      </w:pPr>
      <w:r w:rsidRPr="00DE78BC">
        <w:rPr>
          <w:rFonts w:ascii="Verdana" w:hAnsi="Verdana"/>
          <w:color w:val="000000" w:themeColor="text1"/>
          <w:sz w:val="20"/>
          <w:szCs w:val="20"/>
        </w:rPr>
        <w:t>Identifying and negotiating essential job functions</w:t>
      </w:r>
      <w:r>
        <w:rPr>
          <w:rFonts w:ascii="Verdana" w:hAnsi="Verdana"/>
          <w:color w:val="000000" w:themeColor="text1"/>
          <w:sz w:val="20"/>
          <w:szCs w:val="20"/>
        </w:rPr>
        <w:t>.</w:t>
      </w:r>
    </w:p>
    <w:bookmarkEnd w:id="1"/>
    <w:p w14:paraId="28522D61" w14:textId="77777777" w:rsidR="009C5607" w:rsidRDefault="009C5607" w:rsidP="009C5607">
      <w:pPr>
        <w:pStyle w:val="ListParagraph"/>
        <w:ind w:left="1440"/>
        <w:rPr>
          <w:rFonts w:ascii="Verdana" w:hAnsi="Verdana"/>
          <w:color w:val="000000" w:themeColor="text1"/>
          <w:sz w:val="20"/>
          <w:szCs w:val="20"/>
        </w:rPr>
      </w:pPr>
    </w:p>
    <w:p w14:paraId="6DA7E5E7" w14:textId="77777777" w:rsidR="009C5607" w:rsidRPr="009C5607" w:rsidRDefault="009C5607" w:rsidP="009C5607">
      <w:pPr>
        <w:pStyle w:val="ListParagraph"/>
        <w:numPr>
          <w:ilvl w:val="0"/>
          <w:numId w:val="8"/>
        </w:numPr>
        <w:rPr>
          <w:rFonts w:ascii="Verdana" w:hAnsi="Verdana" w:cstheme="minorHAnsi"/>
          <w:b/>
          <w:color w:val="000000" w:themeColor="text1"/>
          <w:sz w:val="20"/>
          <w:szCs w:val="20"/>
        </w:rPr>
      </w:pPr>
      <w:r w:rsidRPr="009C5607">
        <w:rPr>
          <w:rFonts w:ascii="Verdana" w:hAnsi="Verdana" w:cstheme="minorHAnsi"/>
          <w:b/>
          <w:color w:val="000000" w:themeColor="text1"/>
          <w:sz w:val="20"/>
          <w:szCs w:val="20"/>
        </w:rPr>
        <w:t>How do we authorize a second phase 2 when the customer returns to work if the provider reports and bills for partial hours under the current PO?</w:t>
      </w:r>
    </w:p>
    <w:p w14:paraId="5D2BBFD5" w14:textId="76CB3D4D" w:rsidR="009C5607" w:rsidRDefault="009C5607" w:rsidP="009C5607">
      <w:pPr>
        <w:pStyle w:val="ListParagraph"/>
        <w:numPr>
          <w:ilvl w:val="1"/>
          <w:numId w:val="8"/>
        </w:numPr>
        <w:rPr>
          <w:rFonts w:ascii="Verdana" w:hAnsi="Verdana"/>
          <w:color w:val="000000" w:themeColor="text1"/>
          <w:sz w:val="20"/>
          <w:szCs w:val="20"/>
        </w:rPr>
      </w:pPr>
      <w:r w:rsidRPr="009C5607">
        <w:rPr>
          <w:rFonts w:ascii="Verdana" w:hAnsi="Verdana" w:cstheme="minorHAnsi"/>
          <w:color w:val="000000" w:themeColor="text1"/>
          <w:sz w:val="20"/>
          <w:szCs w:val="20"/>
        </w:rPr>
        <w:t>An additional Phase 2 authorization in this instance may be completed through CWDS as long as the Needs Determination &amp; Hours Negotiated</w:t>
      </w:r>
      <w:r w:rsidRPr="009C5607">
        <w:rPr>
          <w:rFonts w:ascii="Verdana" w:hAnsi="Verdana"/>
          <w:color w:val="000000" w:themeColor="text1"/>
          <w:sz w:val="20"/>
          <w:szCs w:val="20"/>
        </w:rPr>
        <w:t xml:space="preserve"> form has </w:t>
      </w:r>
      <w:r w:rsidRPr="009C5607">
        <w:rPr>
          <w:rFonts w:ascii="Verdana" w:hAnsi="Verdana"/>
          <w:color w:val="000000" w:themeColor="text1"/>
          <w:sz w:val="20"/>
          <w:szCs w:val="20"/>
          <w:u w:val="single"/>
        </w:rPr>
        <w:t>not</w:t>
      </w:r>
      <w:r w:rsidRPr="009C5607">
        <w:rPr>
          <w:rFonts w:ascii="Verdana" w:hAnsi="Verdana"/>
          <w:color w:val="000000" w:themeColor="text1"/>
          <w:sz w:val="20"/>
          <w:szCs w:val="20"/>
        </w:rPr>
        <w:t xml:space="preserve"> been saved as final.  If the system prevents the authorization, please contact your local SE coordinator and/or the SEtech resource account for assistance (</w:t>
      </w:r>
      <w:hyperlink r:id="rId7" w:history="1">
        <w:r w:rsidRPr="009C5607">
          <w:rPr>
            <w:rStyle w:val="Hyperlink"/>
            <w:rFonts w:ascii="Verdana" w:hAnsi="Verdana"/>
            <w:color w:val="000000" w:themeColor="text1"/>
            <w:sz w:val="20"/>
            <w:szCs w:val="20"/>
          </w:rPr>
          <w:t>RA-LIOVR-SETECH@pa.gov</w:t>
        </w:r>
      </w:hyperlink>
      <w:r w:rsidRPr="009C5607">
        <w:rPr>
          <w:rFonts w:ascii="Verdana" w:hAnsi="Verdana"/>
          <w:color w:val="000000" w:themeColor="text1"/>
          <w:sz w:val="20"/>
          <w:szCs w:val="20"/>
        </w:rPr>
        <w:t>).</w:t>
      </w:r>
    </w:p>
    <w:p w14:paraId="6DFB9F78" w14:textId="77777777" w:rsidR="009C5607" w:rsidRDefault="009C5607" w:rsidP="009C5607">
      <w:pPr>
        <w:pStyle w:val="ListParagraph"/>
        <w:ind w:left="1440"/>
        <w:rPr>
          <w:rFonts w:ascii="Verdana" w:hAnsi="Verdana"/>
          <w:color w:val="000000" w:themeColor="text1"/>
          <w:sz w:val="20"/>
          <w:szCs w:val="20"/>
        </w:rPr>
      </w:pPr>
    </w:p>
    <w:p w14:paraId="4D6A5B4B" w14:textId="77777777" w:rsidR="009C5607" w:rsidRPr="00DE78BC" w:rsidRDefault="009C5607" w:rsidP="009C5607">
      <w:pPr>
        <w:pStyle w:val="ListParagraph"/>
        <w:numPr>
          <w:ilvl w:val="0"/>
          <w:numId w:val="8"/>
        </w:numPr>
        <w:rPr>
          <w:rFonts w:ascii="Verdana" w:hAnsi="Verdana"/>
          <w:b/>
          <w:sz w:val="20"/>
          <w:szCs w:val="20"/>
        </w:rPr>
      </w:pPr>
      <w:r w:rsidRPr="00DE78BC">
        <w:rPr>
          <w:rFonts w:ascii="Verdana" w:hAnsi="Verdana"/>
          <w:b/>
          <w:sz w:val="20"/>
          <w:szCs w:val="20"/>
        </w:rPr>
        <w:t>If we partial bill for Phase 2, what date do we use on the report and when we return to working with the customer on site, what date do we start with?</w:t>
      </w:r>
    </w:p>
    <w:p w14:paraId="043D3A2B" w14:textId="77777777" w:rsidR="009C5607" w:rsidRPr="00DE78BC" w:rsidRDefault="009C5607" w:rsidP="009C5607">
      <w:pPr>
        <w:pStyle w:val="ListParagraph"/>
        <w:numPr>
          <w:ilvl w:val="1"/>
          <w:numId w:val="8"/>
        </w:numPr>
        <w:rPr>
          <w:rFonts w:ascii="Verdana" w:hAnsi="Verdana"/>
          <w:color w:val="000000" w:themeColor="text1"/>
          <w:sz w:val="20"/>
          <w:szCs w:val="20"/>
        </w:rPr>
      </w:pPr>
      <w:r w:rsidRPr="00DE78BC">
        <w:rPr>
          <w:rFonts w:ascii="Verdana" w:hAnsi="Verdana"/>
          <w:color w:val="000000" w:themeColor="text1"/>
          <w:sz w:val="20"/>
          <w:szCs w:val="20"/>
        </w:rPr>
        <w:t xml:space="preserve">The Phase 2 reporting period is generated using the customers first day of employment followed by the date the customer reached the first 40 hours of employment.  In order to end the report early, the 40 hour date will need to reflect the </w:t>
      </w:r>
      <w:r w:rsidRPr="00DE78BC">
        <w:rPr>
          <w:rFonts w:ascii="Verdana" w:hAnsi="Verdana"/>
          <w:i/>
          <w:color w:val="000000" w:themeColor="text1"/>
          <w:sz w:val="20"/>
          <w:szCs w:val="20"/>
        </w:rPr>
        <w:t xml:space="preserve">actual </w:t>
      </w:r>
      <w:r w:rsidRPr="00DE78BC">
        <w:rPr>
          <w:rFonts w:ascii="Verdana" w:hAnsi="Verdana"/>
          <w:color w:val="000000" w:themeColor="text1"/>
          <w:sz w:val="20"/>
          <w:szCs w:val="20"/>
        </w:rPr>
        <w:t>end date of service.  When doing this, the COVID-19 SE guidance should be referenced in the comments box in the report (SESR).</w:t>
      </w:r>
    </w:p>
    <w:p w14:paraId="3BED4901" w14:textId="77777777" w:rsidR="009C5607" w:rsidRPr="00DE78BC" w:rsidRDefault="009C5607" w:rsidP="009C5607">
      <w:pPr>
        <w:pStyle w:val="ListParagraph"/>
        <w:numPr>
          <w:ilvl w:val="1"/>
          <w:numId w:val="8"/>
        </w:numPr>
        <w:rPr>
          <w:rFonts w:ascii="Verdana" w:hAnsi="Verdana"/>
          <w:color w:val="000000" w:themeColor="text1"/>
          <w:sz w:val="20"/>
          <w:szCs w:val="20"/>
        </w:rPr>
      </w:pPr>
      <w:r w:rsidRPr="00DE78BC">
        <w:rPr>
          <w:rFonts w:ascii="Verdana" w:hAnsi="Verdana"/>
          <w:color w:val="000000" w:themeColor="text1"/>
          <w:sz w:val="20"/>
          <w:szCs w:val="20"/>
        </w:rPr>
        <w:t>If an additional Phase 2 report is needed when the customer returns to work to complete his or her first 40 hours, you may reference the original employment start date.  The COVID-19 SE guidance should be referenced in the comments box in the report (SESR).</w:t>
      </w:r>
    </w:p>
    <w:p w14:paraId="4B6CF7F9" w14:textId="77777777" w:rsidR="009C5607" w:rsidRPr="009C5607" w:rsidRDefault="009C5607" w:rsidP="009C5607">
      <w:pPr>
        <w:pStyle w:val="ListParagraph"/>
        <w:ind w:left="1440"/>
        <w:rPr>
          <w:rFonts w:ascii="Verdana" w:hAnsi="Verdana"/>
          <w:color w:val="000000" w:themeColor="text1"/>
          <w:sz w:val="20"/>
          <w:szCs w:val="20"/>
        </w:rPr>
      </w:pPr>
    </w:p>
    <w:p w14:paraId="58B547AF" w14:textId="29650DAD" w:rsidR="009C5607" w:rsidRPr="00DE78BC" w:rsidRDefault="009C5607" w:rsidP="009C5607">
      <w:pPr>
        <w:pStyle w:val="ListParagraph"/>
        <w:numPr>
          <w:ilvl w:val="0"/>
          <w:numId w:val="8"/>
        </w:numPr>
        <w:rPr>
          <w:rFonts w:ascii="Verdana" w:hAnsi="Verdana"/>
          <w:b/>
          <w:sz w:val="20"/>
          <w:szCs w:val="20"/>
        </w:rPr>
      </w:pPr>
      <w:r w:rsidRPr="00DE78BC">
        <w:rPr>
          <w:rFonts w:ascii="Verdana" w:hAnsi="Verdana"/>
          <w:b/>
          <w:sz w:val="20"/>
          <w:szCs w:val="20"/>
        </w:rPr>
        <w:t>Should we still track clients</w:t>
      </w:r>
      <w:r>
        <w:rPr>
          <w:rFonts w:ascii="Verdana" w:hAnsi="Verdana"/>
          <w:b/>
          <w:sz w:val="20"/>
          <w:szCs w:val="20"/>
        </w:rPr>
        <w:t>’</w:t>
      </w:r>
      <w:r w:rsidRPr="00DE78BC">
        <w:rPr>
          <w:rFonts w:ascii="Verdana" w:hAnsi="Verdana"/>
          <w:b/>
          <w:sz w:val="20"/>
          <w:szCs w:val="20"/>
        </w:rPr>
        <w:t xml:space="preserve"> work hours in the PPR if on</w:t>
      </w:r>
      <w:r>
        <w:rPr>
          <w:rFonts w:ascii="Verdana" w:hAnsi="Verdana"/>
          <w:b/>
          <w:sz w:val="20"/>
          <w:szCs w:val="20"/>
        </w:rPr>
        <w:t>-</w:t>
      </w:r>
      <w:r w:rsidRPr="00DE78BC">
        <w:rPr>
          <w:rFonts w:ascii="Verdana" w:hAnsi="Verdana"/>
          <w:b/>
          <w:sz w:val="20"/>
          <w:szCs w:val="20"/>
        </w:rPr>
        <w:t>site coaching is on hold but the client is still working?</w:t>
      </w:r>
    </w:p>
    <w:p w14:paraId="3D8BF198" w14:textId="77777777" w:rsidR="009C5607" w:rsidRPr="00DE78BC" w:rsidRDefault="009C5607" w:rsidP="009C5607">
      <w:pPr>
        <w:pStyle w:val="ListParagraph"/>
        <w:numPr>
          <w:ilvl w:val="1"/>
          <w:numId w:val="8"/>
        </w:numPr>
        <w:rPr>
          <w:rFonts w:ascii="Verdana" w:hAnsi="Verdana"/>
          <w:color w:val="000000" w:themeColor="text1"/>
          <w:sz w:val="20"/>
          <w:szCs w:val="20"/>
        </w:rPr>
      </w:pPr>
      <w:r w:rsidRPr="00DE78BC">
        <w:rPr>
          <w:rFonts w:ascii="Verdana" w:hAnsi="Verdana"/>
          <w:color w:val="000000" w:themeColor="text1"/>
          <w:sz w:val="20"/>
          <w:szCs w:val="20"/>
        </w:rPr>
        <w:t>Yes—the PPR and Daily Work Hour Tracking section should be updated as long as the customer is still working.</w:t>
      </w:r>
    </w:p>
    <w:p w14:paraId="3CC03913" w14:textId="77777777" w:rsidR="009C5607" w:rsidRPr="00DE78BC" w:rsidRDefault="009C5607" w:rsidP="009C5607">
      <w:pPr>
        <w:pStyle w:val="ListParagraph"/>
        <w:ind w:left="1440"/>
        <w:rPr>
          <w:rFonts w:ascii="Verdana" w:hAnsi="Verdana"/>
          <w:b/>
          <w:color w:val="FF0000"/>
          <w:sz w:val="20"/>
          <w:szCs w:val="20"/>
        </w:rPr>
      </w:pPr>
    </w:p>
    <w:p w14:paraId="44D74B88" w14:textId="77777777" w:rsidR="009C5607" w:rsidRPr="00DE78BC" w:rsidRDefault="009C5607" w:rsidP="009C5607">
      <w:pPr>
        <w:pStyle w:val="ListParagraph"/>
        <w:rPr>
          <w:rFonts w:ascii="Verdana" w:hAnsi="Verdana"/>
          <w:b/>
          <w:sz w:val="20"/>
          <w:szCs w:val="20"/>
        </w:rPr>
      </w:pPr>
    </w:p>
    <w:p w14:paraId="12796C89" w14:textId="77777777" w:rsidR="009C5607" w:rsidRPr="00DE78BC" w:rsidRDefault="009C5607" w:rsidP="009C5607">
      <w:pPr>
        <w:pStyle w:val="ListParagraph"/>
        <w:numPr>
          <w:ilvl w:val="0"/>
          <w:numId w:val="8"/>
        </w:numPr>
        <w:rPr>
          <w:rFonts w:ascii="Verdana" w:hAnsi="Verdana"/>
          <w:b/>
          <w:sz w:val="20"/>
          <w:szCs w:val="20"/>
        </w:rPr>
      </w:pPr>
      <w:r w:rsidRPr="00DE78BC">
        <w:rPr>
          <w:rFonts w:ascii="Verdana" w:hAnsi="Verdana"/>
          <w:b/>
          <w:sz w:val="20"/>
          <w:szCs w:val="20"/>
        </w:rPr>
        <w:t>Is the job mentoring available for customers in Extended Services who have been laid off, or could we be allowed to use current ES authorizations/POs to support them and coordinate their return to work?</w:t>
      </w:r>
    </w:p>
    <w:p w14:paraId="57458C39" w14:textId="77777777" w:rsidR="009C5607" w:rsidRPr="00DE78BC" w:rsidRDefault="009C5607" w:rsidP="009C5607">
      <w:pPr>
        <w:pStyle w:val="ListParagraph"/>
        <w:numPr>
          <w:ilvl w:val="1"/>
          <w:numId w:val="8"/>
        </w:numPr>
        <w:rPr>
          <w:rFonts w:ascii="Verdana" w:hAnsi="Verdana"/>
          <w:color w:val="000000" w:themeColor="text1"/>
          <w:sz w:val="20"/>
          <w:szCs w:val="20"/>
        </w:rPr>
      </w:pPr>
      <w:r w:rsidRPr="00DE78BC">
        <w:rPr>
          <w:rFonts w:ascii="Verdana" w:hAnsi="Verdana"/>
          <w:color w:val="000000" w:themeColor="text1"/>
          <w:sz w:val="20"/>
          <w:szCs w:val="20"/>
        </w:rPr>
        <w:t xml:space="preserve">For customers in extended services, virtual services may be provided while the person is working or on-hold temporarily due to COVID-19.  </w:t>
      </w:r>
    </w:p>
    <w:p w14:paraId="254E7C13" w14:textId="77777777" w:rsidR="009B221F" w:rsidRPr="00DE78BC" w:rsidRDefault="009B221F" w:rsidP="00C53A47">
      <w:pPr>
        <w:pStyle w:val="ListParagraph"/>
        <w:rPr>
          <w:rFonts w:ascii="Verdana" w:hAnsi="Verdana" w:cstheme="minorHAnsi"/>
          <w:b/>
          <w:color w:val="444444"/>
          <w:sz w:val="20"/>
          <w:szCs w:val="20"/>
        </w:rPr>
      </w:pPr>
    </w:p>
    <w:p w14:paraId="7E9EE7B0" w14:textId="77777777" w:rsidR="000B1F87" w:rsidRPr="00DE78BC" w:rsidRDefault="00D171FA" w:rsidP="00DE78BC">
      <w:pPr>
        <w:pStyle w:val="ListParagraph"/>
        <w:numPr>
          <w:ilvl w:val="0"/>
          <w:numId w:val="8"/>
        </w:numPr>
        <w:rPr>
          <w:rFonts w:ascii="Verdana" w:hAnsi="Verdana"/>
          <w:b/>
          <w:sz w:val="20"/>
          <w:szCs w:val="20"/>
        </w:rPr>
      </w:pPr>
      <w:r w:rsidRPr="00DE78BC">
        <w:rPr>
          <w:rFonts w:ascii="Verdana" w:hAnsi="Verdana"/>
          <w:b/>
          <w:sz w:val="20"/>
          <w:szCs w:val="20"/>
        </w:rPr>
        <w:t>The SE COVID-19 guidance states that if a provider is unable to deliver on-site supports (</w:t>
      </w:r>
      <w:r w:rsidR="00010F91" w:rsidRPr="00DE78BC">
        <w:rPr>
          <w:rFonts w:ascii="Verdana" w:hAnsi="Verdana"/>
          <w:b/>
          <w:sz w:val="20"/>
          <w:szCs w:val="20"/>
        </w:rPr>
        <w:t>because of</w:t>
      </w:r>
      <w:r w:rsidRPr="00DE78BC">
        <w:rPr>
          <w:rFonts w:ascii="Verdana" w:hAnsi="Verdana"/>
          <w:b/>
          <w:sz w:val="20"/>
          <w:szCs w:val="20"/>
        </w:rPr>
        <w:t xml:space="preserve"> provider agency </w:t>
      </w:r>
      <w:r w:rsidR="00010F91" w:rsidRPr="00DE78BC">
        <w:rPr>
          <w:rFonts w:ascii="Verdana" w:hAnsi="Verdana"/>
          <w:b/>
          <w:sz w:val="20"/>
          <w:szCs w:val="20"/>
        </w:rPr>
        <w:t>policy</w:t>
      </w:r>
      <w:r w:rsidRPr="00DE78BC">
        <w:rPr>
          <w:rFonts w:ascii="Verdana" w:hAnsi="Verdana"/>
          <w:b/>
          <w:sz w:val="20"/>
          <w:szCs w:val="20"/>
        </w:rPr>
        <w:t>)</w:t>
      </w:r>
      <w:r w:rsidR="002B1990">
        <w:rPr>
          <w:rFonts w:ascii="Verdana" w:hAnsi="Verdana"/>
          <w:b/>
          <w:sz w:val="20"/>
          <w:szCs w:val="20"/>
        </w:rPr>
        <w:t>,</w:t>
      </w:r>
      <w:r w:rsidRPr="00DE78BC">
        <w:rPr>
          <w:rFonts w:ascii="Verdana" w:hAnsi="Verdana"/>
          <w:b/>
          <w:sz w:val="20"/>
          <w:szCs w:val="20"/>
        </w:rPr>
        <w:t xml:space="preserve"> an alternate provider must be used.  </w:t>
      </w:r>
      <w:r w:rsidR="00277C51" w:rsidRPr="00DE78BC">
        <w:rPr>
          <w:rFonts w:ascii="Verdana" w:hAnsi="Verdana"/>
          <w:b/>
          <w:sz w:val="20"/>
          <w:szCs w:val="20"/>
        </w:rPr>
        <w:t xml:space="preserve">What if an </w:t>
      </w:r>
      <w:r w:rsidR="00010F91" w:rsidRPr="00DE78BC">
        <w:rPr>
          <w:rFonts w:ascii="Verdana" w:hAnsi="Verdana"/>
          <w:b/>
          <w:sz w:val="20"/>
          <w:szCs w:val="20"/>
        </w:rPr>
        <w:t xml:space="preserve">alternate </w:t>
      </w:r>
      <w:r w:rsidR="00277C51" w:rsidRPr="00DE78BC">
        <w:rPr>
          <w:rFonts w:ascii="Verdana" w:hAnsi="Verdana"/>
          <w:b/>
          <w:sz w:val="20"/>
          <w:szCs w:val="20"/>
        </w:rPr>
        <w:t>on</w:t>
      </w:r>
      <w:r w:rsidRPr="00DE78BC">
        <w:rPr>
          <w:rFonts w:ascii="Verdana" w:hAnsi="Verdana"/>
          <w:b/>
          <w:sz w:val="20"/>
          <w:szCs w:val="20"/>
        </w:rPr>
        <w:t>-</w:t>
      </w:r>
      <w:r w:rsidR="00277C51" w:rsidRPr="00DE78BC">
        <w:rPr>
          <w:rFonts w:ascii="Verdana" w:hAnsi="Verdana"/>
          <w:b/>
          <w:sz w:val="20"/>
          <w:szCs w:val="20"/>
        </w:rPr>
        <w:t>site vendor cannot be located?</w:t>
      </w:r>
    </w:p>
    <w:p w14:paraId="312B46CC" w14:textId="555AE43D" w:rsidR="00D171FA" w:rsidRDefault="00D171FA" w:rsidP="00DE78BC">
      <w:pPr>
        <w:pStyle w:val="ListParagraph"/>
        <w:numPr>
          <w:ilvl w:val="1"/>
          <w:numId w:val="8"/>
        </w:numPr>
        <w:rPr>
          <w:rFonts w:ascii="Verdana" w:hAnsi="Verdana"/>
          <w:color w:val="000000" w:themeColor="text1"/>
          <w:sz w:val="20"/>
          <w:szCs w:val="20"/>
        </w:rPr>
      </w:pPr>
      <w:r w:rsidRPr="00DE78BC">
        <w:rPr>
          <w:rFonts w:ascii="Verdana" w:hAnsi="Verdana"/>
          <w:color w:val="000000" w:themeColor="text1"/>
          <w:sz w:val="20"/>
          <w:szCs w:val="20"/>
        </w:rPr>
        <w:t xml:space="preserve">If all attempts to secure an alternate provider to deliver on-site supports have failed, the original provider may be allowed to continue under the negotiated hours using the highest level of support possible. </w:t>
      </w:r>
    </w:p>
    <w:p w14:paraId="1AF2DFA4" w14:textId="77777777" w:rsidR="009C5607" w:rsidRPr="00DE78BC" w:rsidRDefault="009C5607" w:rsidP="009C5607">
      <w:pPr>
        <w:pStyle w:val="ListParagraph"/>
        <w:ind w:left="1440"/>
        <w:rPr>
          <w:rFonts w:ascii="Verdana" w:hAnsi="Verdana"/>
          <w:color w:val="000000" w:themeColor="text1"/>
          <w:sz w:val="20"/>
          <w:szCs w:val="20"/>
        </w:rPr>
      </w:pPr>
    </w:p>
    <w:p w14:paraId="4BFBB3B4" w14:textId="77777777" w:rsidR="009C5607" w:rsidRPr="00DE78BC" w:rsidRDefault="009C5607" w:rsidP="009C5607">
      <w:pPr>
        <w:pStyle w:val="ListParagraph"/>
        <w:numPr>
          <w:ilvl w:val="0"/>
          <w:numId w:val="8"/>
        </w:numPr>
        <w:rPr>
          <w:rFonts w:ascii="Verdana" w:hAnsi="Verdana"/>
          <w:b/>
          <w:sz w:val="20"/>
          <w:szCs w:val="20"/>
        </w:rPr>
      </w:pPr>
      <w:r w:rsidRPr="00DE78BC">
        <w:rPr>
          <w:rFonts w:ascii="Verdana" w:hAnsi="Verdana"/>
          <w:b/>
          <w:sz w:val="20"/>
          <w:szCs w:val="20"/>
        </w:rPr>
        <w:t>If another provider covers for the on-site, does the customer return to the original provider when the agency opens again?</w:t>
      </w:r>
    </w:p>
    <w:p w14:paraId="1229E1F3" w14:textId="77777777" w:rsidR="009C5607" w:rsidRPr="00DE78BC" w:rsidRDefault="009C5607" w:rsidP="009C5607">
      <w:pPr>
        <w:pStyle w:val="ListParagraph"/>
        <w:numPr>
          <w:ilvl w:val="1"/>
          <w:numId w:val="8"/>
        </w:numPr>
        <w:rPr>
          <w:rFonts w:ascii="Verdana" w:hAnsi="Verdana"/>
          <w:color w:val="000000" w:themeColor="text1"/>
          <w:sz w:val="20"/>
          <w:szCs w:val="20"/>
        </w:rPr>
      </w:pPr>
      <w:r>
        <w:rPr>
          <w:rFonts w:ascii="Verdana" w:hAnsi="Verdana"/>
          <w:color w:val="000000" w:themeColor="text1"/>
          <w:sz w:val="20"/>
          <w:szCs w:val="20"/>
        </w:rPr>
        <w:t>Only if the customer chooses to and it is feasible, as s</w:t>
      </w:r>
      <w:r w:rsidRPr="00DE78BC">
        <w:rPr>
          <w:rFonts w:ascii="Verdana" w:hAnsi="Verdana"/>
          <w:color w:val="000000" w:themeColor="text1"/>
          <w:sz w:val="20"/>
          <w:szCs w:val="20"/>
        </w:rPr>
        <w:t>ervices are based on customer choice and individual circumstances.  If a customer transitions to a new provider for on-site supports, the customer and VRC may choose to remain with the alternative provider or return to the original as identified in the customer’s IPE.</w:t>
      </w:r>
    </w:p>
    <w:p w14:paraId="6447BD53" w14:textId="77777777" w:rsidR="009B221F" w:rsidRPr="00DE78BC" w:rsidRDefault="009B221F" w:rsidP="009B221F">
      <w:pPr>
        <w:pStyle w:val="ListParagraph"/>
        <w:rPr>
          <w:rFonts w:ascii="Verdana" w:hAnsi="Verdana"/>
          <w:b/>
          <w:sz w:val="20"/>
          <w:szCs w:val="20"/>
        </w:rPr>
      </w:pPr>
    </w:p>
    <w:p w14:paraId="2F37025A" w14:textId="77777777" w:rsidR="009B221F" w:rsidRPr="00DE78BC" w:rsidRDefault="000F5FE7" w:rsidP="00DE78BC">
      <w:pPr>
        <w:pStyle w:val="ListParagraph"/>
        <w:numPr>
          <w:ilvl w:val="0"/>
          <w:numId w:val="8"/>
        </w:numPr>
        <w:rPr>
          <w:rFonts w:ascii="Verdana" w:hAnsi="Verdana"/>
          <w:b/>
          <w:sz w:val="20"/>
          <w:szCs w:val="20"/>
        </w:rPr>
      </w:pPr>
      <w:r w:rsidRPr="00DE78BC">
        <w:rPr>
          <w:rFonts w:ascii="Verdana" w:hAnsi="Verdana"/>
          <w:b/>
          <w:sz w:val="20"/>
          <w:szCs w:val="20"/>
        </w:rPr>
        <w:t>Does a vendor need a new PO if they are now rendering an SE service virtually instead of in person?</w:t>
      </w:r>
      <w:r w:rsidR="009B221F" w:rsidRPr="00DE78BC">
        <w:rPr>
          <w:rFonts w:ascii="Verdana" w:hAnsi="Verdana"/>
          <w:b/>
          <w:sz w:val="20"/>
          <w:szCs w:val="20"/>
        </w:rPr>
        <w:t xml:space="preserve"> </w:t>
      </w:r>
    </w:p>
    <w:p w14:paraId="6C62116E" w14:textId="77777777" w:rsidR="00277C51" w:rsidRPr="00DE78BC" w:rsidRDefault="006E01EA" w:rsidP="00DE78BC">
      <w:pPr>
        <w:pStyle w:val="ListParagraph"/>
        <w:numPr>
          <w:ilvl w:val="1"/>
          <w:numId w:val="8"/>
        </w:numPr>
        <w:rPr>
          <w:rFonts w:ascii="Verdana" w:hAnsi="Verdana"/>
          <w:color w:val="000000" w:themeColor="text1"/>
          <w:sz w:val="20"/>
          <w:szCs w:val="20"/>
        </w:rPr>
      </w:pPr>
      <w:r w:rsidRPr="00DE78BC">
        <w:rPr>
          <w:rFonts w:ascii="Verdana" w:hAnsi="Verdana"/>
          <w:color w:val="000000" w:themeColor="text1"/>
          <w:sz w:val="20"/>
          <w:szCs w:val="20"/>
        </w:rPr>
        <w:t>For SE services, existing PO’s may remain open as long as providers follow the OVR SE Guidance for Community Providers During COVID-19.</w:t>
      </w:r>
    </w:p>
    <w:p w14:paraId="07353AEA" w14:textId="77777777" w:rsidR="00D24D70" w:rsidRPr="00DE78BC" w:rsidRDefault="00D24D70" w:rsidP="009B221F">
      <w:pPr>
        <w:pStyle w:val="ListParagraph"/>
        <w:rPr>
          <w:rFonts w:ascii="Verdana" w:hAnsi="Verdana"/>
          <w:b/>
          <w:color w:val="FF0000"/>
          <w:sz w:val="20"/>
          <w:szCs w:val="20"/>
        </w:rPr>
      </w:pPr>
    </w:p>
    <w:p w14:paraId="2021D00B" w14:textId="77777777" w:rsidR="00EE5885" w:rsidRPr="00DE78BC" w:rsidRDefault="00D53B8F" w:rsidP="00DE78BC">
      <w:pPr>
        <w:pStyle w:val="ListParagraph"/>
        <w:numPr>
          <w:ilvl w:val="0"/>
          <w:numId w:val="8"/>
        </w:numPr>
        <w:rPr>
          <w:rFonts w:ascii="Verdana" w:hAnsi="Verdana"/>
          <w:b/>
          <w:sz w:val="20"/>
          <w:szCs w:val="20"/>
        </w:rPr>
      </w:pPr>
      <w:r w:rsidRPr="00DE78BC">
        <w:rPr>
          <w:rFonts w:ascii="Verdana" w:hAnsi="Verdana"/>
          <w:b/>
          <w:sz w:val="20"/>
          <w:szCs w:val="20"/>
        </w:rPr>
        <w:t>Should we continue to submit monthly reports as a place holder?</w:t>
      </w:r>
      <w:r w:rsidR="00D24D70" w:rsidRPr="00DE78BC">
        <w:rPr>
          <w:rFonts w:ascii="Verdana" w:hAnsi="Verdana"/>
          <w:b/>
          <w:sz w:val="20"/>
          <w:szCs w:val="20"/>
        </w:rPr>
        <w:t xml:space="preserve"> </w:t>
      </w:r>
      <w:r w:rsidR="00EE5885" w:rsidRPr="00DE78BC">
        <w:rPr>
          <w:rFonts w:ascii="Verdana" w:hAnsi="Verdana"/>
          <w:b/>
          <w:sz w:val="20"/>
          <w:szCs w:val="20"/>
        </w:rPr>
        <w:t>Do we have to continue with monthly reports for no activity if customers are laid off</w:t>
      </w:r>
      <w:r w:rsidR="00A36EEE" w:rsidRPr="00DE78BC">
        <w:rPr>
          <w:rFonts w:ascii="Verdana" w:hAnsi="Verdana"/>
          <w:b/>
          <w:sz w:val="20"/>
          <w:szCs w:val="20"/>
        </w:rPr>
        <w:t>?</w:t>
      </w:r>
    </w:p>
    <w:p w14:paraId="4C36EFD7" w14:textId="0FE53B9D" w:rsidR="00D24D70" w:rsidRPr="00DE78BC" w:rsidRDefault="00D24D70" w:rsidP="00DE78BC">
      <w:pPr>
        <w:pStyle w:val="ListParagraph"/>
        <w:numPr>
          <w:ilvl w:val="1"/>
          <w:numId w:val="8"/>
        </w:numPr>
        <w:rPr>
          <w:rFonts w:ascii="Verdana" w:hAnsi="Verdana"/>
          <w:color w:val="000000" w:themeColor="text1"/>
          <w:sz w:val="20"/>
          <w:szCs w:val="20"/>
        </w:rPr>
      </w:pPr>
      <w:r w:rsidRPr="00DE78BC">
        <w:rPr>
          <w:rFonts w:ascii="Verdana" w:hAnsi="Verdana"/>
          <w:color w:val="000000" w:themeColor="text1"/>
          <w:sz w:val="20"/>
          <w:szCs w:val="20"/>
        </w:rPr>
        <w:t>As long as the</w:t>
      </w:r>
      <w:r w:rsidR="00AA685E">
        <w:rPr>
          <w:rFonts w:ascii="Verdana" w:hAnsi="Verdana"/>
          <w:color w:val="000000" w:themeColor="text1"/>
          <w:sz w:val="20"/>
          <w:szCs w:val="20"/>
        </w:rPr>
        <w:t xml:space="preserve"> authorization for</w:t>
      </w:r>
      <w:r w:rsidRPr="00DE78BC">
        <w:rPr>
          <w:rFonts w:ascii="Verdana" w:hAnsi="Verdana"/>
          <w:color w:val="000000" w:themeColor="text1"/>
          <w:sz w:val="20"/>
          <w:szCs w:val="20"/>
        </w:rPr>
        <w:t xml:space="preserve"> service remains effective providers should continue to enter monthly reports indicating no activity occurred.</w:t>
      </w:r>
    </w:p>
    <w:p w14:paraId="7EE74036" w14:textId="77777777" w:rsidR="00676306" w:rsidRPr="00DE78BC" w:rsidRDefault="00676306" w:rsidP="00676306">
      <w:pPr>
        <w:pStyle w:val="ListParagraph"/>
        <w:rPr>
          <w:rFonts w:ascii="Verdana" w:hAnsi="Verdana"/>
          <w:b/>
          <w:color w:val="000000" w:themeColor="text1"/>
          <w:sz w:val="20"/>
          <w:szCs w:val="20"/>
        </w:rPr>
      </w:pPr>
    </w:p>
    <w:p w14:paraId="08976370" w14:textId="77777777" w:rsidR="00EC258F" w:rsidRPr="00DE78BC" w:rsidRDefault="00EC258F" w:rsidP="00DE78BC">
      <w:pPr>
        <w:pStyle w:val="ListParagraph"/>
        <w:numPr>
          <w:ilvl w:val="0"/>
          <w:numId w:val="8"/>
        </w:numPr>
        <w:rPr>
          <w:rFonts w:ascii="Verdana" w:hAnsi="Verdana"/>
          <w:b/>
          <w:sz w:val="20"/>
          <w:szCs w:val="20"/>
        </w:rPr>
      </w:pPr>
      <w:r w:rsidRPr="00DE78BC">
        <w:rPr>
          <w:rFonts w:ascii="Verdana" w:hAnsi="Verdana"/>
          <w:b/>
          <w:sz w:val="20"/>
          <w:szCs w:val="20"/>
        </w:rPr>
        <w:t>Since Community Based Work Assessments have been suspended, what happens to the remaining units that have not been used?</w:t>
      </w:r>
    </w:p>
    <w:p w14:paraId="32CE7111" w14:textId="42D33B2A" w:rsidR="00B15F01" w:rsidRDefault="00EC258F" w:rsidP="00DE78BC">
      <w:pPr>
        <w:pStyle w:val="ListParagraph"/>
        <w:numPr>
          <w:ilvl w:val="1"/>
          <w:numId w:val="8"/>
        </w:numPr>
        <w:rPr>
          <w:rFonts w:ascii="Verdana" w:eastAsia="Times New Roman" w:hAnsi="Verdana"/>
          <w:color w:val="000000" w:themeColor="text1"/>
          <w:sz w:val="20"/>
          <w:szCs w:val="20"/>
        </w:rPr>
      </w:pPr>
      <w:r w:rsidRPr="00DE78BC">
        <w:rPr>
          <w:rFonts w:ascii="Verdana" w:hAnsi="Verdana"/>
          <w:color w:val="000000" w:themeColor="text1"/>
          <w:sz w:val="20"/>
          <w:szCs w:val="20"/>
        </w:rPr>
        <w:t>This will need to be addressed on a case-by-case basis with the VRC</w:t>
      </w:r>
      <w:r w:rsidR="00DE78BC" w:rsidRPr="00DE78BC">
        <w:rPr>
          <w:rFonts w:ascii="Verdana" w:hAnsi="Verdana"/>
          <w:color w:val="000000" w:themeColor="text1"/>
          <w:sz w:val="20"/>
          <w:szCs w:val="20"/>
        </w:rPr>
        <w:t>.  CBWA PO’s may remain open or the balance of hours may be cancelled and re-authorized if deemed appropriate.  If an additional CBWA is completed within the same PO, another report will need to be submitted.</w:t>
      </w:r>
      <w:r w:rsidR="00DE78BC" w:rsidRPr="00DE78BC">
        <w:rPr>
          <w:rFonts w:ascii="Verdana" w:eastAsia="Times New Roman" w:hAnsi="Verdana"/>
          <w:color w:val="000000" w:themeColor="text1"/>
          <w:sz w:val="20"/>
          <w:szCs w:val="20"/>
        </w:rPr>
        <w:t xml:space="preserve"> </w:t>
      </w:r>
    </w:p>
    <w:p w14:paraId="3C918137" w14:textId="77777777" w:rsidR="009C5607" w:rsidRDefault="009C5607" w:rsidP="009C5607">
      <w:pPr>
        <w:pStyle w:val="ListParagraph"/>
        <w:ind w:left="1440"/>
        <w:rPr>
          <w:rFonts w:ascii="Verdana" w:eastAsia="Times New Roman" w:hAnsi="Verdana"/>
          <w:color w:val="000000" w:themeColor="text1"/>
          <w:sz w:val="20"/>
          <w:szCs w:val="20"/>
        </w:rPr>
      </w:pPr>
    </w:p>
    <w:p w14:paraId="3BF7E04C" w14:textId="77777777" w:rsidR="009C5607" w:rsidRPr="00DE78BC" w:rsidRDefault="009C5607" w:rsidP="009C5607">
      <w:pPr>
        <w:pStyle w:val="ListParagraph"/>
        <w:numPr>
          <w:ilvl w:val="0"/>
          <w:numId w:val="8"/>
        </w:numPr>
        <w:rPr>
          <w:rFonts w:ascii="Verdana" w:hAnsi="Verdana"/>
          <w:b/>
          <w:sz w:val="20"/>
          <w:szCs w:val="20"/>
        </w:rPr>
      </w:pPr>
      <w:r w:rsidRPr="00DE78BC">
        <w:rPr>
          <w:rFonts w:ascii="Verdana" w:eastAsia="Times New Roman" w:hAnsi="Verdana"/>
          <w:b/>
          <w:sz w:val="20"/>
          <w:szCs w:val="20"/>
        </w:rPr>
        <w:t xml:space="preserve">Should providers suspend work on just Discovery or also on the Discovery Profile, Visual Resume and the Customized Plan for Employment meeting (virtually)? </w:t>
      </w:r>
    </w:p>
    <w:p w14:paraId="2F64A8FD" w14:textId="77777777" w:rsidR="009C5607" w:rsidRPr="00DE78BC" w:rsidRDefault="009C5607" w:rsidP="009C5607">
      <w:pPr>
        <w:pStyle w:val="ListParagraph"/>
        <w:numPr>
          <w:ilvl w:val="1"/>
          <w:numId w:val="8"/>
        </w:numPr>
        <w:rPr>
          <w:rFonts w:ascii="Verdana" w:eastAsia="Times New Roman" w:hAnsi="Verdana"/>
          <w:color w:val="000000" w:themeColor="text1"/>
          <w:sz w:val="20"/>
          <w:szCs w:val="20"/>
        </w:rPr>
      </w:pPr>
      <w:r w:rsidRPr="00DE78BC">
        <w:rPr>
          <w:rFonts w:ascii="Verdana" w:eastAsia="Times New Roman" w:hAnsi="Verdana"/>
          <w:color w:val="000000" w:themeColor="text1"/>
          <w:sz w:val="20"/>
          <w:szCs w:val="20"/>
        </w:rPr>
        <w:t>Please see the amended guidance under section 1 for a complete explanation.  If enough information was gathered through Discovery activities, prior to initiation of COVID-19 mitigation restrictions, to complete the Discovery Profile and Visual Resume they may be completed and, if the documents are accepted by the VRC, may be invoiced.  The Customized Plan for Employment meeting may occur virtually if all parties agree to proceed and have the technology to participate.</w:t>
      </w:r>
    </w:p>
    <w:p w14:paraId="02B9D4EA" w14:textId="77777777" w:rsidR="009C5607" w:rsidRPr="00DE78BC" w:rsidRDefault="009C5607" w:rsidP="009C5607">
      <w:pPr>
        <w:pStyle w:val="ListParagraph"/>
        <w:ind w:left="1440"/>
        <w:rPr>
          <w:rFonts w:ascii="Verdana" w:eastAsia="Times New Roman" w:hAnsi="Verdana"/>
          <w:color w:val="000000" w:themeColor="text1"/>
          <w:sz w:val="20"/>
          <w:szCs w:val="20"/>
        </w:rPr>
      </w:pPr>
    </w:p>
    <w:sectPr w:rsidR="009C5607" w:rsidRPr="00DE78B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990D9" w14:textId="77777777" w:rsidR="00CE2EC1" w:rsidRDefault="00CE2EC1" w:rsidP="00DE78BC">
      <w:r>
        <w:separator/>
      </w:r>
    </w:p>
  </w:endnote>
  <w:endnote w:type="continuationSeparator" w:id="0">
    <w:p w14:paraId="35497100" w14:textId="77777777" w:rsidR="00CE2EC1" w:rsidRDefault="00CE2EC1" w:rsidP="00DE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1DC05" w14:textId="74041449" w:rsidR="00DE78BC" w:rsidRPr="00DE78BC" w:rsidRDefault="00DE78BC">
    <w:pPr>
      <w:pStyle w:val="Footer"/>
      <w:rPr>
        <w:rFonts w:ascii="Verdana" w:hAnsi="Verdana"/>
      </w:rPr>
    </w:pPr>
    <w:r>
      <w:tab/>
    </w:r>
    <w:r>
      <w:tab/>
    </w:r>
    <w:r w:rsidRPr="00DE78BC">
      <w:rPr>
        <w:rFonts w:ascii="Verdana" w:hAnsi="Verdana"/>
      </w:rPr>
      <w:t xml:space="preserve">Page </w:t>
    </w:r>
    <w:r w:rsidRPr="00DE78BC">
      <w:rPr>
        <w:rFonts w:ascii="Verdana" w:hAnsi="Verdana"/>
      </w:rPr>
      <w:fldChar w:fldCharType="begin"/>
    </w:r>
    <w:r w:rsidRPr="00DE78BC">
      <w:rPr>
        <w:rFonts w:ascii="Verdana" w:hAnsi="Verdana"/>
      </w:rPr>
      <w:instrText xml:space="preserve"> PAGE   \* MERGEFORMAT </w:instrText>
    </w:r>
    <w:r w:rsidRPr="00DE78BC">
      <w:rPr>
        <w:rFonts w:ascii="Verdana" w:hAnsi="Verdana"/>
      </w:rPr>
      <w:fldChar w:fldCharType="separate"/>
    </w:r>
    <w:r w:rsidR="007B5759">
      <w:rPr>
        <w:rFonts w:ascii="Verdana" w:hAnsi="Verdana"/>
        <w:noProof/>
      </w:rPr>
      <w:t>1</w:t>
    </w:r>
    <w:r w:rsidRPr="00DE78BC">
      <w:rPr>
        <w:rFonts w:ascii="Verdana" w:hAnsi="Verdan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58EF7" w14:textId="77777777" w:rsidR="00CE2EC1" w:rsidRDefault="00CE2EC1" w:rsidP="00DE78BC">
      <w:r>
        <w:separator/>
      </w:r>
    </w:p>
  </w:footnote>
  <w:footnote w:type="continuationSeparator" w:id="0">
    <w:p w14:paraId="7AFACEC5" w14:textId="77777777" w:rsidR="00CE2EC1" w:rsidRDefault="00CE2EC1" w:rsidP="00DE7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034A4" w14:textId="47EA77D5" w:rsidR="00DE78BC" w:rsidRPr="00DE78BC" w:rsidRDefault="00DE78BC">
    <w:pPr>
      <w:pStyle w:val="Header"/>
      <w:rPr>
        <w:b/>
        <w:sz w:val="28"/>
      </w:rPr>
    </w:pPr>
    <w:r>
      <w:tab/>
    </w:r>
    <w:r w:rsidRPr="00DE78BC">
      <w:rPr>
        <w:b/>
        <w:sz w:val="28"/>
      </w:rPr>
      <w:t>OVR Supported Employment During COVID-19</w:t>
    </w:r>
    <w:r w:rsidRPr="00DE78BC">
      <w:rPr>
        <w:b/>
        <w:sz w:val="28"/>
      </w:rPr>
      <w:tab/>
      <w:t>4/1</w:t>
    </w:r>
    <w:r w:rsidR="00B65478">
      <w:rPr>
        <w:b/>
        <w:sz w:val="28"/>
      </w:rPr>
      <w:t>6</w:t>
    </w:r>
    <w:r w:rsidRPr="00DE78BC">
      <w:rPr>
        <w:b/>
        <w:sz w:val="28"/>
      </w:rPr>
      <w:t>/20</w:t>
    </w:r>
  </w:p>
  <w:p w14:paraId="42F03458" w14:textId="77777777" w:rsidR="00DE78BC" w:rsidRPr="00DE78BC" w:rsidRDefault="00DE78BC">
    <w:pPr>
      <w:pStyle w:val="Header"/>
      <w:pBdr>
        <w:bottom w:val="single" w:sz="6" w:space="1" w:color="auto"/>
      </w:pBdr>
      <w:rPr>
        <w:b/>
        <w:sz w:val="28"/>
      </w:rPr>
    </w:pPr>
    <w:r w:rsidRPr="00DE78BC">
      <w:rPr>
        <w:b/>
        <w:sz w:val="28"/>
      </w:rPr>
      <w:tab/>
      <w:t>FREQUENTLY ASKED QUESTIONS</w:t>
    </w:r>
  </w:p>
  <w:p w14:paraId="1414F9B9" w14:textId="77777777" w:rsidR="00DE78BC" w:rsidRPr="00DE78BC" w:rsidRDefault="00DE78BC">
    <w:pPr>
      <w:pStyle w:val="Head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586B"/>
    <w:multiLevelType w:val="hybridMultilevel"/>
    <w:tmpl w:val="7C74D5DA"/>
    <w:lvl w:ilvl="0" w:tplc="89B69C34">
      <w:start w:val="1"/>
      <w:numFmt w:val="bullet"/>
      <w:lvlText w:val="•"/>
      <w:lvlJc w:val="left"/>
      <w:pPr>
        <w:tabs>
          <w:tab w:val="num" w:pos="720"/>
        </w:tabs>
        <w:ind w:left="720" w:hanging="360"/>
      </w:pPr>
      <w:rPr>
        <w:rFonts w:ascii="Arial" w:hAnsi="Arial" w:hint="default"/>
      </w:rPr>
    </w:lvl>
    <w:lvl w:ilvl="1" w:tplc="02C0EEC8" w:tentative="1">
      <w:start w:val="1"/>
      <w:numFmt w:val="bullet"/>
      <w:lvlText w:val="•"/>
      <w:lvlJc w:val="left"/>
      <w:pPr>
        <w:tabs>
          <w:tab w:val="num" w:pos="1440"/>
        </w:tabs>
        <w:ind w:left="1440" w:hanging="360"/>
      </w:pPr>
      <w:rPr>
        <w:rFonts w:ascii="Arial" w:hAnsi="Arial" w:hint="default"/>
      </w:rPr>
    </w:lvl>
    <w:lvl w:ilvl="2" w:tplc="27AC7B34">
      <w:start w:val="1"/>
      <w:numFmt w:val="bullet"/>
      <w:lvlText w:val="•"/>
      <w:lvlJc w:val="left"/>
      <w:pPr>
        <w:tabs>
          <w:tab w:val="num" w:pos="2160"/>
        </w:tabs>
        <w:ind w:left="2160" w:hanging="360"/>
      </w:pPr>
      <w:rPr>
        <w:rFonts w:ascii="Arial" w:hAnsi="Arial" w:hint="default"/>
      </w:rPr>
    </w:lvl>
    <w:lvl w:ilvl="3" w:tplc="E1BA3F50" w:tentative="1">
      <w:start w:val="1"/>
      <w:numFmt w:val="bullet"/>
      <w:lvlText w:val="•"/>
      <w:lvlJc w:val="left"/>
      <w:pPr>
        <w:tabs>
          <w:tab w:val="num" w:pos="2880"/>
        </w:tabs>
        <w:ind w:left="2880" w:hanging="360"/>
      </w:pPr>
      <w:rPr>
        <w:rFonts w:ascii="Arial" w:hAnsi="Arial" w:hint="default"/>
      </w:rPr>
    </w:lvl>
    <w:lvl w:ilvl="4" w:tplc="319C7B28" w:tentative="1">
      <w:start w:val="1"/>
      <w:numFmt w:val="bullet"/>
      <w:lvlText w:val="•"/>
      <w:lvlJc w:val="left"/>
      <w:pPr>
        <w:tabs>
          <w:tab w:val="num" w:pos="3600"/>
        </w:tabs>
        <w:ind w:left="3600" w:hanging="360"/>
      </w:pPr>
      <w:rPr>
        <w:rFonts w:ascii="Arial" w:hAnsi="Arial" w:hint="default"/>
      </w:rPr>
    </w:lvl>
    <w:lvl w:ilvl="5" w:tplc="3D06846A" w:tentative="1">
      <w:start w:val="1"/>
      <w:numFmt w:val="bullet"/>
      <w:lvlText w:val="•"/>
      <w:lvlJc w:val="left"/>
      <w:pPr>
        <w:tabs>
          <w:tab w:val="num" w:pos="4320"/>
        </w:tabs>
        <w:ind w:left="4320" w:hanging="360"/>
      </w:pPr>
      <w:rPr>
        <w:rFonts w:ascii="Arial" w:hAnsi="Arial" w:hint="default"/>
      </w:rPr>
    </w:lvl>
    <w:lvl w:ilvl="6" w:tplc="3AF65966" w:tentative="1">
      <w:start w:val="1"/>
      <w:numFmt w:val="bullet"/>
      <w:lvlText w:val="•"/>
      <w:lvlJc w:val="left"/>
      <w:pPr>
        <w:tabs>
          <w:tab w:val="num" w:pos="5040"/>
        </w:tabs>
        <w:ind w:left="5040" w:hanging="360"/>
      </w:pPr>
      <w:rPr>
        <w:rFonts w:ascii="Arial" w:hAnsi="Arial" w:hint="default"/>
      </w:rPr>
    </w:lvl>
    <w:lvl w:ilvl="7" w:tplc="29A62B42" w:tentative="1">
      <w:start w:val="1"/>
      <w:numFmt w:val="bullet"/>
      <w:lvlText w:val="•"/>
      <w:lvlJc w:val="left"/>
      <w:pPr>
        <w:tabs>
          <w:tab w:val="num" w:pos="5760"/>
        </w:tabs>
        <w:ind w:left="5760" w:hanging="360"/>
      </w:pPr>
      <w:rPr>
        <w:rFonts w:ascii="Arial" w:hAnsi="Arial" w:hint="default"/>
      </w:rPr>
    </w:lvl>
    <w:lvl w:ilvl="8" w:tplc="F0487E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7126D2"/>
    <w:multiLevelType w:val="multilevel"/>
    <w:tmpl w:val="FE34BF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7474CB0"/>
    <w:multiLevelType w:val="hybridMultilevel"/>
    <w:tmpl w:val="A426DC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9844689"/>
    <w:multiLevelType w:val="hybridMultilevel"/>
    <w:tmpl w:val="726CF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F255F6"/>
    <w:multiLevelType w:val="hybridMultilevel"/>
    <w:tmpl w:val="96DAA7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66F31"/>
    <w:multiLevelType w:val="hybridMultilevel"/>
    <w:tmpl w:val="CC440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61F30"/>
    <w:multiLevelType w:val="hybridMultilevel"/>
    <w:tmpl w:val="1D2EAF3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01"/>
    <w:rsid w:val="00010F91"/>
    <w:rsid w:val="0002030B"/>
    <w:rsid w:val="00022EF8"/>
    <w:rsid w:val="00087598"/>
    <w:rsid w:val="000B1F87"/>
    <w:rsid w:val="000C2045"/>
    <w:rsid w:val="000F5FE7"/>
    <w:rsid w:val="00103CAA"/>
    <w:rsid w:val="001066FC"/>
    <w:rsid w:val="00135BAE"/>
    <w:rsid w:val="00197FC6"/>
    <w:rsid w:val="00222235"/>
    <w:rsid w:val="0022298C"/>
    <w:rsid w:val="0023305C"/>
    <w:rsid w:val="0026406D"/>
    <w:rsid w:val="002700D2"/>
    <w:rsid w:val="00277C51"/>
    <w:rsid w:val="00284A43"/>
    <w:rsid w:val="002B1990"/>
    <w:rsid w:val="002D1F33"/>
    <w:rsid w:val="002D5DEA"/>
    <w:rsid w:val="00322C4B"/>
    <w:rsid w:val="003366D4"/>
    <w:rsid w:val="003759CF"/>
    <w:rsid w:val="004910C7"/>
    <w:rsid w:val="00491167"/>
    <w:rsid w:val="00497AA2"/>
    <w:rsid w:val="004D4235"/>
    <w:rsid w:val="00540AF6"/>
    <w:rsid w:val="006555D3"/>
    <w:rsid w:val="00676306"/>
    <w:rsid w:val="00681681"/>
    <w:rsid w:val="00684571"/>
    <w:rsid w:val="00696C39"/>
    <w:rsid w:val="006E01EA"/>
    <w:rsid w:val="007B5759"/>
    <w:rsid w:val="00805803"/>
    <w:rsid w:val="0086701F"/>
    <w:rsid w:val="008F3AC5"/>
    <w:rsid w:val="0095697B"/>
    <w:rsid w:val="0098660E"/>
    <w:rsid w:val="00990B3A"/>
    <w:rsid w:val="009B221F"/>
    <w:rsid w:val="009C5607"/>
    <w:rsid w:val="009E0B5D"/>
    <w:rsid w:val="00A36EEE"/>
    <w:rsid w:val="00A54B8A"/>
    <w:rsid w:val="00AA685E"/>
    <w:rsid w:val="00B12C54"/>
    <w:rsid w:val="00B15F01"/>
    <w:rsid w:val="00B224A5"/>
    <w:rsid w:val="00B6377F"/>
    <w:rsid w:val="00B65478"/>
    <w:rsid w:val="00B76520"/>
    <w:rsid w:val="00B92495"/>
    <w:rsid w:val="00C14B38"/>
    <w:rsid w:val="00C17406"/>
    <w:rsid w:val="00C33E6D"/>
    <w:rsid w:val="00C53A47"/>
    <w:rsid w:val="00C578AE"/>
    <w:rsid w:val="00C60249"/>
    <w:rsid w:val="00C77DA2"/>
    <w:rsid w:val="00CE2EC1"/>
    <w:rsid w:val="00D171FA"/>
    <w:rsid w:val="00D24D70"/>
    <w:rsid w:val="00D34E95"/>
    <w:rsid w:val="00D53B8F"/>
    <w:rsid w:val="00D933A2"/>
    <w:rsid w:val="00DD37D0"/>
    <w:rsid w:val="00DE5AE2"/>
    <w:rsid w:val="00DE78BC"/>
    <w:rsid w:val="00E118B3"/>
    <w:rsid w:val="00E40FB8"/>
    <w:rsid w:val="00E46F65"/>
    <w:rsid w:val="00E940BF"/>
    <w:rsid w:val="00EA73EC"/>
    <w:rsid w:val="00EB0ECD"/>
    <w:rsid w:val="00EB1885"/>
    <w:rsid w:val="00EC258F"/>
    <w:rsid w:val="00EE1A84"/>
    <w:rsid w:val="00EE5885"/>
    <w:rsid w:val="00F124F2"/>
    <w:rsid w:val="00F66249"/>
    <w:rsid w:val="00F9147F"/>
    <w:rsid w:val="00FB1B7E"/>
    <w:rsid w:val="00FC5949"/>
    <w:rsid w:val="00FD455A"/>
    <w:rsid w:val="00FF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5E0B7"/>
  <w15:chartTrackingRefBased/>
  <w15:docId w15:val="{242BFF46-9BEB-469C-B589-0AE64095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F01"/>
    <w:pPr>
      <w:spacing w:after="0" w:line="240" w:lineRule="auto"/>
    </w:pPr>
    <w:rPr>
      <w:rFonts w:ascii="Calibri" w:hAnsi="Calibri" w:cs="Calibri"/>
    </w:rPr>
  </w:style>
  <w:style w:type="paragraph" w:styleId="Heading1">
    <w:name w:val="heading 1"/>
    <w:basedOn w:val="Normal"/>
    <w:next w:val="Normal"/>
    <w:link w:val="Heading1Char"/>
    <w:uiPriority w:val="9"/>
    <w:qFormat/>
    <w:rsid w:val="009C5607"/>
    <w:pPr>
      <w:spacing w:before="100" w:beforeAutospacing="1" w:after="100" w:afterAutospacing="1"/>
      <w:outlineLvl w:val="0"/>
    </w:pPr>
    <w:rPr>
      <w:rFonts w:ascii="Verdana" w:eastAsia="Times New Roman" w:hAnsi="Verdana"/>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249"/>
    <w:pPr>
      <w:ind w:left="720"/>
      <w:contextualSpacing/>
    </w:pPr>
  </w:style>
  <w:style w:type="character" w:styleId="Hyperlink">
    <w:name w:val="Hyperlink"/>
    <w:basedOn w:val="DefaultParagraphFont"/>
    <w:uiPriority w:val="99"/>
    <w:unhideWhenUsed/>
    <w:rsid w:val="00EE1A84"/>
    <w:rPr>
      <w:color w:val="0563C1" w:themeColor="hyperlink"/>
      <w:u w:val="single"/>
    </w:rPr>
  </w:style>
  <w:style w:type="character" w:styleId="UnresolvedMention">
    <w:name w:val="Unresolved Mention"/>
    <w:basedOn w:val="DefaultParagraphFont"/>
    <w:uiPriority w:val="99"/>
    <w:semiHidden/>
    <w:unhideWhenUsed/>
    <w:rsid w:val="00EE1A84"/>
    <w:rPr>
      <w:color w:val="808080"/>
      <w:shd w:val="clear" w:color="auto" w:fill="E6E6E6"/>
    </w:rPr>
  </w:style>
  <w:style w:type="paragraph" w:styleId="Header">
    <w:name w:val="header"/>
    <w:basedOn w:val="Normal"/>
    <w:link w:val="HeaderChar"/>
    <w:uiPriority w:val="99"/>
    <w:unhideWhenUsed/>
    <w:rsid w:val="00DE78BC"/>
    <w:pPr>
      <w:tabs>
        <w:tab w:val="center" w:pos="4680"/>
        <w:tab w:val="right" w:pos="9360"/>
      </w:tabs>
    </w:pPr>
  </w:style>
  <w:style w:type="character" w:customStyle="1" w:styleId="HeaderChar">
    <w:name w:val="Header Char"/>
    <w:basedOn w:val="DefaultParagraphFont"/>
    <w:link w:val="Header"/>
    <w:uiPriority w:val="99"/>
    <w:rsid w:val="00DE78BC"/>
    <w:rPr>
      <w:rFonts w:ascii="Calibri" w:hAnsi="Calibri" w:cs="Calibri"/>
    </w:rPr>
  </w:style>
  <w:style w:type="paragraph" w:styleId="Footer">
    <w:name w:val="footer"/>
    <w:basedOn w:val="Normal"/>
    <w:link w:val="FooterChar"/>
    <w:uiPriority w:val="99"/>
    <w:unhideWhenUsed/>
    <w:rsid w:val="00DE78BC"/>
    <w:pPr>
      <w:tabs>
        <w:tab w:val="center" w:pos="4680"/>
        <w:tab w:val="right" w:pos="9360"/>
      </w:tabs>
    </w:pPr>
  </w:style>
  <w:style w:type="character" w:customStyle="1" w:styleId="FooterChar">
    <w:name w:val="Footer Char"/>
    <w:basedOn w:val="DefaultParagraphFont"/>
    <w:link w:val="Footer"/>
    <w:uiPriority w:val="99"/>
    <w:rsid w:val="00DE78BC"/>
    <w:rPr>
      <w:rFonts w:ascii="Calibri" w:hAnsi="Calibri" w:cs="Calibri"/>
    </w:rPr>
  </w:style>
  <w:style w:type="character" w:styleId="CommentReference">
    <w:name w:val="annotation reference"/>
    <w:basedOn w:val="DefaultParagraphFont"/>
    <w:uiPriority w:val="99"/>
    <w:semiHidden/>
    <w:unhideWhenUsed/>
    <w:rsid w:val="00284A43"/>
    <w:rPr>
      <w:sz w:val="16"/>
      <w:szCs w:val="16"/>
    </w:rPr>
  </w:style>
  <w:style w:type="paragraph" w:styleId="CommentText">
    <w:name w:val="annotation text"/>
    <w:basedOn w:val="Normal"/>
    <w:link w:val="CommentTextChar"/>
    <w:uiPriority w:val="99"/>
    <w:semiHidden/>
    <w:unhideWhenUsed/>
    <w:rsid w:val="00284A43"/>
    <w:rPr>
      <w:sz w:val="20"/>
      <w:szCs w:val="20"/>
    </w:rPr>
  </w:style>
  <w:style w:type="character" w:customStyle="1" w:styleId="CommentTextChar">
    <w:name w:val="Comment Text Char"/>
    <w:basedOn w:val="DefaultParagraphFont"/>
    <w:link w:val="CommentText"/>
    <w:uiPriority w:val="99"/>
    <w:semiHidden/>
    <w:rsid w:val="00284A4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84A43"/>
    <w:rPr>
      <w:b/>
      <w:bCs/>
    </w:rPr>
  </w:style>
  <w:style w:type="character" w:customStyle="1" w:styleId="CommentSubjectChar">
    <w:name w:val="Comment Subject Char"/>
    <w:basedOn w:val="CommentTextChar"/>
    <w:link w:val="CommentSubject"/>
    <w:uiPriority w:val="99"/>
    <w:semiHidden/>
    <w:rsid w:val="00284A43"/>
    <w:rPr>
      <w:rFonts w:ascii="Calibri" w:hAnsi="Calibri" w:cs="Calibri"/>
      <w:b/>
      <w:bCs/>
      <w:sz w:val="20"/>
      <w:szCs w:val="20"/>
    </w:rPr>
  </w:style>
  <w:style w:type="paragraph" w:styleId="BalloonText">
    <w:name w:val="Balloon Text"/>
    <w:basedOn w:val="Normal"/>
    <w:link w:val="BalloonTextChar"/>
    <w:uiPriority w:val="99"/>
    <w:semiHidden/>
    <w:unhideWhenUsed/>
    <w:rsid w:val="00284A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A43"/>
    <w:rPr>
      <w:rFonts w:ascii="Segoe UI" w:hAnsi="Segoe UI" w:cs="Segoe UI"/>
      <w:sz w:val="18"/>
      <w:szCs w:val="18"/>
    </w:rPr>
  </w:style>
  <w:style w:type="character" w:customStyle="1" w:styleId="Heading1Char">
    <w:name w:val="Heading 1 Char"/>
    <w:basedOn w:val="DefaultParagraphFont"/>
    <w:link w:val="Heading1"/>
    <w:uiPriority w:val="9"/>
    <w:rsid w:val="009C5607"/>
    <w:rPr>
      <w:rFonts w:ascii="Verdana" w:eastAsia="Times New Roman" w:hAnsi="Verdana" w:cs="Calibri"/>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3687">
      <w:bodyDiv w:val="1"/>
      <w:marLeft w:val="0"/>
      <w:marRight w:val="0"/>
      <w:marTop w:val="0"/>
      <w:marBottom w:val="0"/>
      <w:divBdr>
        <w:top w:val="none" w:sz="0" w:space="0" w:color="auto"/>
        <w:left w:val="none" w:sz="0" w:space="0" w:color="auto"/>
        <w:bottom w:val="none" w:sz="0" w:space="0" w:color="auto"/>
        <w:right w:val="none" w:sz="0" w:space="0" w:color="auto"/>
      </w:divBdr>
    </w:div>
    <w:div w:id="336999274">
      <w:bodyDiv w:val="1"/>
      <w:marLeft w:val="0"/>
      <w:marRight w:val="0"/>
      <w:marTop w:val="0"/>
      <w:marBottom w:val="0"/>
      <w:divBdr>
        <w:top w:val="none" w:sz="0" w:space="0" w:color="auto"/>
        <w:left w:val="none" w:sz="0" w:space="0" w:color="auto"/>
        <w:bottom w:val="none" w:sz="0" w:space="0" w:color="auto"/>
        <w:right w:val="none" w:sz="0" w:space="0" w:color="auto"/>
      </w:divBdr>
    </w:div>
    <w:div w:id="359287076">
      <w:bodyDiv w:val="1"/>
      <w:marLeft w:val="0"/>
      <w:marRight w:val="0"/>
      <w:marTop w:val="0"/>
      <w:marBottom w:val="0"/>
      <w:divBdr>
        <w:top w:val="none" w:sz="0" w:space="0" w:color="auto"/>
        <w:left w:val="none" w:sz="0" w:space="0" w:color="auto"/>
        <w:bottom w:val="none" w:sz="0" w:space="0" w:color="auto"/>
        <w:right w:val="none" w:sz="0" w:space="0" w:color="auto"/>
      </w:divBdr>
    </w:div>
    <w:div w:id="444346793">
      <w:bodyDiv w:val="1"/>
      <w:marLeft w:val="0"/>
      <w:marRight w:val="0"/>
      <w:marTop w:val="0"/>
      <w:marBottom w:val="0"/>
      <w:divBdr>
        <w:top w:val="none" w:sz="0" w:space="0" w:color="auto"/>
        <w:left w:val="none" w:sz="0" w:space="0" w:color="auto"/>
        <w:bottom w:val="none" w:sz="0" w:space="0" w:color="auto"/>
        <w:right w:val="none" w:sz="0" w:space="0" w:color="auto"/>
      </w:divBdr>
    </w:div>
    <w:div w:id="757364903">
      <w:bodyDiv w:val="1"/>
      <w:marLeft w:val="0"/>
      <w:marRight w:val="0"/>
      <w:marTop w:val="0"/>
      <w:marBottom w:val="0"/>
      <w:divBdr>
        <w:top w:val="none" w:sz="0" w:space="0" w:color="auto"/>
        <w:left w:val="none" w:sz="0" w:space="0" w:color="auto"/>
        <w:bottom w:val="none" w:sz="0" w:space="0" w:color="auto"/>
        <w:right w:val="none" w:sz="0" w:space="0" w:color="auto"/>
      </w:divBdr>
      <w:divsChild>
        <w:div w:id="1758864374">
          <w:marLeft w:val="1800"/>
          <w:marRight w:val="0"/>
          <w:marTop w:val="100"/>
          <w:marBottom w:val="0"/>
          <w:divBdr>
            <w:top w:val="none" w:sz="0" w:space="0" w:color="auto"/>
            <w:left w:val="none" w:sz="0" w:space="0" w:color="auto"/>
            <w:bottom w:val="none" w:sz="0" w:space="0" w:color="auto"/>
            <w:right w:val="none" w:sz="0" w:space="0" w:color="auto"/>
          </w:divBdr>
        </w:div>
      </w:divsChild>
    </w:div>
    <w:div w:id="1097485483">
      <w:bodyDiv w:val="1"/>
      <w:marLeft w:val="0"/>
      <w:marRight w:val="0"/>
      <w:marTop w:val="0"/>
      <w:marBottom w:val="0"/>
      <w:divBdr>
        <w:top w:val="none" w:sz="0" w:space="0" w:color="auto"/>
        <w:left w:val="none" w:sz="0" w:space="0" w:color="auto"/>
        <w:bottom w:val="none" w:sz="0" w:space="0" w:color="auto"/>
        <w:right w:val="none" w:sz="0" w:space="0" w:color="auto"/>
      </w:divBdr>
    </w:div>
    <w:div w:id="1199009674">
      <w:bodyDiv w:val="1"/>
      <w:marLeft w:val="0"/>
      <w:marRight w:val="0"/>
      <w:marTop w:val="0"/>
      <w:marBottom w:val="0"/>
      <w:divBdr>
        <w:top w:val="none" w:sz="0" w:space="0" w:color="auto"/>
        <w:left w:val="none" w:sz="0" w:space="0" w:color="auto"/>
        <w:bottom w:val="none" w:sz="0" w:space="0" w:color="auto"/>
        <w:right w:val="none" w:sz="0" w:space="0" w:color="auto"/>
      </w:divBdr>
    </w:div>
    <w:div w:id="1427506163">
      <w:bodyDiv w:val="1"/>
      <w:marLeft w:val="0"/>
      <w:marRight w:val="0"/>
      <w:marTop w:val="0"/>
      <w:marBottom w:val="0"/>
      <w:divBdr>
        <w:top w:val="none" w:sz="0" w:space="0" w:color="auto"/>
        <w:left w:val="none" w:sz="0" w:space="0" w:color="auto"/>
        <w:bottom w:val="none" w:sz="0" w:space="0" w:color="auto"/>
        <w:right w:val="none" w:sz="0" w:space="0" w:color="auto"/>
      </w:divBdr>
    </w:div>
    <w:div w:id="1749964856">
      <w:bodyDiv w:val="1"/>
      <w:marLeft w:val="0"/>
      <w:marRight w:val="0"/>
      <w:marTop w:val="0"/>
      <w:marBottom w:val="0"/>
      <w:divBdr>
        <w:top w:val="none" w:sz="0" w:space="0" w:color="auto"/>
        <w:left w:val="none" w:sz="0" w:space="0" w:color="auto"/>
        <w:bottom w:val="none" w:sz="0" w:space="0" w:color="auto"/>
        <w:right w:val="none" w:sz="0" w:space="0" w:color="auto"/>
      </w:divBdr>
    </w:div>
    <w:div w:id="18223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LIOVR-SETECH@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1291</Words>
  <Characters>7359</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Fanning, Beth A (L&amp;I)</dc:creator>
  <cp:keywords/>
  <dc:description/>
  <cp:lastModifiedBy>Austin, Shannon</cp:lastModifiedBy>
  <cp:revision>2</cp:revision>
  <dcterms:created xsi:type="dcterms:W3CDTF">2020-04-27T19:23:00Z</dcterms:created>
  <dcterms:modified xsi:type="dcterms:W3CDTF">2020-04-27T19:23:00Z</dcterms:modified>
</cp:coreProperties>
</file>